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4DEFB377" w14:textId="77777777" w:rsidTr="00BF1190">
        <w:trPr>
          <w:trHeight w:val="1863"/>
        </w:trPr>
        <w:tc>
          <w:tcPr>
            <w:tcW w:w="3652" w:type="dxa"/>
            <w:tcBorders>
              <w:top w:val="nil"/>
              <w:left w:val="nil"/>
              <w:bottom w:val="nil"/>
              <w:right w:val="nil"/>
            </w:tcBorders>
          </w:tcPr>
          <w:p w14:paraId="50685773" w14:textId="25200A68" w:rsidR="008E7846" w:rsidRPr="00096AA7" w:rsidRDefault="00904497" w:rsidP="00096AA7">
            <w:pPr>
              <w:rPr>
                <w:rFonts w:ascii="Arial" w:hAnsi="Arial" w:cs="Arial"/>
                <w:b/>
                <w:color w:val="002C47"/>
                <w:sz w:val="36"/>
                <w:szCs w:val="36"/>
              </w:rPr>
            </w:pPr>
            <w:r>
              <w:rPr>
                <w:rFonts w:ascii="Arial" w:hAnsi="Arial" w:cs="Arial"/>
                <w:b/>
                <w:color w:val="002C47"/>
                <w:sz w:val="36"/>
                <w:szCs w:val="36"/>
              </w:rPr>
              <w:t xml:space="preserve">March </w:t>
            </w:r>
            <w:r w:rsidR="00D1768E">
              <w:rPr>
                <w:rFonts w:ascii="Arial" w:hAnsi="Arial" w:cs="Arial"/>
                <w:b/>
                <w:color w:val="002C47"/>
                <w:sz w:val="36"/>
                <w:szCs w:val="36"/>
              </w:rPr>
              <w:t>2021</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36C096C6" w14:textId="77777777" w:rsidTr="0032583B">
        <w:trPr>
          <w:trHeight w:val="868"/>
        </w:trPr>
        <w:tc>
          <w:tcPr>
            <w:tcW w:w="9079" w:type="dxa"/>
          </w:tcPr>
          <w:p w14:paraId="7FC4AA27" w14:textId="77777777" w:rsidR="0032583B" w:rsidRPr="00A964D1" w:rsidRDefault="0032583B" w:rsidP="00D1768E">
            <w:pPr>
              <w:pStyle w:val="Title"/>
              <w:rPr>
                <w:color w:val="FFFFFF" w:themeColor="background1"/>
              </w:rPr>
            </w:pPr>
            <w:r w:rsidRPr="00A964D1">
              <w:rPr>
                <w:color w:val="FFFFFF" w:themeColor="background1"/>
              </w:rPr>
              <w:t>Australia</w:t>
            </w:r>
            <w:r w:rsidR="00D1768E">
              <w:rPr>
                <w:color w:val="FFFFFF" w:themeColor="background1"/>
              </w:rPr>
              <w:t>n Public Assessment Report for Durvalumab</w:t>
            </w:r>
          </w:p>
        </w:tc>
      </w:tr>
      <w:tr w:rsidR="0032583B" w:rsidRPr="00B64760" w14:paraId="5FB5E995" w14:textId="77777777" w:rsidTr="0032583B">
        <w:tc>
          <w:tcPr>
            <w:tcW w:w="9079" w:type="dxa"/>
          </w:tcPr>
          <w:p w14:paraId="15650678" w14:textId="77777777" w:rsidR="0032583B" w:rsidRPr="008E7846" w:rsidRDefault="00D1768E" w:rsidP="00D1768E">
            <w:pPr>
              <w:pStyle w:val="Subtitle"/>
              <w:rPr>
                <w:color w:val="FFFFFF" w:themeColor="background1"/>
              </w:rPr>
            </w:pPr>
            <w:r>
              <w:rPr>
                <w:color w:val="FFFFFF" w:themeColor="background1"/>
              </w:rPr>
              <w:t>Proprietary Product Name: Imfinzi</w:t>
            </w:r>
          </w:p>
        </w:tc>
      </w:tr>
      <w:tr w:rsidR="0032583B" w:rsidRPr="00B64760" w14:paraId="7A327DBF" w14:textId="77777777" w:rsidTr="0032583B">
        <w:trPr>
          <w:trHeight w:val="486"/>
        </w:trPr>
        <w:tc>
          <w:tcPr>
            <w:tcW w:w="9079" w:type="dxa"/>
          </w:tcPr>
          <w:p w14:paraId="60CED79D" w14:textId="77777777" w:rsidR="0032583B" w:rsidRPr="008E7846" w:rsidRDefault="00D1768E" w:rsidP="0032583B">
            <w:pPr>
              <w:pStyle w:val="Subtitle"/>
              <w:rPr>
                <w:color w:val="FFFFFF" w:themeColor="background1"/>
              </w:rPr>
            </w:pPr>
            <w:r>
              <w:rPr>
                <w:color w:val="FFFFFF" w:themeColor="background1"/>
              </w:rPr>
              <w:t>Sponsor: AstraZeneca Pty Ltd</w:t>
            </w:r>
          </w:p>
        </w:tc>
      </w:tr>
    </w:tbl>
    <w:p w14:paraId="7E0EEECF" w14:textId="77777777" w:rsidR="008E7846" w:rsidRPr="0085156D" w:rsidRDefault="008E7846" w:rsidP="0085156D">
      <w:r w:rsidRPr="0085156D">
        <w:br w:type="page"/>
      </w:r>
    </w:p>
    <w:p w14:paraId="1DEC8718" w14:textId="77777777" w:rsidR="008E7846" w:rsidRPr="001F6CBA" w:rsidRDefault="008E7846" w:rsidP="008E7846">
      <w:pPr>
        <w:pStyle w:val="NonTOCHeading2"/>
      </w:pPr>
      <w:r w:rsidRPr="001F6CBA">
        <w:lastRenderedPageBreak/>
        <w:t>About the Therapeutic Goods Administration (TGA)</w:t>
      </w:r>
    </w:p>
    <w:p w14:paraId="16075BFE"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3360E28F"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26E06623"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09BB0C8F"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67DD7422" w14:textId="753D9DF3"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12" w:history="1">
        <w:r w:rsidR="00441C3F">
          <w:rPr>
            <w:rStyle w:val="Hyperlink"/>
          </w:rPr>
          <w:t>https://www.tga.gov.au</w:t>
        </w:r>
      </w:hyperlink>
      <w:r w:rsidR="00441C3F">
        <w:t>&gt;.</w:t>
      </w:r>
    </w:p>
    <w:p w14:paraId="35BD204F" w14:textId="77777777" w:rsidR="008E7846" w:rsidRDefault="008E7846" w:rsidP="00875A6B">
      <w:pPr>
        <w:pStyle w:val="NonTOCHeading2"/>
      </w:pPr>
      <w:r>
        <w:t>About AusPARs</w:t>
      </w:r>
    </w:p>
    <w:p w14:paraId="338D3604"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4B5DFD96" w14:textId="77777777" w:rsidR="008E7846" w:rsidRDefault="008E7846" w:rsidP="008E7846">
      <w:pPr>
        <w:pStyle w:val="ListBullet"/>
        <w:numPr>
          <w:ilvl w:val="0"/>
          <w:numId w:val="3"/>
        </w:numPr>
        <w:ind w:left="357" w:hanging="357"/>
      </w:pPr>
      <w:r>
        <w:t>AusPARs are prepared and published by the TGA.</w:t>
      </w:r>
    </w:p>
    <w:p w14:paraId="6FD63DEE"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0912B685"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2DF0C4E4"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08BE17A1" w14:textId="77777777" w:rsidR="00924482" w:rsidRPr="00DF1D7F" w:rsidRDefault="00924482" w:rsidP="00F54B65">
      <w:pPr>
        <w:pStyle w:val="LegalSubheading"/>
        <w:spacing w:before="3120"/>
      </w:pPr>
      <w:r w:rsidRPr="00DF1D7F">
        <w:t>Copyright</w:t>
      </w:r>
    </w:p>
    <w:p w14:paraId="7F9D22D2" w14:textId="57E17008"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324E45">
        <w:rPr>
          <w:rFonts w:cs="Arial"/>
          <w:lang w:val="en-GB"/>
        </w:rPr>
        <w:t>1</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191B3B">
          <w:rPr>
            <w:rStyle w:val="Hyperlink"/>
            <w:rFonts w:cs="Arial"/>
            <w:lang w:val="en-GB"/>
          </w:rPr>
          <w:t>tga.copyright@tga.gov.au</w:t>
        </w:r>
      </w:hyperlink>
      <w:r w:rsidRPr="00191B3B">
        <w:rPr>
          <w:rFonts w:cs="Arial"/>
        </w:rPr>
        <w:t>&gt;.</w:t>
      </w:r>
    </w:p>
    <w:p w14:paraId="4A4DE05A" w14:textId="77777777" w:rsidR="00924482" w:rsidRDefault="00924482" w:rsidP="00924482">
      <w:pPr>
        <w:pStyle w:val="LegalCopy"/>
        <w:sectPr w:rsidR="00924482" w:rsidSect="0078080E">
          <w:headerReference w:type="even" r:id="rId14"/>
          <w:headerReference w:type="default" r:id="rId15"/>
          <w:footerReference w:type="even" r:id="rId16"/>
          <w:footerReference w:type="default" r:id="rId17"/>
          <w:headerReference w:type="first" r:id="rId18"/>
          <w:footerReference w:type="first" r:id="rId19"/>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28A4C586" w14:textId="77777777" w:rsidR="0089635C" w:rsidRPr="0089635C" w:rsidRDefault="0089635C" w:rsidP="0010788A">
          <w:pPr>
            <w:pStyle w:val="Contents"/>
          </w:pPr>
          <w:r w:rsidRPr="0010788A">
            <w:t>Contents</w:t>
          </w:r>
        </w:p>
        <w:p w14:paraId="43F78F98" w14:textId="207EF40E" w:rsidR="003E7B40"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69718707" w:history="1">
            <w:r w:rsidR="003E7B40" w:rsidRPr="00903BC3">
              <w:rPr>
                <w:rStyle w:val="Hyperlink"/>
                <w:noProof/>
              </w:rPr>
              <w:t>List of abbreviations</w:t>
            </w:r>
            <w:r w:rsidR="003E7B40">
              <w:rPr>
                <w:noProof/>
                <w:webHidden/>
              </w:rPr>
              <w:tab/>
            </w:r>
            <w:r w:rsidR="003E7B40">
              <w:rPr>
                <w:noProof/>
                <w:webHidden/>
              </w:rPr>
              <w:fldChar w:fldCharType="begin"/>
            </w:r>
            <w:r w:rsidR="003E7B40">
              <w:rPr>
                <w:noProof/>
                <w:webHidden/>
              </w:rPr>
              <w:instrText xml:space="preserve"> PAGEREF _Toc69718707 \h </w:instrText>
            </w:r>
            <w:r w:rsidR="003E7B40">
              <w:rPr>
                <w:noProof/>
                <w:webHidden/>
              </w:rPr>
            </w:r>
            <w:r w:rsidR="003E7B40">
              <w:rPr>
                <w:noProof/>
                <w:webHidden/>
              </w:rPr>
              <w:fldChar w:fldCharType="separate"/>
            </w:r>
            <w:r w:rsidR="003E7B40">
              <w:rPr>
                <w:noProof/>
                <w:webHidden/>
              </w:rPr>
              <w:t>4</w:t>
            </w:r>
            <w:r w:rsidR="003E7B40">
              <w:rPr>
                <w:noProof/>
                <w:webHidden/>
              </w:rPr>
              <w:fldChar w:fldCharType="end"/>
            </w:r>
          </w:hyperlink>
        </w:p>
        <w:p w14:paraId="0B4C96AF" w14:textId="27845662" w:rsidR="003E7B40" w:rsidRDefault="0083053B">
          <w:pPr>
            <w:pStyle w:val="TOC1"/>
            <w:rPr>
              <w:rFonts w:asciiTheme="minorHAnsi" w:eastAsiaTheme="minorEastAsia" w:hAnsiTheme="minorHAnsi" w:cstheme="minorBidi"/>
              <w:b w:val="0"/>
              <w:noProof/>
              <w:sz w:val="22"/>
              <w:lang w:eastAsia="en-AU"/>
            </w:rPr>
          </w:pPr>
          <w:hyperlink w:anchor="_Toc69718708" w:history="1">
            <w:r w:rsidR="003E7B40" w:rsidRPr="00903BC3">
              <w:rPr>
                <w:rStyle w:val="Hyperlink"/>
                <w:noProof/>
              </w:rPr>
              <w:t>I. Introduction to product submission</w:t>
            </w:r>
            <w:r w:rsidR="003E7B40">
              <w:rPr>
                <w:noProof/>
                <w:webHidden/>
              </w:rPr>
              <w:tab/>
            </w:r>
            <w:r w:rsidR="003E7B40">
              <w:rPr>
                <w:noProof/>
                <w:webHidden/>
              </w:rPr>
              <w:fldChar w:fldCharType="begin"/>
            </w:r>
            <w:r w:rsidR="003E7B40">
              <w:rPr>
                <w:noProof/>
                <w:webHidden/>
              </w:rPr>
              <w:instrText xml:space="preserve"> PAGEREF _Toc69718708 \h </w:instrText>
            </w:r>
            <w:r w:rsidR="003E7B40">
              <w:rPr>
                <w:noProof/>
                <w:webHidden/>
              </w:rPr>
            </w:r>
            <w:r w:rsidR="003E7B40">
              <w:rPr>
                <w:noProof/>
                <w:webHidden/>
              </w:rPr>
              <w:fldChar w:fldCharType="separate"/>
            </w:r>
            <w:r w:rsidR="003E7B40">
              <w:rPr>
                <w:noProof/>
                <w:webHidden/>
              </w:rPr>
              <w:t>7</w:t>
            </w:r>
            <w:r w:rsidR="003E7B40">
              <w:rPr>
                <w:noProof/>
                <w:webHidden/>
              </w:rPr>
              <w:fldChar w:fldCharType="end"/>
            </w:r>
          </w:hyperlink>
        </w:p>
        <w:p w14:paraId="143D7099" w14:textId="296639FF" w:rsidR="003E7B40" w:rsidRDefault="0083053B">
          <w:pPr>
            <w:pStyle w:val="TOC2"/>
            <w:rPr>
              <w:rFonts w:asciiTheme="minorHAnsi" w:eastAsiaTheme="minorEastAsia" w:hAnsiTheme="minorHAnsi" w:cstheme="minorBidi"/>
              <w:b w:val="0"/>
              <w:noProof/>
              <w:sz w:val="22"/>
              <w:lang w:eastAsia="en-AU"/>
            </w:rPr>
          </w:pPr>
          <w:hyperlink w:anchor="_Toc69718709" w:history="1">
            <w:r w:rsidR="003E7B40" w:rsidRPr="00903BC3">
              <w:rPr>
                <w:rStyle w:val="Hyperlink"/>
                <w:noProof/>
                <w:lang w:eastAsia="en-AU"/>
              </w:rPr>
              <w:t>Submission details</w:t>
            </w:r>
            <w:r w:rsidR="003E7B40">
              <w:rPr>
                <w:noProof/>
                <w:webHidden/>
              </w:rPr>
              <w:tab/>
            </w:r>
            <w:r w:rsidR="003E7B40">
              <w:rPr>
                <w:noProof/>
                <w:webHidden/>
              </w:rPr>
              <w:fldChar w:fldCharType="begin"/>
            </w:r>
            <w:r w:rsidR="003E7B40">
              <w:rPr>
                <w:noProof/>
                <w:webHidden/>
              </w:rPr>
              <w:instrText xml:space="preserve"> PAGEREF _Toc69718709 \h </w:instrText>
            </w:r>
            <w:r w:rsidR="003E7B40">
              <w:rPr>
                <w:noProof/>
                <w:webHidden/>
              </w:rPr>
            </w:r>
            <w:r w:rsidR="003E7B40">
              <w:rPr>
                <w:noProof/>
                <w:webHidden/>
              </w:rPr>
              <w:fldChar w:fldCharType="separate"/>
            </w:r>
            <w:r w:rsidR="003E7B40">
              <w:rPr>
                <w:noProof/>
                <w:webHidden/>
              </w:rPr>
              <w:t>7</w:t>
            </w:r>
            <w:r w:rsidR="003E7B40">
              <w:rPr>
                <w:noProof/>
                <w:webHidden/>
              </w:rPr>
              <w:fldChar w:fldCharType="end"/>
            </w:r>
          </w:hyperlink>
        </w:p>
        <w:p w14:paraId="141559D4" w14:textId="4AB4B13F" w:rsidR="003E7B40" w:rsidRDefault="0083053B">
          <w:pPr>
            <w:pStyle w:val="TOC2"/>
            <w:rPr>
              <w:rFonts w:asciiTheme="minorHAnsi" w:eastAsiaTheme="minorEastAsia" w:hAnsiTheme="minorHAnsi" w:cstheme="minorBidi"/>
              <w:b w:val="0"/>
              <w:noProof/>
              <w:sz w:val="22"/>
              <w:lang w:eastAsia="en-AU"/>
            </w:rPr>
          </w:pPr>
          <w:hyperlink w:anchor="_Toc69718710" w:history="1">
            <w:r w:rsidR="003E7B40" w:rsidRPr="00903BC3">
              <w:rPr>
                <w:rStyle w:val="Hyperlink"/>
                <w:noProof/>
              </w:rPr>
              <w:t>Product background</w:t>
            </w:r>
            <w:r w:rsidR="003E7B40">
              <w:rPr>
                <w:noProof/>
                <w:webHidden/>
              </w:rPr>
              <w:tab/>
            </w:r>
            <w:r w:rsidR="003E7B40">
              <w:rPr>
                <w:noProof/>
                <w:webHidden/>
              </w:rPr>
              <w:fldChar w:fldCharType="begin"/>
            </w:r>
            <w:r w:rsidR="003E7B40">
              <w:rPr>
                <w:noProof/>
                <w:webHidden/>
              </w:rPr>
              <w:instrText xml:space="preserve"> PAGEREF _Toc69718710 \h </w:instrText>
            </w:r>
            <w:r w:rsidR="003E7B40">
              <w:rPr>
                <w:noProof/>
                <w:webHidden/>
              </w:rPr>
            </w:r>
            <w:r w:rsidR="003E7B40">
              <w:rPr>
                <w:noProof/>
                <w:webHidden/>
              </w:rPr>
              <w:fldChar w:fldCharType="separate"/>
            </w:r>
            <w:r w:rsidR="003E7B40">
              <w:rPr>
                <w:noProof/>
                <w:webHidden/>
              </w:rPr>
              <w:t>8</w:t>
            </w:r>
            <w:r w:rsidR="003E7B40">
              <w:rPr>
                <w:noProof/>
                <w:webHidden/>
              </w:rPr>
              <w:fldChar w:fldCharType="end"/>
            </w:r>
          </w:hyperlink>
        </w:p>
        <w:p w14:paraId="1223CEFE" w14:textId="0F0B5016" w:rsidR="003E7B40" w:rsidRDefault="0083053B">
          <w:pPr>
            <w:pStyle w:val="TOC2"/>
            <w:rPr>
              <w:rFonts w:asciiTheme="minorHAnsi" w:eastAsiaTheme="minorEastAsia" w:hAnsiTheme="minorHAnsi" w:cstheme="minorBidi"/>
              <w:b w:val="0"/>
              <w:noProof/>
              <w:sz w:val="22"/>
              <w:lang w:eastAsia="en-AU"/>
            </w:rPr>
          </w:pPr>
          <w:hyperlink w:anchor="_Toc69718711" w:history="1">
            <w:r w:rsidR="003E7B40" w:rsidRPr="00903BC3">
              <w:rPr>
                <w:rStyle w:val="Hyperlink"/>
                <w:noProof/>
              </w:rPr>
              <w:t>Regulatory status</w:t>
            </w:r>
            <w:r w:rsidR="003E7B40">
              <w:rPr>
                <w:noProof/>
                <w:webHidden/>
              </w:rPr>
              <w:tab/>
            </w:r>
            <w:r w:rsidR="003E7B40">
              <w:rPr>
                <w:noProof/>
                <w:webHidden/>
              </w:rPr>
              <w:fldChar w:fldCharType="begin"/>
            </w:r>
            <w:r w:rsidR="003E7B40">
              <w:rPr>
                <w:noProof/>
                <w:webHidden/>
              </w:rPr>
              <w:instrText xml:space="preserve"> PAGEREF _Toc69718711 \h </w:instrText>
            </w:r>
            <w:r w:rsidR="003E7B40">
              <w:rPr>
                <w:noProof/>
                <w:webHidden/>
              </w:rPr>
            </w:r>
            <w:r w:rsidR="003E7B40">
              <w:rPr>
                <w:noProof/>
                <w:webHidden/>
              </w:rPr>
              <w:fldChar w:fldCharType="separate"/>
            </w:r>
            <w:r w:rsidR="003E7B40">
              <w:rPr>
                <w:noProof/>
                <w:webHidden/>
              </w:rPr>
              <w:t>9</w:t>
            </w:r>
            <w:r w:rsidR="003E7B40">
              <w:rPr>
                <w:noProof/>
                <w:webHidden/>
              </w:rPr>
              <w:fldChar w:fldCharType="end"/>
            </w:r>
          </w:hyperlink>
        </w:p>
        <w:p w14:paraId="02C8A9DD" w14:textId="784F78B9" w:rsidR="003E7B40" w:rsidRDefault="0083053B">
          <w:pPr>
            <w:pStyle w:val="TOC2"/>
            <w:rPr>
              <w:rFonts w:asciiTheme="minorHAnsi" w:eastAsiaTheme="minorEastAsia" w:hAnsiTheme="minorHAnsi" w:cstheme="minorBidi"/>
              <w:b w:val="0"/>
              <w:noProof/>
              <w:sz w:val="22"/>
              <w:lang w:eastAsia="en-AU"/>
            </w:rPr>
          </w:pPr>
          <w:hyperlink w:anchor="_Toc69718712" w:history="1">
            <w:r w:rsidR="003E7B40" w:rsidRPr="00903BC3">
              <w:rPr>
                <w:rStyle w:val="Hyperlink"/>
                <w:noProof/>
              </w:rPr>
              <w:t>Product Information</w:t>
            </w:r>
            <w:r w:rsidR="003E7B40">
              <w:rPr>
                <w:noProof/>
                <w:webHidden/>
              </w:rPr>
              <w:tab/>
            </w:r>
            <w:r w:rsidR="003E7B40">
              <w:rPr>
                <w:noProof/>
                <w:webHidden/>
              </w:rPr>
              <w:fldChar w:fldCharType="begin"/>
            </w:r>
            <w:r w:rsidR="003E7B40">
              <w:rPr>
                <w:noProof/>
                <w:webHidden/>
              </w:rPr>
              <w:instrText xml:space="preserve"> PAGEREF _Toc69718712 \h </w:instrText>
            </w:r>
            <w:r w:rsidR="003E7B40">
              <w:rPr>
                <w:noProof/>
                <w:webHidden/>
              </w:rPr>
            </w:r>
            <w:r w:rsidR="003E7B40">
              <w:rPr>
                <w:noProof/>
                <w:webHidden/>
              </w:rPr>
              <w:fldChar w:fldCharType="separate"/>
            </w:r>
            <w:r w:rsidR="003E7B40">
              <w:rPr>
                <w:noProof/>
                <w:webHidden/>
              </w:rPr>
              <w:t>12</w:t>
            </w:r>
            <w:r w:rsidR="003E7B40">
              <w:rPr>
                <w:noProof/>
                <w:webHidden/>
              </w:rPr>
              <w:fldChar w:fldCharType="end"/>
            </w:r>
          </w:hyperlink>
        </w:p>
        <w:p w14:paraId="6729309D" w14:textId="27173BB4" w:rsidR="003E7B40" w:rsidRDefault="0083053B">
          <w:pPr>
            <w:pStyle w:val="TOC1"/>
            <w:rPr>
              <w:rFonts w:asciiTheme="minorHAnsi" w:eastAsiaTheme="minorEastAsia" w:hAnsiTheme="minorHAnsi" w:cstheme="minorBidi"/>
              <w:b w:val="0"/>
              <w:noProof/>
              <w:sz w:val="22"/>
              <w:lang w:eastAsia="en-AU"/>
            </w:rPr>
          </w:pPr>
          <w:hyperlink w:anchor="_Toc69718713" w:history="1">
            <w:r w:rsidR="003E7B40" w:rsidRPr="00903BC3">
              <w:rPr>
                <w:rStyle w:val="Hyperlink"/>
                <w:noProof/>
              </w:rPr>
              <w:t>II. Registration timeline</w:t>
            </w:r>
            <w:r w:rsidR="003E7B40">
              <w:rPr>
                <w:noProof/>
                <w:webHidden/>
              </w:rPr>
              <w:tab/>
            </w:r>
            <w:r w:rsidR="003E7B40">
              <w:rPr>
                <w:noProof/>
                <w:webHidden/>
              </w:rPr>
              <w:fldChar w:fldCharType="begin"/>
            </w:r>
            <w:r w:rsidR="003E7B40">
              <w:rPr>
                <w:noProof/>
                <w:webHidden/>
              </w:rPr>
              <w:instrText xml:space="preserve"> PAGEREF _Toc69718713 \h </w:instrText>
            </w:r>
            <w:r w:rsidR="003E7B40">
              <w:rPr>
                <w:noProof/>
                <w:webHidden/>
              </w:rPr>
            </w:r>
            <w:r w:rsidR="003E7B40">
              <w:rPr>
                <w:noProof/>
                <w:webHidden/>
              </w:rPr>
              <w:fldChar w:fldCharType="separate"/>
            </w:r>
            <w:r w:rsidR="003E7B40">
              <w:rPr>
                <w:noProof/>
                <w:webHidden/>
              </w:rPr>
              <w:t>12</w:t>
            </w:r>
            <w:r w:rsidR="003E7B40">
              <w:rPr>
                <w:noProof/>
                <w:webHidden/>
              </w:rPr>
              <w:fldChar w:fldCharType="end"/>
            </w:r>
          </w:hyperlink>
        </w:p>
        <w:p w14:paraId="323AF31F" w14:textId="47DBD098" w:rsidR="003E7B40" w:rsidRDefault="0083053B">
          <w:pPr>
            <w:pStyle w:val="TOC1"/>
            <w:rPr>
              <w:rFonts w:asciiTheme="minorHAnsi" w:eastAsiaTheme="minorEastAsia" w:hAnsiTheme="minorHAnsi" w:cstheme="minorBidi"/>
              <w:b w:val="0"/>
              <w:noProof/>
              <w:sz w:val="22"/>
              <w:lang w:eastAsia="en-AU"/>
            </w:rPr>
          </w:pPr>
          <w:hyperlink w:anchor="_Toc69718714" w:history="1">
            <w:r w:rsidR="003E7B40" w:rsidRPr="00903BC3">
              <w:rPr>
                <w:rStyle w:val="Hyperlink"/>
                <w:noProof/>
              </w:rPr>
              <w:t>III. Submission overview and risk/benefit assessment</w:t>
            </w:r>
            <w:r w:rsidR="003E7B40">
              <w:rPr>
                <w:noProof/>
                <w:webHidden/>
              </w:rPr>
              <w:tab/>
            </w:r>
            <w:r w:rsidR="003E7B40">
              <w:rPr>
                <w:noProof/>
                <w:webHidden/>
              </w:rPr>
              <w:fldChar w:fldCharType="begin"/>
            </w:r>
            <w:r w:rsidR="003E7B40">
              <w:rPr>
                <w:noProof/>
                <w:webHidden/>
              </w:rPr>
              <w:instrText xml:space="preserve"> PAGEREF _Toc69718714 \h </w:instrText>
            </w:r>
            <w:r w:rsidR="003E7B40">
              <w:rPr>
                <w:noProof/>
                <w:webHidden/>
              </w:rPr>
            </w:r>
            <w:r w:rsidR="003E7B40">
              <w:rPr>
                <w:noProof/>
                <w:webHidden/>
              </w:rPr>
              <w:fldChar w:fldCharType="separate"/>
            </w:r>
            <w:r w:rsidR="003E7B40">
              <w:rPr>
                <w:noProof/>
                <w:webHidden/>
              </w:rPr>
              <w:t>13</w:t>
            </w:r>
            <w:r w:rsidR="003E7B40">
              <w:rPr>
                <w:noProof/>
                <w:webHidden/>
              </w:rPr>
              <w:fldChar w:fldCharType="end"/>
            </w:r>
          </w:hyperlink>
        </w:p>
        <w:p w14:paraId="1A8DAEF3" w14:textId="74B41F66" w:rsidR="003E7B40" w:rsidRDefault="0083053B">
          <w:pPr>
            <w:pStyle w:val="TOC2"/>
            <w:rPr>
              <w:rFonts w:asciiTheme="minorHAnsi" w:eastAsiaTheme="minorEastAsia" w:hAnsiTheme="minorHAnsi" w:cstheme="minorBidi"/>
              <w:b w:val="0"/>
              <w:noProof/>
              <w:sz w:val="22"/>
              <w:lang w:eastAsia="en-AU"/>
            </w:rPr>
          </w:pPr>
          <w:hyperlink w:anchor="_Toc69718715" w:history="1">
            <w:r w:rsidR="003E7B40" w:rsidRPr="00903BC3">
              <w:rPr>
                <w:rStyle w:val="Hyperlink"/>
                <w:noProof/>
              </w:rPr>
              <w:t>Quality</w:t>
            </w:r>
            <w:r w:rsidR="003E7B40">
              <w:rPr>
                <w:noProof/>
                <w:webHidden/>
              </w:rPr>
              <w:tab/>
            </w:r>
            <w:r w:rsidR="003E7B40">
              <w:rPr>
                <w:noProof/>
                <w:webHidden/>
              </w:rPr>
              <w:fldChar w:fldCharType="begin"/>
            </w:r>
            <w:r w:rsidR="003E7B40">
              <w:rPr>
                <w:noProof/>
                <w:webHidden/>
              </w:rPr>
              <w:instrText xml:space="preserve"> PAGEREF _Toc69718715 \h </w:instrText>
            </w:r>
            <w:r w:rsidR="003E7B40">
              <w:rPr>
                <w:noProof/>
                <w:webHidden/>
              </w:rPr>
            </w:r>
            <w:r w:rsidR="003E7B40">
              <w:rPr>
                <w:noProof/>
                <w:webHidden/>
              </w:rPr>
              <w:fldChar w:fldCharType="separate"/>
            </w:r>
            <w:r w:rsidR="003E7B40">
              <w:rPr>
                <w:noProof/>
                <w:webHidden/>
              </w:rPr>
              <w:t>13</w:t>
            </w:r>
            <w:r w:rsidR="003E7B40">
              <w:rPr>
                <w:noProof/>
                <w:webHidden/>
              </w:rPr>
              <w:fldChar w:fldCharType="end"/>
            </w:r>
          </w:hyperlink>
        </w:p>
        <w:p w14:paraId="487D6D14" w14:textId="3C51F0E7" w:rsidR="003E7B40" w:rsidRDefault="0083053B">
          <w:pPr>
            <w:pStyle w:val="TOC2"/>
            <w:rPr>
              <w:rFonts w:asciiTheme="minorHAnsi" w:eastAsiaTheme="minorEastAsia" w:hAnsiTheme="minorHAnsi" w:cstheme="minorBidi"/>
              <w:b w:val="0"/>
              <w:noProof/>
              <w:sz w:val="22"/>
              <w:lang w:eastAsia="en-AU"/>
            </w:rPr>
          </w:pPr>
          <w:hyperlink w:anchor="_Toc69718716" w:history="1">
            <w:r w:rsidR="003E7B40" w:rsidRPr="00903BC3">
              <w:rPr>
                <w:rStyle w:val="Hyperlink"/>
                <w:noProof/>
              </w:rPr>
              <w:t>Nonclinical</w:t>
            </w:r>
            <w:r w:rsidR="003E7B40">
              <w:rPr>
                <w:noProof/>
                <w:webHidden/>
              </w:rPr>
              <w:tab/>
            </w:r>
            <w:r w:rsidR="003E7B40">
              <w:rPr>
                <w:noProof/>
                <w:webHidden/>
              </w:rPr>
              <w:fldChar w:fldCharType="begin"/>
            </w:r>
            <w:r w:rsidR="003E7B40">
              <w:rPr>
                <w:noProof/>
                <w:webHidden/>
              </w:rPr>
              <w:instrText xml:space="preserve"> PAGEREF _Toc69718716 \h </w:instrText>
            </w:r>
            <w:r w:rsidR="003E7B40">
              <w:rPr>
                <w:noProof/>
                <w:webHidden/>
              </w:rPr>
            </w:r>
            <w:r w:rsidR="003E7B40">
              <w:rPr>
                <w:noProof/>
                <w:webHidden/>
              </w:rPr>
              <w:fldChar w:fldCharType="separate"/>
            </w:r>
            <w:r w:rsidR="003E7B40">
              <w:rPr>
                <w:noProof/>
                <w:webHidden/>
              </w:rPr>
              <w:t>14</w:t>
            </w:r>
            <w:r w:rsidR="003E7B40">
              <w:rPr>
                <w:noProof/>
                <w:webHidden/>
              </w:rPr>
              <w:fldChar w:fldCharType="end"/>
            </w:r>
          </w:hyperlink>
        </w:p>
        <w:p w14:paraId="0ECE7914" w14:textId="01CE110E" w:rsidR="003E7B40" w:rsidRDefault="0083053B">
          <w:pPr>
            <w:pStyle w:val="TOC2"/>
            <w:rPr>
              <w:rFonts w:asciiTheme="minorHAnsi" w:eastAsiaTheme="minorEastAsia" w:hAnsiTheme="minorHAnsi" w:cstheme="minorBidi"/>
              <w:b w:val="0"/>
              <w:noProof/>
              <w:sz w:val="22"/>
              <w:lang w:eastAsia="en-AU"/>
            </w:rPr>
          </w:pPr>
          <w:hyperlink w:anchor="_Toc69718717" w:history="1">
            <w:r w:rsidR="003E7B40" w:rsidRPr="00903BC3">
              <w:rPr>
                <w:rStyle w:val="Hyperlink"/>
                <w:noProof/>
              </w:rPr>
              <w:t>Clinical</w:t>
            </w:r>
            <w:r w:rsidR="003E7B40">
              <w:rPr>
                <w:noProof/>
                <w:webHidden/>
              </w:rPr>
              <w:tab/>
            </w:r>
            <w:r w:rsidR="003E7B40">
              <w:rPr>
                <w:noProof/>
                <w:webHidden/>
              </w:rPr>
              <w:fldChar w:fldCharType="begin"/>
            </w:r>
            <w:r w:rsidR="003E7B40">
              <w:rPr>
                <w:noProof/>
                <w:webHidden/>
              </w:rPr>
              <w:instrText xml:space="preserve"> PAGEREF _Toc69718717 \h </w:instrText>
            </w:r>
            <w:r w:rsidR="003E7B40">
              <w:rPr>
                <w:noProof/>
                <w:webHidden/>
              </w:rPr>
            </w:r>
            <w:r w:rsidR="003E7B40">
              <w:rPr>
                <w:noProof/>
                <w:webHidden/>
              </w:rPr>
              <w:fldChar w:fldCharType="separate"/>
            </w:r>
            <w:r w:rsidR="003E7B40">
              <w:rPr>
                <w:noProof/>
                <w:webHidden/>
              </w:rPr>
              <w:t>14</w:t>
            </w:r>
            <w:r w:rsidR="003E7B40">
              <w:rPr>
                <w:noProof/>
                <w:webHidden/>
              </w:rPr>
              <w:fldChar w:fldCharType="end"/>
            </w:r>
          </w:hyperlink>
        </w:p>
        <w:p w14:paraId="22079B75" w14:textId="08524B74" w:rsidR="003E7B40" w:rsidRDefault="0083053B">
          <w:pPr>
            <w:pStyle w:val="TOC2"/>
            <w:rPr>
              <w:rFonts w:asciiTheme="minorHAnsi" w:eastAsiaTheme="minorEastAsia" w:hAnsiTheme="minorHAnsi" w:cstheme="minorBidi"/>
              <w:b w:val="0"/>
              <w:noProof/>
              <w:sz w:val="22"/>
              <w:lang w:eastAsia="en-AU"/>
            </w:rPr>
          </w:pPr>
          <w:hyperlink w:anchor="_Toc69718718" w:history="1">
            <w:r w:rsidR="003E7B40" w:rsidRPr="00903BC3">
              <w:rPr>
                <w:rStyle w:val="Hyperlink"/>
                <w:noProof/>
                <w:lang w:eastAsia="en-AU"/>
              </w:rPr>
              <w:t>Risk management plan</w:t>
            </w:r>
            <w:r w:rsidR="003E7B40">
              <w:rPr>
                <w:noProof/>
                <w:webHidden/>
              </w:rPr>
              <w:tab/>
            </w:r>
            <w:r w:rsidR="003E7B40">
              <w:rPr>
                <w:noProof/>
                <w:webHidden/>
              </w:rPr>
              <w:fldChar w:fldCharType="begin"/>
            </w:r>
            <w:r w:rsidR="003E7B40">
              <w:rPr>
                <w:noProof/>
                <w:webHidden/>
              </w:rPr>
              <w:instrText xml:space="preserve"> PAGEREF _Toc69718718 \h </w:instrText>
            </w:r>
            <w:r w:rsidR="003E7B40">
              <w:rPr>
                <w:noProof/>
                <w:webHidden/>
              </w:rPr>
            </w:r>
            <w:r w:rsidR="003E7B40">
              <w:rPr>
                <w:noProof/>
                <w:webHidden/>
              </w:rPr>
              <w:fldChar w:fldCharType="separate"/>
            </w:r>
            <w:r w:rsidR="003E7B40">
              <w:rPr>
                <w:noProof/>
                <w:webHidden/>
              </w:rPr>
              <w:t>26</w:t>
            </w:r>
            <w:r w:rsidR="003E7B40">
              <w:rPr>
                <w:noProof/>
                <w:webHidden/>
              </w:rPr>
              <w:fldChar w:fldCharType="end"/>
            </w:r>
          </w:hyperlink>
        </w:p>
        <w:p w14:paraId="18E38AE8" w14:textId="45E91A55" w:rsidR="003E7B40" w:rsidRDefault="0083053B">
          <w:pPr>
            <w:pStyle w:val="TOC2"/>
            <w:rPr>
              <w:rFonts w:asciiTheme="minorHAnsi" w:eastAsiaTheme="minorEastAsia" w:hAnsiTheme="minorHAnsi" w:cstheme="minorBidi"/>
              <w:b w:val="0"/>
              <w:noProof/>
              <w:sz w:val="22"/>
              <w:lang w:eastAsia="en-AU"/>
            </w:rPr>
          </w:pPr>
          <w:hyperlink w:anchor="_Toc69718719" w:history="1">
            <w:r w:rsidR="003E7B40" w:rsidRPr="00903BC3">
              <w:rPr>
                <w:rStyle w:val="Hyperlink"/>
                <w:noProof/>
              </w:rPr>
              <w:t>Risk-benefit analysis</w:t>
            </w:r>
            <w:r w:rsidR="003E7B40">
              <w:rPr>
                <w:noProof/>
                <w:webHidden/>
              </w:rPr>
              <w:tab/>
            </w:r>
            <w:r w:rsidR="003E7B40">
              <w:rPr>
                <w:noProof/>
                <w:webHidden/>
              </w:rPr>
              <w:fldChar w:fldCharType="begin"/>
            </w:r>
            <w:r w:rsidR="003E7B40">
              <w:rPr>
                <w:noProof/>
                <w:webHidden/>
              </w:rPr>
              <w:instrText xml:space="preserve"> PAGEREF _Toc69718719 \h </w:instrText>
            </w:r>
            <w:r w:rsidR="003E7B40">
              <w:rPr>
                <w:noProof/>
                <w:webHidden/>
              </w:rPr>
            </w:r>
            <w:r w:rsidR="003E7B40">
              <w:rPr>
                <w:noProof/>
                <w:webHidden/>
              </w:rPr>
              <w:fldChar w:fldCharType="separate"/>
            </w:r>
            <w:r w:rsidR="003E7B40">
              <w:rPr>
                <w:noProof/>
                <w:webHidden/>
              </w:rPr>
              <w:t>28</w:t>
            </w:r>
            <w:r w:rsidR="003E7B40">
              <w:rPr>
                <w:noProof/>
                <w:webHidden/>
              </w:rPr>
              <w:fldChar w:fldCharType="end"/>
            </w:r>
          </w:hyperlink>
        </w:p>
        <w:p w14:paraId="6C54B0FB" w14:textId="2F54D675" w:rsidR="003E7B40" w:rsidRDefault="0083053B">
          <w:pPr>
            <w:pStyle w:val="TOC2"/>
            <w:rPr>
              <w:rFonts w:asciiTheme="minorHAnsi" w:eastAsiaTheme="minorEastAsia" w:hAnsiTheme="minorHAnsi" w:cstheme="minorBidi"/>
              <w:b w:val="0"/>
              <w:noProof/>
              <w:sz w:val="22"/>
              <w:lang w:eastAsia="en-AU"/>
            </w:rPr>
          </w:pPr>
          <w:hyperlink w:anchor="_Toc69718720" w:history="1">
            <w:r w:rsidR="003E7B40" w:rsidRPr="00903BC3">
              <w:rPr>
                <w:rStyle w:val="Hyperlink"/>
                <w:noProof/>
              </w:rPr>
              <w:t>Outcome</w:t>
            </w:r>
            <w:r w:rsidR="003E7B40">
              <w:rPr>
                <w:noProof/>
                <w:webHidden/>
              </w:rPr>
              <w:tab/>
            </w:r>
            <w:r w:rsidR="003E7B40">
              <w:rPr>
                <w:noProof/>
                <w:webHidden/>
              </w:rPr>
              <w:fldChar w:fldCharType="begin"/>
            </w:r>
            <w:r w:rsidR="003E7B40">
              <w:rPr>
                <w:noProof/>
                <w:webHidden/>
              </w:rPr>
              <w:instrText xml:space="preserve"> PAGEREF _Toc69718720 \h </w:instrText>
            </w:r>
            <w:r w:rsidR="003E7B40">
              <w:rPr>
                <w:noProof/>
                <w:webHidden/>
              </w:rPr>
            </w:r>
            <w:r w:rsidR="003E7B40">
              <w:rPr>
                <w:noProof/>
                <w:webHidden/>
              </w:rPr>
              <w:fldChar w:fldCharType="separate"/>
            </w:r>
            <w:r w:rsidR="003E7B40">
              <w:rPr>
                <w:noProof/>
                <w:webHidden/>
              </w:rPr>
              <w:t>34</w:t>
            </w:r>
            <w:r w:rsidR="003E7B40">
              <w:rPr>
                <w:noProof/>
                <w:webHidden/>
              </w:rPr>
              <w:fldChar w:fldCharType="end"/>
            </w:r>
          </w:hyperlink>
        </w:p>
        <w:p w14:paraId="08169110" w14:textId="25D6DE0A" w:rsidR="003E7B40" w:rsidRDefault="0083053B">
          <w:pPr>
            <w:pStyle w:val="TOC1"/>
            <w:rPr>
              <w:rFonts w:asciiTheme="minorHAnsi" w:eastAsiaTheme="minorEastAsia" w:hAnsiTheme="minorHAnsi" w:cstheme="minorBidi"/>
              <w:b w:val="0"/>
              <w:noProof/>
              <w:sz w:val="22"/>
              <w:lang w:eastAsia="en-AU"/>
            </w:rPr>
          </w:pPr>
          <w:hyperlink w:anchor="_Toc69718721" w:history="1">
            <w:r w:rsidR="003E7B40" w:rsidRPr="00903BC3">
              <w:rPr>
                <w:rStyle w:val="Hyperlink"/>
                <w:noProof/>
              </w:rPr>
              <w:t>Attachment 1. Product Information</w:t>
            </w:r>
            <w:r w:rsidR="003E7B40">
              <w:rPr>
                <w:noProof/>
                <w:webHidden/>
              </w:rPr>
              <w:tab/>
            </w:r>
            <w:r w:rsidR="003E7B40">
              <w:rPr>
                <w:noProof/>
                <w:webHidden/>
              </w:rPr>
              <w:fldChar w:fldCharType="begin"/>
            </w:r>
            <w:r w:rsidR="003E7B40">
              <w:rPr>
                <w:noProof/>
                <w:webHidden/>
              </w:rPr>
              <w:instrText xml:space="preserve"> PAGEREF _Toc69718721 \h </w:instrText>
            </w:r>
            <w:r w:rsidR="003E7B40">
              <w:rPr>
                <w:noProof/>
                <w:webHidden/>
              </w:rPr>
            </w:r>
            <w:r w:rsidR="003E7B40">
              <w:rPr>
                <w:noProof/>
                <w:webHidden/>
              </w:rPr>
              <w:fldChar w:fldCharType="separate"/>
            </w:r>
            <w:r w:rsidR="003E7B40">
              <w:rPr>
                <w:noProof/>
                <w:webHidden/>
              </w:rPr>
              <w:t>35</w:t>
            </w:r>
            <w:r w:rsidR="003E7B40">
              <w:rPr>
                <w:noProof/>
                <w:webHidden/>
              </w:rPr>
              <w:fldChar w:fldCharType="end"/>
            </w:r>
          </w:hyperlink>
        </w:p>
        <w:p w14:paraId="0B5B927D" w14:textId="60C01521" w:rsidR="003A7F6C" w:rsidRPr="00B811C6" w:rsidRDefault="00C525A2" w:rsidP="00B811C6">
          <w:pPr>
            <w:pStyle w:val="TOC2"/>
          </w:pPr>
          <w:r>
            <w:fldChar w:fldCharType="end"/>
          </w:r>
        </w:p>
      </w:sdtContent>
    </w:sdt>
    <w:bookmarkStart w:id="2" w:name="_Toc314842482" w:displacedByCustomXml="prev"/>
    <w:p w14:paraId="530F834D" w14:textId="77777777" w:rsidR="00FD119B" w:rsidRDefault="00FD119B">
      <w:pPr>
        <w:spacing w:before="0" w:after="200" w:line="0" w:lineRule="auto"/>
      </w:pPr>
      <w:r>
        <w:br w:type="page"/>
      </w:r>
    </w:p>
    <w:p w14:paraId="152CFC2A" w14:textId="77777777" w:rsidR="00C52E24" w:rsidRPr="00C52E24" w:rsidRDefault="00324E45" w:rsidP="00D1768E">
      <w:pPr>
        <w:pStyle w:val="Heading2"/>
      </w:pPr>
      <w:bookmarkStart w:id="3" w:name="_Toc351716269"/>
      <w:bookmarkStart w:id="4" w:name="_Toc351718881"/>
      <w:bookmarkStart w:id="5" w:name="_Toc355338616"/>
      <w:bookmarkStart w:id="6" w:name="_Toc356306144"/>
      <w:bookmarkStart w:id="7" w:name="_Toc69718707"/>
      <w:r>
        <w:lastRenderedPageBreak/>
        <w:t>List of</w:t>
      </w:r>
      <w:r w:rsidR="00FD119B" w:rsidRPr="00FD119B">
        <w:t xml:space="preserve"> abbreviations</w:t>
      </w:r>
      <w:bookmarkEnd w:id="3"/>
      <w:bookmarkEnd w:id="4"/>
      <w:bookmarkEnd w:id="5"/>
      <w:bookmarkEnd w:id="6"/>
      <w:bookmarkEnd w:id="7"/>
    </w:p>
    <w:tbl>
      <w:tblPr>
        <w:tblStyle w:val="TableTGAblue"/>
        <w:tblW w:w="0" w:type="auto"/>
        <w:tblLook w:val="04A0" w:firstRow="1" w:lastRow="0" w:firstColumn="1" w:lastColumn="0" w:noHBand="0" w:noVBand="1"/>
      </w:tblPr>
      <w:tblGrid>
        <w:gridCol w:w="1803"/>
        <w:gridCol w:w="6681"/>
      </w:tblGrid>
      <w:tr w:rsidR="00A77951" w:rsidRPr="00FD119B" w14:paraId="711BE012" w14:textId="77777777" w:rsidTr="00396123">
        <w:trPr>
          <w:cnfStyle w:val="100000000000" w:firstRow="1" w:lastRow="0" w:firstColumn="0" w:lastColumn="0" w:oddVBand="0" w:evenVBand="0" w:oddHBand="0" w:evenHBand="0" w:firstRowFirstColumn="0" w:firstRowLastColumn="0" w:lastRowFirstColumn="0" w:lastRowLastColumn="0"/>
        </w:trPr>
        <w:tc>
          <w:tcPr>
            <w:tcW w:w="1809" w:type="dxa"/>
          </w:tcPr>
          <w:p w14:paraId="235F23F4" w14:textId="77777777" w:rsidR="00A77951" w:rsidRPr="00FD119B" w:rsidRDefault="00A77951" w:rsidP="00396123">
            <w:pPr>
              <w:keepNext w:val="0"/>
              <w:ind w:left="144" w:right="0"/>
              <w:rPr>
                <w:szCs w:val="22"/>
                <w:lang w:eastAsia="en-US"/>
              </w:rPr>
            </w:pPr>
            <w:r w:rsidRPr="00FD119B">
              <w:rPr>
                <w:szCs w:val="22"/>
                <w:lang w:eastAsia="en-US"/>
              </w:rPr>
              <w:t>Abbreviation</w:t>
            </w:r>
          </w:p>
        </w:tc>
        <w:tc>
          <w:tcPr>
            <w:tcW w:w="6911" w:type="dxa"/>
          </w:tcPr>
          <w:p w14:paraId="13F31FE9" w14:textId="77777777" w:rsidR="00A77951" w:rsidRPr="00FD119B" w:rsidRDefault="00A77951" w:rsidP="00396123">
            <w:pPr>
              <w:keepNext w:val="0"/>
              <w:ind w:left="144" w:right="0"/>
              <w:rPr>
                <w:szCs w:val="22"/>
                <w:lang w:eastAsia="en-US"/>
              </w:rPr>
            </w:pPr>
            <w:r w:rsidRPr="00FD119B">
              <w:rPr>
                <w:szCs w:val="22"/>
                <w:lang w:eastAsia="en-US"/>
              </w:rPr>
              <w:t>Meaning</w:t>
            </w:r>
          </w:p>
        </w:tc>
      </w:tr>
      <w:tr w:rsidR="00A77951" w:rsidRPr="00FD119B" w14:paraId="25F9765E" w14:textId="77777777" w:rsidTr="00396123">
        <w:tc>
          <w:tcPr>
            <w:tcW w:w="1809" w:type="dxa"/>
          </w:tcPr>
          <w:p w14:paraId="556FF5BE" w14:textId="77777777" w:rsidR="00A77951" w:rsidRPr="00FD119B" w:rsidRDefault="00A77951" w:rsidP="00396123">
            <w:pPr>
              <w:ind w:left="144" w:right="0"/>
            </w:pPr>
            <w:r>
              <w:t>ACM</w:t>
            </w:r>
          </w:p>
        </w:tc>
        <w:tc>
          <w:tcPr>
            <w:tcW w:w="6911" w:type="dxa"/>
          </w:tcPr>
          <w:p w14:paraId="433366BF" w14:textId="77777777" w:rsidR="00A77951" w:rsidRPr="00FD119B" w:rsidRDefault="00A77951" w:rsidP="00396123">
            <w:pPr>
              <w:ind w:left="144" w:right="0"/>
            </w:pPr>
            <w:r w:rsidRPr="00460036">
              <w:t>Advisory Committee on Medicines</w:t>
            </w:r>
          </w:p>
        </w:tc>
      </w:tr>
      <w:tr w:rsidR="00A77951" w:rsidRPr="00FD119B" w14:paraId="4C6DB21C" w14:textId="77777777" w:rsidTr="00396123">
        <w:tc>
          <w:tcPr>
            <w:tcW w:w="1809" w:type="dxa"/>
          </w:tcPr>
          <w:p w14:paraId="6E3ECAD7" w14:textId="77777777" w:rsidR="00A77951" w:rsidRPr="00FD119B" w:rsidRDefault="00A77951" w:rsidP="00396123">
            <w:pPr>
              <w:ind w:left="144"/>
            </w:pPr>
            <w:r>
              <w:t>ADA</w:t>
            </w:r>
          </w:p>
        </w:tc>
        <w:tc>
          <w:tcPr>
            <w:tcW w:w="6911" w:type="dxa"/>
          </w:tcPr>
          <w:p w14:paraId="79F87A03" w14:textId="77777777" w:rsidR="00A77951" w:rsidRPr="00FD119B" w:rsidRDefault="00A77951" w:rsidP="00396123">
            <w:pPr>
              <w:ind w:left="144"/>
            </w:pPr>
            <w:r>
              <w:t>Anti-drug antibody</w:t>
            </w:r>
          </w:p>
        </w:tc>
      </w:tr>
      <w:tr w:rsidR="00A77951" w:rsidRPr="00FD119B" w14:paraId="593BE40C" w14:textId="77777777" w:rsidTr="00396123">
        <w:tc>
          <w:tcPr>
            <w:tcW w:w="1809" w:type="dxa"/>
          </w:tcPr>
          <w:p w14:paraId="2756C11A" w14:textId="77777777" w:rsidR="00A77951" w:rsidRPr="0006289A" w:rsidRDefault="00A77951" w:rsidP="00396123">
            <w:pPr>
              <w:ind w:left="144"/>
            </w:pPr>
            <w:r>
              <w:t>ADR</w:t>
            </w:r>
          </w:p>
        </w:tc>
        <w:tc>
          <w:tcPr>
            <w:tcW w:w="6911" w:type="dxa"/>
          </w:tcPr>
          <w:p w14:paraId="463ACF9F" w14:textId="77777777" w:rsidR="00A77951" w:rsidRDefault="00A77951" w:rsidP="00396123">
            <w:pPr>
              <w:ind w:left="144"/>
            </w:pPr>
            <w:r>
              <w:t>A</w:t>
            </w:r>
            <w:r w:rsidRPr="001245CB">
              <w:t>dverse drug reaction</w:t>
            </w:r>
          </w:p>
        </w:tc>
      </w:tr>
      <w:tr w:rsidR="00A77951" w:rsidRPr="00FD119B" w14:paraId="4A7557EF" w14:textId="77777777" w:rsidTr="00396123">
        <w:tc>
          <w:tcPr>
            <w:tcW w:w="1809" w:type="dxa"/>
          </w:tcPr>
          <w:p w14:paraId="69A87FAA" w14:textId="77777777" w:rsidR="00A77951" w:rsidRPr="0006289A" w:rsidRDefault="00A77951" w:rsidP="00396123">
            <w:pPr>
              <w:ind w:left="144"/>
            </w:pPr>
            <w:r>
              <w:t>AE</w:t>
            </w:r>
          </w:p>
        </w:tc>
        <w:tc>
          <w:tcPr>
            <w:tcW w:w="6911" w:type="dxa"/>
          </w:tcPr>
          <w:p w14:paraId="00369EC3" w14:textId="77777777" w:rsidR="00A77951" w:rsidRDefault="00A77951" w:rsidP="00396123">
            <w:pPr>
              <w:ind w:left="144"/>
            </w:pPr>
            <w:r>
              <w:t>Adverse event</w:t>
            </w:r>
          </w:p>
        </w:tc>
      </w:tr>
      <w:tr w:rsidR="00A77951" w:rsidRPr="00FD119B" w14:paraId="110D8590" w14:textId="77777777" w:rsidTr="00396123">
        <w:tc>
          <w:tcPr>
            <w:tcW w:w="1809" w:type="dxa"/>
          </w:tcPr>
          <w:p w14:paraId="12BB5567" w14:textId="77777777" w:rsidR="00A77951" w:rsidRDefault="00A77951" w:rsidP="00396123">
            <w:pPr>
              <w:ind w:left="144"/>
            </w:pPr>
            <w:r>
              <w:t>AESI</w:t>
            </w:r>
          </w:p>
        </w:tc>
        <w:tc>
          <w:tcPr>
            <w:tcW w:w="6911" w:type="dxa"/>
          </w:tcPr>
          <w:p w14:paraId="37C80FA9" w14:textId="77777777" w:rsidR="00A77951" w:rsidRPr="001245CB" w:rsidRDefault="00A77951" w:rsidP="00396123">
            <w:pPr>
              <w:ind w:left="144"/>
            </w:pPr>
            <w:r>
              <w:t>A</w:t>
            </w:r>
            <w:r w:rsidRPr="001245CB">
              <w:t>dverse event of special interest</w:t>
            </w:r>
          </w:p>
        </w:tc>
      </w:tr>
      <w:tr w:rsidR="00A77951" w:rsidRPr="00FD119B" w14:paraId="1BF4B497" w14:textId="77777777" w:rsidTr="00396123">
        <w:tc>
          <w:tcPr>
            <w:tcW w:w="1809" w:type="dxa"/>
          </w:tcPr>
          <w:p w14:paraId="4EC99D82" w14:textId="77777777" w:rsidR="00A77951" w:rsidRPr="0006289A" w:rsidRDefault="00A77951" w:rsidP="00396123">
            <w:pPr>
              <w:ind w:left="144"/>
            </w:pPr>
            <w:r>
              <w:t>AJCC</w:t>
            </w:r>
          </w:p>
        </w:tc>
        <w:tc>
          <w:tcPr>
            <w:tcW w:w="6911" w:type="dxa"/>
          </w:tcPr>
          <w:p w14:paraId="27AC66E9" w14:textId="77777777" w:rsidR="00A77951" w:rsidRPr="0006289A" w:rsidRDefault="00A77951" w:rsidP="00396123">
            <w:pPr>
              <w:ind w:left="144"/>
            </w:pPr>
            <w:r w:rsidRPr="0006289A">
              <w:t>American Joint Committee on Cancer</w:t>
            </w:r>
          </w:p>
        </w:tc>
      </w:tr>
      <w:tr w:rsidR="00A77951" w:rsidRPr="00FD119B" w14:paraId="4EA9371E" w14:textId="77777777" w:rsidTr="00396123">
        <w:tc>
          <w:tcPr>
            <w:tcW w:w="1809" w:type="dxa"/>
          </w:tcPr>
          <w:p w14:paraId="15C0C453" w14:textId="77777777" w:rsidR="00A77951" w:rsidRDefault="00A77951" w:rsidP="00396123">
            <w:pPr>
              <w:ind w:left="144"/>
            </w:pPr>
            <w:r>
              <w:t>ALT</w:t>
            </w:r>
          </w:p>
        </w:tc>
        <w:tc>
          <w:tcPr>
            <w:tcW w:w="6911" w:type="dxa"/>
          </w:tcPr>
          <w:p w14:paraId="1F3851DC" w14:textId="77777777" w:rsidR="00A77951" w:rsidRPr="001245CB" w:rsidRDefault="00A77951" w:rsidP="00396123">
            <w:pPr>
              <w:ind w:left="144"/>
            </w:pPr>
            <w:r>
              <w:t>A</w:t>
            </w:r>
            <w:r w:rsidRPr="004A6012">
              <w:t>lanine aminotransferase</w:t>
            </w:r>
          </w:p>
        </w:tc>
      </w:tr>
      <w:tr w:rsidR="00A77951" w:rsidRPr="00FD119B" w14:paraId="26D4D8BA" w14:textId="77777777" w:rsidTr="00396123">
        <w:tc>
          <w:tcPr>
            <w:tcW w:w="1809" w:type="dxa"/>
          </w:tcPr>
          <w:p w14:paraId="4CB45DB4" w14:textId="77777777" w:rsidR="00A77951" w:rsidRPr="00FD119B" w:rsidRDefault="00A77951" w:rsidP="00396123">
            <w:pPr>
              <w:ind w:left="144" w:right="0"/>
            </w:pPr>
            <w:r>
              <w:t>ARTG</w:t>
            </w:r>
          </w:p>
        </w:tc>
        <w:tc>
          <w:tcPr>
            <w:tcW w:w="6911" w:type="dxa"/>
          </w:tcPr>
          <w:p w14:paraId="3E7B9A22" w14:textId="77777777" w:rsidR="00A77951" w:rsidRPr="00FD119B" w:rsidRDefault="00A77951" w:rsidP="00396123">
            <w:pPr>
              <w:ind w:left="144" w:right="0"/>
            </w:pPr>
            <w:r w:rsidRPr="00460036">
              <w:t>Australian Register of Therapeutic Goods</w:t>
            </w:r>
          </w:p>
        </w:tc>
      </w:tr>
      <w:tr w:rsidR="00A77951" w:rsidRPr="00FD119B" w14:paraId="52630988" w14:textId="77777777" w:rsidTr="00396123">
        <w:tc>
          <w:tcPr>
            <w:tcW w:w="1809" w:type="dxa"/>
          </w:tcPr>
          <w:p w14:paraId="4E8B3142" w14:textId="77777777" w:rsidR="00A77951" w:rsidRDefault="00A77951" w:rsidP="00396123">
            <w:pPr>
              <w:ind w:left="144"/>
            </w:pPr>
            <w:r>
              <w:t>ASA</w:t>
            </w:r>
          </w:p>
        </w:tc>
        <w:tc>
          <w:tcPr>
            <w:tcW w:w="6911" w:type="dxa"/>
          </w:tcPr>
          <w:p w14:paraId="4CED9B13" w14:textId="79457DE8" w:rsidR="00A77951" w:rsidRPr="001245CB" w:rsidRDefault="009979B0" w:rsidP="00396123">
            <w:pPr>
              <w:ind w:left="144"/>
            </w:pPr>
            <w:r>
              <w:t>Australia specific a</w:t>
            </w:r>
            <w:r w:rsidR="00A77951">
              <w:t>nnex</w:t>
            </w:r>
          </w:p>
        </w:tc>
      </w:tr>
      <w:tr w:rsidR="00A77951" w:rsidRPr="00FD119B" w14:paraId="7A134965" w14:textId="77777777" w:rsidTr="00396123">
        <w:tc>
          <w:tcPr>
            <w:tcW w:w="1809" w:type="dxa"/>
          </w:tcPr>
          <w:p w14:paraId="3C719A3F" w14:textId="77777777" w:rsidR="00A77951" w:rsidRDefault="00A77951" w:rsidP="00396123">
            <w:pPr>
              <w:ind w:left="144"/>
            </w:pPr>
            <w:r>
              <w:t>AST</w:t>
            </w:r>
          </w:p>
        </w:tc>
        <w:tc>
          <w:tcPr>
            <w:tcW w:w="6911" w:type="dxa"/>
          </w:tcPr>
          <w:p w14:paraId="6D3735AE" w14:textId="77777777" w:rsidR="00A77951" w:rsidRPr="001245CB" w:rsidRDefault="00A77951" w:rsidP="00396123">
            <w:pPr>
              <w:ind w:left="144"/>
            </w:pPr>
            <w:r>
              <w:t>A</w:t>
            </w:r>
            <w:r w:rsidRPr="004A6012">
              <w:t>spartate transaminase</w:t>
            </w:r>
          </w:p>
        </w:tc>
      </w:tr>
      <w:tr w:rsidR="00A77951" w:rsidRPr="00FD119B" w14:paraId="790F83BB" w14:textId="77777777" w:rsidTr="00396123">
        <w:tc>
          <w:tcPr>
            <w:tcW w:w="1809" w:type="dxa"/>
          </w:tcPr>
          <w:p w14:paraId="50F3AB31" w14:textId="77777777" w:rsidR="00A77951" w:rsidRPr="00FD119B" w:rsidRDefault="00A77951" w:rsidP="00396123">
            <w:pPr>
              <w:ind w:left="144"/>
            </w:pPr>
            <w:r w:rsidRPr="00D710C2">
              <w:t>AUC</w:t>
            </w:r>
          </w:p>
        </w:tc>
        <w:tc>
          <w:tcPr>
            <w:tcW w:w="6911" w:type="dxa"/>
          </w:tcPr>
          <w:p w14:paraId="2EFB4840" w14:textId="77777777" w:rsidR="00A77951" w:rsidRPr="00FD119B" w:rsidRDefault="00A77951" w:rsidP="00396123">
            <w:pPr>
              <w:ind w:left="144"/>
            </w:pPr>
            <w:r>
              <w:t>Area under the plasma concentration time curve</w:t>
            </w:r>
          </w:p>
        </w:tc>
      </w:tr>
      <w:tr w:rsidR="00A77951" w:rsidRPr="00FD119B" w14:paraId="7917C721" w14:textId="77777777" w:rsidTr="00396123">
        <w:tc>
          <w:tcPr>
            <w:tcW w:w="1809" w:type="dxa"/>
          </w:tcPr>
          <w:p w14:paraId="633D9DE2" w14:textId="77777777" w:rsidR="00A77951" w:rsidRDefault="00A77951" w:rsidP="00396123">
            <w:pPr>
              <w:ind w:left="144"/>
            </w:pPr>
            <w:proofErr w:type="spellStart"/>
            <w:r>
              <w:t>AUC</w:t>
            </w:r>
            <w:r w:rsidRPr="00094A52">
              <w:rPr>
                <w:vertAlign w:val="subscript"/>
              </w:rPr>
              <w:t>ss</w:t>
            </w:r>
            <w:proofErr w:type="spellEnd"/>
          </w:p>
        </w:tc>
        <w:tc>
          <w:tcPr>
            <w:tcW w:w="6911" w:type="dxa"/>
          </w:tcPr>
          <w:p w14:paraId="4DDED82B" w14:textId="77777777" w:rsidR="00A77951" w:rsidRPr="001245CB" w:rsidRDefault="00A77951" w:rsidP="00396123">
            <w:pPr>
              <w:ind w:left="144"/>
            </w:pPr>
            <w:r>
              <w:t>Area under the plasma concentration curve at steady state</w:t>
            </w:r>
          </w:p>
        </w:tc>
      </w:tr>
      <w:tr w:rsidR="00A77951" w:rsidRPr="00FD119B" w14:paraId="083876B7" w14:textId="77777777" w:rsidTr="00396123">
        <w:tc>
          <w:tcPr>
            <w:tcW w:w="1809" w:type="dxa"/>
          </w:tcPr>
          <w:p w14:paraId="203F3134" w14:textId="77777777" w:rsidR="00A77951" w:rsidRPr="0006289A" w:rsidRDefault="00A77951" w:rsidP="00396123">
            <w:pPr>
              <w:ind w:left="144"/>
            </w:pPr>
            <w:r>
              <w:t>BICR</w:t>
            </w:r>
          </w:p>
        </w:tc>
        <w:tc>
          <w:tcPr>
            <w:tcW w:w="6911" w:type="dxa"/>
          </w:tcPr>
          <w:p w14:paraId="334F673E" w14:textId="6D34086B" w:rsidR="00A77951" w:rsidRDefault="00A77951" w:rsidP="00396123">
            <w:pPr>
              <w:ind w:left="144"/>
            </w:pPr>
            <w:r>
              <w:t>Blinded independent central r</w:t>
            </w:r>
            <w:r w:rsidRPr="00BC4C7E">
              <w:t>eview</w:t>
            </w:r>
          </w:p>
        </w:tc>
      </w:tr>
      <w:tr w:rsidR="00A77951" w:rsidRPr="00FD119B" w14:paraId="57806540" w14:textId="77777777" w:rsidTr="00396123">
        <w:tc>
          <w:tcPr>
            <w:tcW w:w="1809" w:type="dxa"/>
          </w:tcPr>
          <w:p w14:paraId="659AFC39" w14:textId="77777777" w:rsidR="00A77951" w:rsidRPr="00FD119B" w:rsidRDefault="00A77951" w:rsidP="00396123">
            <w:pPr>
              <w:ind w:left="144"/>
            </w:pPr>
            <w:r>
              <w:t>CI</w:t>
            </w:r>
          </w:p>
        </w:tc>
        <w:tc>
          <w:tcPr>
            <w:tcW w:w="6911" w:type="dxa"/>
          </w:tcPr>
          <w:p w14:paraId="05CAFE09" w14:textId="77777777" w:rsidR="00A77951" w:rsidRPr="00FD119B" w:rsidRDefault="00A77951" w:rsidP="00396123">
            <w:pPr>
              <w:ind w:left="144"/>
            </w:pPr>
            <w:r>
              <w:t>Confidence interval</w:t>
            </w:r>
          </w:p>
        </w:tc>
      </w:tr>
      <w:tr w:rsidR="00A77951" w:rsidRPr="00FD119B" w14:paraId="2262736B" w14:textId="77777777" w:rsidTr="00396123">
        <w:tc>
          <w:tcPr>
            <w:tcW w:w="1809" w:type="dxa"/>
          </w:tcPr>
          <w:p w14:paraId="73B93B1D" w14:textId="77777777" w:rsidR="00A77951" w:rsidRDefault="00A77951" w:rsidP="00396123">
            <w:pPr>
              <w:ind w:left="144"/>
            </w:pPr>
            <w:r>
              <w:t>CMI</w:t>
            </w:r>
          </w:p>
        </w:tc>
        <w:tc>
          <w:tcPr>
            <w:tcW w:w="6911" w:type="dxa"/>
          </w:tcPr>
          <w:p w14:paraId="241DB2D6" w14:textId="77777777" w:rsidR="00A77951" w:rsidRPr="001245CB" w:rsidRDefault="00A77951" w:rsidP="00396123">
            <w:pPr>
              <w:ind w:left="144"/>
            </w:pPr>
            <w:r>
              <w:t>Consumer Medicines Information</w:t>
            </w:r>
          </w:p>
        </w:tc>
      </w:tr>
      <w:tr w:rsidR="00A77951" w:rsidRPr="00FD119B" w14:paraId="6CD6B30C" w14:textId="77777777" w:rsidTr="00396123">
        <w:tc>
          <w:tcPr>
            <w:tcW w:w="1809" w:type="dxa"/>
          </w:tcPr>
          <w:p w14:paraId="35F281C6" w14:textId="77777777" w:rsidR="00A77951" w:rsidRDefault="00A77951" w:rsidP="00396123">
            <w:pPr>
              <w:ind w:left="144"/>
            </w:pPr>
            <w:proofErr w:type="spellStart"/>
            <w:r>
              <w:t>C</w:t>
            </w:r>
            <w:r w:rsidRPr="00094A52">
              <w:rPr>
                <w:vertAlign w:val="subscript"/>
              </w:rPr>
              <w:t>min,ss</w:t>
            </w:r>
            <w:proofErr w:type="spellEnd"/>
          </w:p>
        </w:tc>
        <w:tc>
          <w:tcPr>
            <w:tcW w:w="6911" w:type="dxa"/>
          </w:tcPr>
          <w:p w14:paraId="336961B9" w14:textId="77777777" w:rsidR="00A77951" w:rsidRPr="001245CB" w:rsidRDefault="00A77951" w:rsidP="00396123">
            <w:pPr>
              <w:ind w:left="144"/>
            </w:pPr>
            <w:r>
              <w:t>Trough concentration at steady state</w:t>
            </w:r>
          </w:p>
        </w:tc>
      </w:tr>
      <w:tr w:rsidR="00A77951" w:rsidRPr="00FD119B" w14:paraId="56724D3C" w14:textId="77777777" w:rsidTr="00396123">
        <w:tc>
          <w:tcPr>
            <w:tcW w:w="1809" w:type="dxa"/>
          </w:tcPr>
          <w:p w14:paraId="039FC016" w14:textId="77777777" w:rsidR="00A77951" w:rsidRPr="00FD119B" w:rsidRDefault="00A77951" w:rsidP="00396123">
            <w:pPr>
              <w:ind w:left="144"/>
            </w:pPr>
            <w:r>
              <w:t>CSR</w:t>
            </w:r>
          </w:p>
        </w:tc>
        <w:tc>
          <w:tcPr>
            <w:tcW w:w="6911" w:type="dxa"/>
          </w:tcPr>
          <w:p w14:paraId="2298AEB0" w14:textId="77777777" w:rsidR="00A77951" w:rsidRPr="00FD119B" w:rsidRDefault="00A77951" w:rsidP="00396123">
            <w:pPr>
              <w:ind w:left="144"/>
            </w:pPr>
            <w:r>
              <w:t>Clinical study report</w:t>
            </w:r>
          </w:p>
        </w:tc>
      </w:tr>
      <w:tr w:rsidR="00A77951" w:rsidRPr="00FD119B" w14:paraId="72557502" w14:textId="77777777" w:rsidTr="00396123">
        <w:tc>
          <w:tcPr>
            <w:tcW w:w="1809" w:type="dxa"/>
          </w:tcPr>
          <w:p w14:paraId="7A09D295" w14:textId="77777777" w:rsidR="00A77951" w:rsidRPr="00FD119B" w:rsidRDefault="00A77951" w:rsidP="00396123">
            <w:pPr>
              <w:ind w:left="144"/>
            </w:pPr>
            <w:r>
              <w:t>CTCAE</w:t>
            </w:r>
          </w:p>
        </w:tc>
        <w:tc>
          <w:tcPr>
            <w:tcW w:w="6911" w:type="dxa"/>
          </w:tcPr>
          <w:p w14:paraId="65E08B86" w14:textId="77777777" w:rsidR="00A77951" w:rsidRPr="00FD119B" w:rsidRDefault="00A77951" w:rsidP="00396123">
            <w:pPr>
              <w:ind w:left="144"/>
            </w:pPr>
            <w:r>
              <w:t>Common terminology criteria for adverse e</w:t>
            </w:r>
            <w:r w:rsidRPr="00C314D5">
              <w:t>vents</w:t>
            </w:r>
          </w:p>
        </w:tc>
      </w:tr>
      <w:tr w:rsidR="00A77951" w:rsidRPr="00FD119B" w14:paraId="19DC5B38" w14:textId="77777777" w:rsidTr="00396123">
        <w:tc>
          <w:tcPr>
            <w:tcW w:w="1809" w:type="dxa"/>
          </w:tcPr>
          <w:p w14:paraId="5376CC0E" w14:textId="77777777" w:rsidR="00A77951" w:rsidRPr="00FD119B" w:rsidRDefault="00A77951" w:rsidP="00396123">
            <w:pPr>
              <w:ind w:left="144"/>
            </w:pPr>
            <w:r>
              <w:t>CV%</w:t>
            </w:r>
          </w:p>
        </w:tc>
        <w:tc>
          <w:tcPr>
            <w:tcW w:w="6911" w:type="dxa"/>
          </w:tcPr>
          <w:p w14:paraId="0F7F1885" w14:textId="21ECBA9B" w:rsidR="00A77951" w:rsidRPr="00FD119B" w:rsidRDefault="001F3906" w:rsidP="00396123">
            <w:pPr>
              <w:ind w:left="144"/>
            </w:pPr>
            <w:r>
              <w:t>Coefficient of variation (as percentage)</w:t>
            </w:r>
          </w:p>
        </w:tc>
      </w:tr>
      <w:tr w:rsidR="00A77951" w:rsidRPr="00FD119B" w14:paraId="429C886B" w14:textId="77777777" w:rsidTr="00396123">
        <w:tc>
          <w:tcPr>
            <w:tcW w:w="1809" w:type="dxa"/>
          </w:tcPr>
          <w:p w14:paraId="35A42FF6" w14:textId="77777777" w:rsidR="00A77951" w:rsidRPr="00FD119B" w:rsidRDefault="00A77951" w:rsidP="00396123">
            <w:pPr>
              <w:ind w:left="144"/>
            </w:pPr>
            <w:r>
              <w:t>D</w:t>
            </w:r>
          </w:p>
        </w:tc>
        <w:tc>
          <w:tcPr>
            <w:tcW w:w="6911" w:type="dxa"/>
          </w:tcPr>
          <w:p w14:paraId="76D0C82E" w14:textId="77777777" w:rsidR="00A77951" w:rsidRPr="00FD119B" w:rsidRDefault="00A77951" w:rsidP="00396123">
            <w:pPr>
              <w:ind w:left="144"/>
            </w:pPr>
            <w:r>
              <w:t>D</w:t>
            </w:r>
            <w:r w:rsidRPr="008A4679">
              <w:t>urvalumab</w:t>
            </w:r>
          </w:p>
        </w:tc>
      </w:tr>
      <w:tr w:rsidR="00A77951" w:rsidRPr="00FD119B" w14:paraId="369469E5" w14:textId="77777777" w:rsidTr="00396123">
        <w:tc>
          <w:tcPr>
            <w:tcW w:w="1809" w:type="dxa"/>
          </w:tcPr>
          <w:p w14:paraId="0A2A4685" w14:textId="77777777" w:rsidR="00A77951" w:rsidRDefault="00A77951" w:rsidP="00396123">
            <w:pPr>
              <w:ind w:left="144"/>
            </w:pPr>
            <w:r>
              <w:t>DLP</w:t>
            </w:r>
          </w:p>
        </w:tc>
        <w:tc>
          <w:tcPr>
            <w:tcW w:w="6911" w:type="dxa"/>
          </w:tcPr>
          <w:p w14:paraId="12E00109" w14:textId="77777777" w:rsidR="00A77951" w:rsidRPr="001245CB" w:rsidRDefault="00A77951" w:rsidP="00396123">
            <w:pPr>
              <w:ind w:left="144"/>
            </w:pPr>
            <w:r>
              <w:t>Data lock point</w:t>
            </w:r>
          </w:p>
        </w:tc>
      </w:tr>
      <w:tr w:rsidR="00A77951" w:rsidRPr="00FD119B" w14:paraId="7CB624CF" w14:textId="77777777" w:rsidTr="00396123">
        <w:tc>
          <w:tcPr>
            <w:tcW w:w="1809" w:type="dxa"/>
          </w:tcPr>
          <w:p w14:paraId="76AF55CC" w14:textId="77777777" w:rsidR="00A77951" w:rsidRPr="0006289A" w:rsidRDefault="00A77951" w:rsidP="00396123">
            <w:pPr>
              <w:ind w:left="144"/>
            </w:pPr>
            <w:proofErr w:type="spellStart"/>
            <w:r>
              <w:t>DoR</w:t>
            </w:r>
            <w:proofErr w:type="spellEnd"/>
          </w:p>
        </w:tc>
        <w:tc>
          <w:tcPr>
            <w:tcW w:w="6911" w:type="dxa"/>
          </w:tcPr>
          <w:p w14:paraId="3F7B6A9F" w14:textId="77777777" w:rsidR="00A77951" w:rsidRDefault="00A77951" w:rsidP="00396123">
            <w:pPr>
              <w:ind w:left="144"/>
            </w:pPr>
            <w:r>
              <w:t>Duration of response</w:t>
            </w:r>
          </w:p>
        </w:tc>
      </w:tr>
      <w:tr w:rsidR="00A77951" w:rsidRPr="00FD119B" w14:paraId="33F31C3A" w14:textId="77777777" w:rsidTr="00396123">
        <w:tc>
          <w:tcPr>
            <w:tcW w:w="1809" w:type="dxa"/>
          </w:tcPr>
          <w:p w14:paraId="72AF0B3D" w14:textId="77777777" w:rsidR="00A77951" w:rsidRPr="0006289A" w:rsidRDefault="00A77951" w:rsidP="00396123">
            <w:pPr>
              <w:ind w:left="144"/>
            </w:pPr>
            <w:r>
              <w:t>ECOG</w:t>
            </w:r>
          </w:p>
        </w:tc>
        <w:tc>
          <w:tcPr>
            <w:tcW w:w="6911" w:type="dxa"/>
          </w:tcPr>
          <w:p w14:paraId="404F0EAF" w14:textId="77777777" w:rsidR="00A77951" w:rsidRPr="0006289A" w:rsidRDefault="00A77951" w:rsidP="00396123">
            <w:pPr>
              <w:ind w:left="144"/>
            </w:pPr>
            <w:r w:rsidRPr="0006289A">
              <w:t>Eastern Cooperative Oncology Group Performance Status</w:t>
            </w:r>
          </w:p>
        </w:tc>
      </w:tr>
      <w:tr w:rsidR="00A77951" w:rsidRPr="00FD119B" w14:paraId="282EB6FC" w14:textId="77777777" w:rsidTr="00396123">
        <w:tc>
          <w:tcPr>
            <w:tcW w:w="1809" w:type="dxa"/>
          </w:tcPr>
          <w:p w14:paraId="108EAFF2" w14:textId="77777777" w:rsidR="00A77951" w:rsidRPr="0006289A" w:rsidRDefault="00A77951" w:rsidP="00396123">
            <w:pPr>
              <w:ind w:left="144"/>
            </w:pPr>
            <w:r>
              <w:t>EORTC QLQ</w:t>
            </w:r>
          </w:p>
        </w:tc>
        <w:tc>
          <w:tcPr>
            <w:tcW w:w="6911" w:type="dxa"/>
          </w:tcPr>
          <w:p w14:paraId="4D008658" w14:textId="77777777" w:rsidR="00A77951" w:rsidRDefault="00A77951" w:rsidP="00396123">
            <w:pPr>
              <w:ind w:left="144"/>
            </w:pPr>
            <w:r w:rsidRPr="00BC4C7E">
              <w:t>European Organisation for Research and Treatment of Cancer Quality of Life Questionnaire</w:t>
            </w:r>
          </w:p>
        </w:tc>
      </w:tr>
      <w:tr w:rsidR="00A77951" w:rsidRPr="00FD119B" w14:paraId="2E06186A" w14:textId="77777777" w:rsidTr="00396123">
        <w:tc>
          <w:tcPr>
            <w:tcW w:w="1809" w:type="dxa"/>
          </w:tcPr>
          <w:p w14:paraId="232EB34C" w14:textId="77777777" w:rsidR="00A77951" w:rsidRPr="00FD119B" w:rsidRDefault="00A77951" w:rsidP="00396123">
            <w:pPr>
              <w:ind w:left="144"/>
            </w:pPr>
            <w:r>
              <w:lastRenderedPageBreak/>
              <w:t>EP</w:t>
            </w:r>
          </w:p>
        </w:tc>
        <w:tc>
          <w:tcPr>
            <w:tcW w:w="6911" w:type="dxa"/>
          </w:tcPr>
          <w:p w14:paraId="51A1249A" w14:textId="1E453E6F" w:rsidR="00A77951" w:rsidRPr="00FD119B" w:rsidRDefault="00A77951" w:rsidP="00396123">
            <w:pPr>
              <w:ind w:left="144"/>
            </w:pPr>
            <w:r>
              <w:t>Etoposide</w:t>
            </w:r>
            <w:r w:rsidR="00CF63FD">
              <w:t xml:space="preserve"> plus platinum based chemotherapy (carboplatin or cisplatin)</w:t>
            </w:r>
          </w:p>
        </w:tc>
      </w:tr>
      <w:tr w:rsidR="00A77951" w:rsidRPr="00FD119B" w14:paraId="3661E9C3" w14:textId="77777777" w:rsidTr="00396123">
        <w:tc>
          <w:tcPr>
            <w:tcW w:w="1809" w:type="dxa"/>
          </w:tcPr>
          <w:p w14:paraId="3AE366A3" w14:textId="77777777" w:rsidR="00A77951" w:rsidRPr="00FD119B" w:rsidRDefault="00A77951" w:rsidP="00396123">
            <w:pPr>
              <w:ind w:left="144"/>
            </w:pPr>
            <w:r>
              <w:t>ES-SCLC</w:t>
            </w:r>
          </w:p>
        </w:tc>
        <w:tc>
          <w:tcPr>
            <w:tcW w:w="6911" w:type="dxa"/>
          </w:tcPr>
          <w:p w14:paraId="40E543AC" w14:textId="77777777" w:rsidR="00A77951" w:rsidRPr="00FD119B" w:rsidRDefault="00A77951" w:rsidP="00396123">
            <w:pPr>
              <w:ind w:left="144"/>
            </w:pPr>
            <w:r>
              <w:t>E</w:t>
            </w:r>
            <w:r w:rsidRPr="00E45638">
              <w:t>xtensive-stage small cell lung cancer</w:t>
            </w:r>
          </w:p>
        </w:tc>
      </w:tr>
      <w:tr w:rsidR="00A77951" w:rsidRPr="00FD119B" w14:paraId="57C43385" w14:textId="77777777" w:rsidTr="00396123">
        <w:tc>
          <w:tcPr>
            <w:tcW w:w="1809" w:type="dxa"/>
          </w:tcPr>
          <w:p w14:paraId="6551B43B" w14:textId="77777777" w:rsidR="00A77951" w:rsidRPr="00FD119B" w:rsidRDefault="00A77951" w:rsidP="00396123">
            <w:pPr>
              <w:ind w:left="144"/>
            </w:pPr>
            <w:r>
              <w:t>EU</w:t>
            </w:r>
          </w:p>
        </w:tc>
        <w:tc>
          <w:tcPr>
            <w:tcW w:w="6911" w:type="dxa"/>
          </w:tcPr>
          <w:p w14:paraId="0A7C25D6" w14:textId="77777777" w:rsidR="00A77951" w:rsidRPr="00FD119B" w:rsidRDefault="00A77951" w:rsidP="00396123">
            <w:pPr>
              <w:ind w:left="144"/>
            </w:pPr>
            <w:r>
              <w:t>European Union</w:t>
            </w:r>
          </w:p>
        </w:tc>
      </w:tr>
      <w:tr w:rsidR="00A77951" w:rsidRPr="00FD119B" w14:paraId="30CAC365" w14:textId="77777777" w:rsidTr="00396123">
        <w:tc>
          <w:tcPr>
            <w:tcW w:w="1809" w:type="dxa"/>
          </w:tcPr>
          <w:p w14:paraId="1CF958AC" w14:textId="77777777" w:rsidR="00A77951" w:rsidRPr="00FD119B" w:rsidRDefault="00A77951" w:rsidP="00396123">
            <w:pPr>
              <w:ind w:left="144"/>
            </w:pPr>
            <w:r>
              <w:t>HR</w:t>
            </w:r>
          </w:p>
        </w:tc>
        <w:tc>
          <w:tcPr>
            <w:tcW w:w="6911" w:type="dxa"/>
          </w:tcPr>
          <w:p w14:paraId="24CB92C8" w14:textId="77777777" w:rsidR="00A77951" w:rsidRPr="00FD119B" w:rsidRDefault="00A77951" w:rsidP="00396123">
            <w:pPr>
              <w:ind w:left="144"/>
            </w:pPr>
            <w:r>
              <w:t>Hazard ratio</w:t>
            </w:r>
          </w:p>
        </w:tc>
      </w:tr>
      <w:tr w:rsidR="00A77951" w:rsidRPr="00FD119B" w14:paraId="2636CE4E" w14:textId="77777777" w:rsidTr="00396123">
        <w:tc>
          <w:tcPr>
            <w:tcW w:w="1809" w:type="dxa"/>
          </w:tcPr>
          <w:p w14:paraId="6DB6D121" w14:textId="77777777" w:rsidR="00A77951" w:rsidRDefault="00A77951" w:rsidP="00396123">
            <w:pPr>
              <w:ind w:left="144"/>
            </w:pPr>
            <w:proofErr w:type="spellStart"/>
            <w:r>
              <w:t>imAE</w:t>
            </w:r>
            <w:proofErr w:type="spellEnd"/>
          </w:p>
        </w:tc>
        <w:tc>
          <w:tcPr>
            <w:tcW w:w="6911" w:type="dxa"/>
          </w:tcPr>
          <w:p w14:paraId="1981DE38" w14:textId="77777777" w:rsidR="00A77951" w:rsidRPr="001245CB" w:rsidRDefault="00A77951" w:rsidP="00396123">
            <w:pPr>
              <w:ind w:left="144"/>
            </w:pPr>
            <w:r>
              <w:t>Immune mediated adverse event</w:t>
            </w:r>
          </w:p>
        </w:tc>
      </w:tr>
      <w:tr w:rsidR="00A77951" w:rsidRPr="00FD119B" w14:paraId="7B35ED4F" w14:textId="77777777" w:rsidTr="00396123">
        <w:tc>
          <w:tcPr>
            <w:tcW w:w="1809" w:type="dxa"/>
          </w:tcPr>
          <w:p w14:paraId="1F955683" w14:textId="77777777" w:rsidR="00A77951" w:rsidRPr="0006289A" w:rsidRDefault="00A77951" w:rsidP="00396123">
            <w:pPr>
              <w:ind w:left="144"/>
            </w:pPr>
            <w:proofErr w:type="spellStart"/>
            <w:r w:rsidRPr="0006289A">
              <w:t>Inv</w:t>
            </w:r>
            <w:proofErr w:type="spellEnd"/>
          </w:p>
        </w:tc>
        <w:tc>
          <w:tcPr>
            <w:tcW w:w="6911" w:type="dxa"/>
          </w:tcPr>
          <w:p w14:paraId="3F24A0B4" w14:textId="77777777" w:rsidR="00A77951" w:rsidRPr="0006289A" w:rsidRDefault="00A77951" w:rsidP="00396123">
            <w:pPr>
              <w:ind w:left="144"/>
            </w:pPr>
            <w:r>
              <w:t>Investigator</w:t>
            </w:r>
          </w:p>
        </w:tc>
      </w:tr>
      <w:tr w:rsidR="00A77951" w:rsidRPr="00FD119B" w14:paraId="1D58339B" w14:textId="77777777" w:rsidTr="00396123">
        <w:tc>
          <w:tcPr>
            <w:tcW w:w="1809" w:type="dxa"/>
          </w:tcPr>
          <w:p w14:paraId="5EDDDA52" w14:textId="77777777" w:rsidR="00A77951" w:rsidRPr="0006289A" w:rsidRDefault="00A77951" w:rsidP="00396123">
            <w:pPr>
              <w:ind w:left="144"/>
            </w:pPr>
            <w:r>
              <w:t>ITT</w:t>
            </w:r>
          </w:p>
        </w:tc>
        <w:tc>
          <w:tcPr>
            <w:tcW w:w="6911" w:type="dxa"/>
          </w:tcPr>
          <w:p w14:paraId="000D67EA" w14:textId="77777777" w:rsidR="00A77951" w:rsidRDefault="00A77951" w:rsidP="00396123">
            <w:pPr>
              <w:ind w:left="144"/>
            </w:pPr>
            <w:r>
              <w:t>Intent to treat</w:t>
            </w:r>
          </w:p>
        </w:tc>
      </w:tr>
      <w:tr w:rsidR="00A77951" w:rsidRPr="00FD119B" w14:paraId="78A36CA2" w14:textId="77777777" w:rsidTr="00396123">
        <w:tc>
          <w:tcPr>
            <w:tcW w:w="1809" w:type="dxa"/>
          </w:tcPr>
          <w:p w14:paraId="5BC0929B" w14:textId="77777777" w:rsidR="00A77951" w:rsidRPr="00FD119B" w:rsidRDefault="00A77951" w:rsidP="00396123">
            <w:pPr>
              <w:ind w:left="144"/>
            </w:pPr>
            <w:r>
              <w:t>IV</w:t>
            </w:r>
          </w:p>
        </w:tc>
        <w:tc>
          <w:tcPr>
            <w:tcW w:w="6911" w:type="dxa"/>
          </w:tcPr>
          <w:p w14:paraId="05C52EDC" w14:textId="77777777" w:rsidR="00A77951" w:rsidRPr="00FD119B" w:rsidRDefault="00A77951" w:rsidP="00396123">
            <w:pPr>
              <w:ind w:left="144"/>
            </w:pPr>
            <w:r>
              <w:t>Intravenous</w:t>
            </w:r>
          </w:p>
        </w:tc>
      </w:tr>
      <w:tr w:rsidR="00A77951" w:rsidRPr="00FD119B" w14:paraId="533ED102" w14:textId="77777777" w:rsidTr="00396123">
        <w:tc>
          <w:tcPr>
            <w:tcW w:w="1809" w:type="dxa"/>
          </w:tcPr>
          <w:p w14:paraId="308B8454" w14:textId="77777777" w:rsidR="00A77951" w:rsidRPr="00FD119B" w:rsidRDefault="00A77951" w:rsidP="00396123">
            <w:pPr>
              <w:ind w:left="144"/>
            </w:pPr>
            <w:r>
              <w:t>LS-SCLC</w:t>
            </w:r>
          </w:p>
        </w:tc>
        <w:tc>
          <w:tcPr>
            <w:tcW w:w="6911" w:type="dxa"/>
          </w:tcPr>
          <w:p w14:paraId="73605F8E" w14:textId="77777777" w:rsidR="00A77951" w:rsidRPr="00FD119B" w:rsidRDefault="00A77951" w:rsidP="00396123">
            <w:pPr>
              <w:ind w:left="144"/>
            </w:pPr>
            <w:r>
              <w:t>L</w:t>
            </w:r>
            <w:r w:rsidRPr="008A4679">
              <w:t>imited stage</w:t>
            </w:r>
            <w:r>
              <w:t xml:space="preserve"> </w:t>
            </w:r>
            <w:r w:rsidRPr="00E45638">
              <w:t>small cell lung cancer</w:t>
            </w:r>
          </w:p>
        </w:tc>
      </w:tr>
      <w:tr w:rsidR="00A77951" w:rsidRPr="00FD119B" w14:paraId="0F9DD629" w14:textId="77777777" w:rsidTr="00396123">
        <w:tc>
          <w:tcPr>
            <w:tcW w:w="1809" w:type="dxa"/>
          </w:tcPr>
          <w:p w14:paraId="2BE50E79" w14:textId="77777777" w:rsidR="00A77951" w:rsidRDefault="00A77951" w:rsidP="00396123">
            <w:pPr>
              <w:ind w:left="144"/>
            </w:pPr>
            <w:proofErr w:type="spellStart"/>
            <w:r>
              <w:t>mOS</w:t>
            </w:r>
            <w:proofErr w:type="spellEnd"/>
          </w:p>
        </w:tc>
        <w:tc>
          <w:tcPr>
            <w:tcW w:w="6911" w:type="dxa"/>
          </w:tcPr>
          <w:p w14:paraId="0D68FC25" w14:textId="77777777" w:rsidR="00A77951" w:rsidRPr="001245CB" w:rsidRDefault="00A77951" w:rsidP="00396123">
            <w:pPr>
              <w:ind w:left="144"/>
            </w:pPr>
            <w:r>
              <w:t>Median overall survival</w:t>
            </w:r>
          </w:p>
        </w:tc>
      </w:tr>
      <w:tr w:rsidR="00A77951" w:rsidRPr="00FD119B" w14:paraId="1D31C89B" w14:textId="77777777" w:rsidTr="00396123">
        <w:tc>
          <w:tcPr>
            <w:tcW w:w="1809" w:type="dxa"/>
          </w:tcPr>
          <w:p w14:paraId="352D97A5" w14:textId="77777777" w:rsidR="00A77951" w:rsidRPr="0006289A" w:rsidRDefault="00A77951" w:rsidP="00396123">
            <w:pPr>
              <w:ind w:left="144"/>
            </w:pPr>
            <w:r>
              <w:t>MTP</w:t>
            </w:r>
          </w:p>
        </w:tc>
        <w:tc>
          <w:tcPr>
            <w:tcW w:w="6911" w:type="dxa"/>
          </w:tcPr>
          <w:p w14:paraId="311F69FC" w14:textId="77777777" w:rsidR="00A77951" w:rsidRDefault="00A77951" w:rsidP="00396123">
            <w:pPr>
              <w:ind w:left="144"/>
            </w:pPr>
            <w:r>
              <w:t>Multiple testing procedure</w:t>
            </w:r>
          </w:p>
        </w:tc>
      </w:tr>
      <w:tr w:rsidR="00A77951" w:rsidRPr="00FD119B" w14:paraId="355A605D" w14:textId="77777777" w:rsidTr="00396123">
        <w:tc>
          <w:tcPr>
            <w:tcW w:w="1809" w:type="dxa"/>
          </w:tcPr>
          <w:p w14:paraId="19E9B6E8" w14:textId="77777777" w:rsidR="00A77951" w:rsidRPr="0006289A" w:rsidRDefault="00A77951" w:rsidP="00396123">
            <w:pPr>
              <w:ind w:left="144"/>
            </w:pPr>
            <w:r>
              <w:t>Nab</w:t>
            </w:r>
          </w:p>
        </w:tc>
        <w:tc>
          <w:tcPr>
            <w:tcW w:w="6911" w:type="dxa"/>
          </w:tcPr>
          <w:p w14:paraId="361A9888" w14:textId="095A525A" w:rsidR="00A77951" w:rsidRDefault="00A77951" w:rsidP="00396123">
            <w:pPr>
              <w:ind w:left="144"/>
            </w:pPr>
            <w:r w:rsidRPr="0006289A">
              <w:t>Neutrali</w:t>
            </w:r>
            <w:r w:rsidR="00904497">
              <w:t>s</w:t>
            </w:r>
            <w:r w:rsidRPr="0006289A">
              <w:t>ing antibodies</w:t>
            </w:r>
          </w:p>
        </w:tc>
      </w:tr>
      <w:tr w:rsidR="00A77951" w:rsidRPr="00FD119B" w14:paraId="3CC8C0BC" w14:textId="77777777" w:rsidTr="00396123">
        <w:tc>
          <w:tcPr>
            <w:tcW w:w="1809" w:type="dxa"/>
          </w:tcPr>
          <w:p w14:paraId="672FAA26" w14:textId="77777777" w:rsidR="00A77951" w:rsidRPr="00FD119B" w:rsidRDefault="00A77951" w:rsidP="00396123">
            <w:pPr>
              <w:ind w:left="144"/>
            </w:pPr>
            <w:r>
              <w:t>NCCN</w:t>
            </w:r>
          </w:p>
        </w:tc>
        <w:tc>
          <w:tcPr>
            <w:tcW w:w="6911" w:type="dxa"/>
          </w:tcPr>
          <w:p w14:paraId="2A9F4FE5" w14:textId="0D197BC9" w:rsidR="00A77951" w:rsidRPr="00FD119B" w:rsidRDefault="00A77951" w:rsidP="00396123">
            <w:pPr>
              <w:ind w:left="144"/>
            </w:pPr>
            <w:r>
              <w:t xml:space="preserve">National </w:t>
            </w:r>
            <w:r w:rsidR="00904497">
              <w:t>C</w:t>
            </w:r>
            <w:r>
              <w:t xml:space="preserve">omprehensive </w:t>
            </w:r>
            <w:r w:rsidR="00904497">
              <w:t>C</w:t>
            </w:r>
            <w:r>
              <w:t xml:space="preserve">ancer </w:t>
            </w:r>
            <w:r w:rsidR="00904497">
              <w:t>N</w:t>
            </w:r>
            <w:r w:rsidRPr="008A4679">
              <w:t>etwork</w:t>
            </w:r>
            <w:r w:rsidR="00904497">
              <w:t xml:space="preserve"> (United States)</w:t>
            </w:r>
          </w:p>
        </w:tc>
      </w:tr>
      <w:tr w:rsidR="00A77951" w:rsidRPr="00FD119B" w14:paraId="4A9952A0" w14:textId="77777777" w:rsidTr="00396123">
        <w:tc>
          <w:tcPr>
            <w:tcW w:w="1809" w:type="dxa"/>
          </w:tcPr>
          <w:p w14:paraId="7C96BD24" w14:textId="77777777" w:rsidR="00A77951" w:rsidRPr="0006289A" w:rsidRDefault="00A77951" w:rsidP="00396123">
            <w:pPr>
              <w:ind w:left="144"/>
            </w:pPr>
            <w:r>
              <w:t>NR</w:t>
            </w:r>
          </w:p>
        </w:tc>
        <w:tc>
          <w:tcPr>
            <w:tcW w:w="6911" w:type="dxa"/>
          </w:tcPr>
          <w:p w14:paraId="3DE30DE8" w14:textId="77777777" w:rsidR="00A77951" w:rsidRDefault="00A77951" w:rsidP="00396123">
            <w:pPr>
              <w:ind w:left="144"/>
            </w:pPr>
            <w:r>
              <w:t>Non responder</w:t>
            </w:r>
          </w:p>
        </w:tc>
      </w:tr>
      <w:tr w:rsidR="00A77951" w:rsidRPr="00FD119B" w14:paraId="13E65B1E" w14:textId="77777777" w:rsidTr="00396123">
        <w:tc>
          <w:tcPr>
            <w:tcW w:w="1809" w:type="dxa"/>
          </w:tcPr>
          <w:p w14:paraId="770399B1" w14:textId="77777777" w:rsidR="00A77951" w:rsidRPr="00FD119B" w:rsidRDefault="00A77951" w:rsidP="00396123">
            <w:pPr>
              <w:ind w:left="144"/>
            </w:pPr>
            <w:r>
              <w:t>NSCLC</w:t>
            </w:r>
          </w:p>
        </w:tc>
        <w:tc>
          <w:tcPr>
            <w:tcW w:w="6911" w:type="dxa"/>
          </w:tcPr>
          <w:p w14:paraId="602C05C6" w14:textId="701FA331" w:rsidR="00A77951" w:rsidRPr="00FD119B" w:rsidRDefault="00A77951" w:rsidP="00752ED5">
            <w:pPr>
              <w:ind w:left="144"/>
            </w:pPr>
            <w:r>
              <w:t>N</w:t>
            </w:r>
            <w:r w:rsidRPr="00E45638">
              <w:t>on</w:t>
            </w:r>
            <w:r w:rsidR="00752ED5">
              <w:t>-</w:t>
            </w:r>
            <w:r w:rsidRPr="00E45638">
              <w:t>small cell lung cancer</w:t>
            </w:r>
          </w:p>
        </w:tc>
      </w:tr>
      <w:tr w:rsidR="00A77951" w:rsidRPr="00FD119B" w14:paraId="2D200136" w14:textId="77777777" w:rsidTr="00396123">
        <w:tc>
          <w:tcPr>
            <w:tcW w:w="1809" w:type="dxa"/>
          </w:tcPr>
          <w:p w14:paraId="07424DBE" w14:textId="77777777" w:rsidR="00A77951" w:rsidRPr="0006289A" w:rsidRDefault="00A77951" w:rsidP="00396123">
            <w:pPr>
              <w:ind w:left="144"/>
            </w:pPr>
            <w:r>
              <w:t>ORR</w:t>
            </w:r>
          </w:p>
        </w:tc>
        <w:tc>
          <w:tcPr>
            <w:tcW w:w="6911" w:type="dxa"/>
          </w:tcPr>
          <w:p w14:paraId="15AD1C36" w14:textId="77777777" w:rsidR="00A77951" w:rsidRPr="0006289A" w:rsidRDefault="00A77951" w:rsidP="00396123">
            <w:pPr>
              <w:ind w:left="144"/>
            </w:pPr>
            <w:r>
              <w:t>Overall response rate</w:t>
            </w:r>
          </w:p>
        </w:tc>
      </w:tr>
      <w:tr w:rsidR="00A77951" w:rsidRPr="00FD119B" w14:paraId="36DE1A71" w14:textId="77777777" w:rsidTr="00396123">
        <w:tc>
          <w:tcPr>
            <w:tcW w:w="1809" w:type="dxa"/>
          </w:tcPr>
          <w:p w14:paraId="3FDB33EF" w14:textId="77777777" w:rsidR="00A77951" w:rsidRPr="00FD119B" w:rsidRDefault="00A77951" w:rsidP="00396123">
            <w:pPr>
              <w:ind w:left="144"/>
            </w:pPr>
            <w:r>
              <w:t>OS</w:t>
            </w:r>
          </w:p>
        </w:tc>
        <w:tc>
          <w:tcPr>
            <w:tcW w:w="6911" w:type="dxa"/>
          </w:tcPr>
          <w:p w14:paraId="57641DF5" w14:textId="77777777" w:rsidR="00A77951" w:rsidRPr="00FD119B" w:rsidRDefault="00A77951" w:rsidP="00396123">
            <w:pPr>
              <w:ind w:left="144"/>
            </w:pPr>
            <w:r>
              <w:t>Overall survival</w:t>
            </w:r>
          </w:p>
        </w:tc>
      </w:tr>
      <w:tr w:rsidR="00A77951" w:rsidRPr="00FD119B" w14:paraId="741EFE70" w14:textId="77777777" w:rsidTr="00396123">
        <w:tc>
          <w:tcPr>
            <w:tcW w:w="1809" w:type="dxa"/>
          </w:tcPr>
          <w:p w14:paraId="01A9441C" w14:textId="77777777" w:rsidR="00A77951" w:rsidRPr="0006289A" w:rsidRDefault="00A77951" w:rsidP="00396123">
            <w:pPr>
              <w:ind w:left="144"/>
            </w:pPr>
            <w:r w:rsidRPr="00827881">
              <w:t>PBRER</w:t>
            </w:r>
          </w:p>
        </w:tc>
        <w:tc>
          <w:tcPr>
            <w:tcW w:w="6911" w:type="dxa"/>
          </w:tcPr>
          <w:p w14:paraId="55A69E98" w14:textId="77777777" w:rsidR="00A77951" w:rsidRDefault="00A77951" w:rsidP="00396123">
            <w:pPr>
              <w:ind w:left="144"/>
            </w:pPr>
            <w:r>
              <w:t>P</w:t>
            </w:r>
            <w:r w:rsidRPr="00827881">
              <w:t xml:space="preserve">eriodic </w:t>
            </w:r>
            <w:r>
              <w:t>benefit risk evaluation report</w:t>
            </w:r>
          </w:p>
        </w:tc>
      </w:tr>
      <w:tr w:rsidR="00A77951" w:rsidRPr="00FD119B" w14:paraId="4A7658D9" w14:textId="77777777" w:rsidTr="00396123">
        <w:tc>
          <w:tcPr>
            <w:tcW w:w="1809" w:type="dxa"/>
          </w:tcPr>
          <w:p w14:paraId="64141675" w14:textId="77777777" w:rsidR="00A77951" w:rsidRPr="00FD119B" w:rsidRDefault="00A77951" w:rsidP="00396123">
            <w:pPr>
              <w:ind w:left="144"/>
            </w:pPr>
            <w:r>
              <w:t>PBS</w:t>
            </w:r>
          </w:p>
        </w:tc>
        <w:tc>
          <w:tcPr>
            <w:tcW w:w="6911" w:type="dxa"/>
          </w:tcPr>
          <w:p w14:paraId="71AE656F" w14:textId="77777777" w:rsidR="00A77951" w:rsidRPr="00FD119B" w:rsidRDefault="00A77951" w:rsidP="00396123">
            <w:pPr>
              <w:ind w:left="144"/>
            </w:pPr>
            <w:r>
              <w:t>Pharmaceutical B</w:t>
            </w:r>
            <w:r w:rsidRPr="00FF32D9">
              <w:t>enefits Scheme</w:t>
            </w:r>
          </w:p>
        </w:tc>
      </w:tr>
      <w:tr w:rsidR="00A77951" w:rsidRPr="00FD119B" w14:paraId="2EBA676A" w14:textId="77777777" w:rsidTr="00396123">
        <w:tc>
          <w:tcPr>
            <w:tcW w:w="1809" w:type="dxa"/>
          </w:tcPr>
          <w:p w14:paraId="393B4AAF" w14:textId="77777777" w:rsidR="00A77951" w:rsidRPr="00FD119B" w:rsidRDefault="00A77951" w:rsidP="00396123">
            <w:pPr>
              <w:ind w:left="144"/>
            </w:pPr>
            <w:r w:rsidRPr="0006289A">
              <w:t>PCI</w:t>
            </w:r>
          </w:p>
        </w:tc>
        <w:tc>
          <w:tcPr>
            <w:tcW w:w="6911" w:type="dxa"/>
          </w:tcPr>
          <w:p w14:paraId="32ACEAD9" w14:textId="77777777" w:rsidR="00A77951" w:rsidRPr="00FD119B" w:rsidRDefault="00A77951" w:rsidP="00396123">
            <w:pPr>
              <w:ind w:left="144"/>
            </w:pPr>
            <w:r w:rsidRPr="0006289A">
              <w:t>Prophylactic cranial irradiation</w:t>
            </w:r>
          </w:p>
        </w:tc>
      </w:tr>
      <w:tr w:rsidR="00A77951" w:rsidRPr="00FD119B" w14:paraId="41EFB135" w14:textId="77777777" w:rsidTr="00396123">
        <w:tc>
          <w:tcPr>
            <w:tcW w:w="1809" w:type="dxa"/>
          </w:tcPr>
          <w:p w14:paraId="401E2C84" w14:textId="77777777" w:rsidR="00A77951" w:rsidRPr="00FD119B" w:rsidRDefault="00A77951" w:rsidP="00396123">
            <w:pPr>
              <w:ind w:left="144"/>
            </w:pPr>
            <w:r>
              <w:t>PD</w:t>
            </w:r>
          </w:p>
        </w:tc>
        <w:tc>
          <w:tcPr>
            <w:tcW w:w="6911" w:type="dxa"/>
          </w:tcPr>
          <w:p w14:paraId="609EAA14" w14:textId="77777777" w:rsidR="00A77951" w:rsidRPr="00FD119B" w:rsidRDefault="00A77951" w:rsidP="00396123">
            <w:pPr>
              <w:ind w:left="144"/>
            </w:pPr>
            <w:r>
              <w:t>Pharmacodynamics</w:t>
            </w:r>
          </w:p>
        </w:tc>
      </w:tr>
      <w:tr w:rsidR="00A77951" w:rsidRPr="00FD119B" w14:paraId="3939C6F2" w14:textId="77777777" w:rsidTr="00396123">
        <w:tc>
          <w:tcPr>
            <w:tcW w:w="1809" w:type="dxa"/>
          </w:tcPr>
          <w:p w14:paraId="236E2655" w14:textId="77777777" w:rsidR="00A77951" w:rsidRDefault="00A77951" w:rsidP="00396123">
            <w:pPr>
              <w:ind w:left="144"/>
            </w:pPr>
            <w:r>
              <w:t>PD1</w:t>
            </w:r>
          </w:p>
        </w:tc>
        <w:tc>
          <w:tcPr>
            <w:tcW w:w="6911" w:type="dxa"/>
          </w:tcPr>
          <w:p w14:paraId="53C149D1" w14:textId="77777777" w:rsidR="00A77951" w:rsidRPr="001245CB" w:rsidRDefault="00A77951" w:rsidP="00396123">
            <w:pPr>
              <w:ind w:left="144"/>
            </w:pPr>
            <w:r w:rsidRPr="00692666">
              <w:t>Programmed cell death protein 1</w:t>
            </w:r>
          </w:p>
        </w:tc>
      </w:tr>
      <w:tr w:rsidR="00A77951" w:rsidRPr="00FD119B" w14:paraId="382F8B86" w14:textId="77777777" w:rsidTr="00396123">
        <w:tc>
          <w:tcPr>
            <w:tcW w:w="1809" w:type="dxa"/>
          </w:tcPr>
          <w:p w14:paraId="7891FA97" w14:textId="77777777" w:rsidR="00A77951" w:rsidRPr="00FD119B" w:rsidRDefault="00A77951" w:rsidP="00396123">
            <w:pPr>
              <w:ind w:left="144"/>
            </w:pPr>
            <w:r>
              <w:t>PD-L1</w:t>
            </w:r>
          </w:p>
        </w:tc>
        <w:tc>
          <w:tcPr>
            <w:tcW w:w="6911" w:type="dxa"/>
          </w:tcPr>
          <w:p w14:paraId="13477A67" w14:textId="77777777" w:rsidR="00A77951" w:rsidRPr="00FD119B" w:rsidRDefault="00A77951" w:rsidP="00396123">
            <w:pPr>
              <w:ind w:left="144"/>
            </w:pPr>
            <w:r w:rsidRPr="00C314D5">
              <w:t>Programmed death-ligand 1</w:t>
            </w:r>
          </w:p>
        </w:tc>
      </w:tr>
      <w:tr w:rsidR="00A77951" w:rsidRPr="00FD119B" w14:paraId="7B33094E" w14:textId="77777777" w:rsidTr="00396123">
        <w:tc>
          <w:tcPr>
            <w:tcW w:w="1809" w:type="dxa"/>
          </w:tcPr>
          <w:p w14:paraId="13085FCF" w14:textId="77777777" w:rsidR="00A77951" w:rsidRPr="00FD119B" w:rsidRDefault="00A77951" w:rsidP="00396123">
            <w:pPr>
              <w:ind w:left="144"/>
            </w:pPr>
            <w:r>
              <w:t>PFS</w:t>
            </w:r>
          </w:p>
        </w:tc>
        <w:tc>
          <w:tcPr>
            <w:tcW w:w="6911" w:type="dxa"/>
          </w:tcPr>
          <w:p w14:paraId="435050A8" w14:textId="77777777" w:rsidR="00A77951" w:rsidRPr="00FD119B" w:rsidRDefault="00A77951" w:rsidP="00396123">
            <w:pPr>
              <w:ind w:left="144"/>
            </w:pPr>
            <w:r w:rsidRPr="00F117CD">
              <w:t>Progression-free survival</w:t>
            </w:r>
          </w:p>
        </w:tc>
      </w:tr>
      <w:tr w:rsidR="00A77951" w:rsidRPr="00FD119B" w14:paraId="20E61134" w14:textId="77777777" w:rsidTr="00396123">
        <w:tc>
          <w:tcPr>
            <w:tcW w:w="1809" w:type="dxa"/>
          </w:tcPr>
          <w:p w14:paraId="6FF8F217" w14:textId="77777777" w:rsidR="00A77951" w:rsidRPr="00FD119B" w:rsidRDefault="00A77951" w:rsidP="00396123">
            <w:pPr>
              <w:ind w:left="144"/>
            </w:pPr>
            <w:r>
              <w:t>PI</w:t>
            </w:r>
          </w:p>
        </w:tc>
        <w:tc>
          <w:tcPr>
            <w:tcW w:w="6911" w:type="dxa"/>
          </w:tcPr>
          <w:p w14:paraId="3C6C46D4" w14:textId="77777777" w:rsidR="00A77951" w:rsidRPr="00FD119B" w:rsidRDefault="00A77951" w:rsidP="00396123">
            <w:pPr>
              <w:ind w:left="144"/>
            </w:pPr>
            <w:r>
              <w:t>Product Information</w:t>
            </w:r>
          </w:p>
        </w:tc>
      </w:tr>
      <w:tr w:rsidR="00A77951" w:rsidRPr="00FD119B" w14:paraId="5081BFA3" w14:textId="77777777" w:rsidTr="00396123">
        <w:tc>
          <w:tcPr>
            <w:tcW w:w="1809" w:type="dxa"/>
          </w:tcPr>
          <w:p w14:paraId="352EB7BB" w14:textId="77777777" w:rsidR="00A77951" w:rsidRPr="00FD119B" w:rsidRDefault="00A77951" w:rsidP="00396123">
            <w:pPr>
              <w:ind w:left="144"/>
            </w:pPr>
            <w:r>
              <w:lastRenderedPageBreak/>
              <w:t>PK</w:t>
            </w:r>
          </w:p>
        </w:tc>
        <w:tc>
          <w:tcPr>
            <w:tcW w:w="6911" w:type="dxa"/>
          </w:tcPr>
          <w:p w14:paraId="5C4B517B" w14:textId="73E19082" w:rsidR="00A77951" w:rsidRPr="00FD119B" w:rsidRDefault="00A77951" w:rsidP="00396123">
            <w:pPr>
              <w:ind w:left="144"/>
            </w:pPr>
            <w:r>
              <w:t>Pharmacokinetic</w:t>
            </w:r>
            <w:r w:rsidR="00904497">
              <w:t>(s)</w:t>
            </w:r>
          </w:p>
        </w:tc>
      </w:tr>
      <w:tr w:rsidR="00A77951" w:rsidRPr="00FD119B" w14:paraId="6136C297" w14:textId="77777777" w:rsidTr="00396123">
        <w:tc>
          <w:tcPr>
            <w:tcW w:w="1809" w:type="dxa"/>
          </w:tcPr>
          <w:p w14:paraId="1CA1B5E5" w14:textId="77777777" w:rsidR="00A77951" w:rsidRPr="0006289A" w:rsidRDefault="00A77951" w:rsidP="00396123">
            <w:pPr>
              <w:ind w:left="144"/>
            </w:pPr>
            <w:r>
              <w:t>PNS</w:t>
            </w:r>
          </w:p>
        </w:tc>
        <w:tc>
          <w:tcPr>
            <w:tcW w:w="6911" w:type="dxa"/>
          </w:tcPr>
          <w:p w14:paraId="02CBD854" w14:textId="77777777" w:rsidR="00A77951" w:rsidRPr="0006289A" w:rsidRDefault="00A77951" w:rsidP="00396123">
            <w:pPr>
              <w:ind w:left="144"/>
            </w:pPr>
            <w:r w:rsidRPr="00A45132">
              <w:rPr>
                <w:color w:val="auto"/>
                <w:lang w:eastAsia="ja-JP"/>
              </w:rPr>
              <w:t>Paraneoplastic syndrome</w:t>
            </w:r>
          </w:p>
        </w:tc>
      </w:tr>
      <w:tr w:rsidR="00A77951" w:rsidRPr="00FD119B" w14:paraId="6DFC6F7A" w14:textId="77777777" w:rsidTr="00396123">
        <w:tc>
          <w:tcPr>
            <w:tcW w:w="1809" w:type="dxa"/>
          </w:tcPr>
          <w:p w14:paraId="0CD3FDEB" w14:textId="77777777" w:rsidR="00A77951" w:rsidRPr="0006289A" w:rsidRDefault="00A77951" w:rsidP="00396123">
            <w:pPr>
              <w:ind w:left="144"/>
            </w:pPr>
            <w:r>
              <w:t>PRO</w:t>
            </w:r>
          </w:p>
        </w:tc>
        <w:tc>
          <w:tcPr>
            <w:tcW w:w="6911" w:type="dxa"/>
          </w:tcPr>
          <w:p w14:paraId="3BC0C96F" w14:textId="77777777" w:rsidR="00A77951" w:rsidRDefault="00A77951" w:rsidP="00396123">
            <w:pPr>
              <w:ind w:left="144"/>
            </w:pPr>
            <w:r>
              <w:t>Patient reported outcome</w:t>
            </w:r>
          </w:p>
        </w:tc>
      </w:tr>
      <w:tr w:rsidR="00A77951" w:rsidRPr="00FD119B" w14:paraId="244E6150" w14:textId="77777777" w:rsidTr="00396123">
        <w:tc>
          <w:tcPr>
            <w:tcW w:w="1809" w:type="dxa"/>
          </w:tcPr>
          <w:p w14:paraId="084D9874" w14:textId="77777777" w:rsidR="00A77951" w:rsidRPr="00FD119B" w:rsidRDefault="00A77951" w:rsidP="00396123">
            <w:pPr>
              <w:ind w:left="144"/>
            </w:pPr>
            <w:r>
              <w:t>Q2W</w:t>
            </w:r>
          </w:p>
        </w:tc>
        <w:tc>
          <w:tcPr>
            <w:tcW w:w="6911" w:type="dxa"/>
          </w:tcPr>
          <w:p w14:paraId="23DE5ACE" w14:textId="77777777" w:rsidR="00A77951" w:rsidRPr="00FD119B" w:rsidRDefault="00A77951" w:rsidP="00396123">
            <w:pPr>
              <w:ind w:left="144"/>
            </w:pPr>
            <w:r>
              <w:t>Every 2 weeks</w:t>
            </w:r>
          </w:p>
        </w:tc>
      </w:tr>
      <w:tr w:rsidR="00A77951" w:rsidRPr="00FD119B" w14:paraId="3B604FA2" w14:textId="77777777" w:rsidTr="00396123">
        <w:tc>
          <w:tcPr>
            <w:tcW w:w="1809" w:type="dxa"/>
          </w:tcPr>
          <w:p w14:paraId="6DF7F0AF" w14:textId="77777777" w:rsidR="00A77951" w:rsidRPr="00FD119B" w:rsidRDefault="00A77951" w:rsidP="00396123">
            <w:pPr>
              <w:ind w:left="144"/>
            </w:pPr>
            <w:r>
              <w:t>Q3W</w:t>
            </w:r>
          </w:p>
        </w:tc>
        <w:tc>
          <w:tcPr>
            <w:tcW w:w="6911" w:type="dxa"/>
          </w:tcPr>
          <w:p w14:paraId="5BD9535F" w14:textId="77777777" w:rsidR="00A77951" w:rsidRPr="00FD119B" w:rsidRDefault="00A77951" w:rsidP="00396123">
            <w:pPr>
              <w:ind w:left="144"/>
            </w:pPr>
            <w:r w:rsidRPr="00C314D5">
              <w:t>Every 3 weeks</w:t>
            </w:r>
          </w:p>
        </w:tc>
      </w:tr>
      <w:tr w:rsidR="00A77951" w:rsidRPr="00FD119B" w14:paraId="1CE72FE9" w14:textId="77777777" w:rsidTr="00396123">
        <w:tc>
          <w:tcPr>
            <w:tcW w:w="1809" w:type="dxa"/>
          </w:tcPr>
          <w:p w14:paraId="78DBD7CF" w14:textId="77777777" w:rsidR="00A77951" w:rsidRPr="00FD119B" w:rsidRDefault="00A77951" w:rsidP="00396123">
            <w:pPr>
              <w:ind w:left="144"/>
            </w:pPr>
            <w:r>
              <w:t>Q4W</w:t>
            </w:r>
          </w:p>
        </w:tc>
        <w:tc>
          <w:tcPr>
            <w:tcW w:w="6911" w:type="dxa"/>
          </w:tcPr>
          <w:p w14:paraId="24F317DD" w14:textId="77777777" w:rsidR="00A77951" w:rsidRPr="00FD119B" w:rsidRDefault="00A77951" w:rsidP="00396123">
            <w:pPr>
              <w:ind w:left="144"/>
            </w:pPr>
            <w:r>
              <w:t>Every 4 weeks</w:t>
            </w:r>
          </w:p>
        </w:tc>
      </w:tr>
      <w:tr w:rsidR="00A77951" w:rsidRPr="00FD119B" w14:paraId="14E79C01" w14:textId="77777777" w:rsidTr="00396123">
        <w:tc>
          <w:tcPr>
            <w:tcW w:w="1809" w:type="dxa"/>
          </w:tcPr>
          <w:p w14:paraId="6C25C114" w14:textId="77777777" w:rsidR="00A77951" w:rsidRPr="0006289A" w:rsidRDefault="00A77951" w:rsidP="00396123">
            <w:pPr>
              <w:ind w:left="144"/>
            </w:pPr>
            <w:r>
              <w:t>RECIST</w:t>
            </w:r>
          </w:p>
        </w:tc>
        <w:tc>
          <w:tcPr>
            <w:tcW w:w="6911" w:type="dxa"/>
          </w:tcPr>
          <w:p w14:paraId="7F6D0862" w14:textId="77777777" w:rsidR="00A77951" w:rsidRPr="0006289A" w:rsidRDefault="00A77951" w:rsidP="00396123">
            <w:pPr>
              <w:ind w:left="144"/>
            </w:pPr>
            <w:r w:rsidRPr="0006289A">
              <w:t>Response Evaluation Criteria In Solid Tumours</w:t>
            </w:r>
          </w:p>
        </w:tc>
      </w:tr>
      <w:tr w:rsidR="00A77951" w:rsidRPr="00FD119B" w14:paraId="1B0E17DF" w14:textId="77777777" w:rsidTr="00396123">
        <w:tc>
          <w:tcPr>
            <w:tcW w:w="1809" w:type="dxa"/>
          </w:tcPr>
          <w:p w14:paraId="14588458" w14:textId="77777777" w:rsidR="00A77951" w:rsidRDefault="00A77951" w:rsidP="00396123">
            <w:pPr>
              <w:ind w:left="144"/>
            </w:pPr>
            <w:r>
              <w:t>RMP</w:t>
            </w:r>
          </w:p>
        </w:tc>
        <w:tc>
          <w:tcPr>
            <w:tcW w:w="6911" w:type="dxa"/>
          </w:tcPr>
          <w:p w14:paraId="22D9DD5E" w14:textId="77777777" w:rsidR="00A77951" w:rsidRPr="001245CB" w:rsidRDefault="00A77951" w:rsidP="00396123">
            <w:pPr>
              <w:ind w:left="144"/>
            </w:pPr>
            <w:r>
              <w:t>Risk management plan</w:t>
            </w:r>
          </w:p>
        </w:tc>
      </w:tr>
      <w:tr w:rsidR="00A77951" w:rsidRPr="00FD119B" w14:paraId="1CBE86EC" w14:textId="77777777" w:rsidTr="00396123">
        <w:tc>
          <w:tcPr>
            <w:tcW w:w="1809" w:type="dxa"/>
          </w:tcPr>
          <w:p w14:paraId="06B68CBF" w14:textId="77777777" w:rsidR="00A77951" w:rsidRPr="0006289A" w:rsidRDefault="00A77951" w:rsidP="00396123">
            <w:pPr>
              <w:ind w:left="144"/>
            </w:pPr>
            <w:r>
              <w:t>SAE</w:t>
            </w:r>
          </w:p>
        </w:tc>
        <w:tc>
          <w:tcPr>
            <w:tcW w:w="6911" w:type="dxa"/>
          </w:tcPr>
          <w:p w14:paraId="244240D9" w14:textId="77777777" w:rsidR="00A77951" w:rsidRDefault="00A77951" w:rsidP="00396123">
            <w:pPr>
              <w:ind w:left="144"/>
            </w:pPr>
            <w:r>
              <w:t>Serious adverse event</w:t>
            </w:r>
          </w:p>
        </w:tc>
      </w:tr>
      <w:tr w:rsidR="00A77951" w:rsidRPr="00FD119B" w14:paraId="142164B0" w14:textId="77777777" w:rsidTr="00396123">
        <w:tc>
          <w:tcPr>
            <w:tcW w:w="1809" w:type="dxa"/>
          </w:tcPr>
          <w:p w14:paraId="544AC727" w14:textId="77777777" w:rsidR="00A77951" w:rsidRPr="00FD119B" w:rsidRDefault="00A77951" w:rsidP="00396123">
            <w:pPr>
              <w:ind w:left="144"/>
            </w:pPr>
            <w:r>
              <w:t>SCLC</w:t>
            </w:r>
          </w:p>
        </w:tc>
        <w:tc>
          <w:tcPr>
            <w:tcW w:w="6911" w:type="dxa"/>
          </w:tcPr>
          <w:p w14:paraId="53C6FE94" w14:textId="77777777" w:rsidR="00A77951" w:rsidRPr="00FD119B" w:rsidRDefault="00A77951" w:rsidP="00396123">
            <w:pPr>
              <w:ind w:left="144"/>
            </w:pPr>
            <w:r w:rsidRPr="00492555">
              <w:t>Small cell lung cancer</w:t>
            </w:r>
          </w:p>
        </w:tc>
      </w:tr>
      <w:tr w:rsidR="00A77951" w:rsidRPr="00FD119B" w14:paraId="72065614" w14:textId="77777777" w:rsidTr="00396123">
        <w:tc>
          <w:tcPr>
            <w:tcW w:w="1809" w:type="dxa"/>
          </w:tcPr>
          <w:p w14:paraId="60205D25" w14:textId="294A3E34" w:rsidR="00A77951" w:rsidRPr="0006289A" w:rsidRDefault="00A77951" w:rsidP="00396123">
            <w:pPr>
              <w:ind w:left="144"/>
            </w:pPr>
            <w:r>
              <w:t>TEAE</w:t>
            </w:r>
          </w:p>
        </w:tc>
        <w:tc>
          <w:tcPr>
            <w:tcW w:w="6911" w:type="dxa"/>
          </w:tcPr>
          <w:p w14:paraId="54A250E5" w14:textId="43B9736B" w:rsidR="00A77951" w:rsidRDefault="00A77951" w:rsidP="00396123">
            <w:pPr>
              <w:ind w:left="144"/>
            </w:pPr>
            <w:r w:rsidRPr="001245CB">
              <w:t>Treatment-emergent adverse event</w:t>
            </w:r>
          </w:p>
        </w:tc>
      </w:tr>
      <w:tr w:rsidR="00A77951" w:rsidRPr="00FD119B" w14:paraId="1CA29BE7" w14:textId="77777777" w:rsidTr="00396123">
        <w:tc>
          <w:tcPr>
            <w:tcW w:w="1809" w:type="dxa"/>
          </w:tcPr>
          <w:p w14:paraId="782124E3" w14:textId="77777777" w:rsidR="00A77951" w:rsidRPr="00FD119B" w:rsidRDefault="00A77951" w:rsidP="00396123">
            <w:pPr>
              <w:ind w:left="144"/>
            </w:pPr>
            <w:r>
              <w:t>TGA</w:t>
            </w:r>
          </w:p>
        </w:tc>
        <w:tc>
          <w:tcPr>
            <w:tcW w:w="6911" w:type="dxa"/>
          </w:tcPr>
          <w:p w14:paraId="2A9120C3" w14:textId="63BC6B04" w:rsidR="00A77951" w:rsidRPr="00FD119B" w:rsidRDefault="00A77951" w:rsidP="00396123">
            <w:pPr>
              <w:ind w:left="144"/>
            </w:pPr>
            <w:r w:rsidRPr="00A77951">
              <w:t>Therapeutic Goods Administration</w:t>
            </w:r>
          </w:p>
        </w:tc>
      </w:tr>
      <w:tr w:rsidR="00A77951" w:rsidRPr="00FD119B" w14:paraId="03BD6B5D" w14:textId="77777777" w:rsidTr="00396123">
        <w:tc>
          <w:tcPr>
            <w:tcW w:w="1809" w:type="dxa"/>
          </w:tcPr>
          <w:p w14:paraId="2543B633" w14:textId="77777777" w:rsidR="00A77951" w:rsidRPr="00FD119B" w:rsidRDefault="00A77951" w:rsidP="00396123">
            <w:pPr>
              <w:ind w:left="144"/>
            </w:pPr>
            <w:r>
              <w:t>US(A)</w:t>
            </w:r>
          </w:p>
        </w:tc>
        <w:tc>
          <w:tcPr>
            <w:tcW w:w="6911" w:type="dxa"/>
          </w:tcPr>
          <w:p w14:paraId="31B18EBB" w14:textId="50CC9818" w:rsidR="00A77951" w:rsidRPr="00FD119B" w:rsidRDefault="00A77951" w:rsidP="00396123">
            <w:pPr>
              <w:ind w:left="144"/>
            </w:pPr>
            <w:r>
              <w:t xml:space="preserve">United States </w:t>
            </w:r>
            <w:r w:rsidR="00904497">
              <w:t>(</w:t>
            </w:r>
            <w:r>
              <w:t>of America</w:t>
            </w:r>
            <w:r w:rsidR="00904497">
              <w:t>)</w:t>
            </w:r>
          </w:p>
        </w:tc>
      </w:tr>
      <w:tr w:rsidR="00A77951" w:rsidRPr="00FD119B" w14:paraId="7CA5AC48" w14:textId="77777777" w:rsidTr="00396123">
        <w:tc>
          <w:tcPr>
            <w:tcW w:w="1809" w:type="dxa"/>
          </w:tcPr>
          <w:p w14:paraId="14CC7095" w14:textId="77777777" w:rsidR="00A77951" w:rsidRPr="00FD119B" w:rsidRDefault="00A77951" w:rsidP="00396123">
            <w:pPr>
              <w:ind w:left="144"/>
            </w:pPr>
            <w:r>
              <w:t>USP</w:t>
            </w:r>
          </w:p>
        </w:tc>
        <w:tc>
          <w:tcPr>
            <w:tcW w:w="6911" w:type="dxa"/>
          </w:tcPr>
          <w:p w14:paraId="0207B489" w14:textId="77777777" w:rsidR="00A77951" w:rsidRPr="00FD119B" w:rsidRDefault="00A77951" w:rsidP="00396123">
            <w:pPr>
              <w:ind w:left="144"/>
            </w:pPr>
            <w:r w:rsidRPr="007773DA">
              <w:t>United States Pharmacopeia</w:t>
            </w:r>
          </w:p>
        </w:tc>
      </w:tr>
      <w:tr w:rsidR="00A77951" w:rsidRPr="00FD119B" w14:paraId="20136B5B" w14:textId="77777777" w:rsidTr="00396123">
        <w:tc>
          <w:tcPr>
            <w:tcW w:w="1809" w:type="dxa"/>
          </w:tcPr>
          <w:p w14:paraId="7ACF2F0E" w14:textId="77777777" w:rsidR="00A77951" w:rsidRPr="0006289A" w:rsidRDefault="00A77951" w:rsidP="00396123">
            <w:pPr>
              <w:ind w:left="144"/>
            </w:pPr>
            <w:r>
              <w:t>WHO</w:t>
            </w:r>
          </w:p>
        </w:tc>
        <w:tc>
          <w:tcPr>
            <w:tcW w:w="6911" w:type="dxa"/>
          </w:tcPr>
          <w:p w14:paraId="794D2864" w14:textId="2C3DF0E5" w:rsidR="00A77951" w:rsidRPr="0006289A" w:rsidRDefault="00A77951" w:rsidP="00396123">
            <w:pPr>
              <w:ind w:left="144"/>
            </w:pPr>
            <w:r>
              <w:t>World Health Organi</w:t>
            </w:r>
            <w:r w:rsidR="00904497">
              <w:t>z</w:t>
            </w:r>
            <w:r>
              <w:t>ation</w:t>
            </w:r>
          </w:p>
        </w:tc>
      </w:tr>
    </w:tbl>
    <w:p w14:paraId="1585CA2F" w14:textId="77777777" w:rsidR="00FD119B" w:rsidRDefault="00FD119B" w:rsidP="00FD119B"/>
    <w:p w14:paraId="48AA274B" w14:textId="77777777" w:rsidR="00FD119B" w:rsidRPr="00FD119B" w:rsidRDefault="00FD119B" w:rsidP="00FD119B">
      <w:pPr>
        <w:spacing w:before="0" w:after="200" w:line="0" w:lineRule="auto"/>
        <w:rPr>
          <w:b/>
          <w:i/>
          <w:sz w:val="24"/>
          <w:szCs w:val="24"/>
        </w:rPr>
      </w:pPr>
      <w:r w:rsidRPr="00FD119B">
        <w:rPr>
          <w:b/>
          <w:i/>
          <w:sz w:val="24"/>
          <w:szCs w:val="24"/>
        </w:rPr>
        <w:br w:type="page"/>
      </w:r>
    </w:p>
    <w:p w14:paraId="42B24741" w14:textId="77777777" w:rsidR="008E7846" w:rsidRDefault="00F53C07" w:rsidP="008E7846">
      <w:pPr>
        <w:pStyle w:val="Heading2"/>
      </w:pPr>
      <w:bookmarkStart w:id="8" w:name="_Toc69718708"/>
      <w:r>
        <w:lastRenderedPageBreak/>
        <w:t>I.</w:t>
      </w:r>
      <w:r w:rsidR="008E7846">
        <w:t xml:space="preserve"> Introduction to product submission</w:t>
      </w:r>
      <w:bookmarkEnd w:id="8"/>
      <w:bookmarkEnd w:id="0"/>
      <w:bookmarkEnd w:id="2"/>
    </w:p>
    <w:p w14:paraId="4C646EBD" w14:textId="77777777" w:rsidR="008E7846" w:rsidRDefault="008E7846" w:rsidP="008E7846">
      <w:pPr>
        <w:pStyle w:val="Heading3"/>
        <w:rPr>
          <w:lang w:eastAsia="en-AU"/>
        </w:rPr>
      </w:pPr>
      <w:bookmarkStart w:id="9" w:name="_Toc247691502"/>
      <w:bookmarkStart w:id="10" w:name="_Toc314842483"/>
      <w:bookmarkStart w:id="11" w:name="_Toc69718709"/>
      <w:r>
        <w:rPr>
          <w:lang w:eastAsia="en-AU"/>
        </w:rPr>
        <w:t>Submission details</w:t>
      </w:r>
      <w:bookmarkEnd w:id="9"/>
      <w:bookmarkEnd w:id="10"/>
      <w:bookmarkEnd w:id="11"/>
    </w:p>
    <w:tbl>
      <w:tblPr>
        <w:tblW w:w="9214" w:type="dxa"/>
        <w:tblInd w:w="108" w:type="dxa"/>
        <w:tblLook w:val="01E0" w:firstRow="1" w:lastRow="1" w:firstColumn="1" w:lastColumn="1" w:noHBand="0" w:noVBand="0"/>
      </w:tblPr>
      <w:tblGrid>
        <w:gridCol w:w="2907"/>
        <w:gridCol w:w="6307"/>
      </w:tblGrid>
      <w:tr w:rsidR="008E7846" w:rsidRPr="003D1E62" w14:paraId="738D291E" w14:textId="77777777" w:rsidTr="003735BC">
        <w:tc>
          <w:tcPr>
            <w:tcW w:w="2907" w:type="dxa"/>
          </w:tcPr>
          <w:p w14:paraId="43F9389A"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4AFD5405" w14:textId="77777777" w:rsidR="008E7846" w:rsidRPr="003D1E62" w:rsidRDefault="00D1768E" w:rsidP="00D1768E">
            <w:r>
              <w:t>Extension of indications</w:t>
            </w:r>
          </w:p>
        </w:tc>
      </w:tr>
      <w:tr w:rsidR="00460036" w:rsidRPr="003D1E62" w14:paraId="2130DEC7" w14:textId="77777777" w:rsidTr="003735BC">
        <w:tc>
          <w:tcPr>
            <w:tcW w:w="2907" w:type="dxa"/>
          </w:tcPr>
          <w:p w14:paraId="096F53EB" w14:textId="77777777" w:rsidR="00460036" w:rsidRPr="003D1E62" w:rsidRDefault="00460036" w:rsidP="003D1E62">
            <w:pPr>
              <w:rPr>
                <w:i/>
              </w:rPr>
            </w:pPr>
            <w:r w:rsidRPr="00460036">
              <w:rPr>
                <w:i/>
              </w:rPr>
              <w:t>Prod</w:t>
            </w:r>
            <w:r w:rsidR="00D1768E">
              <w:rPr>
                <w:i/>
              </w:rPr>
              <w:t>uct name</w:t>
            </w:r>
            <w:r w:rsidRPr="00460036">
              <w:rPr>
                <w:i/>
              </w:rPr>
              <w:t>:</w:t>
            </w:r>
          </w:p>
        </w:tc>
        <w:tc>
          <w:tcPr>
            <w:tcW w:w="6307" w:type="dxa"/>
          </w:tcPr>
          <w:p w14:paraId="0EF32721" w14:textId="77777777" w:rsidR="00460036" w:rsidRPr="003D1E62" w:rsidRDefault="00D1768E" w:rsidP="001B5C90">
            <w:r>
              <w:t>Imfinzi</w:t>
            </w:r>
          </w:p>
        </w:tc>
      </w:tr>
      <w:tr w:rsidR="00460036" w:rsidRPr="003D1E62" w14:paraId="7B031CA6" w14:textId="77777777" w:rsidTr="003735BC">
        <w:tc>
          <w:tcPr>
            <w:tcW w:w="2907" w:type="dxa"/>
          </w:tcPr>
          <w:p w14:paraId="6ADF3E33" w14:textId="77777777" w:rsidR="00460036" w:rsidRPr="003D1E62" w:rsidRDefault="00D1768E" w:rsidP="003D1E62">
            <w:pPr>
              <w:rPr>
                <w:i/>
              </w:rPr>
            </w:pPr>
            <w:r>
              <w:rPr>
                <w:i/>
              </w:rPr>
              <w:t>Active ingredient</w:t>
            </w:r>
            <w:r w:rsidR="00460036" w:rsidRPr="00460036">
              <w:rPr>
                <w:i/>
              </w:rPr>
              <w:t>:</w:t>
            </w:r>
          </w:p>
        </w:tc>
        <w:tc>
          <w:tcPr>
            <w:tcW w:w="6307" w:type="dxa"/>
          </w:tcPr>
          <w:p w14:paraId="1162166D" w14:textId="77777777" w:rsidR="00460036" w:rsidRPr="003D1E62" w:rsidRDefault="00D1768E" w:rsidP="001B5C90">
            <w:r>
              <w:t>Durvalumab</w:t>
            </w:r>
          </w:p>
        </w:tc>
      </w:tr>
      <w:tr w:rsidR="008E7846" w:rsidRPr="003D1E62" w14:paraId="094C311D" w14:textId="77777777" w:rsidTr="003735BC">
        <w:tc>
          <w:tcPr>
            <w:tcW w:w="2907" w:type="dxa"/>
          </w:tcPr>
          <w:p w14:paraId="416F1054" w14:textId="77777777" w:rsidR="008E7846" w:rsidRPr="003D1E62" w:rsidRDefault="008E7846" w:rsidP="003D1E62">
            <w:r w:rsidRPr="003D1E62">
              <w:rPr>
                <w:i/>
              </w:rPr>
              <w:t>Decision</w:t>
            </w:r>
            <w:r w:rsidRPr="003D1E62">
              <w:t>:</w:t>
            </w:r>
          </w:p>
        </w:tc>
        <w:tc>
          <w:tcPr>
            <w:tcW w:w="6307" w:type="dxa"/>
          </w:tcPr>
          <w:p w14:paraId="5CD24274" w14:textId="77777777" w:rsidR="008E7846" w:rsidRPr="003D1E62" w:rsidRDefault="00D1768E" w:rsidP="00D1768E">
            <w:r>
              <w:t>Approved</w:t>
            </w:r>
          </w:p>
        </w:tc>
      </w:tr>
      <w:tr w:rsidR="008E7846" w:rsidRPr="003D1E62" w14:paraId="7A570452" w14:textId="77777777" w:rsidTr="003735BC">
        <w:tc>
          <w:tcPr>
            <w:tcW w:w="2907" w:type="dxa"/>
          </w:tcPr>
          <w:p w14:paraId="4B04D843"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13E95B0F" w14:textId="77777777" w:rsidR="008E7846" w:rsidRPr="003D1E62" w:rsidRDefault="00D1768E" w:rsidP="00D1768E">
            <w:r>
              <w:t>20 November 2020</w:t>
            </w:r>
          </w:p>
        </w:tc>
      </w:tr>
      <w:tr w:rsidR="00ED2922" w:rsidRPr="003D1E62" w14:paraId="4F483389" w14:textId="77777777" w:rsidTr="003735BC">
        <w:tc>
          <w:tcPr>
            <w:tcW w:w="2907" w:type="dxa"/>
          </w:tcPr>
          <w:p w14:paraId="774DAEA1" w14:textId="77777777" w:rsidR="00ED2922" w:rsidRPr="00441C3F" w:rsidRDefault="00ED2922" w:rsidP="001B5C90">
            <w:pPr>
              <w:rPr>
                <w:i/>
              </w:rPr>
            </w:pPr>
            <w:r w:rsidRPr="00441C3F">
              <w:rPr>
                <w:i/>
              </w:rPr>
              <w:t>Date of entry onto ARTG</w:t>
            </w:r>
            <w:r w:rsidR="00500337">
              <w:rPr>
                <w:i/>
              </w:rPr>
              <w:t>:</w:t>
            </w:r>
          </w:p>
        </w:tc>
        <w:tc>
          <w:tcPr>
            <w:tcW w:w="6307" w:type="dxa"/>
          </w:tcPr>
          <w:p w14:paraId="7A31459B" w14:textId="67EE883E" w:rsidR="00ED2922" w:rsidRPr="00441C3F" w:rsidRDefault="00D1768E" w:rsidP="0083053B">
            <w:pPr>
              <w:rPr>
                <w:i/>
              </w:rPr>
            </w:pPr>
            <w:r>
              <w:t>2</w:t>
            </w:r>
            <w:r w:rsidR="0083053B">
              <w:t>5</w:t>
            </w:r>
            <w:bookmarkStart w:id="12" w:name="_GoBack"/>
            <w:bookmarkEnd w:id="12"/>
            <w:r>
              <w:t xml:space="preserve"> November 2020</w:t>
            </w:r>
          </w:p>
        </w:tc>
      </w:tr>
      <w:tr w:rsidR="00500337" w:rsidRPr="003D1E62" w14:paraId="0D70362B" w14:textId="77777777" w:rsidTr="003735BC">
        <w:tc>
          <w:tcPr>
            <w:tcW w:w="2907" w:type="dxa"/>
          </w:tcPr>
          <w:p w14:paraId="1FEDDBB9" w14:textId="77777777" w:rsidR="00500337" w:rsidRPr="00441C3F" w:rsidRDefault="00D1768E" w:rsidP="001B5C90">
            <w:pPr>
              <w:rPr>
                <w:i/>
              </w:rPr>
            </w:pPr>
            <w:r>
              <w:rPr>
                <w:i/>
              </w:rPr>
              <w:t>ARTG numbers</w:t>
            </w:r>
            <w:r w:rsidR="00500337">
              <w:rPr>
                <w:i/>
              </w:rPr>
              <w:t>:</w:t>
            </w:r>
          </w:p>
        </w:tc>
        <w:tc>
          <w:tcPr>
            <w:tcW w:w="6307" w:type="dxa"/>
          </w:tcPr>
          <w:p w14:paraId="03131098" w14:textId="77777777" w:rsidR="00500337" w:rsidRPr="00441C3F" w:rsidRDefault="00D1768E" w:rsidP="00EC463D">
            <w:r>
              <w:t>283215, 283216</w:t>
            </w:r>
          </w:p>
        </w:tc>
      </w:tr>
      <w:tr w:rsidR="003735BC" w:rsidRPr="003D1E62" w14:paraId="4C99616C" w14:textId="77777777" w:rsidTr="003735BC">
        <w:tc>
          <w:tcPr>
            <w:tcW w:w="2907" w:type="dxa"/>
          </w:tcPr>
          <w:p w14:paraId="24DAC3C7"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r w:rsidR="004C4FBE">
              <w:rPr>
                <w:i/>
              </w:rPr>
              <w:t>:</w:t>
            </w:r>
            <w:r w:rsidR="00460036">
              <w:rPr>
                <w:rStyle w:val="FootnoteReference"/>
                <w:i/>
              </w:rPr>
              <w:footnoteReference w:id="2"/>
            </w:r>
          </w:p>
        </w:tc>
        <w:tc>
          <w:tcPr>
            <w:tcW w:w="6307" w:type="dxa"/>
          </w:tcPr>
          <w:p w14:paraId="77955D97" w14:textId="77777777" w:rsidR="003735BC" w:rsidRDefault="00D1768E" w:rsidP="003735BC">
            <w:r>
              <w:t>Yes</w:t>
            </w:r>
          </w:p>
          <w:p w14:paraId="383461D1" w14:textId="77777777" w:rsidR="003735BC" w:rsidRPr="00487162" w:rsidRDefault="003735BC" w:rsidP="003735BC">
            <w:r>
              <w:t>This product will remain in the scheme for 5 years, starting on the date</w:t>
            </w:r>
            <w:r w:rsidR="00D1768E">
              <w:t xml:space="preserve"> the new indication was approved.</w:t>
            </w:r>
          </w:p>
        </w:tc>
      </w:tr>
      <w:tr w:rsidR="008E7846" w:rsidRPr="00487162" w14:paraId="4BD2D41F" w14:textId="77777777" w:rsidTr="00BF1190">
        <w:tc>
          <w:tcPr>
            <w:tcW w:w="2907" w:type="dxa"/>
          </w:tcPr>
          <w:p w14:paraId="03E7F97C"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755AB38E" w14:textId="77777777" w:rsidR="00D1768E" w:rsidRDefault="00D1768E" w:rsidP="00D1768E">
            <w:r>
              <w:t>AstraZeneca Pty Ltd</w:t>
            </w:r>
          </w:p>
          <w:p w14:paraId="33A7408E" w14:textId="77777777" w:rsidR="00D1768E" w:rsidRDefault="00D1768E" w:rsidP="00D1768E">
            <w:r>
              <w:t>66 Talavera Road</w:t>
            </w:r>
          </w:p>
          <w:p w14:paraId="326445B4" w14:textId="77777777" w:rsidR="008E7846" w:rsidRPr="00487162" w:rsidRDefault="00D1768E" w:rsidP="00D1768E">
            <w:r>
              <w:t>Macquarie park NSW 2113</w:t>
            </w:r>
          </w:p>
        </w:tc>
      </w:tr>
      <w:tr w:rsidR="008E7846" w:rsidRPr="00487162" w14:paraId="2F236D4F" w14:textId="77777777" w:rsidTr="00BF1190">
        <w:tc>
          <w:tcPr>
            <w:tcW w:w="2907" w:type="dxa"/>
          </w:tcPr>
          <w:p w14:paraId="722078E8" w14:textId="77777777" w:rsidR="008E7846" w:rsidRPr="00487162" w:rsidRDefault="00D1768E" w:rsidP="00E45619">
            <w:pPr>
              <w:rPr>
                <w:i/>
              </w:rPr>
            </w:pPr>
            <w:r>
              <w:rPr>
                <w:i/>
              </w:rPr>
              <w:t>Dose form</w:t>
            </w:r>
            <w:r w:rsidR="001B5C90">
              <w:rPr>
                <w:i/>
              </w:rPr>
              <w:t>:</w:t>
            </w:r>
          </w:p>
        </w:tc>
        <w:tc>
          <w:tcPr>
            <w:tcW w:w="6307" w:type="dxa"/>
          </w:tcPr>
          <w:p w14:paraId="62CB5FB4" w14:textId="77777777" w:rsidR="008E7846" w:rsidRPr="00487162" w:rsidRDefault="00D1768E" w:rsidP="00E45619">
            <w:r>
              <w:t>Concentrated solution for infusion</w:t>
            </w:r>
          </w:p>
        </w:tc>
      </w:tr>
      <w:tr w:rsidR="008E7846" w:rsidRPr="00487162" w14:paraId="2BAD8148" w14:textId="77777777" w:rsidTr="00BF1190">
        <w:tc>
          <w:tcPr>
            <w:tcW w:w="2907" w:type="dxa"/>
          </w:tcPr>
          <w:p w14:paraId="7D253F45" w14:textId="77777777" w:rsidR="008E7846" w:rsidRPr="00487162" w:rsidRDefault="00D1768E" w:rsidP="00C11AE8">
            <w:pPr>
              <w:rPr>
                <w:i/>
              </w:rPr>
            </w:pPr>
            <w:r>
              <w:rPr>
                <w:i/>
              </w:rPr>
              <w:t>Strength</w:t>
            </w:r>
            <w:r w:rsidR="00324E45">
              <w:rPr>
                <w:i/>
              </w:rPr>
              <w:t>:</w:t>
            </w:r>
          </w:p>
        </w:tc>
        <w:tc>
          <w:tcPr>
            <w:tcW w:w="6307" w:type="dxa"/>
          </w:tcPr>
          <w:p w14:paraId="18F93686" w14:textId="77777777" w:rsidR="008E7846" w:rsidRPr="00487162" w:rsidRDefault="008C6E89" w:rsidP="00E45619">
            <w:r w:rsidRPr="00E66C1E">
              <w:rPr>
                <w:rFonts w:asciiTheme="minorHAnsi" w:hAnsiTheme="minorHAnsi"/>
              </w:rPr>
              <w:t>120</w:t>
            </w:r>
            <w:r>
              <w:rPr>
                <w:rFonts w:asciiTheme="minorHAnsi" w:hAnsiTheme="minorHAnsi"/>
              </w:rPr>
              <w:t xml:space="preserve"> </w:t>
            </w:r>
            <w:r w:rsidRPr="00E66C1E">
              <w:rPr>
                <w:rFonts w:asciiTheme="minorHAnsi" w:hAnsiTheme="minorHAnsi"/>
              </w:rPr>
              <w:t>mg/2.4 mL</w:t>
            </w:r>
            <w:r>
              <w:rPr>
                <w:rFonts w:asciiTheme="minorHAnsi" w:hAnsiTheme="minorHAnsi"/>
              </w:rPr>
              <w:t xml:space="preserve">, </w:t>
            </w:r>
            <w:r w:rsidRPr="00E66C1E">
              <w:rPr>
                <w:rFonts w:asciiTheme="minorHAnsi" w:hAnsiTheme="minorHAnsi"/>
              </w:rPr>
              <w:t>500 mg/10</w:t>
            </w:r>
            <w:r>
              <w:rPr>
                <w:rFonts w:asciiTheme="minorHAnsi" w:hAnsiTheme="minorHAnsi"/>
              </w:rPr>
              <w:t xml:space="preserve"> </w:t>
            </w:r>
            <w:r w:rsidRPr="00E66C1E">
              <w:rPr>
                <w:rFonts w:asciiTheme="minorHAnsi" w:hAnsiTheme="minorHAnsi"/>
              </w:rPr>
              <w:t>mL</w:t>
            </w:r>
            <w:r>
              <w:rPr>
                <w:rFonts w:asciiTheme="minorHAnsi" w:hAnsiTheme="minorHAnsi"/>
              </w:rPr>
              <w:t xml:space="preserve"> (</w:t>
            </w:r>
            <w:r w:rsidR="00C11AE8">
              <w:rPr>
                <w:rFonts w:asciiTheme="minorHAnsi" w:hAnsiTheme="minorHAnsi"/>
              </w:rPr>
              <w:t>50 mg/</w:t>
            </w:r>
            <w:r w:rsidR="00D1768E" w:rsidRPr="00E66C1E">
              <w:rPr>
                <w:rFonts w:asciiTheme="minorHAnsi" w:hAnsiTheme="minorHAnsi"/>
              </w:rPr>
              <w:t>mL</w:t>
            </w:r>
            <w:r>
              <w:rPr>
                <w:rFonts w:asciiTheme="minorHAnsi" w:hAnsiTheme="minorHAnsi"/>
              </w:rPr>
              <w:t>)</w:t>
            </w:r>
          </w:p>
        </w:tc>
      </w:tr>
      <w:tr w:rsidR="008E7846" w:rsidRPr="00487162" w14:paraId="6540E3C8" w14:textId="77777777" w:rsidTr="00BF1190">
        <w:tc>
          <w:tcPr>
            <w:tcW w:w="2907" w:type="dxa"/>
          </w:tcPr>
          <w:p w14:paraId="3A456F63" w14:textId="77777777" w:rsidR="008E7846" w:rsidRPr="00487162" w:rsidRDefault="00D1768E" w:rsidP="00E45619">
            <w:pPr>
              <w:rPr>
                <w:i/>
              </w:rPr>
            </w:pPr>
            <w:r>
              <w:rPr>
                <w:i/>
              </w:rPr>
              <w:t>Container</w:t>
            </w:r>
            <w:r w:rsidR="008E7846" w:rsidRPr="00487162">
              <w:rPr>
                <w:i/>
              </w:rPr>
              <w:t>:</w:t>
            </w:r>
          </w:p>
        </w:tc>
        <w:tc>
          <w:tcPr>
            <w:tcW w:w="6307" w:type="dxa"/>
          </w:tcPr>
          <w:p w14:paraId="14CF06B4" w14:textId="77777777" w:rsidR="008E7846" w:rsidRPr="00487162" w:rsidRDefault="00D1768E" w:rsidP="00E45619">
            <w:r>
              <w:t>Vial</w:t>
            </w:r>
          </w:p>
        </w:tc>
      </w:tr>
      <w:tr w:rsidR="008E7846" w:rsidRPr="00487162" w14:paraId="50E23A11" w14:textId="77777777" w:rsidTr="00BF1190">
        <w:tc>
          <w:tcPr>
            <w:tcW w:w="2907" w:type="dxa"/>
          </w:tcPr>
          <w:p w14:paraId="056F58EF" w14:textId="77777777" w:rsidR="008E7846" w:rsidRPr="00487162" w:rsidRDefault="008E7846" w:rsidP="00D1768E">
            <w:pPr>
              <w:rPr>
                <w:i/>
              </w:rPr>
            </w:pPr>
            <w:r w:rsidRPr="00487162">
              <w:rPr>
                <w:i/>
              </w:rPr>
              <w:t xml:space="preserve">Pack </w:t>
            </w:r>
            <w:r w:rsidR="00D1768E">
              <w:rPr>
                <w:i/>
              </w:rPr>
              <w:t>size</w:t>
            </w:r>
            <w:r w:rsidRPr="00487162">
              <w:rPr>
                <w:i/>
              </w:rPr>
              <w:t>:</w:t>
            </w:r>
          </w:p>
        </w:tc>
        <w:tc>
          <w:tcPr>
            <w:tcW w:w="6307" w:type="dxa"/>
          </w:tcPr>
          <w:p w14:paraId="1BB3842C" w14:textId="77777777" w:rsidR="008E7846" w:rsidRPr="00487162" w:rsidRDefault="00D1768E" w:rsidP="00E45619">
            <w:r>
              <w:t>1</w:t>
            </w:r>
          </w:p>
        </w:tc>
      </w:tr>
      <w:tr w:rsidR="008E7846" w:rsidRPr="00487162" w14:paraId="0D160578" w14:textId="77777777" w:rsidTr="00BF1190">
        <w:tc>
          <w:tcPr>
            <w:tcW w:w="2907" w:type="dxa"/>
          </w:tcPr>
          <w:p w14:paraId="11DA6CDB"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038EB666" w14:textId="77777777" w:rsidR="00000D63" w:rsidRPr="00000D63" w:rsidRDefault="00000D63" w:rsidP="00000D63">
            <w:pPr>
              <w:rPr>
                <w:i/>
              </w:rPr>
            </w:pPr>
            <w:r w:rsidRPr="00000D63">
              <w:rPr>
                <w:i/>
              </w:rPr>
              <w:t>Small cell lung cancer (SCLC)</w:t>
            </w:r>
          </w:p>
          <w:p w14:paraId="14F81A4F" w14:textId="611FAC24" w:rsidR="008E7846" w:rsidRPr="00000D63" w:rsidRDefault="00000D63" w:rsidP="00000D63">
            <w:pPr>
              <w:rPr>
                <w:i/>
              </w:rPr>
            </w:pPr>
            <w:r w:rsidRPr="00000D63">
              <w:rPr>
                <w:i/>
              </w:rPr>
              <w:t>I</w:t>
            </w:r>
            <w:r>
              <w:rPr>
                <w:i/>
              </w:rPr>
              <w:t>mfinzi</w:t>
            </w:r>
            <w:r w:rsidRPr="00000D63">
              <w:rPr>
                <w:i/>
              </w:rPr>
              <w:t xml:space="preserve"> (</w:t>
            </w:r>
            <w:proofErr w:type="spellStart"/>
            <w:r w:rsidRPr="00000D63">
              <w:rPr>
                <w:i/>
              </w:rPr>
              <w:t>durvalumab</w:t>
            </w:r>
            <w:proofErr w:type="spellEnd"/>
            <w:r w:rsidRPr="00000D63">
              <w:rPr>
                <w:i/>
              </w:rPr>
              <w:t>) in combination with etoposide and eit</w:t>
            </w:r>
            <w:r>
              <w:rPr>
                <w:i/>
              </w:rPr>
              <w:t xml:space="preserve">her carboplatin or cisplatin is </w:t>
            </w:r>
            <w:r w:rsidRPr="00000D63">
              <w:rPr>
                <w:i/>
              </w:rPr>
              <w:t>indicated for the first-line treatment of patients with extensive-stage s</w:t>
            </w:r>
            <w:r>
              <w:rPr>
                <w:i/>
              </w:rPr>
              <w:t>mall cell lung cancer (ES</w:t>
            </w:r>
            <w:r w:rsidR="00740C81">
              <w:rPr>
                <w:i/>
              </w:rPr>
              <w:t>-</w:t>
            </w:r>
            <w:r>
              <w:rPr>
                <w:i/>
              </w:rPr>
              <w:t>SCLC).</w:t>
            </w:r>
          </w:p>
        </w:tc>
      </w:tr>
      <w:tr w:rsidR="008E7846" w:rsidRPr="00487162" w14:paraId="52AC299F" w14:textId="77777777" w:rsidTr="00BF1190">
        <w:tc>
          <w:tcPr>
            <w:tcW w:w="2907" w:type="dxa"/>
          </w:tcPr>
          <w:p w14:paraId="20DC8BFC" w14:textId="77777777" w:rsidR="008E7846" w:rsidRPr="00487162" w:rsidRDefault="00000D63" w:rsidP="00E45619">
            <w:pPr>
              <w:rPr>
                <w:i/>
              </w:rPr>
            </w:pPr>
            <w:r>
              <w:rPr>
                <w:i/>
              </w:rPr>
              <w:t>Route</w:t>
            </w:r>
            <w:r w:rsidR="008E7846" w:rsidRPr="00487162">
              <w:rPr>
                <w:i/>
              </w:rPr>
              <w:t xml:space="preserve"> of administration:</w:t>
            </w:r>
          </w:p>
        </w:tc>
        <w:tc>
          <w:tcPr>
            <w:tcW w:w="6307" w:type="dxa"/>
          </w:tcPr>
          <w:p w14:paraId="47F30FA6" w14:textId="77777777" w:rsidR="008E7846" w:rsidRPr="00487162" w:rsidRDefault="00000D63" w:rsidP="00E45619">
            <w:r>
              <w:t>Intravenous</w:t>
            </w:r>
            <w:r w:rsidR="00F032F1">
              <w:t xml:space="preserve"> (IV)</w:t>
            </w:r>
            <w:r>
              <w:t xml:space="preserve"> infusion</w:t>
            </w:r>
          </w:p>
        </w:tc>
      </w:tr>
      <w:tr w:rsidR="008E7846" w:rsidRPr="00487162" w14:paraId="7B9D8D0D" w14:textId="77777777" w:rsidTr="00BF1190">
        <w:tc>
          <w:tcPr>
            <w:tcW w:w="2907" w:type="dxa"/>
          </w:tcPr>
          <w:p w14:paraId="31C59C31" w14:textId="77777777" w:rsidR="008E7846" w:rsidRPr="00487162" w:rsidRDefault="008E7846" w:rsidP="00E45619">
            <w:pPr>
              <w:rPr>
                <w:i/>
              </w:rPr>
            </w:pPr>
            <w:r w:rsidRPr="00487162">
              <w:rPr>
                <w:i/>
              </w:rPr>
              <w:t>Dosage:</w:t>
            </w:r>
          </w:p>
        </w:tc>
        <w:tc>
          <w:tcPr>
            <w:tcW w:w="6307" w:type="dxa"/>
          </w:tcPr>
          <w:p w14:paraId="0505DF11" w14:textId="77777777" w:rsidR="00287062" w:rsidRDefault="00287062" w:rsidP="00287062">
            <w:r>
              <w:t>The recommended dose of Imfinzi depends on the indication. Imfinzi is administered as an intravenous infusion over 1 hour. Imfinzi is for single use in one patient only. Discard any residue.</w:t>
            </w:r>
          </w:p>
          <w:p w14:paraId="4D4B4BCB" w14:textId="5529566E" w:rsidR="00287062" w:rsidRDefault="00287062" w:rsidP="00287062">
            <w:r w:rsidRPr="00287062">
              <w:rPr>
                <w:b/>
              </w:rPr>
              <w:t xml:space="preserve">Urothelial </w:t>
            </w:r>
            <w:r w:rsidR="00904497">
              <w:rPr>
                <w:b/>
              </w:rPr>
              <w:t>c</w:t>
            </w:r>
            <w:r w:rsidRPr="00287062">
              <w:rPr>
                <w:b/>
              </w:rPr>
              <w:t>arcinoma</w:t>
            </w:r>
            <w:r w:rsidR="005C7DB3">
              <w:t>: 10 </w:t>
            </w:r>
            <w:r>
              <w:t>mg/kg every 2 weeks.</w:t>
            </w:r>
          </w:p>
          <w:p w14:paraId="5CA78290" w14:textId="41D2605C" w:rsidR="00287062" w:rsidRDefault="00287062" w:rsidP="00287062">
            <w:r w:rsidRPr="00287062">
              <w:rPr>
                <w:b/>
              </w:rPr>
              <w:lastRenderedPageBreak/>
              <w:t xml:space="preserve">Locally advanced </w:t>
            </w:r>
            <w:r w:rsidR="00752ED5">
              <w:rPr>
                <w:b/>
              </w:rPr>
              <w:t>non-small</w:t>
            </w:r>
            <w:r w:rsidRPr="00287062">
              <w:rPr>
                <w:b/>
              </w:rPr>
              <w:t xml:space="preserve"> cell lung cancer (NSCLC)</w:t>
            </w:r>
            <w:r w:rsidR="005C7DB3">
              <w:t>: 10 </w:t>
            </w:r>
            <w:r>
              <w:t>mg/kg every 2 weeks.</w:t>
            </w:r>
          </w:p>
          <w:p w14:paraId="2148A3A8" w14:textId="0B841B5C" w:rsidR="00287062" w:rsidRPr="00287062" w:rsidRDefault="00287062" w:rsidP="00287062">
            <w:r>
              <w:rPr>
                <w:b/>
              </w:rPr>
              <w:t xml:space="preserve">Extensive stage </w:t>
            </w:r>
            <w:r w:rsidRPr="00287062">
              <w:rPr>
                <w:b/>
              </w:rPr>
              <w:t>small cell lung cancer (</w:t>
            </w:r>
            <w:r>
              <w:rPr>
                <w:b/>
              </w:rPr>
              <w:t>ES</w:t>
            </w:r>
            <w:r w:rsidR="00740C81">
              <w:rPr>
                <w:b/>
              </w:rPr>
              <w:t>-</w:t>
            </w:r>
            <w:r w:rsidRPr="00287062">
              <w:rPr>
                <w:b/>
              </w:rPr>
              <w:t>SCLC)</w:t>
            </w:r>
            <w:r w:rsidRPr="00287062">
              <w:t xml:space="preserve">: </w:t>
            </w:r>
            <w:r w:rsidR="005C7DB3">
              <w:t>1500 </w:t>
            </w:r>
            <w:r>
              <w:t>mg in combination with chemotherap</w:t>
            </w:r>
            <w:r w:rsidR="005C7DB3">
              <w:t>y every 3 weeks (21 days) for 4 </w:t>
            </w:r>
            <w:r>
              <w:t>cycles, followed by 1500 mg every 4 weeks as monotherapy</w:t>
            </w:r>
          </w:p>
          <w:p w14:paraId="7ABB3999" w14:textId="77777777" w:rsidR="00460036" w:rsidRPr="00487162" w:rsidRDefault="00460036" w:rsidP="00287062">
            <w:r w:rsidRPr="00460036">
              <w:t>For further information regarding dosage, refer to the Product Information.</w:t>
            </w:r>
          </w:p>
        </w:tc>
      </w:tr>
      <w:tr w:rsidR="00460036" w:rsidRPr="00487162" w14:paraId="458AA1CA" w14:textId="77777777" w:rsidTr="00BF1190">
        <w:tc>
          <w:tcPr>
            <w:tcW w:w="2907" w:type="dxa"/>
          </w:tcPr>
          <w:p w14:paraId="66393045" w14:textId="77777777" w:rsidR="00460036" w:rsidRPr="00487162" w:rsidRDefault="00460036" w:rsidP="00E45619">
            <w:pPr>
              <w:rPr>
                <w:i/>
              </w:rPr>
            </w:pPr>
            <w:r w:rsidRPr="00460036">
              <w:rPr>
                <w:i/>
              </w:rPr>
              <w:lastRenderedPageBreak/>
              <w:t>Pregnancy category</w:t>
            </w:r>
            <w:r>
              <w:rPr>
                <w:i/>
              </w:rPr>
              <w:t>:</w:t>
            </w:r>
          </w:p>
        </w:tc>
        <w:tc>
          <w:tcPr>
            <w:tcW w:w="6307" w:type="dxa"/>
          </w:tcPr>
          <w:p w14:paraId="3AFDAD58" w14:textId="77777777" w:rsidR="00287062" w:rsidRDefault="00287062" w:rsidP="00460036">
            <w:r>
              <w:t>D</w:t>
            </w:r>
          </w:p>
          <w:p w14:paraId="30EFE07C" w14:textId="77777777" w:rsidR="00287062" w:rsidRDefault="00287062" w:rsidP="00460036">
            <w:r w:rsidRPr="00287062">
              <w:t>Drugs which have caused, are suspected to have caused or may be expected to cause, an increased incidence of human fetal malformations or irreversible damage. These drugs may also have adverse pharmacological effects. Accompanying texts should be consulted for further details.</w:t>
            </w:r>
          </w:p>
          <w:p w14:paraId="7D83D4E0" w14:textId="77777777" w:rsidR="00460036" w:rsidRPr="00487162" w:rsidRDefault="00460036" w:rsidP="00460036">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w:t>
            </w:r>
            <w:r w:rsidR="00287062">
              <w:t>ices in your State or Territory.</w:t>
            </w:r>
          </w:p>
        </w:tc>
      </w:tr>
    </w:tbl>
    <w:p w14:paraId="726DAB81" w14:textId="77777777" w:rsidR="008E7846" w:rsidRDefault="008E7846" w:rsidP="008E7846">
      <w:pPr>
        <w:pStyle w:val="Heading3"/>
      </w:pPr>
      <w:bookmarkStart w:id="13" w:name="_Toc247691503"/>
      <w:bookmarkStart w:id="14" w:name="_Toc314842484"/>
      <w:bookmarkStart w:id="15" w:name="_Toc69718710"/>
      <w:r>
        <w:t>Product background</w:t>
      </w:r>
      <w:bookmarkEnd w:id="13"/>
      <w:bookmarkEnd w:id="14"/>
      <w:bookmarkEnd w:id="15"/>
    </w:p>
    <w:p w14:paraId="74596DFE" w14:textId="77777777" w:rsidR="008E7846" w:rsidRDefault="00250271" w:rsidP="00940A89">
      <w:r w:rsidRPr="00250271">
        <w:t>This AusPA</w:t>
      </w:r>
      <w:r w:rsidR="00287062">
        <w:t>R describes the application by AstraZeneca Pty Ltd</w:t>
      </w:r>
      <w:r w:rsidRPr="00250271">
        <w:t xml:space="preserve"> (the sponsor)</w:t>
      </w:r>
      <w:r w:rsidR="00287062">
        <w:t xml:space="preserve"> to register Imfinzi </w:t>
      </w:r>
      <w:r w:rsidRPr="00250271">
        <w:t>(</w:t>
      </w:r>
      <w:proofErr w:type="spellStart"/>
      <w:r w:rsidR="00287062">
        <w:t>durvalumab</w:t>
      </w:r>
      <w:proofErr w:type="spellEnd"/>
      <w:r w:rsidR="008A4679">
        <w:t xml:space="preserve">) </w:t>
      </w:r>
      <w:r w:rsidR="008A4679" w:rsidRPr="00E66C1E">
        <w:rPr>
          <w:rFonts w:asciiTheme="minorHAnsi" w:hAnsiTheme="minorHAnsi"/>
        </w:rPr>
        <w:t>120</w:t>
      </w:r>
      <w:r w:rsidR="008A4679">
        <w:rPr>
          <w:rFonts w:asciiTheme="minorHAnsi" w:hAnsiTheme="minorHAnsi"/>
        </w:rPr>
        <w:t xml:space="preserve"> </w:t>
      </w:r>
      <w:r w:rsidR="008A4679" w:rsidRPr="00E66C1E">
        <w:rPr>
          <w:rFonts w:asciiTheme="minorHAnsi" w:hAnsiTheme="minorHAnsi"/>
        </w:rPr>
        <w:t>mg/2.4 mL</w:t>
      </w:r>
      <w:r w:rsidR="008A4679">
        <w:rPr>
          <w:rFonts w:asciiTheme="minorHAnsi" w:hAnsiTheme="minorHAnsi"/>
        </w:rPr>
        <w:t xml:space="preserve">, </w:t>
      </w:r>
      <w:r w:rsidR="008A4679" w:rsidRPr="00E66C1E">
        <w:rPr>
          <w:rFonts w:asciiTheme="minorHAnsi" w:hAnsiTheme="minorHAnsi"/>
        </w:rPr>
        <w:t>500 mg/10</w:t>
      </w:r>
      <w:r w:rsidR="008A4679">
        <w:rPr>
          <w:rFonts w:asciiTheme="minorHAnsi" w:hAnsiTheme="minorHAnsi"/>
        </w:rPr>
        <w:t xml:space="preserve"> </w:t>
      </w:r>
      <w:r w:rsidR="008A4679" w:rsidRPr="00E66C1E">
        <w:rPr>
          <w:rFonts w:asciiTheme="minorHAnsi" w:hAnsiTheme="minorHAnsi"/>
        </w:rPr>
        <w:t>mL</w:t>
      </w:r>
      <w:r w:rsidRPr="00250271">
        <w:t xml:space="preserve">, </w:t>
      </w:r>
      <w:r w:rsidR="008A4679">
        <w:t xml:space="preserve">concentration solution for infusion for the following </w:t>
      </w:r>
      <w:r w:rsidRPr="00250271">
        <w:t>extension of indications</w:t>
      </w:r>
      <w:r w:rsidR="00CF5DAD">
        <w:t>:</w:t>
      </w:r>
    </w:p>
    <w:p w14:paraId="25DDAC7A" w14:textId="77777777" w:rsidR="008A4679" w:rsidRPr="008A4679" w:rsidRDefault="00F032F1" w:rsidP="00806C04">
      <w:pPr>
        <w:ind w:left="720"/>
        <w:rPr>
          <w:i/>
        </w:rPr>
      </w:pPr>
      <w:r>
        <w:rPr>
          <w:i/>
        </w:rPr>
        <w:t>Small cell lung cancer</w:t>
      </w:r>
    </w:p>
    <w:p w14:paraId="442E79E5" w14:textId="77777777" w:rsidR="007A6505" w:rsidRPr="008A4679" w:rsidRDefault="008A4679" w:rsidP="00806C04">
      <w:pPr>
        <w:ind w:left="720"/>
        <w:rPr>
          <w:i/>
        </w:rPr>
      </w:pPr>
      <w:r w:rsidRPr="008A4679">
        <w:rPr>
          <w:i/>
        </w:rPr>
        <w:t>I</w:t>
      </w:r>
      <w:r>
        <w:rPr>
          <w:i/>
        </w:rPr>
        <w:t>mfinzi</w:t>
      </w:r>
      <w:r w:rsidRPr="008A4679">
        <w:rPr>
          <w:i/>
        </w:rPr>
        <w:t xml:space="preserve"> (</w:t>
      </w:r>
      <w:proofErr w:type="spellStart"/>
      <w:r w:rsidRPr="008A4679">
        <w:rPr>
          <w:i/>
        </w:rPr>
        <w:t>durvalumab</w:t>
      </w:r>
      <w:proofErr w:type="spellEnd"/>
      <w:r w:rsidRPr="008A4679">
        <w:rPr>
          <w:i/>
        </w:rPr>
        <w:t>) in combination with etoposide and either carboplatin or cisplatin is indicated for the first-line treatment of patients with extensive-stage</w:t>
      </w:r>
      <w:r w:rsidR="00F032F1">
        <w:rPr>
          <w:i/>
        </w:rPr>
        <w:t xml:space="preserve"> small cell lung cancer</w:t>
      </w:r>
      <w:r w:rsidRPr="008A4679">
        <w:rPr>
          <w:i/>
        </w:rPr>
        <w:t>.</w:t>
      </w:r>
    </w:p>
    <w:p w14:paraId="46071B29" w14:textId="5955D2E9" w:rsidR="008A4679" w:rsidRPr="008A4679" w:rsidRDefault="008A4679" w:rsidP="008A4679">
      <w:bookmarkStart w:id="16" w:name="_Toc314842485"/>
      <w:bookmarkStart w:id="17" w:name="_Toc247691504"/>
      <w:r w:rsidRPr="008A4679">
        <w:t xml:space="preserve">Small cell lung cancer (SCLC) is a neuroendocrine tumour that comprises approximately 15% of all lung cancer diagnoses. It is aggressive, characterised by rapid tumour growth, high vascularity, genomic stability, and early metastatic dissemination. It typically has a high mutational burden, which includes a bi-allelic inactivation of tumour suppressor </w:t>
      </w:r>
      <w:r w:rsidRPr="00396123">
        <w:rPr>
          <w:i/>
        </w:rPr>
        <w:t>TP53</w:t>
      </w:r>
      <w:r w:rsidRPr="008A4679">
        <w:t xml:space="preserve"> and retinoblastoma </w:t>
      </w:r>
      <w:r w:rsidRPr="00396123">
        <w:rPr>
          <w:i/>
        </w:rPr>
        <w:t>RB1</w:t>
      </w:r>
      <w:r w:rsidRPr="008A4679">
        <w:t xml:space="preserve"> genes in almost all cases. It often presents as disseminated disease.</w:t>
      </w:r>
    </w:p>
    <w:p w14:paraId="19A9CCFD" w14:textId="230DCF5D" w:rsidR="008A4679" w:rsidRPr="008A4679" w:rsidRDefault="008A4679" w:rsidP="008A4679">
      <w:r w:rsidRPr="008A4679">
        <w:t>SCLC is typically divided in to limited stage</w:t>
      </w:r>
      <w:r w:rsidR="00904497">
        <w:t xml:space="preserve"> small cell lung cancer</w:t>
      </w:r>
      <w:r w:rsidRPr="008A4679">
        <w:t xml:space="preserve"> (L</w:t>
      </w:r>
      <w:r w:rsidR="00F032F1">
        <w:t>S</w:t>
      </w:r>
      <w:r w:rsidR="004B0BF9">
        <w:t>-</w:t>
      </w:r>
      <w:r w:rsidR="00F032F1">
        <w:t xml:space="preserve">SCLC) and extensive stage </w:t>
      </w:r>
      <w:r w:rsidR="00904497">
        <w:t xml:space="preserve">small cell lung cancer </w:t>
      </w:r>
      <w:r w:rsidR="00F032F1">
        <w:t>(ES</w:t>
      </w:r>
      <w:r w:rsidR="004B0BF9">
        <w:t>-</w:t>
      </w:r>
      <w:r w:rsidR="00F032F1">
        <w:t>SCLC). LS</w:t>
      </w:r>
      <w:r w:rsidR="004B0BF9">
        <w:t>-</w:t>
      </w:r>
      <w:r w:rsidRPr="008A4679">
        <w:t xml:space="preserve">SCLC is disease limited to the ipsilateral </w:t>
      </w:r>
      <w:proofErr w:type="spellStart"/>
      <w:r w:rsidRPr="008A4679">
        <w:t>hemithorax</w:t>
      </w:r>
      <w:proofErr w:type="spellEnd"/>
      <w:r w:rsidRPr="008A4679">
        <w:t xml:space="preserve"> and regional lymph nodes and can be encompassed in a safe radiotherapy field. </w:t>
      </w:r>
    </w:p>
    <w:p w14:paraId="2229B844" w14:textId="77777777" w:rsidR="008A4679" w:rsidRPr="008A4679" w:rsidRDefault="00F032F1" w:rsidP="008A4679">
      <w:r>
        <w:t>ES</w:t>
      </w:r>
      <w:r w:rsidR="004B0BF9">
        <w:t>-</w:t>
      </w:r>
      <w:r w:rsidR="008A4679" w:rsidRPr="008A4679">
        <w:t>SCLC is disease that has spread to include distant metastases, malignant pericardial or pleural effusions and/or contralateral supraclavicular and contralateral hilar lymph node involvement. It is the most common form of SC</w:t>
      </w:r>
      <w:r>
        <w:t>LC at diagnosis (about 70%). ES</w:t>
      </w:r>
      <w:r w:rsidR="004B0BF9">
        <w:t>-</w:t>
      </w:r>
      <w:r w:rsidR="008A4679" w:rsidRPr="008A4679">
        <w:t>SCLC is strongly correlated with cigarette smoking; at least 90% of patients have a heavy smoking histo</w:t>
      </w:r>
      <w:r>
        <w:t>ry. As noted by the sponsor, ES</w:t>
      </w:r>
      <w:r w:rsidR="004B0BF9">
        <w:t>-</w:t>
      </w:r>
      <w:r w:rsidR="008A4679" w:rsidRPr="008A4679">
        <w:t>SCLC is usually initially sensitive to chemotherapy but most patients relapse within a year</w:t>
      </w:r>
      <w:r>
        <w:t xml:space="preserve"> of therapy. The outlook for ES</w:t>
      </w:r>
      <w:r w:rsidR="004B0BF9">
        <w:t>-</w:t>
      </w:r>
      <w:r w:rsidR="008A4679" w:rsidRPr="008A4679">
        <w:t xml:space="preserve">SCLC is generally poor with a median </w:t>
      </w:r>
      <w:r>
        <w:t>overall survival (</w:t>
      </w:r>
      <w:r w:rsidR="008A4679" w:rsidRPr="008A4679">
        <w:t>OS</w:t>
      </w:r>
      <w:r>
        <w:t>)</w:t>
      </w:r>
      <w:r w:rsidR="008A4679" w:rsidRPr="008A4679">
        <w:t xml:space="preserve"> of &lt; 12 months and a 1 to 2% 5 year survival.</w:t>
      </w:r>
    </w:p>
    <w:p w14:paraId="358EBE94" w14:textId="77DE49FE" w:rsidR="008A4679" w:rsidRPr="008A4679" w:rsidRDefault="008A4679" w:rsidP="008A4679">
      <w:r w:rsidRPr="008A4679">
        <w:lastRenderedPageBreak/>
        <w:t xml:space="preserve">Etoposide and </w:t>
      </w:r>
      <w:r w:rsidR="00CF63FD">
        <w:t xml:space="preserve">platinum based chemotherapy (EP), either </w:t>
      </w:r>
      <w:r w:rsidRPr="008A4679">
        <w:t>carboplatin or cisplatin</w:t>
      </w:r>
      <w:r w:rsidR="003E1D32">
        <w:t xml:space="preserve"> </w:t>
      </w:r>
      <w:r w:rsidRPr="008A4679">
        <w:t>has been the main</w:t>
      </w:r>
      <w:r w:rsidR="00117957">
        <w:t xml:space="preserve">stay of therapy for many years. </w:t>
      </w:r>
      <w:r w:rsidRPr="008A4679">
        <w:t>In the submission the sponsor noted ther</w:t>
      </w:r>
      <w:r w:rsidR="004B0BF9">
        <w:t>e no large P</w:t>
      </w:r>
      <w:r w:rsidRPr="008A4679">
        <w:t>hase III studies that compare cisplatin/etoposide with carboplatin/etoposide in E</w:t>
      </w:r>
      <w:r w:rsidR="004B0BF9">
        <w:t>S-SCLC, although several large P</w:t>
      </w:r>
      <w:r w:rsidRPr="008A4679">
        <w:t>hase</w:t>
      </w:r>
      <w:r w:rsidR="00D663F2">
        <w:t> </w:t>
      </w:r>
      <w:r w:rsidRPr="008A4679">
        <w:t>III studies using EP as the comparator in this setting have re</w:t>
      </w:r>
      <w:r w:rsidR="00117957">
        <w:t xml:space="preserve">ported the medial </w:t>
      </w:r>
      <w:r w:rsidR="00B6416B">
        <w:t>p</w:t>
      </w:r>
      <w:r w:rsidR="00B6416B" w:rsidRPr="00B6416B">
        <w:t xml:space="preserve">rogression-free survival </w:t>
      </w:r>
      <w:r w:rsidR="00B6416B">
        <w:t>(</w:t>
      </w:r>
      <w:r w:rsidR="00117957">
        <w:t>PFS</w:t>
      </w:r>
      <w:r w:rsidR="00B6416B">
        <w:t>)</w:t>
      </w:r>
      <w:r w:rsidR="00117957">
        <w:t xml:space="preserve"> between 4 to </w:t>
      </w:r>
      <w:r w:rsidRPr="008A4679">
        <w:t>6 months and median OS betwee</w:t>
      </w:r>
      <w:r w:rsidR="00117957">
        <w:t xml:space="preserve">n 7 to </w:t>
      </w:r>
      <w:r w:rsidR="00C11AE8">
        <w:t>11</w:t>
      </w:r>
      <w:r w:rsidR="001702A4">
        <w:t> </w:t>
      </w:r>
      <w:r w:rsidR="00C11AE8">
        <w:t>months</w:t>
      </w:r>
      <w:r w:rsidRPr="008A4679">
        <w:t>.</w:t>
      </w:r>
      <w:r w:rsidR="00C11AE8">
        <w:rPr>
          <w:rStyle w:val="FootnoteReference"/>
        </w:rPr>
        <w:footnoteReference w:id="3"/>
      </w:r>
      <w:r w:rsidR="004B0BF9">
        <w:t xml:space="preserve"> In addition, a randomised P</w:t>
      </w:r>
      <w:r w:rsidRPr="008A4679">
        <w:t>hase III st</w:t>
      </w:r>
      <w:r w:rsidR="00B6416B">
        <w:t>udy reported the median PFS in first</w:t>
      </w:r>
      <w:r w:rsidRPr="008A4679">
        <w:t xml:space="preserve"> line treatment of ED-SCLC for EP as a control arm was 4.4 months and the median OS w</w:t>
      </w:r>
      <w:r w:rsidR="00F6552D">
        <w:t>as 10.9 months</w:t>
      </w:r>
      <w:r w:rsidRPr="008A4679">
        <w:t>.</w:t>
      </w:r>
      <w:r w:rsidR="00F6552D">
        <w:rPr>
          <w:rStyle w:val="FootnoteReference"/>
        </w:rPr>
        <w:footnoteReference w:id="4"/>
      </w:r>
    </w:p>
    <w:p w14:paraId="4031FE3F" w14:textId="609A34A5" w:rsidR="008A4679" w:rsidRPr="008A4679" w:rsidRDefault="008A4679" w:rsidP="008A4679">
      <w:r w:rsidRPr="008A4679">
        <w:t xml:space="preserve">Atezolizumab was registered in July 2019 in combination with carboplatin and etoposide for the treatment of ES-SCLC, and has </w:t>
      </w:r>
      <w:r w:rsidR="003E1D32" w:rsidRPr="003E1D32">
        <w:t xml:space="preserve">Pharmaceutical Benefits Scheme </w:t>
      </w:r>
      <w:r w:rsidR="003E1D32">
        <w:t>(</w:t>
      </w:r>
      <w:r w:rsidRPr="008A4679">
        <w:t>PBS</w:t>
      </w:r>
      <w:r w:rsidR="003E1D32">
        <w:t>)</w:t>
      </w:r>
      <w:r w:rsidRPr="008A4679">
        <w:t xml:space="preserve"> listing for this indication. In the registration study the median overall</w:t>
      </w:r>
      <w:r w:rsidR="003E1D32">
        <w:t xml:space="preserve"> survival was 12.3 months (95% confidence interval (CI)</w:t>
      </w:r>
      <w:r w:rsidRPr="008A4679">
        <w:t xml:space="preserve"> 10.8, 15.9) versus 10.3 months (95% CI 9.3, 11.3), stratified </w:t>
      </w:r>
      <w:r w:rsidR="003E1D32" w:rsidRPr="003E1D32">
        <w:t>hazard ratio</w:t>
      </w:r>
      <w:r w:rsidR="003E1D32">
        <w:t xml:space="preserve"> (</w:t>
      </w:r>
      <w:r w:rsidRPr="008A4679">
        <w:t>HR</w:t>
      </w:r>
      <w:r w:rsidR="003E1D32">
        <w:t>)</w:t>
      </w:r>
      <w:r w:rsidRPr="008A4679">
        <w:t xml:space="preserve"> 0.7 (0.54, 0.91), OS 12 (51.7% </w:t>
      </w:r>
      <w:r w:rsidR="003E1D32">
        <w:t>versus</w:t>
      </w:r>
      <w:r w:rsidRPr="008A4679">
        <w:t xml:space="preserve"> 38.2%) and a median PFS of 5.2</w:t>
      </w:r>
      <w:r w:rsidR="001702A4">
        <w:t> </w:t>
      </w:r>
      <w:r w:rsidRPr="008A4679">
        <w:t xml:space="preserve">months (4.4, 5.6) versus 4.3 months (4.2, 4.5), 6 months PFS 30.9% </w:t>
      </w:r>
      <w:r w:rsidR="003E1D32">
        <w:t>versus</w:t>
      </w:r>
      <w:r w:rsidRPr="008A4679">
        <w:t xml:space="preserve"> 22.4% and 12 months PFS 12.6% </w:t>
      </w:r>
      <w:r w:rsidR="003E1D32">
        <w:t>versus</w:t>
      </w:r>
      <w:r w:rsidRPr="008A4679">
        <w:t xml:space="preserve"> 5.4% for the atezolizumab plus carboplatin plus etoposide versus carboplatin plus etoposide alone, respectively.</w:t>
      </w:r>
    </w:p>
    <w:p w14:paraId="58F37F7E" w14:textId="335717BB" w:rsidR="008A4679" w:rsidRPr="008A4679" w:rsidRDefault="008A4679" w:rsidP="008A4679">
      <w:r w:rsidRPr="008A4679">
        <w:t xml:space="preserve">The Australian </w:t>
      </w:r>
      <w:proofErr w:type="spellStart"/>
      <w:r w:rsidRPr="008A4679">
        <w:t>eviQ</w:t>
      </w:r>
      <w:bookmarkStart w:id="18" w:name="_Ref67304069"/>
      <w:proofErr w:type="spellEnd"/>
      <w:r w:rsidR="001702A4">
        <w:rPr>
          <w:rStyle w:val="FootnoteReference"/>
        </w:rPr>
        <w:footnoteReference w:id="5"/>
      </w:r>
      <w:bookmarkEnd w:id="18"/>
      <w:r w:rsidRPr="008A4679">
        <w:t xml:space="preserve"> clinical guidelines fo</w:t>
      </w:r>
      <w:r w:rsidR="003E1D32">
        <w:t>r ES-SCLC include atezolizumab plus carboplatin plus</w:t>
      </w:r>
      <w:r w:rsidRPr="008A4679">
        <w:t xml:space="preserve"> etoposide (first line); </w:t>
      </w:r>
      <w:proofErr w:type="spellStart"/>
      <w:r w:rsidRPr="008A4679">
        <w:t>topo</w:t>
      </w:r>
      <w:r w:rsidR="003E1D32">
        <w:t>tecan</w:t>
      </w:r>
      <w:proofErr w:type="spellEnd"/>
      <w:r w:rsidR="003E1D32">
        <w:t xml:space="preserve"> (second line); etoposide plus</w:t>
      </w:r>
      <w:r w:rsidRPr="008A4679">
        <w:t xml:space="preserve"> carboplatin or cispl</w:t>
      </w:r>
      <w:r w:rsidR="003E1D32">
        <w:t xml:space="preserve">atin (first line); doxorubicin plus vincristine plus cyclophosphamide; </w:t>
      </w:r>
      <w:proofErr w:type="spellStart"/>
      <w:r w:rsidR="003E1D32">
        <w:t>irinotecan</w:t>
      </w:r>
      <w:proofErr w:type="spellEnd"/>
      <w:r w:rsidR="003E1D32">
        <w:t xml:space="preserve"> plus</w:t>
      </w:r>
      <w:r w:rsidRPr="008A4679">
        <w:t xml:space="preserve"> c</w:t>
      </w:r>
      <w:r w:rsidR="003E1D32">
        <w:t>isplatin as treatment options.</w:t>
      </w:r>
    </w:p>
    <w:p w14:paraId="106EDEFE" w14:textId="2E15420D" w:rsidR="008A4679" w:rsidRPr="008A4679" w:rsidRDefault="003E1D32" w:rsidP="008A4679">
      <w:r>
        <w:t xml:space="preserve">The </w:t>
      </w:r>
      <w:r w:rsidR="00A340D7">
        <w:t xml:space="preserve">American </w:t>
      </w:r>
      <w:r>
        <w:t xml:space="preserve">2020 </w:t>
      </w:r>
      <w:r w:rsidR="00A340D7">
        <w:t>N</w:t>
      </w:r>
      <w:r>
        <w:t xml:space="preserve">ational </w:t>
      </w:r>
      <w:r w:rsidR="00A340D7">
        <w:t>C</w:t>
      </w:r>
      <w:r>
        <w:t xml:space="preserve">omprehensive </w:t>
      </w:r>
      <w:r w:rsidR="00A340D7">
        <w:t>C</w:t>
      </w:r>
      <w:r>
        <w:t xml:space="preserve">ancer </w:t>
      </w:r>
      <w:r w:rsidR="00A340D7">
        <w:t>N</w:t>
      </w:r>
      <w:r w:rsidR="008A4679" w:rsidRPr="008A4679">
        <w:t>etwork (NCCN)</w:t>
      </w:r>
      <w:r w:rsidR="00A340D7">
        <w:rPr>
          <w:rStyle w:val="FootnoteReference"/>
        </w:rPr>
        <w:footnoteReference w:id="6"/>
      </w:r>
      <w:r w:rsidR="008A4679" w:rsidRPr="008A4679">
        <w:t xml:space="preserve"> guidelines include atezolizumab or </w:t>
      </w:r>
      <w:proofErr w:type="spellStart"/>
      <w:r w:rsidR="008A4679" w:rsidRPr="008A4679">
        <w:t>durvalumab</w:t>
      </w:r>
      <w:proofErr w:type="spellEnd"/>
      <w:r w:rsidR="008A4679" w:rsidRPr="008A4679">
        <w:t xml:space="preserve"> +carboplatin + etoposide as the first-line preferred systemic therapy option followed by maintenance atezolizumab or </w:t>
      </w:r>
      <w:proofErr w:type="spellStart"/>
      <w:r w:rsidR="008A4679" w:rsidRPr="008A4679">
        <w:t>durvalumab</w:t>
      </w:r>
      <w:proofErr w:type="spellEnd"/>
      <w:r w:rsidR="008A4679" w:rsidRPr="008A4679">
        <w:t>. The guidance has recently been updated (11 August 2020) to recommend four cycles of systemic therapy but notes that s</w:t>
      </w:r>
      <w:r>
        <w:t>ome patients may receive up to six</w:t>
      </w:r>
      <w:r w:rsidR="008A4679" w:rsidRPr="008A4679">
        <w:t xml:space="preserve"> cycles based on r</w:t>
      </w:r>
      <w:r>
        <w:t>esponse and tolerability after four</w:t>
      </w:r>
      <w:r w:rsidR="008A4679" w:rsidRPr="008A4679">
        <w:t xml:space="preserve"> cycles.</w:t>
      </w:r>
    </w:p>
    <w:p w14:paraId="086D5E10" w14:textId="77777777" w:rsidR="008E7846" w:rsidRPr="003F31A2" w:rsidRDefault="00386150" w:rsidP="008E7846">
      <w:pPr>
        <w:pStyle w:val="Heading3"/>
      </w:pPr>
      <w:bookmarkStart w:id="19" w:name="_Toc69718711"/>
      <w:r>
        <w:t>Regulatory s</w:t>
      </w:r>
      <w:r w:rsidR="008E7846">
        <w:t>tatus</w:t>
      </w:r>
      <w:bookmarkEnd w:id="16"/>
      <w:bookmarkEnd w:id="17"/>
      <w:bookmarkEnd w:id="19"/>
    </w:p>
    <w:p w14:paraId="66BE5098" w14:textId="13BFA952" w:rsidR="00006FAB" w:rsidRDefault="00006FAB" w:rsidP="00006FAB">
      <w:bookmarkStart w:id="20" w:name="_Toc247691505"/>
      <w:bookmarkStart w:id="21" w:name="_Toc314842486"/>
      <w:r>
        <w:t>The product received initial registration on the Australian Register</w:t>
      </w:r>
      <w:r w:rsidR="00864D45">
        <w:t xml:space="preserve"> of Therapeutic Goods (ARTG) on 2 October</w:t>
      </w:r>
      <w:r w:rsidR="00C2003F">
        <w:t xml:space="preserve"> 2018 for the below indications.</w:t>
      </w:r>
    </w:p>
    <w:p w14:paraId="2E26CDAF" w14:textId="77777777" w:rsidR="00864D45" w:rsidRPr="00864D45" w:rsidRDefault="00864D45" w:rsidP="00C2003F">
      <w:pPr>
        <w:ind w:left="720"/>
        <w:rPr>
          <w:b/>
          <w:i/>
        </w:rPr>
      </w:pPr>
      <w:r w:rsidRPr="00864D45">
        <w:rPr>
          <w:b/>
          <w:i/>
        </w:rPr>
        <w:t>Urothelial carcinoma</w:t>
      </w:r>
    </w:p>
    <w:p w14:paraId="21AD6CB9" w14:textId="77777777" w:rsidR="00864D45" w:rsidRPr="00864D45" w:rsidRDefault="00864D45" w:rsidP="00C2003F">
      <w:pPr>
        <w:ind w:left="720"/>
        <w:rPr>
          <w:i/>
        </w:rPr>
      </w:pPr>
      <w:r w:rsidRPr="00864D45">
        <w:rPr>
          <w:i/>
        </w:rPr>
        <w:t>Imfinzi (</w:t>
      </w:r>
      <w:proofErr w:type="spellStart"/>
      <w:r w:rsidRPr="00864D45">
        <w:rPr>
          <w:i/>
        </w:rPr>
        <w:t>durvalumab</w:t>
      </w:r>
      <w:proofErr w:type="spellEnd"/>
      <w:r w:rsidRPr="00864D45">
        <w:rPr>
          <w:i/>
        </w:rPr>
        <w:t>) is indicated for the treatment of patients with locally advanced or metastatic urothelial carcinoma who:</w:t>
      </w:r>
    </w:p>
    <w:p w14:paraId="1530A6E3" w14:textId="77777777" w:rsidR="00864D45" w:rsidRPr="00864D45" w:rsidRDefault="00864D45" w:rsidP="00C2003F">
      <w:pPr>
        <w:pStyle w:val="ListBullet"/>
        <w:ind w:left="1080"/>
        <w:rPr>
          <w:i/>
        </w:rPr>
      </w:pPr>
      <w:r w:rsidRPr="00864D45">
        <w:rPr>
          <w:i/>
        </w:rPr>
        <w:t>have disease progression during or following platinum-containing chemotherapy.</w:t>
      </w:r>
    </w:p>
    <w:p w14:paraId="067F165B" w14:textId="77777777" w:rsidR="00864D45" w:rsidRPr="00864D45" w:rsidRDefault="00864D45" w:rsidP="00C2003F">
      <w:pPr>
        <w:pStyle w:val="ListBullet"/>
        <w:ind w:left="1080"/>
        <w:rPr>
          <w:i/>
        </w:rPr>
      </w:pPr>
      <w:r w:rsidRPr="00864D45">
        <w:rPr>
          <w:i/>
        </w:rPr>
        <w:t xml:space="preserve">have disease progression within 12 months of </w:t>
      </w:r>
      <w:proofErr w:type="spellStart"/>
      <w:r w:rsidRPr="00864D45">
        <w:rPr>
          <w:i/>
        </w:rPr>
        <w:t>neoadjuvant</w:t>
      </w:r>
      <w:proofErr w:type="spellEnd"/>
      <w:r w:rsidRPr="00864D45">
        <w:rPr>
          <w:i/>
        </w:rPr>
        <w:t xml:space="preserve"> or adjuvant treatment with platinum-containing chemotherapy.</w:t>
      </w:r>
    </w:p>
    <w:p w14:paraId="548943E6" w14:textId="77777777" w:rsidR="00864D45" w:rsidRPr="00864D45" w:rsidRDefault="00864D45" w:rsidP="00C2003F">
      <w:pPr>
        <w:ind w:left="720"/>
        <w:rPr>
          <w:i/>
        </w:rPr>
      </w:pPr>
      <w:r w:rsidRPr="00864D45">
        <w:rPr>
          <w:i/>
        </w:rPr>
        <w:lastRenderedPageBreak/>
        <w:t>This indication is approved based on objective response rate and duration of response in single arm study. An improvement in survival or disease-related symptoms has not been established.</w:t>
      </w:r>
    </w:p>
    <w:p w14:paraId="30FEBA27" w14:textId="59BF1D4A" w:rsidR="00864D45" w:rsidRPr="00864D45" w:rsidRDefault="00864D45" w:rsidP="00C2003F">
      <w:pPr>
        <w:ind w:left="720"/>
        <w:rPr>
          <w:b/>
          <w:i/>
        </w:rPr>
      </w:pPr>
      <w:r w:rsidRPr="00864D45">
        <w:rPr>
          <w:b/>
          <w:i/>
        </w:rPr>
        <w:t>Locally advanced non-small cell lung cancer (NSCLC)</w:t>
      </w:r>
    </w:p>
    <w:p w14:paraId="37383DB7" w14:textId="77777777" w:rsidR="00864D45" w:rsidRPr="00864D45" w:rsidRDefault="00864D45" w:rsidP="00C2003F">
      <w:pPr>
        <w:ind w:left="720"/>
        <w:rPr>
          <w:i/>
        </w:rPr>
      </w:pPr>
      <w:r w:rsidRPr="00864D45">
        <w:rPr>
          <w:i/>
        </w:rPr>
        <w:t>Imfinzi (</w:t>
      </w:r>
      <w:proofErr w:type="spellStart"/>
      <w:r w:rsidRPr="00864D45">
        <w:rPr>
          <w:i/>
        </w:rPr>
        <w:t>durvalumab</w:t>
      </w:r>
      <w:proofErr w:type="spellEnd"/>
      <w:r w:rsidRPr="00864D45">
        <w:rPr>
          <w:i/>
        </w:rPr>
        <w:t xml:space="preserve">) is indicated for the treatment of patients with locally advanced, unresectable NSCLC whose disease has not progressed following platinum-based </w:t>
      </w:r>
      <w:proofErr w:type="spellStart"/>
      <w:r w:rsidRPr="00864D45">
        <w:rPr>
          <w:i/>
        </w:rPr>
        <w:t>chemoradiation</w:t>
      </w:r>
      <w:proofErr w:type="spellEnd"/>
      <w:r w:rsidRPr="00864D45">
        <w:rPr>
          <w:i/>
        </w:rPr>
        <w:t xml:space="preserve"> therapy.</w:t>
      </w:r>
    </w:p>
    <w:p w14:paraId="03A45D44" w14:textId="749CBE2B" w:rsidR="00006FAB" w:rsidRDefault="00006FAB" w:rsidP="00006FAB">
      <w:r>
        <w:t>At the time the TGA considered this application, similar application</w:t>
      </w:r>
      <w:r w:rsidR="001A78B8">
        <w:t>s</w:t>
      </w:r>
      <w:r>
        <w:t xml:space="preserve"> had been approved </w:t>
      </w:r>
      <w:r w:rsidR="00B875BE">
        <w:t xml:space="preserve">in </w:t>
      </w:r>
      <w:r w:rsidR="001A78B8">
        <w:t xml:space="preserve">the </w:t>
      </w:r>
      <w:r w:rsidR="00B875BE">
        <w:t>European Union (EU) (approved on August</w:t>
      </w:r>
      <w:r w:rsidR="00F935DE">
        <w:t xml:space="preserve"> 2020</w:t>
      </w:r>
      <w:r>
        <w:t>)</w:t>
      </w:r>
      <w:r w:rsidR="00B875BE">
        <w:t>, Singapore (approved on February</w:t>
      </w:r>
      <w:r w:rsidR="001A78B8">
        <w:t> </w:t>
      </w:r>
      <w:r w:rsidR="00B875BE">
        <w:t xml:space="preserve">2020) and </w:t>
      </w:r>
      <w:r w:rsidR="001A78B8">
        <w:t xml:space="preserve">the </w:t>
      </w:r>
      <w:r w:rsidR="00B875BE">
        <w:t>United States</w:t>
      </w:r>
      <w:r w:rsidR="005A7802">
        <w:t xml:space="preserve"> (US)</w:t>
      </w:r>
      <w:r w:rsidR="00B875BE">
        <w:t xml:space="preserve"> (approved on 30 March 2020) and</w:t>
      </w:r>
      <w:r w:rsidR="001A78B8">
        <w:t xml:space="preserve"> applications</w:t>
      </w:r>
      <w:r>
        <w:t xml:space="preserve"> w</w:t>
      </w:r>
      <w:r w:rsidR="001A78B8">
        <w:t>ere</w:t>
      </w:r>
      <w:r>
        <w:t xml:space="preserve"> under consideration in </w:t>
      </w:r>
      <w:r w:rsidR="00B875BE">
        <w:t>Canada (submitted on October 2019</w:t>
      </w:r>
      <w:r w:rsidR="0003367D">
        <w:t>, approved 21 September 2020</w:t>
      </w:r>
      <w:r w:rsidR="00B875BE">
        <w:t>) and Switzerland (submitted on November 2019).</w:t>
      </w:r>
    </w:p>
    <w:p w14:paraId="539AADA1" w14:textId="49729E38" w:rsidR="00324E45" w:rsidRDefault="002107EA" w:rsidP="002107EA">
      <w:pPr>
        <w:pStyle w:val="TableTitle"/>
      </w:pPr>
      <w:r w:rsidRPr="002107EA">
        <w:t xml:space="preserve">Table </w:t>
      </w:r>
      <w:r>
        <w:fldChar w:fldCharType="begin"/>
      </w:r>
      <w:r>
        <w:instrText>SEQ Table \* ARABIC</w:instrText>
      </w:r>
      <w:r>
        <w:fldChar w:fldCharType="separate"/>
      </w:r>
      <w:r w:rsidR="00130E57">
        <w:rPr>
          <w:noProof/>
        </w:rPr>
        <w:t>1</w:t>
      </w:r>
      <w:r>
        <w:fldChar w:fldCharType="end"/>
      </w:r>
      <w:r w:rsidR="00324E45">
        <w:t>: International regulatory status</w:t>
      </w:r>
    </w:p>
    <w:tbl>
      <w:tblPr>
        <w:tblStyle w:val="TableTGAblue"/>
        <w:tblW w:w="0" w:type="auto"/>
        <w:tblLayout w:type="fixed"/>
        <w:tblLook w:val="04A0" w:firstRow="1" w:lastRow="0" w:firstColumn="1" w:lastColumn="0" w:noHBand="0" w:noVBand="1"/>
      </w:tblPr>
      <w:tblGrid>
        <w:gridCol w:w="1430"/>
        <w:gridCol w:w="1440"/>
        <w:gridCol w:w="1530"/>
        <w:gridCol w:w="4084"/>
      </w:tblGrid>
      <w:tr w:rsidR="003601FF" w14:paraId="3C6EF99B" w14:textId="77777777" w:rsidTr="00FF3F22">
        <w:trPr>
          <w:cnfStyle w:val="100000000000" w:firstRow="1" w:lastRow="0" w:firstColumn="0" w:lastColumn="0" w:oddVBand="0" w:evenVBand="0" w:oddHBand="0" w:evenHBand="0" w:firstRowFirstColumn="0" w:firstRowLastColumn="0" w:lastRowFirstColumn="0" w:lastRowLastColumn="0"/>
        </w:trPr>
        <w:tc>
          <w:tcPr>
            <w:tcW w:w="1430" w:type="dxa"/>
          </w:tcPr>
          <w:p w14:paraId="7AF277AA" w14:textId="77777777" w:rsidR="00796A91" w:rsidRPr="00FF3F22" w:rsidRDefault="00796A91" w:rsidP="00796A91">
            <w:pPr>
              <w:ind w:left="0" w:right="0"/>
              <w:rPr>
                <w:sz w:val="20"/>
              </w:rPr>
            </w:pPr>
            <w:r w:rsidRPr="00FF3F22">
              <w:rPr>
                <w:sz w:val="20"/>
              </w:rPr>
              <w:t>Region</w:t>
            </w:r>
          </w:p>
        </w:tc>
        <w:tc>
          <w:tcPr>
            <w:tcW w:w="1440" w:type="dxa"/>
          </w:tcPr>
          <w:p w14:paraId="42E5B57C" w14:textId="77777777" w:rsidR="00796A91" w:rsidRPr="00FF3F22" w:rsidRDefault="00796A91" w:rsidP="00796A91">
            <w:pPr>
              <w:ind w:left="0" w:right="0"/>
              <w:rPr>
                <w:sz w:val="20"/>
              </w:rPr>
            </w:pPr>
            <w:r w:rsidRPr="00FF3F22">
              <w:rPr>
                <w:sz w:val="20"/>
              </w:rPr>
              <w:t>Submission date</w:t>
            </w:r>
          </w:p>
        </w:tc>
        <w:tc>
          <w:tcPr>
            <w:tcW w:w="1530" w:type="dxa"/>
          </w:tcPr>
          <w:p w14:paraId="0170324A" w14:textId="77777777" w:rsidR="00796A91" w:rsidRPr="00FF3F22" w:rsidRDefault="00796A91" w:rsidP="00796A91">
            <w:pPr>
              <w:ind w:left="0" w:right="0"/>
              <w:rPr>
                <w:sz w:val="20"/>
              </w:rPr>
            </w:pPr>
            <w:r w:rsidRPr="00FF3F22">
              <w:rPr>
                <w:sz w:val="20"/>
              </w:rPr>
              <w:t>Status</w:t>
            </w:r>
          </w:p>
        </w:tc>
        <w:tc>
          <w:tcPr>
            <w:tcW w:w="4084" w:type="dxa"/>
          </w:tcPr>
          <w:p w14:paraId="4845E500" w14:textId="77777777" w:rsidR="00796A91" w:rsidRPr="00FF3F22" w:rsidRDefault="00796A91" w:rsidP="00796A91">
            <w:pPr>
              <w:ind w:left="0" w:right="0"/>
              <w:rPr>
                <w:sz w:val="20"/>
              </w:rPr>
            </w:pPr>
            <w:r w:rsidRPr="00FF3F22">
              <w:rPr>
                <w:sz w:val="20"/>
              </w:rPr>
              <w:t>Approved indications</w:t>
            </w:r>
          </w:p>
        </w:tc>
      </w:tr>
      <w:tr w:rsidR="003601FF" w14:paraId="650ABFA9" w14:textId="77777777" w:rsidTr="00FF3F22">
        <w:tc>
          <w:tcPr>
            <w:tcW w:w="1430" w:type="dxa"/>
            <w:tcBorders>
              <w:top w:val="single" w:sz="4" w:space="0" w:color="auto"/>
            </w:tcBorders>
          </w:tcPr>
          <w:p w14:paraId="095222DF" w14:textId="77777777" w:rsidR="00C2003F" w:rsidRPr="00FF3F22" w:rsidRDefault="00C2003F" w:rsidP="00006FAB">
            <w:pPr>
              <w:ind w:left="0" w:right="0"/>
              <w:rPr>
                <w:sz w:val="20"/>
              </w:rPr>
            </w:pPr>
            <w:r w:rsidRPr="00FF3F22">
              <w:rPr>
                <w:sz w:val="20"/>
              </w:rPr>
              <w:t>Canada</w:t>
            </w:r>
          </w:p>
        </w:tc>
        <w:tc>
          <w:tcPr>
            <w:tcW w:w="1440" w:type="dxa"/>
            <w:tcBorders>
              <w:top w:val="single" w:sz="4" w:space="0" w:color="auto"/>
            </w:tcBorders>
          </w:tcPr>
          <w:p w14:paraId="2F107917" w14:textId="07052A15" w:rsidR="00C2003F" w:rsidRPr="00FF3F22" w:rsidRDefault="31799404" w:rsidP="00006FAB">
            <w:pPr>
              <w:ind w:left="0" w:right="0"/>
              <w:rPr>
                <w:sz w:val="20"/>
              </w:rPr>
            </w:pPr>
            <w:r w:rsidRPr="00FF3F22">
              <w:rPr>
                <w:sz w:val="20"/>
              </w:rPr>
              <w:t xml:space="preserve">31 </w:t>
            </w:r>
            <w:r w:rsidR="00C2003F" w:rsidRPr="00FF3F22">
              <w:rPr>
                <w:sz w:val="20"/>
              </w:rPr>
              <w:t>October 2019</w:t>
            </w:r>
          </w:p>
        </w:tc>
        <w:tc>
          <w:tcPr>
            <w:tcW w:w="1530" w:type="dxa"/>
            <w:tcBorders>
              <w:top w:val="single" w:sz="4" w:space="0" w:color="auto"/>
            </w:tcBorders>
          </w:tcPr>
          <w:p w14:paraId="2602240D" w14:textId="55D34A40" w:rsidR="00C2003F" w:rsidRPr="00FF3F22" w:rsidRDefault="00F935DE" w:rsidP="00006FAB">
            <w:pPr>
              <w:ind w:left="0" w:right="0"/>
              <w:rPr>
                <w:sz w:val="20"/>
              </w:rPr>
            </w:pPr>
            <w:r w:rsidRPr="00FF3F22">
              <w:rPr>
                <w:sz w:val="20"/>
              </w:rPr>
              <w:t xml:space="preserve">Approved on </w:t>
            </w:r>
            <w:r w:rsidRPr="00FF3F22">
              <w:rPr>
                <w:sz w:val="20"/>
              </w:rPr>
              <w:br/>
              <w:t>21 September 2020</w:t>
            </w:r>
          </w:p>
        </w:tc>
        <w:tc>
          <w:tcPr>
            <w:tcW w:w="4084" w:type="dxa"/>
            <w:tcBorders>
              <w:top w:val="single" w:sz="4" w:space="0" w:color="auto"/>
            </w:tcBorders>
          </w:tcPr>
          <w:p w14:paraId="08FEC31E" w14:textId="3E1B0BCA" w:rsidR="00F744FC" w:rsidRPr="00FF3F22" w:rsidRDefault="00F744FC" w:rsidP="00F744FC">
            <w:pPr>
              <w:ind w:left="0"/>
              <w:rPr>
                <w:i/>
                <w:sz w:val="20"/>
              </w:rPr>
            </w:pPr>
            <w:r w:rsidRPr="00FF3F22">
              <w:rPr>
                <w:i/>
                <w:sz w:val="20"/>
              </w:rPr>
              <w:t>Urothelial Carcinoma</w:t>
            </w:r>
          </w:p>
          <w:p w14:paraId="1E57957C" w14:textId="6AEFDD0D" w:rsidR="00F744FC" w:rsidRPr="00FF3F22" w:rsidRDefault="00F744FC" w:rsidP="00F744FC">
            <w:pPr>
              <w:ind w:left="0"/>
              <w:rPr>
                <w:i/>
                <w:sz w:val="20"/>
              </w:rPr>
            </w:pPr>
            <w:r w:rsidRPr="00FF3F22">
              <w:rPr>
                <w:i/>
                <w:sz w:val="20"/>
              </w:rPr>
              <w:t>I</w:t>
            </w:r>
            <w:r w:rsidR="001A78B8" w:rsidRPr="00FF3F22">
              <w:rPr>
                <w:i/>
                <w:sz w:val="20"/>
              </w:rPr>
              <w:t>mfinzi</w:t>
            </w:r>
            <w:r w:rsidRPr="00FF3F22">
              <w:rPr>
                <w:i/>
                <w:sz w:val="20"/>
              </w:rPr>
              <w:t xml:space="preserve"> (</w:t>
            </w:r>
            <w:proofErr w:type="spellStart"/>
            <w:r w:rsidRPr="00FF3F22">
              <w:rPr>
                <w:i/>
                <w:sz w:val="20"/>
              </w:rPr>
              <w:t>durvalumab</w:t>
            </w:r>
            <w:proofErr w:type="spellEnd"/>
            <w:r w:rsidRPr="00FF3F22">
              <w:rPr>
                <w:i/>
                <w:sz w:val="20"/>
              </w:rPr>
              <w:t>) is indicated for the treatment of patients with locally advanced or metastatic urothelial carcinoma who:</w:t>
            </w:r>
          </w:p>
          <w:p w14:paraId="210E70DE" w14:textId="7AEB23DE" w:rsidR="00F744FC" w:rsidRPr="00FF3F22" w:rsidRDefault="00F744FC" w:rsidP="00F744FC">
            <w:pPr>
              <w:pStyle w:val="ListBullet"/>
              <w:rPr>
                <w:i/>
                <w:sz w:val="20"/>
              </w:rPr>
            </w:pPr>
            <w:r w:rsidRPr="00FF3F22">
              <w:rPr>
                <w:i/>
                <w:sz w:val="20"/>
              </w:rPr>
              <w:t>Have disease progression during or following platinum-containing chemotherapy</w:t>
            </w:r>
          </w:p>
          <w:p w14:paraId="7DFBDE5E" w14:textId="69C4F868" w:rsidR="00F744FC" w:rsidRPr="00FF3F22" w:rsidRDefault="00F744FC" w:rsidP="00F744FC">
            <w:pPr>
              <w:pStyle w:val="ListBullet"/>
              <w:rPr>
                <w:i/>
                <w:sz w:val="20"/>
              </w:rPr>
            </w:pPr>
            <w:r w:rsidRPr="00FF3F22">
              <w:rPr>
                <w:i/>
                <w:sz w:val="20"/>
              </w:rPr>
              <w:t xml:space="preserve">Have disease progression within 12 months of </w:t>
            </w:r>
            <w:proofErr w:type="spellStart"/>
            <w:r w:rsidRPr="00FF3F22">
              <w:rPr>
                <w:i/>
                <w:sz w:val="20"/>
              </w:rPr>
              <w:t>neoadjuvant</w:t>
            </w:r>
            <w:proofErr w:type="spellEnd"/>
            <w:r w:rsidRPr="00FF3F22">
              <w:rPr>
                <w:i/>
                <w:sz w:val="20"/>
              </w:rPr>
              <w:t xml:space="preserve"> or adjuvant treatment with platinum-containing chemotherapy</w:t>
            </w:r>
          </w:p>
          <w:p w14:paraId="33A514B0" w14:textId="23B1A91A" w:rsidR="00F744FC" w:rsidRPr="00FF3F22" w:rsidRDefault="00F744FC" w:rsidP="00F744FC">
            <w:pPr>
              <w:ind w:left="0"/>
              <w:rPr>
                <w:i/>
                <w:sz w:val="20"/>
              </w:rPr>
            </w:pPr>
            <w:r w:rsidRPr="00FF3F22">
              <w:rPr>
                <w:i/>
                <w:sz w:val="20"/>
              </w:rPr>
              <w:t xml:space="preserve">Marketing authorization with conditions was based on a promising tumour response rate and durability of response. An improvement in survival or disease-related symptoms has not been established (see </w:t>
            </w:r>
            <w:r w:rsidR="003601FF" w:rsidRPr="00FF3F22">
              <w:rPr>
                <w:i/>
                <w:sz w:val="20"/>
              </w:rPr>
              <w:t>Clinical Trials</w:t>
            </w:r>
            <w:r w:rsidRPr="00FF3F22">
              <w:rPr>
                <w:i/>
                <w:sz w:val="20"/>
              </w:rPr>
              <w:t xml:space="preserve">). </w:t>
            </w:r>
          </w:p>
          <w:p w14:paraId="4A2366B5" w14:textId="623F5B79" w:rsidR="00F744FC" w:rsidRPr="00FF3F22" w:rsidRDefault="00F744FC" w:rsidP="00F744FC">
            <w:pPr>
              <w:ind w:left="0"/>
              <w:rPr>
                <w:i/>
                <w:sz w:val="20"/>
              </w:rPr>
            </w:pPr>
            <w:r w:rsidRPr="00FF3F22">
              <w:rPr>
                <w:i/>
                <w:sz w:val="20"/>
              </w:rPr>
              <w:t>Locally Advanced, Unresectable, Stage III Non-Small Cell Lung Cancer</w:t>
            </w:r>
          </w:p>
          <w:p w14:paraId="4CA3CA3E" w14:textId="7B563C40" w:rsidR="00F744FC" w:rsidRPr="00FF3F22" w:rsidRDefault="00F744FC" w:rsidP="00F744FC">
            <w:pPr>
              <w:ind w:left="0"/>
              <w:rPr>
                <w:i/>
                <w:sz w:val="20"/>
              </w:rPr>
            </w:pPr>
            <w:r w:rsidRPr="00FF3F22">
              <w:rPr>
                <w:i/>
                <w:sz w:val="20"/>
              </w:rPr>
              <w:t>I</w:t>
            </w:r>
            <w:r w:rsidR="003601FF" w:rsidRPr="00FF3F22">
              <w:rPr>
                <w:i/>
                <w:sz w:val="20"/>
              </w:rPr>
              <w:t>mfinzi</w:t>
            </w:r>
            <w:r w:rsidRPr="00FF3F22">
              <w:rPr>
                <w:i/>
                <w:sz w:val="20"/>
              </w:rPr>
              <w:t xml:space="preserve"> is indicated for the treatment of patients with locally advanced, unresectable, Stage III non-small cell lung cancer (NSCLC) whose disease has not progressed following platinum based </w:t>
            </w:r>
            <w:proofErr w:type="spellStart"/>
            <w:r w:rsidRPr="00FF3F22">
              <w:rPr>
                <w:i/>
                <w:sz w:val="20"/>
              </w:rPr>
              <w:t>chemoradiation</w:t>
            </w:r>
            <w:proofErr w:type="spellEnd"/>
            <w:r w:rsidRPr="00FF3F22">
              <w:rPr>
                <w:i/>
                <w:sz w:val="20"/>
              </w:rPr>
              <w:t xml:space="preserve"> therapy.</w:t>
            </w:r>
          </w:p>
          <w:p w14:paraId="0D39986B" w14:textId="267E0C1F" w:rsidR="00FC6E30" w:rsidRPr="00FF3F22" w:rsidRDefault="00FC6E30" w:rsidP="00F744FC">
            <w:pPr>
              <w:ind w:left="0"/>
              <w:rPr>
                <w:i/>
                <w:sz w:val="20"/>
              </w:rPr>
            </w:pPr>
            <w:r w:rsidRPr="00FF3F22">
              <w:rPr>
                <w:i/>
                <w:sz w:val="20"/>
              </w:rPr>
              <w:t>Extensive-Stage Small Cell Lung Cancer</w:t>
            </w:r>
          </w:p>
          <w:p w14:paraId="3B2DBF25" w14:textId="68A6F36E" w:rsidR="00C2003F" w:rsidRPr="00FF3F22" w:rsidRDefault="00FC6E30" w:rsidP="003601FF">
            <w:pPr>
              <w:ind w:left="0"/>
              <w:rPr>
                <w:i/>
                <w:sz w:val="20"/>
              </w:rPr>
            </w:pPr>
            <w:proofErr w:type="spellStart"/>
            <w:r w:rsidRPr="00FF3F22">
              <w:rPr>
                <w:i/>
                <w:sz w:val="20"/>
              </w:rPr>
              <w:t>I</w:t>
            </w:r>
            <w:r w:rsidR="003601FF" w:rsidRPr="00FF3F22">
              <w:rPr>
                <w:i/>
                <w:sz w:val="20"/>
              </w:rPr>
              <w:t>mfiinzi</w:t>
            </w:r>
            <w:proofErr w:type="spellEnd"/>
            <w:r w:rsidRPr="00FF3F22">
              <w:rPr>
                <w:i/>
                <w:sz w:val="20"/>
              </w:rPr>
              <w:t xml:space="preserve"> in combination with etoposide and either carboplatin or cisplatin is indicated for the first-line treatment of adult patients with extensive-stage small cell lung cancer (ES-SCLC).</w:t>
            </w:r>
          </w:p>
        </w:tc>
      </w:tr>
      <w:tr w:rsidR="003601FF" w14:paraId="00BD1654" w14:textId="77777777" w:rsidTr="00FF3F22">
        <w:tc>
          <w:tcPr>
            <w:tcW w:w="1430" w:type="dxa"/>
          </w:tcPr>
          <w:p w14:paraId="6867B2B3" w14:textId="77777777" w:rsidR="00C2003F" w:rsidRPr="00FF3F22" w:rsidRDefault="005A7802" w:rsidP="00006FAB">
            <w:pPr>
              <w:ind w:left="0" w:right="0"/>
              <w:rPr>
                <w:sz w:val="20"/>
              </w:rPr>
            </w:pPr>
            <w:r w:rsidRPr="00FF3F22">
              <w:rPr>
                <w:sz w:val="20"/>
              </w:rPr>
              <w:lastRenderedPageBreak/>
              <w:t>EU</w:t>
            </w:r>
          </w:p>
          <w:p w14:paraId="6D3F63FA" w14:textId="77777777" w:rsidR="00C2003F" w:rsidRPr="00FF3F22" w:rsidRDefault="00C2003F" w:rsidP="00006FAB">
            <w:pPr>
              <w:ind w:left="0" w:right="0"/>
              <w:rPr>
                <w:sz w:val="20"/>
              </w:rPr>
            </w:pPr>
            <w:r w:rsidRPr="00FF3F22">
              <w:rPr>
                <w:sz w:val="20"/>
              </w:rPr>
              <w:t>Centralised procedure</w:t>
            </w:r>
          </w:p>
          <w:p w14:paraId="33EB5DB0" w14:textId="77777777" w:rsidR="00C2003F" w:rsidRPr="00FF3F22" w:rsidRDefault="00C2003F" w:rsidP="00006FAB">
            <w:pPr>
              <w:ind w:left="0" w:right="0"/>
              <w:rPr>
                <w:sz w:val="20"/>
              </w:rPr>
            </w:pPr>
            <w:r w:rsidRPr="00FF3F22">
              <w:rPr>
                <w:sz w:val="20"/>
              </w:rPr>
              <w:t>Rapporteur: Denmark</w:t>
            </w:r>
          </w:p>
          <w:p w14:paraId="67760A1E" w14:textId="77777777" w:rsidR="00C2003F" w:rsidRPr="00FF3F22" w:rsidRDefault="00C2003F" w:rsidP="00006FAB">
            <w:pPr>
              <w:ind w:left="0" w:right="0"/>
              <w:rPr>
                <w:sz w:val="20"/>
              </w:rPr>
            </w:pPr>
            <w:r w:rsidRPr="00FF3F22">
              <w:rPr>
                <w:sz w:val="20"/>
              </w:rPr>
              <w:t>Co-rapporteur: Spain</w:t>
            </w:r>
          </w:p>
        </w:tc>
        <w:tc>
          <w:tcPr>
            <w:tcW w:w="1440" w:type="dxa"/>
          </w:tcPr>
          <w:p w14:paraId="366F114B" w14:textId="39D794B1" w:rsidR="00C2003F" w:rsidRPr="00FF3F22" w:rsidRDefault="13C8D854" w:rsidP="00006FAB">
            <w:pPr>
              <w:ind w:left="0" w:right="0"/>
              <w:rPr>
                <w:sz w:val="20"/>
              </w:rPr>
            </w:pPr>
            <w:r w:rsidRPr="00FF3F22">
              <w:rPr>
                <w:sz w:val="20"/>
              </w:rPr>
              <w:t xml:space="preserve">12 </w:t>
            </w:r>
            <w:r w:rsidR="00C2003F" w:rsidRPr="00FF3F22">
              <w:rPr>
                <w:sz w:val="20"/>
              </w:rPr>
              <w:t>November 2019</w:t>
            </w:r>
          </w:p>
        </w:tc>
        <w:tc>
          <w:tcPr>
            <w:tcW w:w="1530" w:type="dxa"/>
          </w:tcPr>
          <w:p w14:paraId="5DF72F67" w14:textId="7461DCA4" w:rsidR="00C2003F" w:rsidRPr="00FF3F22" w:rsidRDefault="00C2003F" w:rsidP="00006FAB">
            <w:pPr>
              <w:ind w:left="0" w:right="0"/>
              <w:rPr>
                <w:sz w:val="20"/>
              </w:rPr>
            </w:pPr>
            <w:r w:rsidRPr="00FF3F22">
              <w:rPr>
                <w:sz w:val="20"/>
              </w:rPr>
              <w:t xml:space="preserve">Approved on </w:t>
            </w:r>
            <w:r w:rsidRPr="00FF3F22">
              <w:rPr>
                <w:sz w:val="20"/>
              </w:rPr>
              <w:br/>
            </w:r>
            <w:r w:rsidR="28B92707" w:rsidRPr="00FF3F22">
              <w:rPr>
                <w:sz w:val="20"/>
              </w:rPr>
              <w:t xml:space="preserve">27 </w:t>
            </w:r>
            <w:r w:rsidRPr="00FF3F22">
              <w:rPr>
                <w:sz w:val="20"/>
              </w:rPr>
              <w:t>August 2020</w:t>
            </w:r>
          </w:p>
        </w:tc>
        <w:tc>
          <w:tcPr>
            <w:tcW w:w="4084" w:type="dxa"/>
          </w:tcPr>
          <w:p w14:paraId="06CB133A" w14:textId="3805D470" w:rsidR="000075E6" w:rsidRPr="00FF3F22" w:rsidRDefault="000075E6" w:rsidP="000075E6">
            <w:pPr>
              <w:ind w:left="0"/>
              <w:rPr>
                <w:i/>
                <w:sz w:val="20"/>
              </w:rPr>
            </w:pPr>
            <w:r w:rsidRPr="00FF3F22">
              <w:rPr>
                <w:i/>
                <w:sz w:val="20"/>
              </w:rPr>
              <w:t xml:space="preserve">Imfinzi as monotherapy is indicated for the treatment of locally advanced, unresectable non-small cell lung cancer (NSCLC) in adults whose tumours express PD-L1 on ≥ 1% of tumour cells and whose disease has not progressed following platinum-based </w:t>
            </w:r>
            <w:proofErr w:type="spellStart"/>
            <w:r w:rsidRPr="00FF3F22">
              <w:rPr>
                <w:i/>
                <w:sz w:val="20"/>
              </w:rPr>
              <w:t>chemoradiation</w:t>
            </w:r>
            <w:proofErr w:type="spellEnd"/>
            <w:r w:rsidRPr="00FF3F22">
              <w:rPr>
                <w:i/>
                <w:sz w:val="20"/>
              </w:rPr>
              <w:t xml:space="preserve"> therapy (see section 5.1).</w:t>
            </w:r>
          </w:p>
          <w:p w14:paraId="6EE2755B" w14:textId="42F01DE1" w:rsidR="00C2003F" w:rsidRPr="00FF3F22" w:rsidRDefault="000075E6" w:rsidP="000075E6">
            <w:pPr>
              <w:ind w:left="0"/>
              <w:rPr>
                <w:i/>
                <w:sz w:val="20"/>
              </w:rPr>
            </w:pPr>
            <w:r w:rsidRPr="00FF3F22">
              <w:rPr>
                <w:i/>
                <w:sz w:val="20"/>
              </w:rPr>
              <w:t>Imfinzi in combination with etoposide and either carboplatin or cisplatin is indicated for the first-line treatment of adults with extensive-stage small cell lung cancer (ES</w:t>
            </w:r>
            <w:r w:rsidR="003601FF" w:rsidRPr="00FF3F22">
              <w:rPr>
                <w:i/>
                <w:sz w:val="20"/>
              </w:rPr>
              <w:noBreakHyphen/>
            </w:r>
            <w:r w:rsidRPr="00FF3F22">
              <w:rPr>
                <w:i/>
                <w:sz w:val="20"/>
              </w:rPr>
              <w:t>SCLC).</w:t>
            </w:r>
          </w:p>
        </w:tc>
      </w:tr>
      <w:tr w:rsidR="003601FF" w14:paraId="5E51A8F7" w14:textId="77777777" w:rsidTr="00FF3F22">
        <w:tc>
          <w:tcPr>
            <w:tcW w:w="1430" w:type="dxa"/>
          </w:tcPr>
          <w:p w14:paraId="710E4823" w14:textId="77777777" w:rsidR="00C2003F" w:rsidRPr="00FF3F22" w:rsidRDefault="00C2003F" w:rsidP="00C2003F">
            <w:pPr>
              <w:ind w:left="0"/>
              <w:rPr>
                <w:sz w:val="20"/>
              </w:rPr>
            </w:pPr>
            <w:r w:rsidRPr="00FF3F22">
              <w:rPr>
                <w:sz w:val="20"/>
              </w:rPr>
              <w:t>Singapore</w:t>
            </w:r>
          </w:p>
        </w:tc>
        <w:tc>
          <w:tcPr>
            <w:tcW w:w="1440" w:type="dxa"/>
          </w:tcPr>
          <w:p w14:paraId="4BF26CB0" w14:textId="2C0A5848" w:rsidR="00C2003F" w:rsidRPr="00FF3F22" w:rsidRDefault="765D3C7B" w:rsidP="00C2003F">
            <w:pPr>
              <w:ind w:left="0"/>
              <w:rPr>
                <w:sz w:val="20"/>
              </w:rPr>
            </w:pPr>
            <w:r w:rsidRPr="00FF3F22">
              <w:rPr>
                <w:sz w:val="20"/>
              </w:rPr>
              <w:t xml:space="preserve">27 </w:t>
            </w:r>
            <w:r w:rsidR="00C2003F" w:rsidRPr="00FF3F22">
              <w:rPr>
                <w:sz w:val="20"/>
              </w:rPr>
              <w:t>September 2019</w:t>
            </w:r>
          </w:p>
        </w:tc>
        <w:tc>
          <w:tcPr>
            <w:tcW w:w="1530" w:type="dxa"/>
          </w:tcPr>
          <w:p w14:paraId="2E4078A0" w14:textId="34369AA1" w:rsidR="00C2003F" w:rsidRPr="00FF3F22" w:rsidRDefault="00C2003F" w:rsidP="00C2003F">
            <w:pPr>
              <w:ind w:left="0"/>
              <w:rPr>
                <w:sz w:val="20"/>
              </w:rPr>
            </w:pPr>
            <w:r w:rsidRPr="00FF3F22">
              <w:rPr>
                <w:sz w:val="20"/>
              </w:rPr>
              <w:t xml:space="preserve">Approved on </w:t>
            </w:r>
            <w:r w:rsidRPr="00FF3F22">
              <w:rPr>
                <w:sz w:val="20"/>
              </w:rPr>
              <w:br/>
            </w:r>
            <w:r w:rsidR="6849D6A6" w:rsidRPr="00FF3F22">
              <w:rPr>
                <w:sz w:val="20"/>
              </w:rPr>
              <w:t xml:space="preserve">28 </w:t>
            </w:r>
            <w:r w:rsidRPr="00FF3F22">
              <w:rPr>
                <w:sz w:val="20"/>
              </w:rPr>
              <w:t>February 2020</w:t>
            </w:r>
          </w:p>
        </w:tc>
        <w:tc>
          <w:tcPr>
            <w:tcW w:w="4084" w:type="dxa"/>
          </w:tcPr>
          <w:p w14:paraId="083F7C5B" w14:textId="4E02E202" w:rsidR="000075E6" w:rsidRPr="00FF3F22" w:rsidRDefault="000075E6" w:rsidP="000075E6">
            <w:pPr>
              <w:ind w:left="0"/>
              <w:rPr>
                <w:i/>
                <w:sz w:val="20"/>
              </w:rPr>
            </w:pPr>
            <w:r w:rsidRPr="00FF3F22">
              <w:rPr>
                <w:i/>
                <w:sz w:val="20"/>
              </w:rPr>
              <w:t xml:space="preserve">Locally Advanced Non-small Cell Lung Cancer (NSCLC): Imfinzi is indicated for the treatment of patients with locally advanced, unresectable NSCLC whose disease has not progressed following platinum-based </w:t>
            </w:r>
            <w:proofErr w:type="spellStart"/>
            <w:r w:rsidRPr="00FF3F22">
              <w:rPr>
                <w:i/>
                <w:sz w:val="20"/>
              </w:rPr>
              <w:t>chemoradiation</w:t>
            </w:r>
            <w:proofErr w:type="spellEnd"/>
            <w:r w:rsidRPr="00FF3F22">
              <w:rPr>
                <w:i/>
                <w:sz w:val="20"/>
              </w:rPr>
              <w:t xml:space="preserve"> therapy.</w:t>
            </w:r>
          </w:p>
          <w:p w14:paraId="7A60600C" w14:textId="1229AB79" w:rsidR="00C2003F" w:rsidRPr="00FF3F22" w:rsidRDefault="000075E6" w:rsidP="000075E6">
            <w:pPr>
              <w:ind w:left="0"/>
              <w:rPr>
                <w:i/>
                <w:sz w:val="20"/>
                <w:highlight w:val="yellow"/>
              </w:rPr>
            </w:pPr>
            <w:r w:rsidRPr="00FF3F22">
              <w:rPr>
                <w:i/>
                <w:sz w:val="20"/>
              </w:rPr>
              <w:t>Small Cell Lung Cancer (SCLC): Imfinzi in combination with etoposide and either carboplatin or cisplatin is indicated for the first-line treatment of patients with extensive-stage small cell lung cancer (ES</w:t>
            </w:r>
            <w:r w:rsidR="003601FF" w:rsidRPr="00FF3F22">
              <w:rPr>
                <w:i/>
                <w:sz w:val="20"/>
              </w:rPr>
              <w:noBreakHyphen/>
            </w:r>
            <w:r w:rsidRPr="00FF3F22">
              <w:rPr>
                <w:i/>
                <w:sz w:val="20"/>
              </w:rPr>
              <w:t>SCLC).</w:t>
            </w:r>
          </w:p>
        </w:tc>
      </w:tr>
      <w:tr w:rsidR="003601FF" w14:paraId="539395F5" w14:textId="77777777" w:rsidTr="00FF3F22">
        <w:tc>
          <w:tcPr>
            <w:tcW w:w="1430" w:type="dxa"/>
          </w:tcPr>
          <w:p w14:paraId="7DCBE843" w14:textId="77777777" w:rsidR="00C2003F" w:rsidRPr="00FF3F22" w:rsidRDefault="00C2003F" w:rsidP="00C2003F">
            <w:pPr>
              <w:ind w:left="0"/>
              <w:rPr>
                <w:sz w:val="20"/>
              </w:rPr>
            </w:pPr>
            <w:r w:rsidRPr="00FF3F22">
              <w:rPr>
                <w:sz w:val="20"/>
              </w:rPr>
              <w:t>Switzerland</w:t>
            </w:r>
          </w:p>
        </w:tc>
        <w:tc>
          <w:tcPr>
            <w:tcW w:w="1440" w:type="dxa"/>
          </w:tcPr>
          <w:p w14:paraId="129A5F0F" w14:textId="5B3F0FAE" w:rsidR="00C2003F" w:rsidRPr="00FF3F22" w:rsidRDefault="42D2742F" w:rsidP="00C2003F">
            <w:pPr>
              <w:ind w:left="0"/>
              <w:rPr>
                <w:sz w:val="20"/>
              </w:rPr>
            </w:pPr>
            <w:r w:rsidRPr="00FF3F22">
              <w:rPr>
                <w:sz w:val="20"/>
              </w:rPr>
              <w:t xml:space="preserve">26 </w:t>
            </w:r>
            <w:r w:rsidR="00C2003F" w:rsidRPr="00FF3F22">
              <w:rPr>
                <w:sz w:val="20"/>
              </w:rPr>
              <w:t>November 2019</w:t>
            </w:r>
          </w:p>
        </w:tc>
        <w:tc>
          <w:tcPr>
            <w:tcW w:w="1530" w:type="dxa"/>
          </w:tcPr>
          <w:p w14:paraId="473D7AB8" w14:textId="45C465F2" w:rsidR="00C2003F" w:rsidRPr="00FF3F22" w:rsidRDefault="00F935DE" w:rsidP="00C2003F">
            <w:pPr>
              <w:ind w:left="0"/>
              <w:rPr>
                <w:sz w:val="20"/>
              </w:rPr>
            </w:pPr>
            <w:r w:rsidRPr="00FF3F22">
              <w:rPr>
                <w:sz w:val="20"/>
              </w:rPr>
              <w:t xml:space="preserve">Approved on </w:t>
            </w:r>
            <w:r w:rsidRPr="00FF3F22">
              <w:rPr>
                <w:sz w:val="20"/>
              </w:rPr>
              <w:br/>
              <w:t>6 October 2020</w:t>
            </w:r>
          </w:p>
        </w:tc>
        <w:tc>
          <w:tcPr>
            <w:tcW w:w="4084" w:type="dxa"/>
          </w:tcPr>
          <w:p w14:paraId="5FF27AF1" w14:textId="4410367D" w:rsidR="00C2003F" w:rsidRPr="00FF3F22" w:rsidRDefault="00C2003F" w:rsidP="000E6295">
            <w:pPr>
              <w:spacing w:before="0" w:after="0" w:line="240" w:lineRule="auto"/>
              <w:ind w:left="0"/>
              <w:rPr>
                <w:i/>
                <w:sz w:val="20"/>
              </w:rPr>
            </w:pPr>
          </w:p>
          <w:p w14:paraId="274EEE80" w14:textId="77777777" w:rsidR="000E6295" w:rsidRPr="00FF3F22" w:rsidRDefault="000E6295" w:rsidP="000E6295">
            <w:pPr>
              <w:spacing w:before="0" w:after="0" w:line="240" w:lineRule="auto"/>
              <w:ind w:left="0"/>
              <w:rPr>
                <w:i/>
                <w:sz w:val="20"/>
              </w:rPr>
            </w:pPr>
            <w:r w:rsidRPr="00FF3F22">
              <w:rPr>
                <w:i/>
                <w:sz w:val="20"/>
              </w:rPr>
              <w:t>Non-Small Cell Lung Cancer (NSCLC)</w:t>
            </w:r>
          </w:p>
          <w:p w14:paraId="1A2071C1" w14:textId="5511640E" w:rsidR="000E6295" w:rsidRPr="00FF3F22" w:rsidRDefault="003601FF" w:rsidP="000E6295">
            <w:pPr>
              <w:spacing w:before="0" w:after="0" w:line="240" w:lineRule="auto"/>
              <w:ind w:left="0"/>
              <w:rPr>
                <w:i/>
                <w:sz w:val="20"/>
              </w:rPr>
            </w:pPr>
            <w:r w:rsidRPr="00FF3F22">
              <w:rPr>
                <w:i/>
                <w:sz w:val="20"/>
              </w:rPr>
              <w:t>Imfinzi</w:t>
            </w:r>
            <w:r w:rsidR="000E6295" w:rsidRPr="00FF3F22">
              <w:rPr>
                <w:i/>
                <w:sz w:val="20"/>
              </w:rPr>
              <w:t xml:space="preserve"> is indicated for the treatment of patients with locally advanced, unresectable NSCLC whose disease has not progressed following definitive platinum-based </w:t>
            </w:r>
            <w:proofErr w:type="spellStart"/>
            <w:r w:rsidR="000E6295" w:rsidRPr="00FF3F22">
              <w:rPr>
                <w:i/>
                <w:sz w:val="20"/>
              </w:rPr>
              <w:t>chemoradiation</w:t>
            </w:r>
            <w:proofErr w:type="spellEnd"/>
            <w:r w:rsidR="000E6295" w:rsidRPr="00FF3F22">
              <w:rPr>
                <w:i/>
                <w:sz w:val="20"/>
              </w:rPr>
              <w:t xml:space="preserve"> therapy.</w:t>
            </w:r>
          </w:p>
          <w:p w14:paraId="3085E6AB" w14:textId="513AF4CB" w:rsidR="000E6295" w:rsidRPr="00FF3F22" w:rsidRDefault="000E6295" w:rsidP="000E6295">
            <w:pPr>
              <w:spacing w:before="0" w:after="0" w:line="240" w:lineRule="auto"/>
              <w:ind w:left="0"/>
              <w:rPr>
                <w:i/>
                <w:sz w:val="20"/>
              </w:rPr>
            </w:pPr>
            <w:r w:rsidRPr="00FF3F22">
              <w:rPr>
                <w:i/>
                <w:sz w:val="20"/>
              </w:rPr>
              <w:t>Small Cell Lung Cancer (SCLC)</w:t>
            </w:r>
          </w:p>
          <w:p w14:paraId="1C99CE7F" w14:textId="04C933AF" w:rsidR="000E6295" w:rsidRPr="00FF3F22" w:rsidRDefault="000E6295" w:rsidP="000E6295">
            <w:pPr>
              <w:spacing w:before="0" w:after="0" w:line="240" w:lineRule="auto"/>
              <w:ind w:left="0"/>
              <w:rPr>
                <w:i/>
                <w:sz w:val="20"/>
              </w:rPr>
            </w:pPr>
            <w:r w:rsidRPr="00FF3F22">
              <w:rPr>
                <w:i/>
                <w:sz w:val="20"/>
              </w:rPr>
              <w:t>Imfinzi in combination with etoposide and either carboplatin or cisplatin is indicated for the first-line treatment of patients with extensive-stage small cell lung cancer (ES-SCLC).</w:t>
            </w:r>
          </w:p>
        </w:tc>
      </w:tr>
      <w:tr w:rsidR="003601FF" w14:paraId="58CA37ED" w14:textId="77777777" w:rsidTr="00FF3F22">
        <w:trPr>
          <w:cantSplit/>
        </w:trPr>
        <w:tc>
          <w:tcPr>
            <w:tcW w:w="1430" w:type="dxa"/>
          </w:tcPr>
          <w:p w14:paraId="5FECBE34" w14:textId="77777777" w:rsidR="00C2003F" w:rsidRPr="00FF3F22" w:rsidRDefault="005A7802" w:rsidP="00C2003F">
            <w:pPr>
              <w:ind w:left="0"/>
              <w:rPr>
                <w:sz w:val="20"/>
              </w:rPr>
            </w:pPr>
            <w:r w:rsidRPr="00FF3F22">
              <w:rPr>
                <w:sz w:val="20"/>
              </w:rPr>
              <w:lastRenderedPageBreak/>
              <w:t>US</w:t>
            </w:r>
          </w:p>
        </w:tc>
        <w:tc>
          <w:tcPr>
            <w:tcW w:w="1440" w:type="dxa"/>
          </w:tcPr>
          <w:p w14:paraId="1849C7CE" w14:textId="08EEEF41" w:rsidR="00C2003F" w:rsidRPr="00FF3F22" w:rsidRDefault="520F8F0D" w:rsidP="00C2003F">
            <w:pPr>
              <w:ind w:left="0"/>
              <w:rPr>
                <w:sz w:val="20"/>
              </w:rPr>
            </w:pPr>
            <w:r w:rsidRPr="00FF3F22">
              <w:rPr>
                <w:sz w:val="20"/>
              </w:rPr>
              <w:t xml:space="preserve">30 </w:t>
            </w:r>
            <w:r w:rsidR="00C2003F" w:rsidRPr="00FF3F22">
              <w:rPr>
                <w:sz w:val="20"/>
              </w:rPr>
              <w:t>September 2019</w:t>
            </w:r>
          </w:p>
        </w:tc>
        <w:tc>
          <w:tcPr>
            <w:tcW w:w="1530" w:type="dxa"/>
          </w:tcPr>
          <w:p w14:paraId="6182E76D" w14:textId="0C156A2E" w:rsidR="00C2003F" w:rsidRPr="00FF3F22" w:rsidRDefault="00C2003F" w:rsidP="00C2003F">
            <w:pPr>
              <w:ind w:left="0"/>
              <w:rPr>
                <w:sz w:val="20"/>
              </w:rPr>
            </w:pPr>
            <w:r w:rsidRPr="00FF3F22">
              <w:rPr>
                <w:sz w:val="20"/>
              </w:rPr>
              <w:t xml:space="preserve">Approved on </w:t>
            </w:r>
            <w:r w:rsidR="002D7D2A" w:rsidRPr="00FF3F22">
              <w:rPr>
                <w:sz w:val="20"/>
              </w:rPr>
              <w:br/>
            </w:r>
            <w:r w:rsidRPr="00FF3F22">
              <w:rPr>
                <w:sz w:val="20"/>
              </w:rPr>
              <w:t>30 March 2020</w:t>
            </w:r>
          </w:p>
        </w:tc>
        <w:tc>
          <w:tcPr>
            <w:tcW w:w="4084" w:type="dxa"/>
          </w:tcPr>
          <w:p w14:paraId="71FA4293" w14:textId="3A8C6608" w:rsidR="009B1383" w:rsidRPr="00FF3F22" w:rsidRDefault="009B1383" w:rsidP="009B1383">
            <w:pPr>
              <w:ind w:left="0"/>
              <w:rPr>
                <w:i/>
                <w:sz w:val="20"/>
              </w:rPr>
            </w:pPr>
            <w:r w:rsidRPr="00FF3F22">
              <w:rPr>
                <w:i/>
                <w:sz w:val="20"/>
              </w:rPr>
              <w:t>Imfinzi is a programmed death-ligand 1 (PD-L1) blocking antibody indicated: - for the treatment of adult patients with locally advanced or metastatic urothelial carcinoma who:</w:t>
            </w:r>
          </w:p>
          <w:p w14:paraId="1BAE5224" w14:textId="21257CAD" w:rsidR="009B1383" w:rsidRPr="00FF3F22" w:rsidRDefault="009B1383" w:rsidP="009B1383">
            <w:pPr>
              <w:ind w:left="0"/>
              <w:rPr>
                <w:i/>
                <w:sz w:val="20"/>
              </w:rPr>
            </w:pPr>
            <w:r w:rsidRPr="00FF3F22">
              <w:rPr>
                <w:i/>
                <w:sz w:val="20"/>
              </w:rPr>
              <w:t>- have disease progression during or following platinum-containing chemotherapy. (1.1)</w:t>
            </w:r>
          </w:p>
          <w:p w14:paraId="421277B5" w14:textId="62717ECF" w:rsidR="009B1383" w:rsidRPr="00FF3F22" w:rsidRDefault="009B1383" w:rsidP="009B1383">
            <w:pPr>
              <w:ind w:left="0"/>
              <w:rPr>
                <w:i/>
                <w:sz w:val="20"/>
              </w:rPr>
            </w:pPr>
            <w:r w:rsidRPr="00FF3F22">
              <w:rPr>
                <w:i/>
                <w:sz w:val="20"/>
              </w:rPr>
              <w:t xml:space="preserve">- have disease progression within 12 months of </w:t>
            </w:r>
            <w:proofErr w:type="spellStart"/>
            <w:r w:rsidRPr="00FF3F22">
              <w:rPr>
                <w:i/>
                <w:sz w:val="20"/>
              </w:rPr>
              <w:t>neoadjuvant</w:t>
            </w:r>
            <w:proofErr w:type="spellEnd"/>
            <w:r w:rsidRPr="00FF3F22">
              <w:rPr>
                <w:i/>
                <w:sz w:val="20"/>
              </w:rPr>
              <w:t xml:space="preserve"> or adjuvant treatment with platinum-containing chemotherapy. (1.1)</w:t>
            </w:r>
          </w:p>
          <w:p w14:paraId="14B849CC" w14:textId="6AC2C84B" w:rsidR="009B1383" w:rsidRPr="00FF3F22" w:rsidRDefault="009B1383" w:rsidP="009B1383">
            <w:pPr>
              <w:ind w:left="0"/>
              <w:rPr>
                <w:i/>
                <w:sz w:val="20"/>
              </w:rPr>
            </w:pPr>
            <w:r w:rsidRPr="00FF3F22">
              <w:rPr>
                <w:i/>
                <w:sz w:val="20"/>
              </w:rPr>
              <w:t xml:space="preserve">This indication is approved under accelerated approval based on </w:t>
            </w:r>
            <w:proofErr w:type="spellStart"/>
            <w:r w:rsidRPr="00FF3F22">
              <w:rPr>
                <w:i/>
                <w:sz w:val="20"/>
              </w:rPr>
              <w:t>tumor</w:t>
            </w:r>
            <w:proofErr w:type="spellEnd"/>
            <w:r w:rsidRPr="00FF3F22">
              <w:rPr>
                <w:i/>
                <w:sz w:val="20"/>
              </w:rPr>
              <w:t xml:space="preserve"> response rate and duration of response. Continued approval for this indication may be contingent upon verification and description of clinical benefit in confirmatory trials. (1.1)</w:t>
            </w:r>
          </w:p>
          <w:p w14:paraId="19087FFE" w14:textId="6441D44A" w:rsidR="009B1383" w:rsidRPr="00FF3F22" w:rsidRDefault="009B1383" w:rsidP="009B1383">
            <w:pPr>
              <w:ind w:left="0"/>
              <w:rPr>
                <w:i/>
                <w:sz w:val="20"/>
              </w:rPr>
            </w:pPr>
            <w:r w:rsidRPr="00FF3F22">
              <w:rPr>
                <w:i/>
                <w:sz w:val="20"/>
              </w:rPr>
              <w:t>- for the treatment of adult patients with unresectable, Stage III non-small cell lung cancer (NSCLC) whose disease has not progressed following concurrent platinum-based chemotherapy and radiation therapy. (1.2)</w:t>
            </w:r>
          </w:p>
          <w:p w14:paraId="75F52646" w14:textId="2A57E056" w:rsidR="00C2003F" w:rsidRPr="00FF3F22" w:rsidRDefault="009B1383" w:rsidP="009B1383">
            <w:pPr>
              <w:ind w:left="0"/>
              <w:rPr>
                <w:i/>
                <w:sz w:val="20"/>
              </w:rPr>
            </w:pPr>
            <w:r w:rsidRPr="00FF3F22">
              <w:rPr>
                <w:i/>
                <w:sz w:val="20"/>
              </w:rPr>
              <w:t>- in combination with etoposide and either carboplatin or cisplatin, as first-line treatment of adult patients with extensive-stage small cell lung cancer (ES-SCLC). (1.3)</w:t>
            </w:r>
          </w:p>
        </w:tc>
      </w:tr>
    </w:tbl>
    <w:p w14:paraId="60D05989" w14:textId="77777777" w:rsidR="008E7846" w:rsidRDefault="008E7846" w:rsidP="00940A89">
      <w:pPr>
        <w:pStyle w:val="Heading3"/>
      </w:pPr>
      <w:bookmarkStart w:id="22" w:name="_Toc69718712"/>
      <w:r>
        <w:t>Product Information</w:t>
      </w:r>
      <w:bookmarkEnd w:id="20"/>
      <w:bookmarkEnd w:id="21"/>
      <w:bookmarkEnd w:id="22"/>
    </w:p>
    <w:p w14:paraId="3407BFD3" w14:textId="12E5E8A1" w:rsidR="00006FAB" w:rsidRDefault="006136D7" w:rsidP="00B875BE">
      <w:bookmarkStart w:id="23" w:name="_Toc247691506"/>
      <w:bookmarkStart w:id="24"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20" w:history="1">
        <w:r w:rsidR="00441C3F" w:rsidRPr="00441C3F">
          <w:rPr>
            <w:rStyle w:val="Hyperlink"/>
          </w:rPr>
          <w:t>https://www.tga.gov.au/product-information-pi</w:t>
        </w:r>
      </w:hyperlink>
      <w:r w:rsidR="00441C3F">
        <w:t>&gt;</w:t>
      </w:r>
      <w:r w:rsidR="00940A89" w:rsidRPr="00940A89">
        <w:t>.</w:t>
      </w:r>
    </w:p>
    <w:p w14:paraId="2856E070" w14:textId="77777777" w:rsidR="00500337" w:rsidRDefault="00500337" w:rsidP="003601FF">
      <w:pPr>
        <w:pStyle w:val="Heading2"/>
      </w:pPr>
      <w:bookmarkStart w:id="25" w:name="_Toc504480011"/>
      <w:bookmarkStart w:id="26" w:name="_Toc69718713"/>
      <w:r>
        <w:t>II. Registration timeline</w:t>
      </w:r>
      <w:bookmarkEnd w:id="25"/>
      <w:bookmarkEnd w:id="26"/>
    </w:p>
    <w:p w14:paraId="27ECF9E9" w14:textId="77777777" w:rsidR="00500337" w:rsidRDefault="00500337" w:rsidP="00FF3F22">
      <w:pPr>
        <w:keepNext/>
      </w:pPr>
      <w:r>
        <w:t>The following table captures the key steps and dates for this application and which are detailed and discussed in this AusPAR.</w:t>
      </w:r>
    </w:p>
    <w:p w14:paraId="493C3596" w14:textId="5A10E20C" w:rsidR="00500337" w:rsidRPr="00377BD4" w:rsidRDefault="002107EA" w:rsidP="003601FF">
      <w:pPr>
        <w:pStyle w:val="TableTitle"/>
      </w:pPr>
      <w:r w:rsidRPr="002107EA">
        <w:t xml:space="preserve">Table </w:t>
      </w:r>
      <w:r>
        <w:fldChar w:fldCharType="begin"/>
      </w:r>
      <w:r>
        <w:instrText>SEQ Table \* ARABIC</w:instrText>
      </w:r>
      <w:r>
        <w:fldChar w:fldCharType="separate"/>
      </w:r>
      <w:r w:rsidR="00130E57">
        <w:rPr>
          <w:noProof/>
        </w:rPr>
        <w:t>2</w:t>
      </w:r>
      <w:r>
        <w:fldChar w:fldCharType="end"/>
      </w:r>
      <w:r w:rsidR="00006FAB">
        <w:t>:</w:t>
      </w:r>
      <w:r w:rsidR="006A58A8" w:rsidRPr="006A58A8">
        <w:t xml:space="preserve"> Timeline for Submission PM-20</w:t>
      </w:r>
      <w:r>
        <w:t>19-04661-1-4</w:t>
      </w:r>
    </w:p>
    <w:tbl>
      <w:tblPr>
        <w:tblStyle w:val="TableTGAblue"/>
        <w:tblW w:w="0" w:type="auto"/>
        <w:tblLook w:val="04A0" w:firstRow="1" w:lastRow="0" w:firstColumn="1" w:lastColumn="0" w:noHBand="0" w:noVBand="1"/>
      </w:tblPr>
      <w:tblGrid>
        <w:gridCol w:w="6227"/>
        <w:gridCol w:w="2257"/>
      </w:tblGrid>
      <w:tr w:rsidR="00500337" w14:paraId="56F6F07A" w14:textId="77777777" w:rsidTr="00752ED5">
        <w:trPr>
          <w:cnfStyle w:val="100000000000" w:firstRow="1" w:lastRow="0" w:firstColumn="0" w:lastColumn="0" w:oddVBand="0" w:evenVBand="0" w:oddHBand="0" w:evenHBand="0" w:firstRowFirstColumn="0" w:firstRowLastColumn="0" w:lastRowFirstColumn="0" w:lastRowLastColumn="0"/>
        </w:trPr>
        <w:tc>
          <w:tcPr>
            <w:tcW w:w="6227" w:type="dxa"/>
          </w:tcPr>
          <w:p w14:paraId="25E0A272" w14:textId="77777777" w:rsidR="00500337" w:rsidRDefault="00500337">
            <w:pPr>
              <w:ind w:left="0" w:right="0"/>
            </w:pPr>
            <w:r>
              <w:t>Description</w:t>
            </w:r>
          </w:p>
        </w:tc>
        <w:tc>
          <w:tcPr>
            <w:tcW w:w="2257" w:type="dxa"/>
          </w:tcPr>
          <w:p w14:paraId="35C4B8EB" w14:textId="77777777" w:rsidR="00500337" w:rsidRDefault="00500337">
            <w:pPr>
              <w:ind w:left="0" w:right="0"/>
            </w:pPr>
            <w:r>
              <w:t>Date</w:t>
            </w:r>
          </w:p>
        </w:tc>
      </w:tr>
      <w:tr w:rsidR="00500337" w14:paraId="6E9E5D52" w14:textId="77777777" w:rsidTr="00752ED5">
        <w:tc>
          <w:tcPr>
            <w:tcW w:w="6227" w:type="dxa"/>
          </w:tcPr>
          <w:p w14:paraId="5A7461BE" w14:textId="77777777" w:rsidR="00500337" w:rsidRDefault="00500337" w:rsidP="00FF3F22">
            <w:pPr>
              <w:keepNext/>
              <w:ind w:left="0" w:right="0"/>
            </w:pPr>
            <w:r>
              <w:t>Submission dossier accepted and first round evaluation commenced</w:t>
            </w:r>
          </w:p>
        </w:tc>
        <w:tc>
          <w:tcPr>
            <w:tcW w:w="2257" w:type="dxa"/>
          </w:tcPr>
          <w:p w14:paraId="3DD6A5AB" w14:textId="77777777" w:rsidR="00500337" w:rsidRDefault="002107EA" w:rsidP="00FF3F22">
            <w:pPr>
              <w:keepNext/>
              <w:ind w:left="0" w:right="0"/>
            </w:pPr>
            <w:r>
              <w:t>2 December 2019</w:t>
            </w:r>
          </w:p>
        </w:tc>
      </w:tr>
      <w:tr w:rsidR="00500337" w14:paraId="1B567D81" w14:textId="77777777" w:rsidTr="00752ED5">
        <w:tc>
          <w:tcPr>
            <w:tcW w:w="6227" w:type="dxa"/>
          </w:tcPr>
          <w:p w14:paraId="4C6F0893" w14:textId="77777777" w:rsidR="00500337" w:rsidRDefault="00500337" w:rsidP="00500337">
            <w:pPr>
              <w:ind w:left="0" w:right="0"/>
            </w:pPr>
            <w:r>
              <w:t>First round evaluation completed</w:t>
            </w:r>
          </w:p>
        </w:tc>
        <w:tc>
          <w:tcPr>
            <w:tcW w:w="2257" w:type="dxa"/>
          </w:tcPr>
          <w:p w14:paraId="5AA8DDEC" w14:textId="77777777" w:rsidR="00500337" w:rsidRDefault="002107EA" w:rsidP="00500337">
            <w:pPr>
              <w:ind w:left="0" w:right="0"/>
            </w:pPr>
            <w:r>
              <w:t>30 April 2020</w:t>
            </w:r>
          </w:p>
        </w:tc>
      </w:tr>
      <w:tr w:rsidR="00500337" w14:paraId="4940BE28" w14:textId="77777777" w:rsidTr="00752ED5">
        <w:tc>
          <w:tcPr>
            <w:tcW w:w="6227" w:type="dxa"/>
          </w:tcPr>
          <w:p w14:paraId="60197E60" w14:textId="77777777" w:rsidR="00500337" w:rsidRDefault="00500337" w:rsidP="00500337">
            <w:pPr>
              <w:ind w:left="0" w:right="0"/>
            </w:pPr>
            <w:r>
              <w:lastRenderedPageBreak/>
              <w:t>Sponsor provides responses on questions raised in first round evaluation</w:t>
            </w:r>
          </w:p>
        </w:tc>
        <w:tc>
          <w:tcPr>
            <w:tcW w:w="2257" w:type="dxa"/>
          </w:tcPr>
          <w:p w14:paraId="4D1211C6" w14:textId="77777777" w:rsidR="00500337" w:rsidRDefault="002107EA" w:rsidP="00500337">
            <w:pPr>
              <w:ind w:left="0" w:right="0"/>
            </w:pPr>
            <w:r>
              <w:t>2 June 2020</w:t>
            </w:r>
          </w:p>
        </w:tc>
      </w:tr>
      <w:tr w:rsidR="00500337" w14:paraId="59C94044" w14:textId="77777777" w:rsidTr="00752ED5">
        <w:tc>
          <w:tcPr>
            <w:tcW w:w="6227" w:type="dxa"/>
          </w:tcPr>
          <w:p w14:paraId="53CBED94" w14:textId="77777777" w:rsidR="00500337" w:rsidRDefault="00500337" w:rsidP="00500337">
            <w:pPr>
              <w:ind w:left="0" w:right="0"/>
            </w:pPr>
            <w:r>
              <w:t>Second round evaluation completed</w:t>
            </w:r>
          </w:p>
        </w:tc>
        <w:tc>
          <w:tcPr>
            <w:tcW w:w="2257" w:type="dxa"/>
          </w:tcPr>
          <w:p w14:paraId="516639EE" w14:textId="77777777" w:rsidR="00500337" w:rsidRDefault="002107EA" w:rsidP="00500337">
            <w:pPr>
              <w:ind w:left="0" w:right="0"/>
            </w:pPr>
            <w:r>
              <w:t>17 July 2020</w:t>
            </w:r>
          </w:p>
        </w:tc>
      </w:tr>
      <w:tr w:rsidR="00500337" w14:paraId="550FA4F6" w14:textId="77777777" w:rsidTr="00752ED5">
        <w:tc>
          <w:tcPr>
            <w:tcW w:w="6227" w:type="dxa"/>
          </w:tcPr>
          <w:p w14:paraId="18B3649F" w14:textId="77777777" w:rsidR="00500337" w:rsidRDefault="00324E45" w:rsidP="002107EA">
            <w:pPr>
              <w:ind w:left="0" w:right="0"/>
            </w:pPr>
            <w:r>
              <w:t xml:space="preserve">Delegate’s Overall benefit-risk assessment </w:t>
            </w:r>
            <w:r w:rsidRPr="002107EA">
              <w:rPr>
                <w:color w:val="auto"/>
              </w:rPr>
              <w:t>and request for Advisory Committee advice</w:t>
            </w:r>
          </w:p>
        </w:tc>
        <w:tc>
          <w:tcPr>
            <w:tcW w:w="2257" w:type="dxa"/>
          </w:tcPr>
          <w:p w14:paraId="3527DB2A" w14:textId="77777777" w:rsidR="00500337" w:rsidRDefault="002107EA" w:rsidP="00500337">
            <w:pPr>
              <w:ind w:left="0" w:right="0"/>
            </w:pPr>
            <w:r>
              <w:t>31 August 2020</w:t>
            </w:r>
          </w:p>
        </w:tc>
      </w:tr>
      <w:tr w:rsidR="00500337" w14:paraId="4692FF21" w14:textId="77777777" w:rsidTr="00752ED5">
        <w:tc>
          <w:tcPr>
            <w:tcW w:w="6227" w:type="dxa"/>
          </w:tcPr>
          <w:p w14:paraId="54384EE0" w14:textId="77777777" w:rsidR="00500337" w:rsidRDefault="00500337" w:rsidP="00500337">
            <w:pPr>
              <w:ind w:left="0" w:right="0"/>
            </w:pPr>
            <w:r>
              <w:t>Sponsor’s pre-Advisory Committee response</w:t>
            </w:r>
          </w:p>
        </w:tc>
        <w:tc>
          <w:tcPr>
            <w:tcW w:w="2257" w:type="dxa"/>
          </w:tcPr>
          <w:p w14:paraId="0F36DB98" w14:textId="77777777" w:rsidR="00500337" w:rsidRDefault="002107EA" w:rsidP="00500337">
            <w:pPr>
              <w:ind w:left="0" w:right="0"/>
            </w:pPr>
            <w:r>
              <w:t>15 September 2020</w:t>
            </w:r>
          </w:p>
        </w:tc>
      </w:tr>
      <w:tr w:rsidR="00500337" w14:paraId="1B4D4F7D" w14:textId="77777777" w:rsidTr="00752ED5">
        <w:tc>
          <w:tcPr>
            <w:tcW w:w="6227" w:type="dxa"/>
          </w:tcPr>
          <w:p w14:paraId="10527593" w14:textId="77777777" w:rsidR="00500337" w:rsidRDefault="00500337" w:rsidP="00500337">
            <w:pPr>
              <w:ind w:left="0" w:right="0"/>
            </w:pPr>
            <w:r>
              <w:t>Advisory Committee meeting</w:t>
            </w:r>
          </w:p>
        </w:tc>
        <w:tc>
          <w:tcPr>
            <w:tcW w:w="2257" w:type="dxa"/>
          </w:tcPr>
          <w:p w14:paraId="4675410C" w14:textId="3C49BD82" w:rsidR="00500337" w:rsidRDefault="009036B5" w:rsidP="00500337">
            <w:pPr>
              <w:ind w:left="0" w:right="0"/>
            </w:pPr>
            <w:r>
              <w:t xml:space="preserve">1 and </w:t>
            </w:r>
            <w:r w:rsidR="003658E3">
              <w:t>2</w:t>
            </w:r>
            <w:r w:rsidR="001016DC">
              <w:t xml:space="preserve"> October 2020</w:t>
            </w:r>
          </w:p>
        </w:tc>
      </w:tr>
      <w:tr w:rsidR="00500337" w14:paraId="1F1BC4ED" w14:textId="77777777" w:rsidTr="00752ED5">
        <w:tc>
          <w:tcPr>
            <w:tcW w:w="6227" w:type="dxa"/>
          </w:tcPr>
          <w:p w14:paraId="7FEF37FC" w14:textId="77777777" w:rsidR="00500337" w:rsidRDefault="00500337" w:rsidP="00500337">
            <w:pPr>
              <w:ind w:left="0" w:right="0"/>
            </w:pPr>
            <w:r>
              <w:t>Registration decision (Outcome)</w:t>
            </w:r>
          </w:p>
        </w:tc>
        <w:tc>
          <w:tcPr>
            <w:tcW w:w="2257" w:type="dxa"/>
          </w:tcPr>
          <w:p w14:paraId="1743CCFD" w14:textId="77777777" w:rsidR="00500337" w:rsidRDefault="001016DC" w:rsidP="00500337">
            <w:pPr>
              <w:ind w:left="0" w:right="0"/>
            </w:pPr>
            <w:r>
              <w:t>20 November 2020</w:t>
            </w:r>
          </w:p>
        </w:tc>
      </w:tr>
      <w:tr w:rsidR="00500337" w14:paraId="070E71C3" w14:textId="77777777" w:rsidTr="00752ED5">
        <w:tc>
          <w:tcPr>
            <w:tcW w:w="6227" w:type="dxa"/>
          </w:tcPr>
          <w:p w14:paraId="075E88B9" w14:textId="77777777" w:rsidR="00500337" w:rsidRDefault="00500337" w:rsidP="00500337">
            <w:pPr>
              <w:ind w:left="0" w:right="0"/>
            </w:pPr>
            <w:r>
              <w:t xml:space="preserve">Completion of administrative activities and registration on </w:t>
            </w:r>
            <w:r w:rsidR="00006FAB">
              <w:t xml:space="preserve">the </w:t>
            </w:r>
            <w:r>
              <w:t>ARTG</w:t>
            </w:r>
          </w:p>
        </w:tc>
        <w:tc>
          <w:tcPr>
            <w:tcW w:w="2257" w:type="dxa"/>
          </w:tcPr>
          <w:p w14:paraId="50AFE5C4" w14:textId="77777777" w:rsidR="00500337" w:rsidRDefault="001016DC" w:rsidP="00500337">
            <w:pPr>
              <w:ind w:left="0" w:right="0"/>
            </w:pPr>
            <w:r>
              <w:t>25 November 2020</w:t>
            </w:r>
          </w:p>
        </w:tc>
      </w:tr>
      <w:tr w:rsidR="00500337" w14:paraId="7B132AB2" w14:textId="77777777" w:rsidTr="00752ED5">
        <w:tc>
          <w:tcPr>
            <w:tcW w:w="6227" w:type="dxa"/>
          </w:tcPr>
          <w:p w14:paraId="502F0C59" w14:textId="77777777" w:rsidR="00500337" w:rsidRDefault="00500337" w:rsidP="00500337">
            <w:pPr>
              <w:ind w:left="0" w:right="0"/>
            </w:pPr>
            <w:r>
              <w:t>Number of working days from submission dossier acceptance to registration decision*</w:t>
            </w:r>
          </w:p>
        </w:tc>
        <w:tc>
          <w:tcPr>
            <w:tcW w:w="2257" w:type="dxa"/>
          </w:tcPr>
          <w:p w14:paraId="37F98940" w14:textId="77777777" w:rsidR="00500337" w:rsidRDefault="001016DC" w:rsidP="00500337">
            <w:pPr>
              <w:ind w:left="0" w:right="0"/>
            </w:pPr>
            <w:r>
              <w:t>221</w:t>
            </w:r>
          </w:p>
        </w:tc>
      </w:tr>
    </w:tbl>
    <w:p w14:paraId="2959F5B0" w14:textId="77777777" w:rsidR="00500337" w:rsidRDefault="00500337" w:rsidP="00500337">
      <w:pPr>
        <w:pStyle w:val="TableDescription"/>
      </w:pPr>
      <w:r>
        <w:t>*</w:t>
      </w:r>
      <w:r w:rsidR="00BF3774" w:rsidRPr="00BF3774">
        <w:t xml:space="preserve">Statutory </w:t>
      </w:r>
      <w:r>
        <w:t>timeframe for standard applications is 2</w:t>
      </w:r>
      <w:r w:rsidR="00BF3774">
        <w:t>55</w:t>
      </w:r>
      <w:r>
        <w:t xml:space="preserve"> working days</w:t>
      </w:r>
    </w:p>
    <w:p w14:paraId="7B3320B3" w14:textId="77777777" w:rsidR="008E7846" w:rsidRPr="00792A32" w:rsidRDefault="00456765" w:rsidP="008E7846">
      <w:pPr>
        <w:pStyle w:val="Heading2"/>
      </w:pPr>
      <w:bookmarkStart w:id="27" w:name="_Toc196046504"/>
      <w:bookmarkStart w:id="28" w:name="_Toc247691527"/>
      <w:bookmarkStart w:id="29" w:name="_Toc314842510"/>
      <w:bookmarkStart w:id="30" w:name="_Toc69718714"/>
      <w:bookmarkStart w:id="31" w:name="_Toc163441390"/>
      <w:bookmarkEnd w:id="23"/>
      <w:bookmarkEnd w:id="24"/>
      <w:bookmarkEnd w:id="1"/>
      <w:r>
        <w:t>I</w:t>
      </w:r>
      <w:r w:rsidR="00DA64CB">
        <w:t>I</w:t>
      </w:r>
      <w:r w:rsidR="008E7846">
        <w:t xml:space="preserve">I. </w:t>
      </w:r>
      <w:r w:rsidR="00006FAB"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7"/>
      <w:bookmarkEnd w:id="28"/>
      <w:bookmarkEnd w:id="29"/>
      <w:bookmarkEnd w:id="30"/>
    </w:p>
    <w:p w14:paraId="737A62F8" w14:textId="77777777" w:rsidR="00006FAB" w:rsidRDefault="00006FAB" w:rsidP="00006FAB">
      <w:bookmarkStart w:id="32" w:name="_Toc247691528"/>
      <w:r>
        <w:t>The submission was summarised in the following Delegate’s overview and recommendations.</w:t>
      </w:r>
    </w:p>
    <w:p w14:paraId="3933AC52" w14:textId="77777777" w:rsidR="001016DC" w:rsidRDefault="001016DC" w:rsidP="00006FAB">
      <w:r w:rsidRPr="00551516">
        <w:rPr>
          <w:rFonts w:asciiTheme="minorHAnsi" w:hAnsiTheme="minorHAnsi"/>
        </w:rPr>
        <w:t>The TGA has adopted the EU Guideline on the evaluation of antic</w:t>
      </w:r>
      <w:r w:rsidR="0006021A">
        <w:rPr>
          <w:rFonts w:asciiTheme="minorHAnsi" w:hAnsiTheme="minorHAnsi"/>
        </w:rPr>
        <w:t>ancer medicinal products in man;</w:t>
      </w:r>
      <w:r w:rsidR="0006021A">
        <w:rPr>
          <w:rStyle w:val="FootnoteReference"/>
          <w:rFonts w:asciiTheme="minorHAnsi" w:hAnsiTheme="minorHAnsi"/>
        </w:rPr>
        <w:footnoteReference w:id="7"/>
      </w:r>
      <w:r w:rsidR="0006021A">
        <w:rPr>
          <w:rFonts w:asciiTheme="minorHAnsi" w:hAnsiTheme="minorHAnsi"/>
        </w:rPr>
        <w:t xml:space="preserve"> and relevant appendices</w:t>
      </w:r>
      <w:r w:rsidRPr="00551516">
        <w:rPr>
          <w:rFonts w:asciiTheme="minorHAnsi" w:hAnsiTheme="minorHAnsi"/>
        </w:rPr>
        <w:t>.</w:t>
      </w:r>
    </w:p>
    <w:p w14:paraId="0E6692BE" w14:textId="77777777" w:rsidR="00D710C2" w:rsidRDefault="008E7846" w:rsidP="00D710C2">
      <w:pPr>
        <w:pStyle w:val="Heading3"/>
      </w:pPr>
      <w:bookmarkStart w:id="33" w:name="_Toc314842511"/>
      <w:bookmarkStart w:id="34" w:name="_Toc69718715"/>
      <w:r>
        <w:t>Quality</w:t>
      </w:r>
      <w:bookmarkEnd w:id="32"/>
      <w:bookmarkEnd w:id="33"/>
      <w:bookmarkEnd w:id="34"/>
    </w:p>
    <w:p w14:paraId="10184B68" w14:textId="77777777" w:rsidR="00D710C2" w:rsidRDefault="00D710C2" w:rsidP="00D710C2">
      <w:r>
        <w:t xml:space="preserve">Durvalumab is a human immunoglobulin (IgG1κ) monoclonal antibody that is presented as sterile, preservative-free, clear to opalescent, colourless to slightly yellow, concentrated solutions free from visible particles. Each solution contains histidine, histidine hydrochloride monohydrate, trehalose dihydrate, </w:t>
      </w:r>
      <w:proofErr w:type="spellStart"/>
      <w:r>
        <w:t>polysorbate</w:t>
      </w:r>
      <w:proofErr w:type="spellEnd"/>
      <w:r>
        <w:t xml:space="preserve"> 80 and water for injection as excipients.</w:t>
      </w:r>
    </w:p>
    <w:p w14:paraId="0F119A18" w14:textId="1DB9159A" w:rsidR="00D710C2" w:rsidRDefault="00D710C2" w:rsidP="00D710C2">
      <w:r>
        <w:t>New quality data were included in this submission to support impurity safety levels because the flat dosing potentially exposes patients of lower body weight to higher levels of impurities in the formulation. The impurity calculations were based on what was considered a worse-case scenario for the 1500 mg dosing of 50</w:t>
      </w:r>
      <w:r w:rsidR="001F3906">
        <w:t xml:space="preserve"> </w:t>
      </w:r>
      <w:r>
        <w:t>mg/kg, and impurities at this maximal exposure were found to be within acceptable limits.</w:t>
      </w:r>
    </w:p>
    <w:p w14:paraId="31513EDF" w14:textId="417816AF" w:rsidR="00D710C2" w:rsidRDefault="00D710C2" w:rsidP="00D710C2">
      <w:r>
        <w:t xml:space="preserve">The endotoxin limits have been updated and remain below the </w:t>
      </w:r>
      <w:r w:rsidR="007773DA" w:rsidRPr="007773DA">
        <w:t xml:space="preserve">European Pharmacopoeia </w:t>
      </w:r>
      <w:r>
        <w:t xml:space="preserve">and </w:t>
      </w:r>
      <w:r w:rsidR="007773DA" w:rsidRPr="007773DA">
        <w:t xml:space="preserve">United States Pharmacopeia </w:t>
      </w:r>
      <w:r w:rsidR="007773DA">
        <w:t>(</w:t>
      </w:r>
      <w:r>
        <w:t>USP</w:t>
      </w:r>
      <w:r w:rsidR="007773DA">
        <w:t>) limits</w:t>
      </w:r>
      <w:r w:rsidR="004A6361">
        <w:t xml:space="preserve"> of ≤ 5 endotoxin</w:t>
      </w:r>
      <w:r>
        <w:t>/kg for an aseptic product. Updated container quality data was accepted by the container safety evaluator.</w:t>
      </w:r>
    </w:p>
    <w:p w14:paraId="14E5B4AD" w14:textId="77777777" w:rsidR="00D710C2" w:rsidRDefault="00D710C2" w:rsidP="00D710C2">
      <w:r>
        <w:t>The quality evaluator had no objections on quality grounds to the approval of this submission and did not recommend batch release conditions.</w:t>
      </w:r>
    </w:p>
    <w:p w14:paraId="4B510526" w14:textId="77777777" w:rsidR="00006FAB" w:rsidRDefault="008E7846" w:rsidP="00D710C2">
      <w:pPr>
        <w:pStyle w:val="Heading3"/>
      </w:pPr>
      <w:bookmarkStart w:id="35" w:name="_Toc314842512"/>
      <w:bookmarkStart w:id="36" w:name="_Toc69718716"/>
      <w:r>
        <w:lastRenderedPageBreak/>
        <w:t>Nonclinical</w:t>
      </w:r>
      <w:bookmarkEnd w:id="35"/>
      <w:bookmarkEnd w:id="36"/>
    </w:p>
    <w:p w14:paraId="7E3F5466" w14:textId="3D252609" w:rsidR="00D710C2" w:rsidRDefault="00D710C2" w:rsidP="00006FAB">
      <w:r w:rsidRPr="00D710C2">
        <w:t>No new nonclinical data were inclu</w:t>
      </w:r>
      <w:r w:rsidR="001277E1">
        <w:t>ded in this submission. The non</w:t>
      </w:r>
      <w:r w:rsidRPr="00D710C2">
        <w:t xml:space="preserve">clinical evaluator noted the exposure in the 1500 mg IV </w:t>
      </w:r>
      <w:r w:rsidR="007773DA">
        <w:t>e</w:t>
      </w:r>
      <w:r w:rsidR="007773DA" w:rsidRPr="007773DA">
        <w:t xml:space="preserve">very 3 weeks </w:t>
      </w:r>
      <w:r w:rsidR="007773DA">
        <w:t>(</w:t>
      </w:r>
      <w:r w:rsidRPr="00D710C2">
        <w:t>Q3W</w:t>
      </w:r>
      <w:r w:rsidR="007773DA">
        <w:t>)</w:t>
      </w:r>
      <w:r w:rsidRPr="00D710C2">
        <w:t xml:space="preserve"> dose </w:t>
      </w:r>
      <w:r w:rsidR="001F3906">
        <w:t xml:space="preserve">regimen </w:t>
      </w:r>
      <w:r w:rsidRPr="00D710C2">
        <w:t xml:space="preserve">is approximately twice the exposure at 10 mg/kg </w:t>
      </w:r>
      <w:r w:rsidR="007773DA">
        <w:t>every 2 weeks (</w:t>
      </w:r>
      <w:r w:rsidRPr="00D710C2">
        <w:t>Q2W</w:t>
      </w:r>
      <w:r w:rsidR="007773DA">
        <w:t>)</w:t>
      </w:r>
      <w:r w:rsidR="001F3906">
        <w:t xml:space="preserve"> dose regimen</w:t>
      </w:r>
      <w:r w:rsidRPr="00D710C2">
        <w:t xml:space="preserve">. The evaluator noted previous </w:t>
      </w:r>
      <w:proofErr w:type="spellStart"/>
      <w:r w:rsidRPr="00D710C2">
        <w:t>durvalumab</w:t>
      </w:r>
      <w:proofErr w:type="spellEnd"/>
      <w:r w:rsidRPr="00D710C2">
        <w:t xml:space="preserve"> data that showed no target organ for toxicity for repeat dose toxicity studies in monkeys which animal:</w:t>
      </w:r>
      <w:r w:rsidR="001F3906">
        <w:t xml:space="preserve"> </w:t>
      </w:r>
      <w:r w:rsidRPr="00D710C2">
        <w:t xml:space="preserve">human dose ratios up to 23 based on </w:t>
      </w:r>
      <w:r w:rsidR="007773DA">
        <w:t>a</w:t>
      </w:r>
      <w:r w:rsidR="007773DA" w:rsidRPr="007773DA">
        <w:t xml:space="preserve">rea under the plasma concentration time curve </w:t>
      </w:r>
      <w:r w:rsidR="007773DA">
        <w:t>(</w:t>
      </w:r>
      <w:r w:rsidRPr="00D710C2">
        <w:t>AUC</w:t>
      </w:r>
      <w:r w:rsidR="007773DA">
        <w:t>)</w:t>
      </w:r>
      <w:r w:rsidRPr="00D710C2">
        <w:t>. The major concern is the potential for embryofetal lethality in pregnancy patients. The evaluator had no objections on non-clinical ground to the extension of indications.</w:t>
      </w:r>
    </w:p>
    <w:p w14:paraId="5E95C5D6" w14:textId="77777777" w:rsidR="008E7846" w:rsidRDefault="008E7846" w:rsidP="008E7846">
      <w:pPr>
        <w:pStyle w:val="Heading3"/>
      </w:pPr>
      <w:bookmarkStart w:id="37" w:name="_Toc247691530"/>
      <w:bookmarkStart w:id="38" w:name="_Toc314842513"/>
      <w:bookmarkStart w:id="39" w:name="_Toc69718717"/>
      <w:r>
        <w:t>Clinical</w:t>
      </w:r>
      <w:bookmarkEnd w:id="37"/>
      <w:bookmarkEnd w:id="38"/>
      <w:bookmarkEnd w:id="39"/>
    </w:p>
    <w:p w14:paraId="32D39B74" w14:textId="26809B7A" w:rsidR="007D7ADC" w:rsidRDefault="007D7ADC" w:rsidP="007D7ADC">
      <w:bookmarkStart w:id="40" w:name="_Toc314842514"/>
      <w:r>
        <w:t>The clinical dossier consisted of two safety and efficacy studies</w:t>
      </w:r>
      <w:r w:rsidR="000C587D">
        <w:t>, the pivotal Phase III CASPIAN trial, and Study 1108, a Phase I/II supportive study.</w:t>
      </w:r>
    </w:p>
    <w:p w14:paraId="7AFF7C84" w14:textId="77777777" w:rsidR="007D7ADC" w:rsidRDefault="007D7ADC" w:rsidP="007D7ADC">
      <w:pPr>
        <w:pStyle w:val="Heading4"/>
      </w:pPr>
      <w:r>
        <w:t>Pharmacology</w:t>
      </w:r>
    </w:p>
    <w:p w14:paraId="3658C9D1" w14:textId="77777777" w:rsidR="007D7ADC" w:rsidRDefault="007D7ADC" w:rsidP="007D7ADC">
      <w:pPr>
        <w:pStyle w:val="Heading5"/>
      </w:pPr>
      <w:r>
        <w:t>Pharmacokinetics</w:t>
      </w:r>
    </w:p>
    <w:p w14:paraId="07432621" w14:textId="480D46E1" w:rsidR="007D7ADC" w:rsidRDefault="007D7ADC" w:rsidP="007D7ADC">
      <w:r>
        <w:t xml:space="preserve">A </w:t>
      </w:r>
      <w:proofErr w:type="spellStart"/>
      <w:r>
        <w:t>pharmacometric</w:t>
      </w:r>
      <w:proofErr w:type="spellEnd"/>
      <w:r>
        <w:t xml:space="preserve"> model incorporating</w:t>
      </w:r>
      <w:r w:rsidR="006E7788">
        <w:t xml:space="preserve"> </w:t>
      </w:r>
      <w:r>
        <w:t>updated pharmacokinetic (PK) data from 9</w:t>
      </w:r>
      <w:r w:rsidR="001F3906">
        <w:t> </w:t>
      </w:r>
      <w:r>
        <w:t xml:space="preserve">supportive </w:t>
      </w:r>
      <w:proofErr w:type="spellStart"/>
      <w:r>
        <w:t>durvalumab</w:t>
      </w:r>
      <w:proofErr w:type="spellEnd"/>
      <w:r>
        <w:t xml:space="preserve"> monotherapy studies and the pivotal CASPIAN </w:t>
      </w:r>
      <w:r w:rsidR="007250F4">
        <w:t>trial</w:t>
      </w:r>
      <w:r>
        <w:t xml:space="preserve"> supported the selection of 1500 mg </w:t>
      </w:r>
      <w:r w:rsidR="002B0C7E">
        <w:t>every 4 weeks (</w:t>
      </w:r>
      <w:r>
        <w:t>Q4W</w:t>
      </w:r>
      <w:r w:rsidR="002B0C7E">
        <w:t>)</w:t>
      </w:r>
      <w:r>
        <w:t xml:space="preserve"> fixed dose regimen for study in ES-SCLC as being similar in terms of AUC to 20 mg/kg Q4W. The steady state (</w:t>
      </w:r>
      <w:r w:rsidR="001F3906">
        <w:t xml:space="preserve">at </w:t>
      </w:r>
      <w:r>
        <w:t>Day 84) geometric mean (</w:t>
      </w:r>
      <w:r w:rsidR="001F3906">
        <w:t>coefficient of variation as percentage (</w:t>
      </w:r>
      <w:r>
        <w:t>CV%</w:t>
      </w:r>
      <w:r w:rsidR="001F3906">
        <w:t>)</w:t>
      </w:r>
      <w:r>
        <w:t>) of the observed trough concentratio</w:t>
      </w:r>
      <w:r w:rsidR="002B0C7E">
        <w:t xml:space="preserve">ns for </w:t>
      </w:r>
      <w:proofErr w:type="spellStart"/>
      <w:r w:rsidR="002B0C7E">
        <w:t>durvalumab</w:t>
      </w:r>
      <w:proofErr w:type="spellEnd"/>
      <w:r w:rsidR="002B0C7E">
        <w:t xml:space="preserve"> 1500 mg </w:t>
      </w:r>
      <w:r>
        <w:t xml:space="preserve">Q3W by </w:t>
      </w:r>
      <w:r w:rsidR="002B0C7E">
        <w:t>IV administration was 241 µ</w:t>
      </w:r>
      <w:r>
        <w:t xml:space="preserve">g/mL (49.7%), 75% higher than for </w:t>
      </w:r>
      <w:proofErr w:type="spellStart"/>
      <w:r>
        <w:t>durvalumab</w:t>
      </w:r>
      <w:proofErr w:type="spellEnd"/>
      <w:r>
        <w:t xml:space="preserve"> 10 mg/kg Q2W administration. No intrinsic or extrinsic factor were identified on which dose adjustment would be required.</w:t>
      </w:r>
    </w:p>
    <w:p w14:paraId="361A733D" w14:textId="09A44B93" w:rsidR="007D7ADC" w:rsidRDefault="004A6361" w:rsidP="007D7ADC">
      <w:r>
        <w:t xml:space="preserve">The PK of EP in the </w:t>
      </w:r>
      <w:proofErr w:type="spellStart"/>
      <w:r w:rsidRPr="008A4679">
        <w:t>durvalumab</w:t>
      </w:r>
      <w:proofErr w:type="spellEnd"/>
      <w:r>
        <w:t xml:space="preserve"> (D)</w:t>
      </w:r>
      <w:r w:rsidR="007D7ADC">
        <w:t xml:space="preserve">+ EP </w:t>
      </w:r>
      <w:r w:rsidR="003E1D32">
        <w:t>versus</w:t>
      </w:r>
      <w:r w:rsidR="007D7ADC">
        <w:t xml:space="preserve"> EP groups was similar, suggesting no PK</w:t>
      </w:r>
      <w:r w:rsidR="001F3906">
        <w:t xml:space="preserve"> </w:t>
      </w:r>
      <w:r w:rsidR="007D7ADC">
        <w:t xml:space="preserve">drug-drug interaction. </w:t>
      </w:r>
    </w:p>
    <w:p w14:paraId="2FC3CE4B" w14:textId="77777777" w:rsidR="007D7ADC" w:rsidRDefault="007D7ADC" w:rsidP="007D7ADC">
      <w:pPr>
        <w:pStyle w:val="Heading5"/>
      </w:pPr>
      <w:r>
        <w:t>Pharmacodynamics</w:t>
      </w:r>
    </w:p>
    <w:p w14:paraId="05CDD2A4" w14:textId="55342986" w:rsidR="007D7ADC" w:rsidRDefault="004A6361" w:rsidP="007D7ADC">
      <w:r w:rsidRPr="004A6361">
        <w:t xml:space="preserve">Programmed death-ligand 1 </w:t>
      </w:r>
      <w:r>
        <w:t>(</w:t>
      </w:r>
      <w:r w:rsidR="007D7ADC">
        <w:t>PD-L1</w:t>
      </w:r>
      <w:r>
        <w:t>)</w:t>
      </w:r>
      <w:r w:rsidR="007D7ADC">
        <w:t xml:space="preserve"> was completely suppressed in all patients after 1, 3, or 10 mg/kg Q2W, 15 mg/kg Q3W and 20 mg/kg Q4W. In the exposure response analysis, longer O</w:t>
      </w:r>
      <w:r>
        <w:t>S durations observed for the fourth</w:t>
      </w:r>
      <w:r w:rsidR="007D7ADC">
        <w:t xml:space="preserve"> quartile of </w:t>
      </w:r>
      <w:proofErr w:type="spellStart"/>
      <w:r w:rsidR="007D7ADC">
        <w:t>durvalumab</w:t>
      </w:r>
      <w:proofErr w:type="spellEnd"/>
      <w:r w:rsidR="007D7ADC">
        <w:t xml:space="preserve"> PK </w:t>
      </w:r>
      <w:r>
        <w:t>exposure compared to the lower three</w:t>
      </w:r>
      <w:r w:rsidR="007D7ADC">
        <w:t xml:space="preserve"> quartiles, but all exposure quartiles had similar or longer median OS compared to EP alone in the CASPIAN </w:t>
      </w:r>
      <w:r w:rsidR="007250F4">
        <w:t>trial</w:t>
      </w:r>
      <w:r w:rsidR="007D7ADC">
        <w:t>. No clinically meaningful relationship between</w:t>
      </w:r>
      <w:r w:rsidR="00BB3757">
        <w:t xml:space="preserve"> </w:t>
      </w:r>
      <w:proofErr w:type="spellStart"/>
      <w:r w:rsidR="00BB3757">
        <w:t>durvalumab</w:t>
      </w:r>
      <w:proofErr w:type="spellEnd"/>
      <w:r w:rsidR="00BB3757">
        <w:t xml:space="preserve"> exposure and Grade ≥</w:t>
      </w:r>
      <w:r w:rsidR="007D7ADC">
        <w:t xml:space="preserve"> 3 </w:t>
      </w:r>
      <w:r w:rsidR="009311B2">
        <w:t>C</w:t>
      </w:r>
      <w:r>
        <w:t xml:space="preserve">ommon </w:t>
      </w:r>
      <w:r w:rsidR="009311B2">
        <w:t>T</w:t>
      </w:r>
      <w:r>
        <w:t xml:space="preserve">erminology </w:t>
      </w:r>
      <w:r w:rsidR="009311B2">
        <w:t>C</w:t>
      </w:r>
      <w:r>
        <w:t xml:space="preserve">riteria for </w:t>
      </w:r>
      <w:r w:rsidR="009311B2">
        <w:t>A</w:t>
      </w:r>
      <w:r>
        <w:t xml:space="preserve">dverse </w:t>
      </w:r>
      <w:r w:rsidR="009311B2">
        <w:t>E</w:t>
      </w:r>
      <w:r w:rsidRPr="004A6361">
        <w:t xml:space="preserve">vents </w:t>
      </w:r>
      <w:r>
        <w:t>(</w:t>
      </w:r>
      <w:r w:rsidR="007D7ADC">
        <w:t>CTCAE</w:t>
      </w:r>
      <w:r>
        <w:t>)</w:t>
      </w:r>
      <w:bookmarkStart w:id="41" w:name="_Ref62818960"/>
      <w:r w:rsidR="00BB3757">
        <w:rPr>
          <w:rStyle w:val="FootnoteReference"/>
        </w:rPr>
        <w:footnoteReference w:id="8"/>
      </w:r>
      <w:bookmarkEnd w:id="41"/>
      <w:r w:rsidR="007D7ADC">
        <w:t xml:space="preserve"> treatment related events or events of special interest were found. There was no apparent impa</w:t>
      </w:r>
      <w:r w:rsidR="00BB3757">
        <w:t>ct of anti-drug antibodies (ADA</w:t>
      </w:r>
      <w:r w:rsidR="007D7ADC">
        <w:t xml:space="preserve">) on </w:t>
      </w:r>
      <w:proofErr w:type="spellStart"/>
      <w:r w:rsidR="007D7ADC">
        <w:t>durvalumab</w:t>
      </w:r>
      <w:proofErr w:type="spellEnd"/>
      <w:r w:rsidR="007D7ADC">
        <w:t xml:space="preserve"> PK or </w:t>
      </w:r>
      <w:r w:rsidR="00BB3757">
        <w:t>pharmacodynamics</w:t>
      </w:r>
      <w:r w:rsidR="007D7ADC">
        <w:t>.</w:t>
      </w:r>
    </w:p>
    <w:p w14:paraId="44168451" w14:textId="77777777" w:rsidR="007D7ADC" w:rsidRDefault="007D7ADC" w:rsidP="007D7ADC">
      <w:pPr>
        <w:pStyle w:val="Heading5"/>
      </w:pPr>
      <w:r>
        <w:t>Dose for pivotal study</w:t>
      </w:r>
    </w:p>
    <w:p w14:paraId="2EDEEDBF" w14:textId="523FB70E" w:rsidR="007D7ADC" w:rsidRDefault="007D7ADC" w:rsidP="007D7ADC">
      <w:r>
        <w:t xml:space="preserve">The </w:t>
      </w:r>
      <w:proofErr w:type="spellStart"/>
      <w:r>
        <w:t>pharmacometric</w:t>
      </w:r>
      <w:proofErr w:type="spellEnd"/>
      <w:r>
        <w:t xml:space="preserve"> analyses were the basis of the dose </w:t>
      </w:r>
      <w:r w:rsidR="009311B2">
        <w:t xml:space="preserve">regimen </w:t>
      </w:r>
      <w:r>
        <w:t>justification for 1500</w:t>
      </w:r>
      <w:r w:rsidR="009311B2">
        <w:t> </w:t>
      </w:r>
      <w:r>
        <w:t>mg</w:t>
      </w:r>
      <w:r w:rsidR="009311B2">
        <w:t> </w:t>
      </w:r>
      <w:r>
        <w:t>Q3W</w:t>
      </w:r>
      <w:r w:rsidR="00BB3757">
        <w:t xml:space="preserve"> IV in combination with EP for four</w:t>
      </w:r>
      <w:r>
        <w:t xml:space="preserve"> cycles followed by </w:t>
      </w:r>
      <w:proofErr w:type="spellStart"/>
      <w:r>
        <w:t>durvalumab</w:t>
      </w:r>
      <w:proofErr w:type="spellEnd"/>
      <w:r>
        <w:t xml:space="preserve"> 1500</w:t>
      </w:r>
      <w:r w:rsidR="009311B2">
        <w:t> </w:t>
      </w:r>
      <w:r>
        <w:t>mg Q4W IV monotherapy thereafter.</w:t>
      </w:r>
    </w:p>
    <w:p w14:paraId="39537574" w14:textId="77777777" w:rsidR="007D7ADC" w:rsidRDefault="007D7ADC" w:rsidP="007D7ADC">
      <w:pPr>
        <w:pStyle w:val="Heading4"/>
      </w:pPr>
      <w:r>
        <w:lastRenderedPageBreak/>
        <w:t>Efficacy</w:t>
      </w:r>
    </w:p>
    <w:p w14:paraId="51CDBE67" w14:textId="77777777" w:rsidR="007D7ADC" w:rsidRDefault="00F274C3" w:rsidP="007D7ADC">
      <w:pPr>
        <w:pStyle w:val="Heading5"/>
      </w:pPr>
      <w:r>
        <w:t>The</w:t>
      </w:r>
      <w:r w:rsidR="007D7ADC">
        <w:t xml:space="preserve"> C</w:t>
      </w:r>
      <w:r w:rsidR="00BB3757">
        <w:t xml:space="preserve">ASPIAN </w:t>
      </w:r>
      <w:r w:rsidR="007250F4">
        <w:t>trial</w:t>
      </w:r>
    </w:p>
    <w:p w14:paraId="4D96268D" w14:textId="5CC1EB4D" w:rsidR="00796A91" w:rsidRPr="00737937" w:rsidRDefault="00F274C3" w:rsidP="003646E8">
      <w:pPr>
        <w:rPr>
          <w:color w:val="000000" w:themeColor="text1"/>
          <w:lang w:eastAsia="en-AU"/>
        </w:rPr>
      </w:pPr>
      <w:r>
        <w:t xml:space="preserve">The </w:t>
      </w:r>
      <w:r w:rsidR="007D7ADC">
        <w:t>C</w:t>
      </w:r>
      <w:r w:rsidR="007250F4">
        <w:t>ASPIAN trial</w:t>
      </w:r>
      <w:r w:rsidR="007D7ADC">
        <w:t xml:space="preserve"> is an ongoing multicentre, randomised, open-label, investigator-blind, active controlled study. The study</w:t>
      </w:r>
      <w:r w:rsidR="0039386E">
        <w:t xml:space="preserve"> design is summarised in</w:t>
      </w:r>
      <w:r w:rsidR="00B1725E">
        <w:t xml:space="preserve"> </w:t>
      </w:r>
      <w:r w:rsidR="00B1725E">
        <w:fldChar w:fldCharType="begin"/>
      </w:r>
      <w:r w:rsidR="00B1725E">
        <w:instrText xml:space="preserve"> REF _Ref67305105 \h </w:instrText>
      </w:r>
      <w:r w:rsidR="00B1725E">
        <w:fldChar w:fldCharType="separate"/>
      </w:r>
      <w:r w:rsidR="00130E57" w:rsidRPr="00B1725E">
        <w:t xml:space="preserve">Figure </w:t>
      </w:r>
      <w:r w:rsidR="00130E57">
        <w:rPr>
          <w:noProof/>
        </w:rPr>
        <w:t>1</w:t>
      </w:r>
      <w:r w:rsidR="00B1725E">
        <w:fldChar w:fldCharType="end"/>
      </w:r>
      <w:r w:rsidR="00B1725E">
        <w:t xml:space="preserve"> and</w:t>
      </w:r>
      <w:r>
        <w:t xml:space="preserve"> </w:t>
      </w:r>
      <w:r w:rsidR="003646E8">
        <w:fldChar w:fldCharType="begin"/>
      </w:r>
      <w:r w:rsidR="003646E8">
        <w:instrText xml:space="preserve"> REF _Ref67306918 \h </w:instrText>
      </w:r>
      <w:r w:rsidR="003646E8">
        <w:fldChar w:fldCharType="separate"/>
      </w:r>
      <w:r w:rsidR="00130E57" w:rsidRPr="0039386E">
        <w:t xml:space="preserve">Table </w:t>
      </w:r>
      <w:r w:rsidR="00130E57">
        <w:rPr>
          <w:noProof/>
        </w:rPr>
        <w:t>3</w:t>
      </w:r>
      <w:r w:rsidR="003646E8">
        <w:fldChar w:fldCharType="end"/>
      </w:r>
      <w:r w:rsidR="003646E8">
        <w:t>. Arms 2 and 3 are relevant for this submission.</w:t>
      </w:r>
      <w:bookmarkStart w:id="42" w:name="_Ref62216539"/>
    </w:p>
    <w:p w14:paraId="5CB7D53F" w14:textId="5BA4E5A5" w:rsidR="00B1725E" w:rsidRDefault="00B1725E" w:rsidP="00B1725E">
      <w:pPr>
        <w:pStyle w:val="FigureTitle"/>
      </w:pPr>
      <w:bookmarkStart w:id="43" w:name="_Ref67305105"/>
      <w:r w:rsidRPr="00B1725E">
        <w:t xml:space="preserve">Figure </w:t>
      </w:r>
      <w:r w:rsidR="0083053B">
        <w:fldChar w:fldCharType="begin"/>
      </w:r>
      <w:r w:rsidR="0083053B">
        <w:instrText xml:space="preserve"> SEQ Figure \* ARABIC </w:instrText>
      </w:r>
      <w:r w:rsidR="0083053B">
        <w:fldChar w:fldCharType="separate"/>
      </w:r>
      <w:r w:rsidR="00130E57">
        <w:rPr>
          <w:noProof/>
        </w:rPr>
        <w:t>1</w:t>
      </w:r>
      <w:r w:rsidR="0083053B">
        <w:rPr>
          <w:noProof/>
        </w:rPr>
        <w:fldChar w:fldCharType="end"/>
      </w:r>
      <w:bookmarkEnd w:id="43"/>
      <w:r>
        <w:t>: Study schema for CAPSIAN trial</w:t>
      </w:r>
    </w:p>
    <w:p w14:paraId="137CAB34" w14:textId="77777777" w:rsidR="00B1725E" w:rsidRDefault="00B1725E" w:rsidP="00752ED5">
      <w:r w:rsidRPr="00FF3F22">
        <w:rPr>
          <w:noProof/>
          <w:lang w:eastAsia="en-AU"/>
        </w:rPr>
        <w:drawing>
          <wp:inline distT="0" distB="0" distL="0" distR="0" wp14:anchorId="6B58CEAD" wp14:editId="323B3854">
            <wp:extent cx="5390985" cy="2148105"/>
            <wp:effectExtent l="0" t="0" r="635" b="5080"/>
            <wp:docPr id="2" name="Picture 2" descr="805 patients were randomised in a 1 to 1 to 1 ratio to 3 treatment arms. Randomisation was stratified by planned platinum agent (cisplatin or carboplatin). The 3 treatment arms were: Arm 1, duvalumab + tremelimumab + etoposide-platinum every 3 weeks for 4 cycles, followed by duvalumab + tremelimumab every 4 weeks up to disease progression; Arm 2, duvalumab + etoposide-platinum every 3 weeks for 4 cycles, followed by duvalumab every 4 weeks up to disease progression; Arm 3, etoposide-platinum alone every 3 weeks for up to 6 cycles, followed by duvalumab + tremelimumab every 4 weeks up to disease progression, with optional prophylactic cranial irradiation based on investigator's discretion. All patients were offered subsequent therapy as appropriate. At follow up, primary endpoint was  overall survival; secondary endpoint was progression free surviv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a:extLst>
                        <a:ext uri="{28A0092B-C50C-407E-A947-70E740481C1C}">
                          <a14:useLocalDpi xmlns:a14="http://schemas.microsoft.com/office/drawing/2010/main" val="0"/>
                        </a:ext>
                      </a:extLst>
                    </a:blip>
                    <a:srcRect l="1687" r="2425" b="10278"/>
                    <a:stretch/>
                  </pic:blipFill>
                  <pic:spPr bwMode="auto">
                    <a:xfrm>
                      <a:off x="0" y="0"/>
                      <a:ext cx="5457178" cy="2174481"/>
                    </a:xfrm>
                    <a:prstGeom prst="rect">
                      <a:avLst/>
                    </a:prstGeom>
                    <a:noFill/>
                    <a:ln>
                      <a:noFill/>
                    </a:ln>
                    <a:extLst>
                      <a:ext uri="{53640926-AAD7-44D8-BBD7-CCE9431645EC}">
                        <a14:shadowObscured xmlns:a14="http://schemas.microsoft.com/office/drawing/2010/main"/>
                      </a:ext>
                    </a:extLst>
                  </pic:spPr>
                </pic:pic>
              </a:graphicData>
            </a:graphic>
          </wp:inline>
        </w:drawing>
      </w:r>
    </w:p>
    <w:p w14:paraId="6A1E12F9" w14:textId="2F861830" w:rsidR="00B1725E" w:rsidRPr="00B1725E" w:rsidRDefault="00B1725E" w:rsidP="00B1725E">
      <w:pPr>
        <w:pStyle w:val="FootnoteText"/>
        <w:rPr>
          <w:color w:val="000000" w:themeColor="text1"/>
          <w:lang w:eastAsia="en-AU"/>
        </w:rPr>
      </w:pPr>
      <w:r>
        <w:t xml:space="preserve">ES-SCLC = </w:t>
      </w:r>
      <w:r w:rsidRPr="001C53F3">
        <w:t>extensive-stage small cell lung cancer</w:t>
      </w:r>
      <w:r>
        <w:t xml:space="preserve">; PS = Performance status; </w:t>
      </w:r>
      <w:proofErr w:type="spellStart"/>
      <w:r>
        <w:t>durva</w:t>
      </w:r>
      <w:proofErr w:type="spellEnd"/>
      <w:r>
        <w:t xml:space="preserve"> = </w:t>
      </w:r>
      <w:proofErr w:type="spellStart"/>
      <w:r w:rsidRPr="001C53F3">
        <w:t>durvalumab</w:t>
      </w:r>
      <w:proofErr w:type="spellEnd"/>
      <w:r>
        <w:t xml:space="preserve">; </w:t>
      </w:r>
      <w:proofErr w:type="spellStart"/>
      <w:r>
        <w:t>treme</w:t>
      </w:r>
      <w:proofErr w:type="spellEnd"/>
      <w:r>
        <w:t> = </w:t>
      </w:r>
      <w:proofErr w:type="spellStart"/>
      <w:r w:rsidRPr="001C53F3">
        <w:t>tremelimumab</w:t>
      </w:r>
      <w:proofErr w:type="spellEnd"/>
      <w:r>
        <w:t>; EP = etoposide-platinum; Q3W = every 3 weeks; Q4W = every 4 weeks; PCI = prophylactic cranial radiation; PD = disease progression; OS = overall survival; PFS = progression free survival.</w:t>
      </w:r>
    </w:p>
    <w:p w14:paraId="0A6218E0" w14:textId="1F1F94C1" w:rsidR="0039386E" w:rsidRDefault="0039386E" w:rsidP="00FF3F22">
      <w:pPr>
        <w:pStyle w:val="TableTitle"/>
      </w:pPr>
      <w:bookmarkStart w:id="44" w:name="_Ref67306918"/>
      <w:r w:rsidRPr="0039386E">
        <w:t xml:space="preserve">Table </w:t>
      </w:r>
      <w:r>
        <w:fldChar w:fldCharType="begin"/>
      </w:r>
      <w:r>
        <w:instrText>SEQ Table \* ARABIC</w:instrText>
      </w:r>
      <w:r>
        <w:fldChar w:fldCharType="separate"/>
      </w:r>
      <w:r w:rsidR="00130E57">
        <w:rPr>
          <w:noProof/>
        </w:rPr>
        <w:t>3</w:t>
      </w:r>
      <w:r>
        <w:fldChar w:fldCharType="end"/>
      </w:r>
      <w:bookmarkEnd w:id="42"/>
      <w:bookmarkEnd w:id="44"/>
      <w:r>
        <w:t xml:space="preserve">: </w:t>
      </w:r>
      <w:r w:rsidR="00A04332">
        <w:t xml:space="preserve">The </w:t>
      </w:r>
      <w:r>
        <w:t>C</w:t>
      </w:r>
      <w:r w:rsidR="00F274C3">
        <w:t>ASPIAN trial</w:t>
      </w:r>
      <w:r w:rsidR="00A04332">
        <w:t>; summary of the study</w:t>
      </w:r>
      <w:r>
        <w:t xml:space="preserve"> design</w:t>
      </w:r>
    </w:p>
    <w:tbl>
      <w:tblPr>
        <w:tblStyle w:val="TableTGAblue1"/>
        <w:tblW w:w="5000" w:type="pct"/>
        <w:tblLook w:val="04A0" w:firstRow="1" w:lastRow="0" w:firstColumn="1" w:lastColumn="0" w:noHBand="0" w:noVBand="1"/>
      </w:tblPr>
      <w:tblGrid>
        <w:gridCol w:w="2386"/>
        <w:gridCol w:w="2920"/>
        <w:gridCol w:w="3178"/>
      </w:tblGrid>
      <w:tr w:rsidR="00796A91" w:rsidRPr="0029339B" w14:paraId="3A9D9590" w14:textId="77777777" w:rsidTr="00EB0DC3">
        <w:trPr>
          <w:cnfStyle w:val="100000000000" w:firstRow="1" w:lastRow="0" w:firstColumn="0" w:lastColumn="0" w:oddVBand="0" w:evenVBand="0" w:oddHBand="0" w:evenHBand="0" w:firstRowFirstColumn="0" w:firstRowLastColumn="0" w:lastRowFirstColumn="0" w:lastRowLastColumn="0"/>
          <w:trHeight w:val="532"/>
        </w:trPr>
        <w:tc>
          <w:tcPr>
            <w:tcW w:w="5000" w:type="pct"/>
            <w:gridSpan w:val="3"/>
          </w:tcPr>
          <w:p w14:paraId="3523D48B" w14:textId="4228B513" w:rsidR="00796A91" w:rsidRPr="00FF3F22" w:rsidRDefault="00796A91" w:rsidP="00FF3F22">
            <w:r w:rsidRPr="00FF3F22">
              <w:t>The CASPIAN trial design</w:t>
            </w:r>
          </w:p>
        </w:tc>
      </w:tr>
      <w:tr w:rsidR="00E2297B" w:rsidRPr="0029339B" w14:paraId="7C8EDD79" w14:textId="77777777" w:rsidTr="00E2297B">
        <w:tblPrEx>
          <w:tblCellMar>
            <w:left w:w="28" w:type="dxa"/>
            <w:right w:w="28" w:type="dxa"/>
          </w:tblCellMar>
        </w:tblPrEx>
        <w:tc>
          <w:tcPr>
            <w:tcW w:w="1406" w:type="pct"/>
          </w:tcPr>
          <w:p w14:paraId="2C58CC51" w14:textId="77777777" w:rsidR="0039386E" w:rsidRPr="00FF3F22" w:rsidRDefault="0039386E" w:rsidP="00FF3F22">
            <w:pPr>
              <w:rPr>
                <w:highlight w:val="yellow"/>
              </w:rPr>
            </w:pPr>
            <w:r w:rsidRPr="00E2297B">
              <w:t>Administrative</w:t>
            </w:r>
          </w:p>
        </w:tc>
        <w:tc>
          <w:tcPr>
            <w:tcW w:w="3594" w:type="pct"/>
            <w:gridSpan w:val="2"/>
          </w:tcPr>
          <w:p w14:paraId="65A314D8" w14:textId="77777777" w:rsidR="0039386E" w:rsidRPr="00FF3F22" w:rsidRDefault="0039386E" w:rsidP="00FF3F22">
            <w:r w:rsidRPr="00E2297B">
              <w:t>First subject randomised: 07 April 2017</w:t>
            </w:r>
          </w:p>
          <w:p w14:paraId="3C637F01" w14:textId="77777777" w:rsidR="0039386E" w:rsidRPr="00FF3F22" w:rsidRDefault="0039386E" w:rsidP="00FF3F22">
            <w:r w:rsidRPr="00E2297B">
              <w:t>Last subject randomised: 29 May 2018</w:t>
            </w:r>
          </w:p>
          <w:p w14:paraId="500C2FB7" w14:textId="005F90B1" w:rsidR="0039386E" w:rsidRPr="00FF3F22" w:rsidRDefault="0039386E" w:rsidP="00FF3F22">
            <w:r w:rsidRPr="00E2297B">
              <w:t>Data cut-off</w:t>
            </w:r>
            <w:r w:rsidR="006E7788" w:rsidRPr="00E2297B">
              <w:t xml:space="preserve"> </w:t>
            </w:r>
            <w:r w:rsidRPr="00E2297B">
              <w:t>date for this interim OS analysis: March 2019</w:t>
            </w:r>
          </w:p>
          <w:p w14:paraId="7E8F5DF6" w14:textId="77777777" w:rsidR="0039386E" w:rsidRPr="00FF3F22" w:rsidRDefault="0057184C" w:rsidP="00FF3F22">
            <w:pPr>
              <w:rPr>
                <w:highlight w:val="yellow"/>
              </w:rPr>
            </w:pPr>
            <w:r w:rsidRPr="00E2297B">
              <w:t>Clinical study r</w:t>
            </w:r>
            <w:r w:rsidR="0039386E" w:rsidRPr="00E2297B">
              <w:t>eport (CSR) date: 5 September 2019</w:t>
            </w:r>
          </w:p>
          <w:p w14:paraId="5D14A871" w14:textId="77777777" w:rsidR="0039386E" w:rsidRPr="00FF3F22" w:rsidRDefault="0039386E" w:rsidP="00FF3F22">
            <w:r w:rsidRPr="00E2297B">
              <w:t>A total of 209 sites across 23 countries in North and Latin America, Europe, and the Asia-Pacific. There are no patients from sites in Australia.</w:t>
            </w:r>
          </w:p>
        </w:tc>
      </w:tr>
      <w:tr w:rsidR="0039386E" w:rsidRPr="0029339B" w14:paraId="47A07258" w14:textId="77777777" w:rsidTr="00FF3F22">
        <w:tblPrEx>
          <w:tblCellMar>
            <w:left w:w="28" w:type="dxa"/>
            <w:right w:w="28" w:type="dxa"/>
          </w:tblCellMar>
        </w:tblPrEx>
        <w:tc>
          <w:tcPr>
            <w:tcW w:w="5000" w:type="pct"/>
            <w:gridSpan w:val="3"/>
          </w:tcPr>
          <w:p w14:paraId="3E8061AC" w14:textId="77777777" w:rsidR="0039386E" w:rsidRPr="00FF3F22" w:rsidRDefault="0039386E" w:rsidP="00FF3F22">
            <w:pPr>
              <w:pStyle w:val="ListBullet"/>
              <w:rPr>
                <w:sz w:val="20"/>
              </w:rPr>
            </w:pPr>
            <w:r w:rsidRPr="00FF3F22">
              <w:rPr>
                <w:sz w:val="20"/>
                <w:szCs w:val="22"/>
                <w:lang w:eastAsia="en-US"/>
              </w:rPr>
              <w:t>795 patients planned for the whole study, 537 randomised to D + EP (n=268), and EP only (n= 269)</w:t>
            </w:r>
          </w:p>
          <w:p w14:paraId="5E2FD1DC" w14:textId="77777777" w:rsidR="0039386E" w:rsidRPr="00FF3F22" w:rsidRDefault="0039386E" w:rsidP="00FF3F22">
            <w:pPr>
              <w:pStyle w:val="ListBullet"/>
              <w:rPr>
                <w:sz w:val="20"/>
              </w:rPr>
            </w:pPr>
            <w:r w:rsidRPr="00FF3F22">
              <w:rPr>
                <w:sz w:val="20"/>
                <w:szCs w:val="22"/>
                <w:lang w:eastAsia="en-US"/>
              </w:rPr>
              <w:t>Arms 2 (D + EP) and 3 (EP only) are relevant for this submission</w:t>
            </w:r>
          </w:p>
          <w:p w14:paraId="6B92BE9C" w14:textId="1AEC72F9" w:rsidR="0039386E" w:rsidRPr="00FF3F22" w:rsidRDefault="0039386E" w:rsidP="00FF3F22">
            <w:pPr>
              <w:pStyle w:val="ListBullet"/>
              <w:rPr>
                <w:sz w:val="20"/>
              </w:rPr>
            </w:pPr>
            <w:r w:rsidRPr="00FF3F22">
              <w:rPr>
                <w:sz w:val="20"/>
                <w:szCs w:val="22"/>
                <w:lang w:eastAsia="en-US"/>
              </w:rPr>
              <w:t>PD-L1 testing was not performed at screening</w:t>
            </w:r>
            <w:r w:rsidR="006E7788" w:rsidRPr="00FF3F22">
              <w:rPr>
                <w:sz w:val="20"/>
                <w:szCs w:val="22"/>
                <w:lang w:eastAsia="en-US"/>
              </w:rPr>
              <w:t xml:space="preserve"> </w:t>
            </w:r>
            <w:r w:rsidRPr="00FF3F22">
              <w:rPr>
                <w:sz w:val="20"/>
                <w:szCs w:val="22"/>
                <w:lang w:eastAsia="en-US"/>
              </w:rPr>
              <w:t>because inadequate samples/low tumour expression were expected and no association between PD-L1 and atezolizumab in ES-SCLC</w:t>
            </w:r>
            <w:r w:rsidR="00A2426C" w:rsidRPr="00FF3F22">
              <w:rPr>
                <w:sz w:val="20"/>
                <w:szCs w:val="22"/>
                <w:lang w:eastAsia="en-US"/>
              </w:rPr>
              <w:t xml:space="preserve"> in Phase I</w:t>
            </w:r>
            <w:r w:rsidRPr="00FF3F22">
              <w:rPr>
                <w:sz w:val="20"/>
                <w:szCs w:val="22"/>
                <w:lang w:eastAsia="en-US"/>
              </w:rPr>
              <w:t xml:space="preserve"> study was found</w:t>
            </w:r>
          </w:p>
          <w:p w14:paraId="77A750C4" w14:textId="77777777" w:rsidR="0039386E" w:rsidRPr="00FF3F22" w:rsidRDefault="0039386E" w:rsidP="00FF3F22">
            <w:pPr>
              <w:pStyle w:val="ListBullet"/>
              <w:rPr>
                <w:sz w:val="20"/>
              </w:rPr>
            </w:pPr>
            <w:r w:rsidRPr="00FF3F22">
              <w:rPr>
                <w:sz w:val="20"/>
                <w:szCs w:val="22"/>
                <w:lang w:eastAsia="en-US"/>
              </w:rPr>
              <w:t>Prophylactic cranial irradiation allowed (PCI) (investigator led)</w:t>
            </w:r>
          </w:p>
          <w:p w14:paraId="68D27732" w14:textId="77777777" w:rsidR="0039386E" w:rsidRPr="00FF3F22" w:rsidRDefault="0039386E" w:rsidP="00FF3F22">
            <w:pPr>
              <w:pStyle w:val="ListBullet"/>
              <w:rPr>
                <w:sz w:val="20"/>
              </w:rPr>
            </w:pPr>
            <w:r w:rsidRPr="00FF3F22">
              <w:rPr>
                <w:sz w:val="20"/>
                <w:szCs w:val="22"/>
                <w:lang w:eastAsia="en-US"/>
              </w:rPr>
              <w:t>Crossover not allowed, but 5.2% in the EP alone group had subsequent treatment post-progression</w:t>
            </w:r>
          </w:p>
          <w:p w14:paraId="6D33AD13" w14:textId="77777777" w:rsidR="0039386E" w:rsidRPr="00FF3F22" w:rsidRDefault="0039386E" w:rsidP="00FF3F22">
            <w:pPr>
              <w:pStyle w:val="ListBullet"/>
              <w:rPr>
                <w:sz w:val="20"/>
              </w:rPr>
            </w:pPr>
            <w:r w:rsidRPr="00FF3F22">
              <w:rPr>
                <w:sz w:val="20"/>
                <w:szCs w:val="22"/>
                <w:lang w:eastAsia="en-US"/>
              </w:rPr>
              <w:t>Arm 2 treatment continued until disease progression</w:t>
            </w:r>
          </w:p>
          <w:p w14:paraId="7283B207" w14:textId="28E3550D" w:rsidR="0039386E" w:rsidRPr="00FF3F22" w:rsidRDefault="0039386E" w:rsidP="00FF3F22">
            <w:pPr>
              <w:pStyle w:val="ListBullet"/>
              <w:rPr>
                <w:sz w:val="20"/>
              </w:rPr>
            </w:pPr>
            <w:r w:rsidRPr="00FF3F22">
              <w:rPr>
                <w:sz w:val="20"/>
                <w:szCs w:val="22"/>
                <w:lang w:eastAsia="en-US"/>
              </w:rPr>
              <w:t xml:space="preserve">Patient flow as at data </w:t>
            </w:r>
            <w:r w:rsidR="00752ED5" w:rsidRPr="00FF3F22">
              <w:rPr>
                <w:sz w:val="20"/>
                <w:szCs w:val="22"/>
                <w:lang w:eastAsia="en-US"/>
              </w:rPr>
              <w:t>cut-off</w:t>
            </w:r>
            <w:r w:rsidRPr="00FF3F22">
              <w:rPr>
                <w:sz w:val="20"/>
                <w:szCs w:val="22"/>
                <w:lang w:eastAsia="en-US"/>
              </w:rPr>
              <w:t xml:space="preserve"> date (March 2019):</w:t>
            </w:r>
          </w:p>
          <w:p w14:paraId="4151A7C3" w14:textId="77777777" w:rsidR="0039386E" w:rsidRPr="00FF3F22" w:rsidRDefault="0039386E" w:rsidP="00FF3F22">
            <w:pPr>
              <w:pStyle w:val="ListBullet2"/>
              <w:rPr>
                <w:sz w:val="20"/>
              </w:rPr>
            </w:pPr>
            <w:r w:rsidRPr="00FF3F22">
              <w:rPr>
                <w:sz w:val="20"/>
                <w:szCs w:val="22"/>
                <w:lang w:eastAsia="en-US"/>
              </w:rPr>
              <w:t>Received treatment 265/268 (98.9%) D + EP group; 266/269 (98.9%) EP group</w:t>
            </w:r>
          </w:p>
          <w:p w14:paraId="749DA8FF" w14:textId="77777777" w:rsidR="0039386E" w:rsidRPr="00FF3F22" w:rsidRDefault="0039386E" w:rsidP="00FF3F22">
            <w:pPr>
              <w:pStyle w:val="ListBullet2"/>
              <w:rPr>
                <w:sz w:val="20"/>
              </w:rPr>
            </w:pPr>
            <w:r w:rsidRPr="00FF3F22">
              <w:rPr>
                <w:sz w:val="20"/>
                <w:szCs w:val="22"/>
                <w:lang w:eastAsia="en-US"/>
              </w:rPr>
              <w:lastRenderedPageBreak/>
              <w:t>Survival at interim analysis: 112/265 (41.8%) D + EP group; 76/266 (28.6%) EP group</w:t>
            </w:r>
          </w:p>
          <w:p w14:paraId="5F693193" w14:textId="77777777" w:rsidR="0039386E" w:rsidRPr="00EB0DC3" w:rsidRDefault="0039386E" w:rsidP="00FF3F22">
            <w:pPr>
              <w:pStyle w:val="ListBullet2"/>
              <w:rPr>
                <w:sz w:val="20"/>
              </w:rPr>
            </w:pPr>
            <w:r w:rsidRPr="00FF3F22">
              <w:rPr>
                <w:sz w:val="20"/>
                <w:szCs w:val="22"/>
                <w:lang w:eastAsia="en-US"/>
              </w:rPr>
              <w:t>Survival on study treatment: 43/265 (16%) D + EP group; 0% EP group</w:t>
            </w:r>
          </w:p>
          <w:p w14:paraId="619FC6D1" w14:textId="77777777" w:rsidR="0039386E" w:rsidRPr="00EB0DC3" w:rsidRDefault="0039386E" w:rsidP="00FF3F22">
            <w:pPr>
              <w:pStyle w:val="ListBullet2"/>
              <w:rPr>
                <w:sz w:val="20"/>
              </w:rPr>
            </w:pPr>
            <w:r w:rsidRPr="00EB0DC3">
              <w:rPr>
                <w:sz w:val="20"/>
                <w:szCs w:val="22"/>
                <w:lang w:eastAsia="en-US"/>
              </w:rPr>
              <w:t xml:space="preserve">Discontinued </w:t>
            </w:r>
            <w:proofErr w:type="spellStart"/>
            <w:r w:rsidRPr="00EB0DC3">
              <w:rPr>
                <w:sz w:val="20"/>
                <w:szCs w:val="22"/>
                <w:lang w:eastAsia="en-US"/>
              </w:rPr>
              <w:t>durvalumab</w:t>
            </w:r>
            <w:proofErr w:type="spellEnd"/>
            <w:r w:rsidRPr="00EB0DC3">
              <w:rPr>
                <w:sz w:val="20"/>
                <w:szCs w:val="22"/>
                <w:lang w:eastAsia="en-US"/>
              </w:rPr>
              <w:t xml:space="preserve">: 222/2685(83.8%) D + EP group; 177/268 due to disease progression </w:t>
            </w:r>
          </w:p>
          <w:p w14:paraId="499B27C7" w14:textId="77777777" w:rsidR="0039386E" w:rsidRPr="00EB0DC3" w:rsidRDefault="0039386E" w:rsidP="00FF3F22">
            <w:pPr>
              <w:pStyle w:val="ListBullet2"/>
              <w:rPr>
                <w:sz w:val="20"/>
              </w:rPr>
            </w:pPr>
            <w:r w:rsidRPr="00EB0DC3">
              <w:rPr>
                <w:sz w:val="20"/>
                <w:szCs w:val="22"/>
                <w:lang w:eastAsia="en-US"/>
              </w:rPr>
              <w:t>Discontinued EP: 42/268 (15.8%) D + EP group; 76/269 (28.6%) EP group</w:t>
            </w:r>
          </w:p>
          <w:p w14:paraId="6051CDB0" w14:textId="77777777" w:rsidR="0039386E" w:rsidRPr="00EB0DC3" w:rsidRDefault="0039386E" w:rsidP="00FF3F22">
            <w:pPr>
              <w:pStyle w:val="ListBullet2"/>
              <w:rPr>
                <w:sz w:val="20"/>
              </w:rPr>
            </w:pPr>
            <w:r w:rsidRPr="00EB0DC3">
              <w:rPr>
                <w:sz w:val="20"/>
                <w:szCs w:val="22"/>
                <w:lang w:eastAsia="en-US"/>
              </w:rPr>
              <w:t>Died: 149 (55.6%) D + EP group; 179 (66.5%) EP group</w:t>
            </w:r>
          </w:p>
          <w:p w14:paraId="3D4CD552" w14:textId="052B210D" w:rsidR="00740C81" w:rsidRPr="00E2297B" w:rsidRDefault="0057184C" w:rsidP="00FF3F22">
            <w:pPr>
              <w:pStyle w:val="ListBullet2"/>
            </w:pPr>
            <w:r w:rsidRPr="00EB0DC3">
              <w:rPr>
                <w:sz w:val="20"/>
                <w:szCs w:val="22"/>
                <w:lang w:eastAsia="en-US"/>
              </w:rPr>
              <w:t>Withdrew from study:</w:t>
            </w:r>
            <w:r w:rsidR="0039386E" w:rsidRPr="00EB0DC3">
              <w:rPr>
                <w:sz w:val="20"/>
                <w:szCs w:val="22"/>
                <w:lang w:eastAsia="en-US"/>
              </w:rPr>
              <w:t xml:space="preserve"> 7 (2.6%) D + EP group; 13 (4.8%) EP group</w:t>
            </w:r>
          </w:p>
        </w:tc>
      </w:tr>
      <w:tr w:rsidR="00E2297B" w:rsidRPr="0029339B" w14:paraId="64C65701" w14:textId="77777777" w:rsidTr="00E2297B">
        <w:tblPrEx>
          <w:tblCellMar>
            <w:left w:w="28" w:type="dxa"/>
            <w:right w:w="28" w:type="dxa"/>
          </w:tblCellMar>
        </w:tblPrEx>
        <w:tc>
          <w:tcPr>
            <w:tcW w:w="1406" w:type="pct"/>
          </w:tcPr>
          <w:p w14:paraId="714F85B7" w14:textId="77777777" w:rsidR="0039386E" w:rsidRPr="00EB0DC3" w:rsidRDefault="0039386E" w:rsidP="00EB0DC3">
            <w:r w:rsidRPr="00EB0DC3">
              <w:rPr>
                <w:sz w:val="20"/>
              </w:rPr>
              <w:lastRenderedPageBreak/>
              <w:t>Eligibility</w:t>
            </w:r>
          </w:p>
        </w:tc>
        <w:tc>
          <w:tcPr>
            <w:tcW w:w="1721" w:type="pct"/>
          </w:tcPr>
          <w:p w14:paraId="12C99EF7" w14:textId="77777777" w:rsidR="0039386E" w:rsidRPr="00EB0DC3" w:rsidRDefault="0039386E" w:rsidP="001C53F3">
            <w:pPr>
              <w:keepNext/>
              <w:spacing w:before="60" w:after="60" w:line="240" w:lineRule="auto"/>
              <w:ind w:left="0" w:right="0"/>
              <w:rPr>
                <w:sz w:val="20"/>
              </w:rPr>
            </w:pPr>
            <w:r w:rsidRPr="00EB0DC3">
              <w:rPr>
                <w:sz w:val="20"/>
              </w:rPr>
              <w:t>Key inclusion criteria:</w:t>
            </w:r>
          </w:p>
          <w:p w14:paraId="5BE42958" w14:textId="77777777" w:rsidR="0039386E" w:rsidRPr="00EB0DC3" w:rsidRDefault="0039386E" w:rsidP="00EB0DC3">
            <w:pPr>
              <w:pStyle w:val="ListBullet"/>
              <w:rPr>
                <w:sz w:val="20"/>
              </w:rPr>
            </w:pPr>
            <w:r w:rsidRPr="00EB0DC3">
              <w:rPr>
                <w:sz w:val="20"/>
                <w:szCs w:val="22"/>
                <w:lang w:eastAsia="en-US"/>
              </w:rPr>
              <w:t xml:space="preserve">Adults with histologically or </w:t>
            </w:r>
            <w:proofErr w:type="spellStart"/>
            <w:r w:rsidRPr="00EB0DC3">
              <w:rPr>
                <w:sz w:val="20"/>
                <w:szCs w:val="22"/>
                <w:lang w:eastAsia="en-US"/>
              </w:rPr>
              <w:t>cytologically</w:t>
            </w:r>
            <w:proofErr w:type="spellEnd"/>
            <w:r w:rsidRPr="00EB0DC3">
              <w:rPr>
                <w:sz w:val="20"/>
                <w:szCs w:val="22"/>
                <w:lang w:eastAsia="en-US"/>
              </w:rPr>
              <w:t xml:space="preserve"> confirmed ES-SCLC suitable to receive platinum-based chemotherapy as first line treatment.</w:t>
            </w:r>
          </w:p>
          <w:p w14:paraId="5B12F6F9" w14:textId="77777777" w:rsidR="0039386E" w:rsidRPr="00EB0DC3" w:rsidRDefault="0039386E" w:rsidP="00EB0DC3">
            <w:pPr>
              <w:pStyle w:val="ListBullet"/>
              <w:rPr>
                <w:sz w:val="20"/>
              </w:rPr>
            </w:pPr>
            <w:r w:rsidRPr="00EB0DC3">
              <w:rPr>
                <w:sz w:val="20"/>
                <w:szCs w:val="22"/>
                <w:lang w:eastAsia="en-US"/>
              </w:rPr>
              <w:t xml:space="preserve">Extensive disease based on American Joint Committee on Cancer (AJCC) </w:t>
            </w:r>
            <w:r w:rsidR="00EA1B9C" w:rsidRPr="00EB0DC3">
              <w:rPr>
                <w:sz w:val="20"/>
                <w:szCs w:val="22"/>
                <w:lang w:eastAsia="en-US"/>
              </w:rPr>
              <w:t>Stage;</w:t>
            </w:r>
            <w:bookmarkStart w:id="45" w:name="_Ref62810738"/>
            <w:r w:rsidR="00EA1B9C" w:rsidRPr="00EB0DC3">
              <w:rPr>
                <w:sz w:val="20"/>
                <w:szCs w:val="22"/>
                <w:lang w:eastAsia="en-US"/>
              </w:rPr>
              <w:footnoteReference w:id="9"/>
            </w:r>
            <w:bookmarkEnd w:id="45"/>
            <w:r w:rsidR="0057184C" w:rsidRPr="00EB0DC3">
              <w:rPr>
                <w:sz w:val="20"/>
                <w:szCs w:val="22"/>
                <w:lang w:eastAsia="en-US"/>
              </w:rPr>
              <w:t>(7th edition) IV SCLC (T any, N any, M1 a/b)</w:t>
            </w:r>
            <w:r w:rsidRPr="00EB0DC3">
              <w:rPr>
                <w:sz w:val="20"/>
                <w:szCs w:val="22"/>
                <w:lang w:eastAsia="en-US"/>
              </w:rPr>
              <w:t>, or T3-4 due to multiple lung nodules too extensive or tumour/nodal volume too large to be encompassed in a tolerable radiation plan.</w:t>
            </w:r>
          </w:p>
          <w:p w14:paraId="01999EC7" w14:textId="77777777" w:rsidR="0039386E" w:rsidRPr="00EB0DC3" w:rsidRDefault="0039386E" w:rsidP="00EB0DC3">
            <w:pPr>
              <w:pStyle w:val="ListBullet"/>
              <w:rPr>
                <w:sz w:val="20"/>
              </w:rPr>
            </w:pPr>
            <w:r w:rsidRPr="00EB0DC3">
              <w:rPr>
                <w:sz w:val="20"/>
                <w:szCs w:val="22"/>
                <w:lang w:eastAsia="en-US"/>
              </w:rPr>
              <w:t>Asymptomatic or stable brain metastases, post steroid treatment with.</w:t>
            </w:r>
          </w:p>
          <w:p w14:paraId="7D6CF67B" w14:textId="667AEB61" w:rsidR="0039386E" w:rsidRPr="00EB0DC3" w:rsidRDefault="0057184C" w:rsidP="00EB0DC3">
            <w:pPr>
              <w:pStyle w:val="ListBullet"/>
              <w:rPr>
                <w:sz w:val="20"/>
              </w:rPr>
            </w:pPr>
            <w:r w:rsidRPr="00EB0DC3">
              <w:rPr>
                <w:sz w:val="20"/>
                <w:szCs w:val="22"/>
                <w:lang w:eastAsia="en-US"/>
              </w:rPr>
              <w:t>World Health Organi</w:t>
            </w:r>
            <w:r w:rsidR="00FE4339">
              <w:rPr>
                <w:sz w:val="20"/>
              </w:rPr>
              <w:t>z</w:t>
            </w:r>
            <w:r w:rsidRPr="00EB0DC3">
              <w:rPr>
                <w:sz w:val="20"/>
                <w:szCs w:val="22"/>
                <w:lang w:eastAsia="en-US"/>
              </w:rPr>
              <w:t>ation (</w:t>
            </w:r>
            <w:r w:rsidR="0039386E" w:rsidRPr="00EB0DC3">
              <w:rPr>
                <w:sz w:val="20"/>
                <w:szCs w:val="22"/>
                <w:lang w:eastAsia="en-US"/>
              </w:rPr>
              <w:t>WHO</w:t>
            </w:r>
            <w:r w:rsidRPr="00EB0DC3">
              <w:rPr>
                <w:sz w:val="20"/>
                <w:szCs w:val="22"/>
                <w:lang w:eastAsia="en-US"/>
              </w:rPr>
              <w:t>)</w:t>
            </w:r>
            <w:r w:rsidR="0039386E" w:rsidRPr="00EB0DC3">
              <w:rPr>
                <w:sz w:val="20"/>
                <w:szCs w:val="22"/>
                <w:lang w:eastAsia="en-US"/>
              </w:rPr>
              <w:t>/ Eastern Cooperative Oncology Group Performance Status (ECOG)</w:t>
            </w:r>
            <w:r w:rsidRPr="00EB0DC3">
              <w:rPr>
                <w:sz w:val="20"/>
                <w:szCs w:val="22"/>
                <w:lang w:eastAsia="en-US"/>
              </w:rPr>
              <w:footnoteReference w:id="10"/>
            </w:r>
            <w:r w:rsidR="0039386E" w:rsidRPr="00EB0DC3">
              <w:rPr>
                <w:sz w:val="20"/>
                <w:szCs w:val="22"/>
                <w:lang w:eastAsia="en-US"/>
              </w:rPr>
              <w:t xml:space="preserve"> Performance Status score 0 or 1.</w:t>
            </w:r>
          </w:p>
          <w:p w14:paraId="5838C3BF" w14:textId="35EC2D61" w:rsidR="0039386E" w:rsidRPr="00EB0DC3" w:rsidRDefault="0057184C" w:rsidP="00EB0DC3">
            <w:pPr>
              <w:pStyle w:val="ListBullet"/>
              <w:rPr>
                <w:sz w:val="20"/>
              </w:rPr>
            </w:pPr>
            <w:r w:rsidRPr="00EB0DC3">
              <w:rPr>
                <w:sz w:val="20"/>
                <w:szCs w:val="22"/>
                <w:lang w:eastAsia="en-US"/>
              </w:rPr>
              <w:lastRenderedPageBreak/>
              <w:t>Life expectancy of ≥</w:t>
            </w:r>
            <w:r w:rsidR="00FE4339">
              <w:rPr>
                <w:sz w:val="20"/>
              </w:rPr>
              <w:t> </w:t>
            </w:r>
            <w:r w:rsidR="0039386E" w:rsidRPr="00EB0DC3">
              <w:rPr>
                <w:sz w:val="20"/>
                <w:szCs w:val="22"/>
                <w:lang w:eastAsia="en-US"/>
              </w:rPr>
              <w:t>12</w:t>
            </w:r>
            <w:r w:rsidR="00FE4339">
              <w:rPr>
                <w:sz w:val="20"/>
              </w:rPr>
              <w:t> </w:t>
            </w:r>
            <w:r w:rsidR="0039386E" w:rsidRPr="00EB0DC3">
              <w:rPr>
                <w:sz w:val="20"/>
                <w:szCs w:val="22"/>
                <w:lang w:eastAsia="en-US"/>
              </w:rPr>
              <w:t xml:space="preserve">weeks. </w:t>
            </w:r>
          </w:p>
          <w:p w14:paraId="14BA4D88" w14:textId="77777777" w:rsidR="0039386E" w:rsidRPr="00EB0DC3" w:rsidRDefault="0057184C" w:rsidP="00EB0DC3">
            <w:pPr>
              <w:pStyle w:val="ListBullet"/>
              <w:rPr>
                <w:sz w:val="20"/>
              </w:rPr>
            </w:pPr>
            <w:r w:rsidRPr="00EB0DC3">
              <w:rPr>
                <w:sz w:val="20"/>
                <w:szCs w:val="22"/>
                <w:lang w:eastAsia="en-US"/>
              </w:rPr>
              <w:t>≥</w:t>
            </w:r>
            <w:r w:rsidR="0039386E" w:rsidRPr="00EB0DC3">
              <w:rPr>
                <w:sz w:val="20"/>
                <w:szCs w:val="22"/>
                <w:lang w:eastAsia="en-US"/>
              </w:rPr>
              <w:t xml:space="preserve"> 1 target lesion per </w:t>
            </w:r>
            <w:r w:rsidRPr="00EB0DC3">
              <w:rPr>
                <w:sz w:val="20"/>
                <w:szCs w:val="22"/>
                <w:lang w:eastAsia="en-US"/>
              </w:rPr>
              <w:t>Response Evaluation Criteria In Solid Tumours (</w:t>
            </w:r>
            <w:r w:rsidR="0039386E" w:rsidRPr="00EB0DC3">
              <w:rPr>
                <w:sz w:val="20"/>
                <w:szCs w:val="22"/>
                <w:lang w:eastAsia="en-US"/>
              </w:rPr>
              <w:t>RECIST</w:t>
            </w:r>
            <w:r w:rsidRPr="00EB0DC3">
              <w:rPr>
                <w:sz w:val="20"/>
                <w:szCs w:val="22"/>
                <w:lang w:eastAsia="en-US"/>
              </w:rPr>
              <w:t>)</w:t>
            </w:r>
            <w:bookmarkStart w:id="46" w:name="_Ref62814985"/>
            <w:r w:rsidR="0039386E" w:rsidRPr="00EB0DC3">
              <w:rPr>
                <w:sz w:val="20"/>
              </w:rPr>
              <w:footnoteReference w:id="11"/>
            </w:r>
            <w:bookmarkEnd w:id="46"/>
            <w:r w:rsidR="0039386E" w:rsidRPr="00EB0DC3">
              <w:rPr>
                <w:sz w:val="20"/>
                <w:szCs w:val="22"/>
                <w:lang w:eastAsia="en-US"/>
              </w:rPr>
              <w:t xml:space="preserve"> </w:t>
            </w:r>
            <w:r w:rsidRPr="00EB0DC3">
              <w:rPr>
                <w:sz w:val="20"/>
                <w:szCs w:val="22"/>
                <w:lang w:eastAsia="en-US"/>
              </w:rPr>
              <w:t xml:space="preserve">version </w:t>
            </w:r>
            <w:r w:rsidR="0039386E" w:rsidRPr="00EB0DC3">
              <w:rPr>
                <w:sz w:val="20"/>
                <w:szCs w:val="22"/>
                <w:lang w:eastAsia="en-US"/>
              </w:rPr>
              <w:t>1.1.</w:t>
            </w:r>
          </w:p>
          <w:p w14:paraId="4A3D1766" w14:textId="4095AAFE" w:rsidR="0039386E" w:rsidRPr="00EB0DC3" w:rsidRDefault="0039386E" w:rsidP="00EB0DC3">
            <w:pPr>
              <w:pStyle w:val="ListBullet"/>
              <w:rPr>
                <w:sz w:val="20"/>
              </w:rPr>
            </w:pPr>
            <w:r w:rsidRPr="00EB0DC3">
              <w:rPr>
                <w:sz w:val="20"/>
                <w:szCs w:val="22"/>
                <w:lang w:eastAsia="en-US"/>
              </w:rPr>
              <w:t>Adequate organ and marrow function</w:t>
            </w:r>
            <w:r w:rsidR="00FE4339">
              <w:rPr>
                <w:sz w:val="20"/>
              </w:rPr>
              <w:t>; creatinine clearance (</w:t>
            </w:r>
            <w:proofErr w:type="spellStart"/>
            <w:r w:rsidRPr="00EB0DC3">
              <w:rPr>
                <w:sz w:val="20"/>
                <w:szCs w:val="22"/>
                <w:lang w:eastAsia="en-US"/>
              </w:rPr>
              <w:t>CrCl</w:t>
            </w:r>
            <w:proofErr w:type="spellEnd"/>
            <w:r w:rsidR="00FE4339">
              <w:rPr>
                <w:sz w:val="20"/>
              </w:rPr>
              <w:t>)</w:t>
            </w:r>
            <w:r w:rsidRPr="00EB0DC3">
              <w:rPr>
                <w:sz w:val="20"/>
                <w:szCs w:val="22"/>
                <w:lang w:eastAsia="en-US"/>
              </w:rPr>
              <w:t xml:space="preserve"> &gt; 60 mL (cisplatin) or &gt; 45 mL/min (carboplatin)</w:t>
            </w:r>
          </w:p>
        </w:tc>
        <w:tc>
          <w:tcPr>
            <w:tcW w:w="1874" w:type="pct"/>
          </w:tcPr>
          <w:p w14:paraId="24B7785A" w14:textId="77777777" w:rsidR="0039386E" w:rsidRPr="00EB0DC3" w:rsidRDefault="0039386E" w:rsidP="001C53F3">
            <w:pPr>
              <w:keepNext/>
              <w:spacing w:before="60" w:after="60" w:line="240" w:lineRule="auto"/>
              <w:ind w:left="0" w:right="0"/>
              <w:rPr>
                <w:sz w:val="20"/>
              </w:rPr>
            </w:pPr>
            <w:r w:rsidRPr="00EB0DC3">
              <w:rPr>
                <w:sz w:val="20"/>
              </w:rPr>
              <w:lastRenderedPageBreak/>
              <w:t>Key exclusion criteria:</w:t>
            </w:r>
          </w:p>
          <w:p w14:paraId="2D90D56F" w14:textId="77777777" w:rsidR="0039386E" w:rsidRPr="00EB0DC3" w:rsidRDefault="0039386E" w:rsidP="00EB0DC3">
            <w:pPr>
              <w:pStyle w:val="ListBullet"/>
              <w:rPr>
                <w:sz w:val="20"/>
              </w:rPr>
            </w:pPr>
            <w:r w:rsidRPr="00EB0DC3">
              <w:rPr>
                <w:sz w:val="20"/>
                <w:lang w:eastAsia="en-US"/>
              </w:rPr>
              <w:t>Active or prior documented autoimmune or inflammatory disorders</w:t>
            </w:r>
          </w:p>
          <w:p w14:paraId="2858DAC4" w14:textId="77777777" w:rsidR="0039386E" w:rsidRPr="00EB0DC3" w:rsidRDefault="0039386E" w:rsidP="00EB0DC3">
            <w:pPr>
              <w:pStyle w:val="ListBullet"/>
              <w:rPr>
                <w:sz w:val="20"/>
              </w:rPr>
            </w:pPr>
            <w:r w:rsidRPr="00EB0DC3">
              <w:rPr>
                <w:sz w:val="20"/>
                <w:lang w:eastAsia="en-US"/>
              </w:rPr>
              <w:t>History of autoimmune disease, chest radiation therapy, allogeneic organ transplantation, and use of immunosuppressive medications within 14 days of study treatment.</w:t>
            </w:r>
          </w:p>
          <w:p w14:paraId="73CD6A11" w14:textId="4542C63A" w:rsidR="0039386E" w:rsidRPr="00EB0DC3" w:rsidRDefault="0039386E" w:rsidP="00EB0DC3">
            <w:pPr>
              <w:pStyle w:val="ListBullet"/>
              <w:rPr>
                <w:sz w:val="20"/>
              </w:rPr>
            </w:pPr>
            <w:r w:rsidRPr="00EB0DC3">
              <w:rPr>
                <w:sz w:val="20"/>
                <w:lang w:eastAsia="en-US"/>
              </w:rPr>
              <w:t>Paraneoplastic syndrome (PNS) of autoimmune nature requiring systemic steroids or immunosuppressive agents, or symptoms suggesting worsening of PNS.</w:t>
            </w:r>
          </w:p>
          <w:p w14:paraId="2A6AF85A" w14:textId="77777777" w:rsidR="0039386E" w:rsidRPr="00EB0DC3" w:rsidRDefault="0039386E" w:rsidP="00EB0DC3">
            <w:pPr>
              <w:pStyle w:val="ListBullet"/>
              <w:rPr>
                <w:sz w:val="20"/>
              </w:rPr>
            </w:pPr>
            <w:r w:rsidRPr="00EB0DC3">
              <w:rPr>
                <w:sz w:val="20"/>
                <w:lang w:eastAsia="en-US"/>
              </w:rPr>
              <w:t>Female patients who were pregnant or breastfeeding or male or female patients of reproductive potential who were not willing to employ effective birth control</w:t>
            </w:r>
          </w:p>
        </w:tc>
      </w:tr>
      <w:tr w:rsidR="00E2297B" w:rsidRPr="0029339B" w14:paraId="5EBC7320" w14:textId="77777777" w:rsidTr="00E2297B">
        <w:tblPrEx>
          <w:tblCellMar>
            <w:left w:w="28" w:type="dxa"/>
            <w:right w:w="28" w:type="dxa"/>
          </w:tblCellMar>
        </w:tblPrEx>
        <w:tc>
          <w:tcPr>
            <w:tcW w:w="1406" w:type="pct"/>
          </w:tcPr>
          <w:p w14:paraId="2804B80D" w14:textId="77777777" w:rsidR="0039386E" w:rsidRPr="00EB0DC3" w:rsidRDefault="0039386E" w:rsidP="00EB0DC3">
            <w:pPr>
              <w:rPr>
                <w:sz w:val="20"/>
              </w:rPr>
            </w:pPr>
            <w:r w:rsidRPr="00EB0DC3">
              <w:rPr>
                <w:sz w:val="20"/>
              </w:rPr>
              <w:t>Endpoints of relevance to this submission</w:t>
            </w:r>
          </w:p>
        </w:tc>
        <w:tc>
          <w:tcPr>
            <w:tcW w:w="3594" w:type="pct"/>
            <w:gridSpan w:val="2"/>
          </w:tcPr>
          <w:p w14:paraId="581599C5" w14:textId="77777777" w:rsidR="0039386E" w:rsidRPr="00EB0DC3" w:rsidRDefault="0039386E" w:rsidP="00EB0DC3">
            <w:pPr>
              <w:rPr>
                <w:sz w:val="20"/>
              </w:rPr>
            </w:pPr>
            <w:r w:rsidRPr="00EB0DC3">
              <w:rPr>
                <w:sz w:val="20"/>
              </w:rPr>
              <w:t>Primary: Overall S</w:t>
            </w:r>
            <w:r w:rsidR="0057184C" w:rsidRPr="00EB0DC3">
              <w:rPr>
                <w:sz w:val="20"/>
              </w:rPr>
              <w:t>urvival</w:t>
            </w:r>
          </w:p>
          <w:p w14:paraId="4FB90C9B" w14:textId="77777777" w:rsidR="0039386E" w:rsidRPr="00EB0DC3" w:rsidRDefault="0039386E" w:rsidP="00EB0DC3">
            <w:pPr>
              <w:rPr>
                <w:sz w:val="20"/>
              </w:rPr>
            </w:pPr>
            <w:r w:rsidRPr="00EB0DC3">
              <w:rPr>
                <w:sz w:val="20"/>
              </w:rPr>
              <w:t xml:space="preserve">Key secondary (alpha-controlled): </w:t>
            </w:r>
            <w:r w:rsidR="0057184C" w:rsidRPr="00EB0DC3">
              <w:rPr>
                <w:sz w:val="20"/>
              </w:rPr>
              <w:t>PFS</w:t>
            </w:r>
          </w:p>
          <w:p w14:paraId="7EECD536" w14:textId="1E7F16E6" w:rsidR="0039386E" w:rsidRPr="00EB0DC3" w:rsidRDefault="0039386E" w:rsidP="00EB0DC3">
            <w:pPr>
              <w:rPr>
                <w:sz w:val="20"/>
              </w:rPr>
            </w:pPr>
            <w:r w:rsidRPr="00EB0DC3">
              <w:rPr>
                <w:sz w:val="20"/>
              </w:rPr>
              <w:t>Other secondary</w:t>
            </w:r>
            <w:r w:rsidRPr="00EB0DC3">
              <w:rPr>
                <w:color w:val="auto"/>
                <w:sz w:val="20"/>
              </w:rPr>
              <w:t xml:space="preserve">: </w:t>
            </w:r>
            <w:r w:rsidRPr="00EB0DC3">
              <w:rPr>
                <w:sz w:val="20"/>
              </w:rPr>
              <w:t>O</w:t>
            </w:r>
            <w:r w:rsidR="0057184C" w:rsidRPr="00EB0DC3">
              <w:rPr>
                <w:sz w:val="20"/>
              </w:rPr>
              <w:t>verall response r</w:t>
            </w:r>
            <w:r w:rsidRPr="00EB0DC3">
              <w:rPr>
                <w:sz w:val="20"/>
              </w:rPr>
              <w:t>ate (ORR), PFS 6 months and PFS 12 months by investigator (</w:t>
            </w:r>
            <w:proofErr w:type="spellStart"/>
            <w:r w:rsidRPr="00EB0DC3">
              <w:rPr>
                <w:sz w:val="20"/>
              </w:rPr>
              <w:t>Inv</w:t>
            </w:r>
            <w:proofErr w:type="spellEnd"/>
            <w:r w:rsidRPr="00EB0DC3">
              <w:rPr>
                <w:sz w:val="20"/>
              </w:rPr>
              <w:t xml:space="preserve">) per RECIST </w:t>
            </w:r>
            <w:r w:rsidR="0057184C" w:rsidRPr="00EB0DC3">
              <w:rPr>
                <w:sz w:val="20"/>
              </w:rPr>
              <w:t xml:space="preserve">version </w:t>
            </w:r>
            <w:r w:rsidRPr="00EB0DC3">
              <w:rPr>
                <w:sz w:val="20"/>
              </w:rPr>
              <w:t>1.1, OS</w:t>
            </w:r>
            <w:r w:rsidR="00FE4339">
              <w:rPr>
                <w:sz w:val="20"/>
              </w:rPr>
              <w:t> </w:t>
            </w:r>
            <w:r w:rsidRPr="00EB0DC3">
              <w:rPr>
                <w:sz w:val="20"/>
              </w:rPr>
              <w:t>18</w:t>
            </w:r>
            <w:r w:rsidR="00FE4339">
              <w:rPr>
                <w:sz w:val="20"/>
              </w:rPr>
              <w:t> </w:t>
            </w:r>
            <w:r w:rsidRPr="00EB0DC3">
              <w:rPr>
                <w:sz w:val="20"/>
              </w:rPr>
              <w:t xml:space="preserve">months, sampling for non-compartmental PK: ADA and ADA Nab, </w:t>
            </w:r>
            <w:r w:rsidR="00FE4339" w:rsidRPr="00FE4339">
              <w:rPr>
                <w:sz w:val="20"/>
              </w:rPr>
              <w:t>patient reported outcomes</w:t>
            </w:r>
            <w:r w:rsidR="000C14F2" w:rsidRPr="00EB0DC3">
              <w:rPr>
                <w:sz w:val="20"/>
              </w:rPr>
              <w:t xml:space="preserve"> (PRO), </w:t>
            </w:r>
            <w:r w:rsidRPr="00EB0DC3">
              <w:rPr>
                <w:sz w:val="20"/>
              </w:rPr>
              <w:t xml:space="preserve">European Organisation for Research and Treatment of Cancer Quality of Life Questionnaire (EORTC QLQ)-C30, EORTC QLQ-LC13, </w:t>
            </w:r>
            <w:r w:rsidR="00FE4339">
              <w:rPr>
                <w:sz w:val="20"/>
              </w:rPr>
              <w:t>c</w:t>
            </w:r>
            <w:r w:rsidRPr="00EB0DC3">
              <w:rPr>
                <w:sz w:val="20"/>
              </w:rPr>
              <w:t xml:space="preserve">hange in WHO/ECOG performance status, </w:t>
            </w:r>
            <w:r w:rsidR="00FE4339">
              <w:rPr>
                <w:sz w:val="20"/>
              </w:rPr>
              <w:t>s</w:t>
            </w:r>
            <w:r w:rsidRPr="00EB0DC3">
              <w:rPr>
                <w:sz w:val="20"/>
              </w:rPr>
              <w:t>afety</w:t>
            </w:r>
            <w:r w:rsidR="00FE4339">
              <w:rPr>
                <w:sz w:val="20"/>
              </w:rPr>
              <w:t>.</w:t>
            </w:r>
          </w:p>
        </w:tc>
      </w:tr>
      <w:tr w:rsidR="00E2297B" w:rsidRPr="0029339B" w14:paraId="5D991065" w14:textId="77777777" w:rsidTr="00E2297B">
        <w:tblPrEx>
          <w:tblCellMar>
            <w:left w:w="28" w:type="dxa"/>
            <w:right w:w="28" w:type="dxa"/>
          </w:tblCellMar>
        </w:tblPrEx>
        <w:tc>
          <w:tcPr>
            <w:tcW w:w="1406" w:type="pct"/>
          </w:tcPr>
          <w:p w14:paraId="7E996BDC" w14:textId="0D6FD314" w:rsidR="0039386E" w:rsidRPr="0029339B" w:rsidRDefault="0039386E" w:rsidP="00796A91">
            <w:pPr>
              <w:keepNext/>
              <w:spacing w:before="60" w:after="60" w:line="240" w:lineRule="auto"/>
              <w:ind w:left="0" w:right="0"/>
              <w:rPr>
                <w:color w:val="9160CB" w:themeColor="accent5" w:themeTint="99"/>
                <w:sz w:val="19"/>
                <w:szCs w:val="22"/>
                <w:lang w:eastAsia="en-US"/>
              </w:rPr>
            </w:pPr>
            <w:r w:rsidRPr="007903A9">
              <w:rPr>
                <w:color w:val="auto"/>
                <w:sz w:val="19"/>
                <w:szCs w:val="22"/>
                <w:lang w:eastAsia="en-US"/>
              </w:rPr>
              <w:lastRenderedPageBreak/>
              <w:t>Statistical analysis plan</w:t>
            </w:r>
            <w:r w:rsidR="0002171A">
              <w:rPr>
                <w:color w:val="auto"/>
                <w:sz w:val="19"/>
                <w:szCs w:val="22"/>
                <w:lang w:eastAsia="en-US"/>
              </w:rPr>
              <w:t>;</w:t>
            </w:r>
            <w:r w:rsidR="0002171A">
              <w:rPr>
                <w:rStyle w:val="FootnoteReference"/>
                <w:color w:val="auto"/>
                <w:sz w:val="19"/>
                <w:szCs w:val="22"/>
                <w:lang w:eastAsia="en-US"/>
              </w:rPr>
              <w:footnoteReference w:id="12"/>
            </w:r>
          </w:p>
        </w:tc>
        <w:tc>
          <w:tcPr>
            <w:tcW w:w="3594" w:type="pct"/>
            <w:gridSpan w:val="2"/>
          </w:tcPr>
          <w:p w14:paraId="4EF44255" w14:textId="08531BFB" w:rsidR="0039386E" w:rsidRPr="003252C4" w:rsidRDefault="0039386E" w:rsidP="00796A91">
            <w:pPr>
              <w:keepNext/>
              <w:spacing w:before="60" w:after="60" w:line="240" w:lineRule="auto"/>
              <w:ind w:left="0"/>
              <w:rPr>
                <w:color w:val="auto"/>
                <w:sz w:val="19"/>
                <w:lang w:val="en-US"/>
              </w:rPr>
            </w:pPr>
            <w:r w:rsidRPr="007F39EF">
              <w:rPr>
                <w:b/>
                <w:bCs/>
                <w:color w:val="auto"/>
                <w:sz w:val="19"/>
                <w:lang w:val="en-US"/>
              </w:rPr>
              <w:t xml:space="preserve">Sample size: </w:t>
            </w:r>
            <w:r w:rsidR="000C14F2">
              <w:rPr>
                <w:color w:val="auto"/>
                <w:sz w:val="19"/>
                <w:lang w:val="en-US"/>
              </w:rPr>
              <w:t xml:space="preserve">n = about </w:t>
            </w:r>
            <w:r w:rsidRPr="007F39EF">
              <w:rPr>
                <w:color w:val="auto"/>
                <w:sz w:val="19"/>
                <w:lang w:val="en-US"/>
              </w:rPr>
              <w:t>79</w:t>
            </w:r>
            <w:r w:rsidR="00795FBD">
              <w:rPr>
                <w:color w:val="auto"/>
                <w:sz w:val="19"/>
                <w:lang w:val="en-US"/>
              </w:rPr>
              <w:t xml:space="preserve">5 </w:t>
            </w:r>
            <w:proofErr w:type="spellStart"/>
            <w:r w:rsidR="00795FBD">
              <w:rPr>
                <w:color w:val="auto"/>
                <w:sz w:val="19"/>
                <w:lang w:val="en-US"/>
              </w:rPr>
              <w:t>randomised</w:t>
            </w:r>
            <w:proofErr w:type="spellEnd"/>
            <w:r w:rsidR="00795FBD">
              <w:rPr>
                <w:color w:val="auto"/>
                <w:sz w:val="19"/>
                <w:lang w:val="en-US"/>
              </w:rPr>
              <w:t xml:space="preserve"> 1:1:1 D plus T plus</w:t>
            </w:r>
            <w:r w:rsidR="000C14F2">
              <w:rPr>
                <w:color w:val="auto"/>
                <w:sz w:val="19"/>
                <w:lang w:val="en-US"/>
              </w:rPr>
              <w:t xml:space="preserve"> EP (A</w:t>
            </w:r>
            <w:r w:rsidR="00795FBD">
              <w:rPr>
                <w:color w:val="auto"/>
                <w:sz w:val="19"/>
                <w:lang w:val="en-US"/>
              </w:rPr>
              <w:t>rm</w:t>
            </w:r>
            <w:r w:rsidR="00D80071">
              <w:rPr>
                <w:color w:val="auto"/>
                <w:sz w:val="19"/>
                <w:lang w:val="en-US"/>
              </w:rPr>
              <w:t xml:space="preserve"> </w:t>
            </w:r>
            <w:r w:rsidR="00795FBD">
              <w:rPr>
                <w:color w:val="auto"/>
                <w:sz w:val="19"/>
                <w:lang w:val="en-US"/>
              </w:rPr>
              <w:t>1), D plus</w:t>
            </w:r>
            <w:r w:rsidR="000C14F2">
              <w:rPr>
                <w:color w:val="auto"/>
                <w:sz w:val="19"/>
                <w:lang w:val="en-US"/>
              </w:rPr>
              <w:t xml:space="preserve"> EP (Arm 2), EP only (A</w:t>
            </w:r>
            <w:r w:rsidRPr="007F39EF">
              <w:rPr>
                <w:color w:val="auto"/>
                <w:sz w:val="19"/>
                <w:lang w:val="en-US"/>
              </w:rPr>
              <w:t>rm 3)</w:t>
            </w:r>
            <w:r>
              <w:rPr>
                <w:color w:val="auto"/>
                <w:sz w:val="19"/>
                <w:lang w:val="en-US"/>
              </w:rPr>
              <w:t xml:space="preserve">, assumes 3 months delay in separation of OS and PFS curves for Arm 2 </w:t>
            </w:r>
            <w:r w:rsidR="003E1D32">
              <w:rPr>
                <w:color w:val="auto"/>
                <w:sz w:val="19"/>
                <w:lang w:val="en-US"/>
              </w:rPr>
              <w:t>versus</w:t>
            </w:r>
            <w:r>
              <w:rPr>
                <w:color w:val="auto"/>
                <w:sz w:val="19"/>
                <w:lang w:val="en-US"/>
              </w:rPr>
              <w:t xml:space="preserve"> Arm 3</w:t>
            </w:r>
          </w:p>
          <w:p w14:paraId="606FC0C1" w14:textId="3F4CC494" w:rsidR="00146B72" w:rsidRPr="00796A91" w:rsidRDefault="2F934626" w:rsidP="00796A91">
            <w:pPr>
              <w:keepNext/>
              <w:spacing w:before="60" w:after="60" w:line="240" w:lineRule="auto"/>
              <w:ind w:left="0"/>
              <w:rPr>
                <w:sz w:val="24"/>
                <w:szCs w:val="24"/>
                <w:lang w:val="en-US"/>
              </w:rPr>
            </w:pPr>
            <w:r w:rsidRPr="376D21B0">
              <w:rPr>
                <w:b/>
                <w:bCs/>
                <w:color w:val="auto"/>
                <w:sz w:val="19"/>
                <w:szCs w:val="19"/>
                <w:lang w:val="en-US"/>
              </w:rPr>
              <w:t xml:space="preserve">Primary endpoint: </w:t>
            </w:r>
            <w:r w:rsidRPr="376D21B0">
              <w:rPr>
                <w:color w:val="auto"/>
                <w:sz w:val="19"/>
                <w:szCs w:val="19"/>
                <w:lang w:val="en-US"/>
              </w:rPr>
              <w:t>OS</w:t>
            </w:r>
            <w:r w:rsidRPr="376D21B0">
              <w:rPr>
                <w:b/>
                <w:bCs/>
                <w:color w:val="auto"/>
                <w:sz w:val="19"/>
                <w:szCs w:val="19"/>
                <w:lang w:val="en-US"/>
              </w:rPr>
              <w:t xml:space="preserve">: </w:t>
            </w:r>
            <w:r w:rsidR="00C2774E" w:rsidRPr="00AC0177">
              <w:rPr>
                <w:color w:val="auto"/>
                <w:sz w:val="19"/>
                <w:szCs w:val="22"/>
                <w:lang w:eastAsia="en-US"/>
              </w:rPr>
              <w:t xml:space="preserve">per protocol </w:t>
            </w:r>
            <w:r w:rsidR="00C2774E" w:rsidRPr="0023070C">
              <w:rPr>
                <w:color w:val="auto"/>
                <w:sz w:val="19"/>
                <w:szCs w:val="22"/>
                <w:lang w:eastAsia="en-US"/>
              </w:rPr>
              <w:t>the final</w:t>
            </w:r>
            <w:r w:rsidR="00C2774E" w:rsidRPr="00AC0177">
              <w:rPr>
                <w:color w:val="auto"/>
                <w:sz w:val="19"/>
                <w:szCs w:val="22"/>
                <w:lang w:eastAsia="en-US"/>
              </w:rPr>
              <w:t xml:space="preserve"> </w:t>
            </w:r>
            <w:r w:rsidRPr="00AC0177">
              <w:rPr>
                <w:color w:val="auto"/>
                <w:sz w:val="19"/>
                <w:szCs w:val="22"/>
                <w:lang w:eastAsia="en-US"/>
              </w:rPr>
              <w:t xml:space="preserve">analysis </w:t>
            </w:r>
            <w:r w:rsidR="00C2774E" w:rsidRPr="00AC0177">
              <w:rPr>
                <w:color w:val="auto"/>
                <w:sz w:val="19"/>
                <w:szCs w:val="22"/>
                <w:lang w:eastAsia="en-US"/>
              </w:rPr>
              <w:t>was to occur when</w:t>
            </w:r>
            <w:r w:rsidR="00C2774E" w:rsidRPr="376D21B0">
              <w:rPr>
                <w:color w:val="auto"/>
                <w:sz w:val="19"/>
                <w:szCs w:val="19"/>
                <w:lang w:val="en-US"/>
              </w:rPr>
              <w:t xml:space="preserve"> </w:t>
            </w:r>
            <w:proofErr w:type="spellStart"/>
            <w:r w:rsidR="00C2774E" w:rsidRPr="376D21B0">
              <w:rPr>
                <w:color w:val="auto"/>
                <w:sz w:val="19"/>
                <w:szCs w:val="19"/>
                <w:lang w:val="en-US"/>
              </w:rPr>
              <w:t>approx</w:t>
            </w:r>
            <w:proofErr w:type="spellEnd"/>
            <w:r w:rsidR="00C2774E" w:rsidRPr="376D21B0">
              <w:rPr>
                <w:color w:val="auto"/>
                <w:sz w:val="19"/>
                <w:szCs w:val="19"/>
                <w:lang w:val="en-US"/>
              </w:rPr>
              <w:t xml:space="preserve"> </w:t>
            </w:r>
            <w:r w:rsidRPr="376D21B0">
              <w:rPr>
                <w:color w:val="auto"/>
                <w:sz w:val="19"/>
                <w:szCs w:val="19"/>
                <w:lang w:val="en-US"/>
              </w:rPr>
              <w:t>425 OS events (80% maturity)</w:t>
            </w:r>
            <w:r w:rsidR="00F95DEC">
              <w:rPr>
                <w:color w:val="auto"/>
                <w:sz w:val="19"/>
                <w:szCs w:val="19"/>
                <w:lang w:val="en-US"/>
              </w:rPr>
              <w:t xml:space="preserve"> </w:t>
            </w:r>
            <w:r w:rsidR="0094697A" w:rsidRPr="00EB0DC3">
              <w:rPr>
                <w:color w:val="auto"/>
                <w:sz w:val="19"/>
                <w:szCs w:val="19"/>
              </w:rPr>
              <w:t xml:space="preserve">had occurred. If the true </w:t>
            </w:r>
            <w:r w:rsidRPr="0094697A">
              <w:rPr>
                <w:color w:val="auto"/>
                <w:sz w:val="19"/>
                <w:szCs w:val="19"/>
                <w:lang w:val="en-US"/>
              </w:rPr>
              <w:t>HR</w:t>
            </w:r>
            <w:r w:rsidR="6895393E" w:rsidRPr="376D21B0">
              <w:rPr>
                <w:color w:val="auto"/>
                <w:sz w:val="19"/>
                <w:szCs w:val="19"/>
                <w:lang w:val="en-US"/>
              </w:rPr>
              <w:t xml:space="preserve"> </w:t>
            </w:r>
            <w:r w:rsidRPr="376D21B0">
              <w:rPr>
                <w:color w:val="auto"/>
                <w:sz w:val="19"/>
                <w:szCs w:val="19"/>
                <w:lang w:val="en-US"/>
              </w:rPr>
              <w:t>=</w:t>
            </w:r>
            <w:r w:rsidR="6895393E" w:rsidRPr="376D21B0">
              <w:rPr>
                <w:color w:val="auto"/>
                <w:sz w:val="19"/>
                <w:szCs w:val="19"/>
                <w:lang w:val="en-US"/>
              </w:rPr>
              <w:t xml:space="preserve"> </w:t>
            </w:r>
            <w:r w:rsidRPr="376D21B0">
              <w:rPr>
                <w:color w:val="auto"/>
                <w:sz w:val="19"/>
                <w:szCs w:val="19"/>
                <w:lang w:val="en-US"/>
              </w:rPr>
              <w:t>0.69</w:t>
            </w:r>
            <w:r w:rsidR="0094697A">
              <w:rPr>
                <w:color w:val="auto"/>
                <w:sz w:val="19"/>
                <w:szCs w:val="19"/>
                <w:lang w:val="en-US"/>
              </w:rPr>
              <w:t xml:space="preserve"> </w:t>
            </w:r>
            <w:r w:rsidR="0094697A" w:rsidRPr="376D21B0">
              <w:rPr>
                <w:color w:val="auto"/>
                <w:sz w:val="19"/>
                <w:szCs w:val="19"/>
                <w:lang w:val="en-US"/>
              </w:rPr>
              <w:t>at this analysis the study would have</w:t>
            </w:r>
            <w:r w:rsidR="0094697A" w:rsidRPr="009B22B8">
              <w:rPr>
                <w:color w:val="auto"/>
                <w:sz w:val="19"/>
                <w:szCs w:val="22"/>
                <w:lang w:eastAsia="en-US"/>
              </w:rPr>
              <w:t xml:space="preserve"> </w:t>
            </w:r>
            <w:r w:rsidRPr="009B22B8">
              <w:rPr>
                <w:color w:val="auto"/>
                <w:sz w:val="19"/>
                <w:szCs w:val="22"/>
                <w:lang w:eastAsia="en-US"/>
              </w:rPr>
              <w:t>96% power</w:t>
            </w:r>
            <w:r w:rsidR="0094697A" w:rsidRPr="009B22B8">
              <w:rPr>
                <w:color w:val="auto"/>
                <w:sz w:val="19"/>
                <w:szCs w:val="22"/>
                <w:lang w:eastAsia="en-US"/>
              </w:rPr>
              <w:t xml:space="preserve"> to detect a stat</w:t>
            </w:r>
            <w:r w:rsidR="00F95DEC">
              <w:rPr>
                <w:color w:val="auto"/>
                <w:sz w:val="19"/>
                <w:szCs w:val="22"/>
                <w:lang w:eastAsia="en-US"/>
              </w:rPr>
              <w:t>istical</w:t>
            </w:r>
            <w:r w:rsidR="0094697A" w:rsidRPr="009B22B8">
              <w:rPr>
                <w:color w:val="auto"/>
                <w:sz w:val="19"/>
                <w:szCs w:val="22"/>
                <w:lang w:eastAsia="en-US"/>
              </w:rPr>
              <w:t xml:space="preserve"> sig</w:t>
            </w:r>
            <w:r w:rsidR="00F95DEC">
              <w:rPr>
                <w:color w:val="auto"/>
                <w:sz w:val="19"/>
                <w:szCs w:val="22"/>
                <w:lang w:eastAsia="en-US"/>
              </w:rPr>
              <w:t>nificant</w:t>
            </w:r>
            <w:r w:rsidR="0094697A" w:rsidRPr="009B22B8">
              <w:rPr>
                <w:color w:val="auto"/>
                <w:sz w:val="19"/>
                <w:szCs w:val="22"/>
                <w:lang w:eastAsia="en-US"/>
              </w:rPr>
              <w:t xml:space="preserve"> difference with a 2-sided</w:t>
            </w:r>
            <w:r w:rsidRPr="009B22B8">
              <w:rPr>
                <w:color w:val="auto"/>
                <w:sz w:val="19"/>
                <w:szCs w:val="22"/>
                <w:lang w:eastAsia="en-US"/>
              </w:rPr>
              <w:t>, alpha</w:t>
            </w:r>
            <w:r w:rsidR="652E2CD7" w:rsidRPr="009B22B8">
              <w:rPr>
                <w:color w:val="auto"/>
                <w:sz w:val="19"/>
                <w:szCs w:val="22"/>
                <w:lang w:eastAsia="en-US"/>
              </w:rPr>
              <w:t xml:space="preserve"> </w:t>
            </w:r>
            <w:r w:rsidRPr="009B22B8">
              <w:rPr>
                <w:color w:val="auto"/>
                <w:sz w:val="19"/>
                <w:szCs w:val="22"/>
                <w:lang w:eastAsia="en-US"/>
              </w:rPr>
              <w:t>=</w:t>
            </w:r>
            <w:r w:rsidR="652E2CD7" w:rsidRPr="009B22B8">
              <w:rPr>
                <w:color w:val="auto"/>
                <w:sz w:val="19"/>
                <w:szCs w:val="22"/>
                <w:lang w:eastAsia="en-US"/>
              </w:rPr>
              <w:t xml:space="preserve"> </w:t>
            </w:r>
            <w:r w:rsidRPr="009B22B8">
              <w:rPr>
                <w:color w:val="auto"/>
                <w:sz w:val="19"/>
                <w:szCs w:val="22"/>
                <w:lang w:eastAsia="en-US"/>
              </w:rPr>
              <w:t>0.0357 (2</w:t>
            </w:r>
            <w:r w:rsidR="6895393E" w:rsidRPr="009B22B8">
              <w:rPr>
                <w:color w:val="auto"/>
                <w:sz w:val="19"/>
                <w:szCs w:val="22"/>
                <w:lang w:eastAsia="en-US"/>
              </w:rPr>
              <w:t>-sided, overall alpha 4% for D plus</w:t>
            </w:r>
            <w:r w:rsidRPr="009B22B8">
              <w:rPr>
                <w:color w:val="auto"/>
                <w:sz w:val="19"/>
                <w:szCs w:val="22"/>
                <w:lang w:eastAsia="en-US"/>
              </w:rPr>
              <w:t xml:space="preserve"> EP </w:t>
            </w:r>
            <w:r w:rsidR="65D87EBA" w:rsidRPr="009B22B8">
              <w:rPr>
                <w:color w:val="auto"/>
                <w:sz w:val="19"/>
                <w:szCs w:val="22"/>
                <w:lang w:eastAsia="en-US"/>
              </w:rPr>
              <w:t>versus</w:t>
            </w:r>
            <w:r w:rsidRPr="009B22B8">
              <w:rPr>
                <w:color w:val="auto"/>
                <w:sz w:val="19"/>
                <w:szCs w:val="22"/>
                <w:lang w:eastAsia="en-US"/>
              </w:rPr>
              <w:t xml:space="preserve"> EP)</w:t>
            </w:r>
            <w:r w:rsidR="76692CEA" w:rsidRPr="009B22B8">
              <w:rPr>
                <w:color w:val="auto"/>
                <w:sz w:val="19"/>
                <w:szCs w:val="22"/>
                <w:lang w:eastAsia="en-US"/>
              </w:rPr>
              <w:t xml:space="preserve"> </w:t>
            </w:r>
            <w:r w:rsidR="00F95DEC" w:rsidRPr="00B1725E">
              <w:rPr>
                <w:color w:val="auto"/>
                <w:sz w:val="19"/>
                <w:szCs w:val="22"/>
                <w:lang w:eastAsia="en-US"/>
              </w:rPr>
              <w:t>(</w:t>
            </w:r>
            <w:r w:rsidR="00146B72" w:rsidRPr="00B1725E">
              <w:rPr>
                <w:color w:val="auto"/>
                <w:sz w:val="19"/>
                <w:szCs w:val="22"/>
                <w:lang w:eastAsia="en-US"/>
              </w:rPr>
              <w:t>Note: the actual alpha level to be used was stipulated to be based on the actual observed number of deaths at the time of the interim</w:t>
            </w:r>
            <w:r w:rsidR="00CF455E" w:rsidRPr="00B1725E">
              <w:rPr>
                <w:color w:val="auto"/>
                <w:sz w:val="19"/>
                <w:szCs w:val="22"/>
                <w:lang w:eastAsia="en-US"/>
              </w:rPr>
              <w:t xml:space="preserve"> and the final analysis</w:t>
            </w:r>
            <w:r w:rsidR="00F95DEC" w:rsidRPr="00B1725E">
              <w:rPr>
                <w:color w:val="auto"/>
                <w:sz w:val="19"/>
                <w:szCs w:val="22"/>
                <w:lang w:eastAsia="en-US"/>
              </w:rPr>
              <w:t>)</w:t>
            </w:r>
            <w:r w:rsidR="0002171A" w:rsidRPr="00B1725E">
              <w:rPr>
                <w:color w:val="auto"/>
                <w:sz w:val="19"/>
                <w:szCs w:val="22"/>
                <w:lang w:eastAsia="en-US"/>
              </w:rPr>
              <w:t>.</w:t>
            </w:r>
            <w:r w:rsidR="0002171A" w:rsidDel="0002171A">
              <w:rPr>
                <w:rStyle w:val="FootnoteReference"/>
                <w:color w:val="auto"/>
                <w:sz w:val="19"/>
                <w:szCs w:val="22"/>
                <w:lang w:eastAsia="en-US"/>
              </w:rPr>
              <w:t xml:space="preserve"> </w:t>
            </w:r>
          </w:p>
          <w:p w14:paraId="135DFD5F" w14:textId="19E8351F" w:rsidR="0039386E" w:rsidRPr="00796A91" w:rsidRDefault="2F934626" w:rsidP="00796A91">
            <w:pPr>
              <w:keepNext/>
              <w:spacing w:before="60" w:after="60" w:line="240" w:lineRule="auto"/>
              <w:ind w:left="0"/>
              <w:rPr>
                <w:sz w:val="24"/>
                <w:szCs w:val="24"/>
                <w:lang w:val="en-US"/>
              </w:rPr>
            </w:pPr>
            <w:r w:rsidRPr="376D21B0">
              <w:rPr>
                <w:b/>
                <w:bCs/>
                <w:color w:val="auto"/>
                <w:sz w:val="19"/>
                <w:szCs w:val="19"/>
                <w:lang w:val="en-US"/>
              </w:rPr>
              <w:t xml:space="preserve">Interim analyses: </w:t>
            </w:r>
            <w:r w:rsidR="00146B72" w:rsidRPr="00146B72">
              <w:rPr>
                <w:color w:val="auto"/>
                <w:sz w:val="19"/>
                <w:szCs w:val="19"/>
                <w:lang w:val="en-US"/>
              </w:rPr>
              <w:t xml:space="preserve">per protocol the interim analysis was planned when </w:t>
            </w:r>
            <w:r w:rsidR="00B1725E">
              <w:rPr>
                <w:color w:val="auto"/>
                <w:sz w:val="19"/>
                <w:szCs w:val="19"/>
                <w:lang w:val="en-US"/>
              </w:rPr>
              <w:t>approximately</w:t>
            </w:r>
            <w:r w:rsidRPr="376D21B0">
              <w:rPr>
                <w:b/>
                <w:bCs/>
                <w:color w:val="auto"/>
                <w:sz w:val="19"/>
                <w:szCs w:val="19"/>
                <w:lang w:val="en-US"/>
              </w:rPr>
              <w:t xml:space="preserve"> </w:t>
            </w:r>
            <w:r w:rsidRPr="376D21B0">
              <w:rPr>
                <w:color w:val="auto"/>
                <w:sz w:val="19"/>
                <w:szCs w:val="19"/>
                <w:lang w:val="en-US"/>
              </w:rPr>
              <w:t>318 events (60% maturity)</w:t>
            </w:r>
            <w:r w:rsidR="4FF52E5D" w:rsidRPr="376D21B0">
              <w:rPr>
                <w:color w:val="auto"/>
                <w:sz w:val="19"/>
                <w:szCs w:val="19"/>
                <w:lang w:val="en-US"/>
              </w:rPr>
              <w:t xml:space="preserve"> </w:t>
            </w:r>
            <w:r w:rsidR="00146B72" w:rsidRPr="376D21B0">
              <w:rPr>
                <w:color w:val="auto"/>
                <w:sz w:val="19"/>
                <w:szCs w:val="19"/>
                <w:lang w:val="en-US"/>
              </w:rPr>
              <w:t>had occurred</w:t>
            </w:r>
            <w:r w:rsidR="00146B72">
              <w:rPr>
                <w:color w:val="auto"/>
                <w:sz w:val="19"/>
                <w:szCs w:val="19"/>
                <w:lang w:val="en-US"/>
              </w:rPr>
              <w:t>.</w:t>
            </w:r>
            <w:r w:rsidR="00146B72" w:rsidRPr="376D21B0">
              <w:rPr>
                <w:color w:val="auto"/>
                <w:sz w:val="19"/>
                <w:szCs w:val="19"/>
                <w:lang w:val="en-US"/>
              </w:rPr>
              <w:t xml:space="preserve"> If the true </w:t>
            </w:r>
            <w:r w:rsidRPr="376D21B0">
              <w:rPr>
                <w:color w:val="auto"/>
                <w:sz w:val="19"/>
                <w:szCs w:val="19"/>
                <w:lang w:val="en-US"/>
              </w:rPr>
              <w:t>HR = 0.71</w:t>
            </w:r>
            <w:r w:rsidR="2D5691A7" w:rsidRPr="376D21B0">
              <w:rPr>
                <w:color w:val="auto"/>
                <w:sz w:val="19"/>
                <w:szCs w:val="19"/>
                <w:lang w:val="en-US"/>
              </w:rPr>
              <w:t xml:space="preserve"> </w:t>
            </w:r>
            <w:r w:rsidR="00146B72" w:rsidRPr="376D21B0">
              <w:rPr>
                <w:color w:val="auto"/>
                <w:sz w:val="19"/>
                <w:szCs w:val="19"/>
                <w:lang w:val="en-US"/>
              </w:rPr>
              <w:t xml:space="preserve">at the interim the study had </w:t>
            </w:r>
            <w:r w:rsidRPr="376D21B0">
              <w:rPr>
                <w:color w:val="auto"/>
                <w:sz w:val="19"/>
                <w:szCs w:val="19"/>
                <w:lang w:val="en-US"/>
              </w:rPr>
              <w:t>71% power</w:t>
            </w:r>
            <w:r w:rsidR="6BAD5B12" w:rsidRPr="376D21B0">
              <w:rPr>
                <w:color w:val="auto"/>
                <w:sz w:val="19"/>
                <w:szCs w:val="19"/>
                <w:lang w:val="en-US"/>
              </w:rPr>
              <w:t xml:space="preserve"> </w:t>
            </w:r>
            <w:r w:rsidR="00146B72" w:rsidRPr="376D21B0">
              <w:rPr>
                <w:color w:val="auto"/>
                <w:sz w:val="19"/>
                <w:szCs w:val="19"/>
                <w:lang w:val="en-US"/>
              </w:rPr>
              <w:t>to demonstrate a stat</w:t>
            </w:r>
            <w:r w:rsidR="00F95DEC">
              <w:rPr>
                <w:color w:val="auto"/>
                <w:sz w:val="19"/>
                <w:szCs w:val="19"/>
                <w:lang w:val="en-US"/>
              </w:rPr>
              <w:t>istical</w:t>
            </w:r>
            <w:r w:rsidR="00146B72" w:rsidRPr="376D21B0">
              <w:rPr>
                <w:color w:val="auto"/>
                <w:sz w:val="19"/>
                <w:szCs w:val="19"/>
                <w:lang w:val="en-US"/>
              </w:rPr>
              <w:t xml:space="preserve"> sig</w:t>
            </w:r>
            <w:r w:rsidR="00F95DEC">
              <w:rPr>
                <w:color w:val="auto"/>
                <w:sz w:val="19"/>
                <w:szCs w:val="19"/>
                <w:lang w:val="en-US"/>
              </w:rPr>
              <w:t>nificant</w:t>
            </w:r>
            <w:r w:rsidR="00146B72" w:rsidRPr="376D21B0">
              <w:rPr>
                <w:color w:val="auto"/>
                <w:sz w:val="19"/>
                <w:szCs w:val="19"/>
                <w:lang w:val="en-US"/>
              </w:rPr>
              <w:t xml:space="preserve">  difference with a 2-sided</w:t>
            </w:r>
            <w:r w:rsidRPr="376D21B0">
              <w:rPr>
                <w:color w:val="auto"/>
                <w:sz w:val="19"/>
                <w:szCs w:val="19"/>
                <w:lang w:val="en-US"/>
              </w:rPr>
              <w:t>, alpha=0.0143</w:t>
            </w:r>
            <w:r w:rsidR="32005443" w:rsidRPr="376D21B0">
              <w:rPr>
                <w:color w:val="auto"/>
                <w:sz w:val="19"/>
                <w:szCs w:val="19"/>
                <w:lang w:val="en-US"/>
              </w:rPr>
              <w:t xml:space="preserve"> </w:t>
            </w:r>
            <w:r w:rsidR="00146B72" w:rsidRPr="376D21B0">
              <w:rPr>
                <w:color w:val="auto"/>
                <w:sz w:val="19"/>
                <w:szCs w:val="19"/>
                <w:lang w:val="en-US"/>
              </w:rPr>
              <w:t>(</w:t>
            </w:r>
            <w:r w:rsidR="00146B72" w:rsidRPr="00A42DFF">
              <w:rPr>
                <w:color w:val="auto"/>
                <w:sz w:val="19"/>
                <w:szCs w:val="19"/>
                <w:lang w:val="en-US"/>
              </w:rPr>
              <w:t>Note: the actual alpha level to be used was stipulated to be based on the actual observed number of deaths at the time of the interim</w:t>
            </w:r>
            <w:r w:rsidR="00CF455E">
              <w:rPr>
                <w:color w:val="auto"/>
                <w:sz w:val="19"/>
                <w:szCs w:val="19"/>
                <w:lang w:val="en-US"/>
              </w:rPr>
              <w:t xml:space="preserve"> and the estimated target number of events for the final analysis</w:t>
            </w:r>
            <w:r w:rsidR="00146B72" w:rsidRPr="00A42DFF">
              <w:rPr>
                <w:color w:val="auto"/>
                <w:sz w:val="19"/>
                <w:szCs w:val="19"/>
                <w:lang w:val="en-US"/>
              </w:rPr>
              <w:t>)</w:t>
            </w:r>
          </w:p>
          <w:p w14:paraId="51B0950F" w14:textId="3D5F9FC9" w:rsidR="0039386E" w:rsidRPr="00796A91" w:rsidRDefault="000C14F2" w:rsidP="00796A91">
            <w:pPr>
              <w:keepNext/>
              <w:spacing w:before="60" w:after="60" w:line="240" w:lineRule="auto"/>
              <w:ind w:left="0"/>
              <w:rPr>
                <w:color w:val="auto"/>
                <w:sz w:val="19"/>
                <w:szCs w:val="19"/>
                <w:lang w:val="en-US"/>
              </w:rPr>
            </w:pPr>
            <w:r w:rsidRPr="0E137900">
              <w:rPr>
                <w:b/>
                <w:color w:val="auto"/>
                <w:sz w:val="19"/>
                <w:szCs w:val="19"/>
                <w:lang w:val="en-US"/>
              </w:rPr>
              <w:t xml:space="preserve">Multiplicity: </w:t>
            </w:r>
            <w:r w:rsidR="0039386E" w:rsidRPr="0E137900">
              <w:rPr>
                <w:color w:val="auto"/>
                <w:sz w:val="19"/>
                <w:szCs w:val="19"/>
                <w:lang w:val="en-US"/>
              </w:rPr>
              <w:t>Multiple testing procedure with alpha recycling, 5% alpha overall, 4% al</w:t>
            </w:r>
            <w:r w:rsidRPr="0E137900">
              <w:rPr>
                <w:color w:val="auto"/>
                <w:sz w:val="19"/>
                <w:szCs w:val="19"/>
                <w:lang w:val="en-US"/>
              </w:rPr>
              <w:t>pha allocated for testing of D plus</w:t>
            </w:r>
            <w:r w:rsidR="0039386E" w:rsidRPr="0E137900">
              <w:rPr>
                <w:color w:val="auto"/>
                <w:sz w:val="19"/>
                <w:szCs w:val="19"/>
                <w:lang w:val="en-US"/>
              </w:rPr>
              <w:t xml:space="preserve"> EP </w:t>
            </w:r>
            <w:r w:rsidR="003E1D32" w:rsidRPr="0E137900">
              <w:rPr>
                <w:color w:val="auto"/>
                <w:sz w:val="19"/>
                <w:szCs w:val="19"/>
                <w:lang w:val="en-US"/>
              </w:rPr>
              <w:t>versus</w:t>
            </w:r>
            <w:r w:rsidR="0039386E" w:rsidRPr="0E137900">
              <w:rPr>
                <w:color w:val="auto"/>
                <w:sz w:val="19"/>
                <w:szCs w:val="19"/>
                <w:lang w:val="en-US"/>
              </w:rPr>
              <w:t xml:space="preserve"> EP. Lan </w:t>
            </w:r>
            <w:proofErr w:type="spellStart"/>
            <w:r w:rsidR="0039386E" w:rsidRPr="0E137900">
              <w:rPr>
                <w:color w:val="auto"/>
                <w:sz w:val="19"/>
                <w:szCs w:val="19"/>
                <w:lang w:val="en-US"/>
              </w:rPr>
              <w:t>DeMets</w:t>
            </w:r>
            <w:proofErr w:type="spellEnd"/>
            <w:r w:rsidR="0039386E" w:rsidRPr="0E137900">
              <w:rPr>
                <w:color w:val="auto"/>
                <w:sz w:val="19"/>
                <w:szCs w:val="19"/>
                <w:lang w:val="en-US"/>
              </w:rPr>
              <w:t xml:space="preserve"> spending function use to account for multiplicity introduced by interim analysis for superiority, alpha applied at interim and primary time points for OS testing family and PFS testing family In order: OS family (</w:t>
            </w:r>
            <w:r w:rsidRPr="0E137900">
              <w:rPr>
                <w:color w:val="auto"/>
                <w:sz w:val="19"/>
                <w:szCs w:val="19"/>
                <w:lang w:val="en-US"/>
              </w:rPr>
              <w:t>intent to treat (</w:t>
            </w:r>
            <w:r w:rsidR="0039386E" w:rsidRPr="0E137900">
              <w:rPr>
                <w:color w:val="auto"/>
                <w:sz w:val="19"/>
                <w:szCs w:val="19"/>
                <w:lang w:val="en-US"/>
              </w:rPr>
              <w:t>ITT</w:t>
            </w:r>
            <w:r w:rsidRPr="0E137900">
              <w:rPr>
                <w:color w:val="auto"/>
                <w:sz w:val="19"/>
                <w:szCs w:val="19"/>
                <w:lang w:val="en-US"/>
              </w:rPr>
              <w:t>)</w:t>
            </w:r>
            <w:r w:rsidR="00B1725E">
              <w:rPr>
                <w:color w:val="auto"/>
                <w:sz w:val="19"/>
                <w:szCs w:val="19"/>
                <w:lang w:val="en-US"/>
              </w:rPr>
              <w:t>)</w:t>
            </w:r>
            <w:r w:rsidR="0039386E" w:rsidRPr="0E137900">
              <w:rPr>
                <w:color w:val="auto"/>
                <w:sz w:val="19"/>
                <w:szCs w:val="19"/>
                <w:lang w:val="en-US"/>
              </w:rPr>
              <w:t xml:space="preserve">, then OS (Combo </w:t>
            </w:r>
            <w:r w:rsidRPr="0E137900">
              <w:rPr>
                <w:color w:val="auto"/>
                <w:sz w:val="19"/>
                <w:szCs w:val="19"/>
                <w:lang w:val="en-US"/>
              </w:rPr>
              <w:t xml:space="preserve">plus </w:t>
            </w:r>
            <w:r w:rsidR="0039386E" w:rsidRPr="0E137900">
              <w:rPr>
                <w:color w:val="auto"/>
                <w:sz w:val="19"/>
                <w:szCs w:val="19"/>
                <w:lang w:val="en-US"/>
              </w:rPr>
              <w:t>EP</w:t>
            </w:r>
            <w:r w:rsidR="0039386E" w:rsidRPr="0E137900">
              <w:rPr>
                <w:color w:val="auto"/>
                <w:sz w:val="19"/>
                <w:szCs w:val="19"/>
                <w:vertAlign w:val="superscript"/>
                <w:lang w:val="en-US"/>
              </w:rPr>
              <w:t>*</w:t>
            </w:r>
            <w:r w:rsidR="0039386E" w:rsidRPr="0E137900">
              <w:rPr>
                <w:color w:val="auto"/>
                <w:sz w:val="19"/>
                <w:szCs w:val="19"/>
                <w:lang w:val="en-US"/>
              </w:rPr>
              <w:t xml:space="preserve"> </w:t>
            </w:r>
            <w:r w:rsidR="003E1D32" w:rsidRPr="0E137900">
              <w:rPr>
                <w:color w:val="auto"/>
                <w:sz w:val="19"/>
                <w:szCs w:val="19"/>
                <w:lang w:val="en-US"/>
              </w:rPr>
              <w:t>versus</w:t>
            </w:r>
            <w:r w:rsidR="00795FBD" w:rsidRPr="0E137900">
              <w:rPr>
                <w:color w:val="auto"/>
                <w:sz w:val="19"/>
                <w:szCs w:val="19"/>
                <w:lang w:val="en-US"/>
              </w:rPr>
              <w:t xml:space="preserve"> EP), PFS</w:t>
            </w:r>
            <w:r w:rsidRPr="0E137900">
              <w:rPr>
                <w:color w:val="auto"/>
                <w:sz w:val="19"/>
                <w:szCs w:val="19"/>
                <w:lang w:val="en-US"/>
              </w:rPr>
              <w:t xml:space="preserve"> family (ITT) D plus</w:t>
            </w:r>
            <w:r w:rsidR="0039386E" w:rsidRPr="0E137900">
              <w:rPr>
                <w:color w:val="auto"/>
                <w:sz w:val="19"/>
                <w:szCs w:val="19"/>
                <w:lang w:val="en-US"/>
              </w:rPr>
              <w:t xml:space="preserve"> EP </w:t>
            </w:r>
            <w:r w:rsidR="003E1D32" w:rsidRPr="0E137900">
              <w:rPr>
                <w:color w:val="auto"/>
                <w:sz w:val="19"/>
                <w:szCs w:val="19"/>
                <w:lang w:val="en-US"/>
              </w:rPr>
              <w:t>versus</w:t>
            </w:r>
            <w:r w:rsidR="00795FBD" w:rsidRPr="0E137900">
              <w:rPr>
                <w:color w:val="auto"/>
                <w:sz w:val="19"/>
                <w:szCs w:val="19"/>
                <w:lang w:val="en-US"/>
              </w:rPr>
              <w:t xml:space="preserve"> EP, </w:t>
            </w:r>
            <w:r w:rsidRPr="0E137900">
              <w:rPr>
                <w:color w:val="auto"/>
                <w:sz w:val="19"/>
                <w:szCs w:val="19"/>
                <w:lang w:val="en-US"/>
              </w:rPr>
              <w:t>then Combo plus</w:t>
            </w:r>
            <w:r w:rsidR="0039386E" w:rsidRPr="0E137900">
              <w:rPr>
                <w:color w:val="auto"/>
                <w:sz w:val="19"/>
                <w:szCs w:val="19"/>
                <w:lang w:val="en-US"/>
              </w:rPr>
              <w:t xml:space="preserve"> EP</w:t>
            </w:r>
            <w:r w:rsidR="0039386E" w:rsidRPr="0E137900">
              <w:rPr>
                <w:color w:val="auto"/>
                <w:sz w:val="19"/>
                <w:szCs w:val="19"/>
                <w:vertAlign w:val="superscript"/>
                <w:lang w:val="en-US"/>
              </w:rPr>
              <w:t>*</w:t>
            </w:r>
            <w:r w:rsidR="0039386E" w:rsidRPr="0E137900">
              <w:rPr>
                <w:color w:val="auto"/>
                <w:sz w:val="19"/>
                <w:szCs w:val="19"/>
                <w:lang w:val="en-US"/>
              </w:rPr>
              <w:t xml:space="preserve"> </w:t>
            </w:r>
            <w:r w:rsidR="003E1D32" w:rsidRPr="0E137900">
              <w:rPr>
                <w:color w:val="auto"/>
                <w:sz w:val="19"/>
                <w:szCs w:val="19"/>
                <w:lang w:val="en-US"/>
              </w:rPr>
              <w:t>versus</w:t>
            </w:r>
            <w:r w:rsidR="0039386E" w:rsidRPr="0E137900">
              <w:rPr>
                <w:color w:val="auto"/>
                <w:sz w:val="19"/>
                <w:szCs w:val="19"/>
                <w:lang w:val="en-US"/>
              </w:rPr>
              <w:t xml:space="preserve"> EP</w:t>
            </w:r>
          </w:p>
          <w:p w14:paraId="7E5352B6" w14:textId="77777777" w:rsidR="0039386E" w:rsidRPr="006E1E4E" w:rsidRDefault="0039386E" w:rsidP="00796A91">
            <w:pPr>
              <w:keepNext/>
              <w:spacing w:before="60" w:after="60" w:line="240" w:lineRule="auto"/>
              <w:ind w:left="0"/>
              <w:rPr>
                <w:color w:val="9160CB" w:themeColor="accent5" w:themeTint="99"/>
                <w:sz w:val="16"/>
                <w:szCs w:val="16"/>
                <w:lang w:eastAsia="en-US"/>
              </w:rPr>
            </w:pPr>
            <w:r w:rsidRPr="006E1E4E">
              <w:rPr>
                <w:bCs/>
                <w:color w:val="auto"/>
                <w:sz w:val="16"/>
                <w:szCs w:val="16"/>
                <w:lang w:val="en-US"/>
              </w:rPr>
              <w:t>*</w:t>
            </w:r>
            <w:r w:rsidR="00795FBD">
              <w:rPr>
                <w:bCs/>
                <w:color w:val="auto"/>
                <w:sz w:val="16"/>
                <w:szCs w:val="16"/>
                <w:lang w:val="en-US"/>
              </w:rPr>
              <w:t xml:space="preserve">Combo = </w:t>
            </w:r>
            <w:proofErr w:type="spellStart"/>
            <w:r w:rsidR="00795FBD">
              <w:rPr>
                <w:bCs/>
                <w:color w:val="auto"/>
                <w:sz w:val="16"/>
                <w:szCs w:val="16"/>
                <w:lang w:val="en-US"/>
              </w:rPr>
              <w:t>durvalumab</w:t>
            </w:r>
            <w:proofErr w:type="spellEnd"/>
            <w:r w:rsidR="00795FBD">
              <w:rPr>
                <w:bCs/>
                <w:color w:val="auto"/>
                <w:sz w:val="16"/>
                <w:szCs w:val="16"/>
                <w:lang w:val="en-US"/>
              </w:rPr>
              <w:t xml:space="preserve"> plus</w:t>
            </w:r>
            <w:r>
              <w:rPr>
                <w:bCs/>
                <w:color w:val="auto"/>
                <w:sz w:val="16"/>
                <w:szCs w:val="16"/>
                <w:lang w:val="en-US"/>
              </w:rPr>
              <w:t xml:space="preserve"> </w:t>
            </w:r>
            <w:proofErr w:type="spellStart"/>
            <w:r>
              <w:rPr>
                <w:bCs/>
                <w:color w:val="auto"/>
                <w:sz w:val="16"/>
                <w:szCs w:val="16"/>
                <w:lang w:val="en-US"/>
              </w:rPr>
              <w:t>tremelimumab</w:t>
            </w:r>
            <w:proofErr w:type="spellEnd"/>
            <w:r>
              <w:rPr>
                <w:bCs/>
                <w:color w:val="auto"/>
                <w:sz w:val="16"/>
                <w:szCs w:val="16"/>
                <w:lang w:val="en-US"/>
              </w:rPr>
              <w:t xml:space="preserve"> = </w:t>
            </w:r>
            <w:r w:rsidRPr="006E1E4E">
              <w:rPr>
                <w:bCs/>
                <w:color w:val="auto"/>
                <w:sz w:val="16"/>
                <w:szCs w:val="16"/>
                <w:lang w:val="en-US"/>
              </w:rPr>
              <w:t>Arm 1 of study not presented in support of this application</w:t>
            </w:r>
          </w:p>
        </w:tc>
      </w:tr>
      <w:tr w:rsidR="00E2297B" w:rsidRPr="0029339B" w14:paraId="23F21DDF" w14:textId="77777777" w:rsidTr="00E2297B">
        <w:tblPrEx>
          <w:tblCellMar>
            <w:left w:w="28" w:type="dxa"/>
            <w:right w:w="28" w:type="dxa"/>
          </w:tblCellMar>
        </w:tblPrEx>
        <w:tc>
          <w:tcPr>
            <w:tcW w:w="1406" w:type="pct"/>
          </w:tcPr>
          <w:p w14:paraId="5416CB55" w14:textId="77777777" w:rsidR="0039386E" w:rsidRPr="00FC41E4" w:rsidRDefault="0039386E" w:rsidP="001574A3">
            <w:pPr>
              <w:keepNext/>
              <w:spacing w:before="60" w:after="60" w:line="240" w:lineRule="auto"/>
              <w:ind w:left="0"/>
              <w:rPr>
                <w:color w:val="auto"/>
                <w:sz w:val="19"/>
                <w:szCs w:val="22"/>
                <w:lang w:eastAsia="en-US"/>
              </w:rPr>
            </w:pPr>
            <w:r w:rsidRPr="00FC41E4">
              <w:rPr>
                <w:color w:val="auto"/>
                <w:sz w:val="19"/>
                <w:szCs w:val="22"/>
                <w:lang w:eastAsia="en-US"/>
              </w:rPr>
              <w:t>Protocol amendments and deviations</w:t>
            </w:r>
          </w:p>
          <w:p w14:paraId="09835127" w14:textId="77777777" w:rsidR="0039386E" w:rsidRPr="007903A9" w:rsidRDefault="0039386E" w:rsidP="001574A3">
            <w:pPr>
              <w:keepNext/>
              <w:spacing w:before="60" w:after="60" w:line="240" w:lineRule="auto"/>
              <w:rPr>
                <w:sz w:val="19"/>
              </w:rPr>
            </w:pPr>
          </w:p>
        </w:tc>
        <w:tc>
          <w:tcPr>
            <w:tcW w:w="3594" w:type="pct"/>
            <w:gridSpan w:val="2"/>
          </w:tcPr>
          <w:p w14:paraId="7AB70068" w14:textId="09B925CB" w:rsidR="0039386E" w:rsidRPr="001574A3" w:rsidRDefault="0039386E" w:rsidP="001574A3">
            <w:pPr>
              <w:keepNext/>
              <w:spacing w:before="60" w:after="60" w:line="240" w:lineRule="auto"/>
              <w:ind w:left="0"/>
              <w:rPr>
                <w:b/>
                <w:bCs/>
                <w:sz w:val="19"/>
                <w:lang w:val="en-US"/>
              </w:rPr>
            </w:pPr>
            <w:r>
              <w:rPr>
                <w:b/>
                <w:bCs/>
                <w:sz w:val="19"/>
                <w:lang w:val="en-US"/>
              </w:rPr>
              <w:t xml:space="preserve">Amendments: </w:t>
            </w:r>
            <w:r w:rsidR="000C14F2">
              <w:rPr>
                <w:bCs/>
                <w:sz w:val="19"/>
                <w:lang w:val="en-US"/>
              </w:rPr>
              <w:t>v</w:t>
            </w:r>
            <w:r>
              <w:rPr>
                <w:bCs/>
                <w:sz w:val="19"/>
                <w:lang w:val="en-US"/>
              </w:rPr>
              <w:t xml:space="preserve">ersion 2 added more Chinese patients; </w:t>
            </w:r>
            <w:r w:rsidR="001574A3">
              <w:rPr>
                <w:b/>
                <w:bCs/>
                <w:sz w:val="19"/>
                <w:lang w:val="en-US"/>
              </w:rPr>
              <w:br/>
            </w:r>
            <w:r w:rsidR="000C14F2">
              <w:rPr>
                <w:bCs/>
                <w:sz w:val="19"/>
                <w:lang w:val="en-US"/>
              </w:rPr>
              <w:t>version 3 (23 Jul 2018): D plus</w:t>
            </w:r>
            <w:r>
              <w:rPr>
                <w:bCs/>
                <w:sz w:val="19"/>
                <w:lang w:val="en-US"/>
              </w:rPr>
              <w:t xml:space="preserve"> EP </w:t>
            </w:r>
            <w:r w:rsidR="003E1D32">
              <w:rPr>
                <w:bCs/>
                <w:sz w:val="19"/>
                <w:lang w:val="en-US"/>
              </w:rPr>
              <w:t>versus</w:t>
            </w:r>
            <w:r>
              <w:rPr>
                <w:bCs/>
                <w:sz w:val="19"/>
                <w:lang w:val="en-US"/>
              </w:rPr>
              <w:t xml:space="preserve"> EP comparison added as co-aim of the study; removal of Blinded Independent Central Review (BICR) from PFS assessment; updates to primary and se</w:t>
            </w:r>
            <w:r w:rsidR="000C14F2">
              <w:rPr>
                <w:bCs/>
                <w:sz w:val="19"/>
                <w:lang w:val="en-US"/>
              </w:rPr>
              <w:t>condary objectives; updates to multiple testing p</w:t>
            </w:r>
            <w:r>
              <w:rPr>
                <w:bCs/>
                <w:sz w:val="19"/>
                <w:lang w:val="en-US"/>
              </w:rPr>
              <w:t xml:space="preserve">rocedure (MTP); and interim analysis plan including maturity (interim analyses 1 and 2 combined into single OS interim analysis with 60% maturity, maturity for final OS increased to 80%) </w:t>
            </w:r>
            <w:r w:rsidR="000C14F2">
              <w:rPr>
                <w:bCs/>
                <w:sz w:val="19"/>
                <w:lang w:val="en-US"/>
              </w:rPr>
              <w:t>v</w:t>
            </w:r>
            <w:r>
              <w:rPr>
                <w:bCs/>
                <w:sz w:val="19"/>
                <w:lang w:val="en-US"/>
              </w:rPr>
              <w:t>ersion 4 (29 Oct 2018): reallocated alpha in the MTP to</w:t>
            </w:r>
            <w:r w:rsidR="000C14F2">
              <w:rPr>
                <w:bCs/>
                <w:sz w:val="19"/>
                <w:lang w:val="en-US"/>
              </w:rPr>
              <w:t xml:space="preserve"> be 4% for monotherapy (</w:t>
            </w:r>
            <w:r w:rsidR="00FE4339">
              <w:rPr>
                <w:bCs/>
                <w:sz w:val="19"/>
                <w:lang w:val="en-US"/>
              </w:rPr>
              <w:t>that is,</w:t>
            </w:r>
            <w:r w:rsidR="000C14F2">
              <w:rPr>
                <w:bCs/>
                <w:sz w:val="19"/>
                <w:lang w:val="en-US"/>
              </w:rPr>
              <w:t xml:space="preserve"> D plus</w:t>
            </w:r>
            <w:r>
              <w:rPr>
                <w:bCs/>
                <w:sz w:val="19"/>
                <w:lang w:val="en-US"/>
              </w:rPr>
              <w:t xml:space="preserve"> EP) and 1% for combination therapy (Arm 1)</w:t>
            </w:r>
          </w:p>
          <w:p w14:paraId="59977F0E" w14:textId="77777777" w:rsidR="0039386E" w:rsidRPr="007F39EF" w:rsidRDefault="0039386E" w:rsidP="001574A3">
            <w:pPr>
              <w:keepNext/>
              <w:spacing w:before="60" w:after="60" w:line="240" w:lineRule="auto"/>
              <w:ind w:left="0"/>
              <w:rPr>
                <w:b/>
                <w:bCs/>
                <w:sz w:val="19"/>
                <w:lang w:val="en-US"/>
              </w:rPr>
            </w:pPr>
            <w:r>
              <w:rPr>
                <w:b/>
                <w:bCs/>
                <w:sz w:val="19"/>
                <w:lang w:val="en-US"/>
              </w:rPr>
              <w:t xml:space="preserve">Important Protocol Deviations: </w:t>
            </w:r>
            <w:r>
              <w:rPr>
                <w:bCs/>
                <w:sz w:val="19"/>
                <w:lang w:val="en-US"/>
              </w:rPr>
              <w:t>3.5% in Arms 2 and 3, similar numbers in each group</w:t>
            </w:r>
          </w:p>
        </w:tc>
      </w:tr>
    </w:tbl>
    <w:p w14:paraId="1A70A910" w14:textId="2B181341" w:rsidR="00F274C3" w:rsidRDefault="00F274C3" w:rsidP="00F274C3">
      <w:pPr>
        <w:pStyle w:val="Heading6"/>
      </w:pPr>
      <w:r>
        <w:t>Populations and baseline characteristics</w:t>
      </w:r>
    </w:p>
    <w:p w14:paraId="6F12955D" w14:textId="4F5E7AF9" w:rsidR="0039386E" w:rsidRDefault="00F274C3" w:rsidP="00F274C3">
      <w:r>
        <w:t xml:space="preserve">A </w:t>
      </w:r>
      <w:r w:rsidR="00EB0DC3">
        <w:t>summary of the</w:t>
      </w:r>
      <w:r>
        <w:t xml:space="preserve"> baseline characteristics of the CASPIAN tria</w:t>
      </w:r>
      <w:r w:rsidR="00795FBD">
        <w:t xml:space="preserve">l population </w:t>
      </w:r>
      <w:r>
        <w:t xml:space="preserve">is included in </w:t>
      </w:r>
      <w:r>
        <w:fldChar w:fldCharType="begin"/>
      </w:r>
      <w:r>
        <w:instrText xml:space="preserve"> REF _Ref62216520 \h </w:instrText>
      </w:r>
      <w:r>
        <w:fldChar w:fldCharType="separate"/>
      </w:r>
      <w:r w:rsidR="00130E57" w:rsidRPr="00F274C3">
        <w:t xml:space="preserve">Table </w:t>
      </w:r>
      <w:r w:rsidR="00130E57">
        <w:rPr>
          <w:noProof/>
        </w:rPr>
        <w:t>4</w:t>
      </w:r>
      <w:r>
        <w:fldChar w:fldCharType="end"/>
      </w:r>
      <w:r>
        <w:t>. The majority of patients were male (69.6%), and 93.1% of patients were either current (45.8%) or former smokers (47.3%).</w:t>
      </w:r>
    </w:p>
    <w:p w14:paraId="36F906B9" w14:textId="22EDFA4F" w:rsidR="00F274C3" w:rsidRDefault="00F274C3" w:rsidP="00F274C3">
      <w:pPr>
        <w:pStyle w:val="TableTitle"/>
      </w:pPr>
      <w:bookmarkStart w:id="47" w:name="_Ref62216520"/>
      <w:r w:rsidRPr="00F274C3">
        <w:lastRenderedPageBreak/>
        <w:t xml:space="preserve">Table </w:t>
      </w:r>
      <w:r>
        <w:fldChar w:fldCharType="begin"/>
      </w:r>
      <w:r>
        <w:instrText>SEQ Table \* ARABIC</w:instrText>
      </w:r>
      <w:r>
        <w:fldChar w:fldCharType="separate"/>
      </w:r>
      <w:r w:rsidR="00130E57">
        <w:rPr>
          <w:noProof/>
        </w:rPr>
        <w:t>4</w:t>
      </w:r>
      <w:r>
        <w:fldChar w:fldCharType="end"/>
      </w:r>
      <w:bookmarkEnd w:id="47"/>
      <w:r>
        <w:t>: The CASPIAN trial</w:t>
      </w:r>
      <w:r w:rsidR="00A04332">
        <w:t>; summary of</w:t>
      </w:r>
      <w:r>
        <w:t xml:space="preserve"> baseline demographics</w:t>
      </w:r>
    </w:p>
    <w:tbl>
      <w:tblPr>
        <w:tblStyle w:val="TableTGAblue"/>
        <w:tblW w:w="5000" w:type="pct"/>
        <w:tblLook w:val="04A0" w:firstRow="1" w:lastRow="0" w:firstColumn="1" w:lastColumn="0" w:noHBand="0" w:noVBand="1"/>
      </w:tblPr>
      <w:tblGrid>
        <w:gridCol w:w="2024"/>
        <w:gridCol w:w="1904"/>
        <w:gridCol w:w="2301"/>
        <w:gridCol w:w="2255"/>
      </w:tblGrid>
      <w:tr w:rsidR="001574A3" w:rsidRPr="00396CCF" w14:paraId="434B3C5E" w14:textId="77777777" w:rsidTr="00EB0DC3">
        <w:trPr>
          <w:cnfStyle w:val="100000000000" w:firstRow="1" w:lastRow="0" w:firstColumn="0" w:lastColumn="0" w:oddVBand="0" w:evenVBand="0" w:oddHBand="0" w:evenHBand="0" w:firstRowFirstColumn="0" w:firstRowLastColumn="0" w:lastRowFirstColumn="0" w:lastRowLastColumn="0"/>
          <w:trHeight w:val="20"/>
        </w:trPr>
        <w:tc>
          <w:tcPr>
            <w:tcW w:w="1192" w:type="pct"/>
            <w:hideMark/>
          </w:tcPr>
          <w:p w14:paraId="3D1270A2" w14:textId="2E01F589" w:rsidR="001574A3" w:rsidRPr="00EB0DC3" w:rsidRDefault="00A04332" w:rsidP="00EB0DC3">
            <w:pPr>
              <w:pStyle w:val="Tabletext"/>
              <w:ind w:left="0"/>
            </w:pPr>
            <w:r w:rsidRPr="00EB0DC3">
              <w:t>Characteristic</w:t>
            </w:r>
          </w:p>
        </w:tc>
        <w:tc>
          <w:tcPr>
            <w:tcW w:w="1122" w:type="pct"/>
          </w:tcPr>
          <w:p w14:paraId="0777DE7B" w14:textId="7EF62DDD" w:rsidR="001574A3" w:rsidRPr="00EB0DC3" w:rsidRDefault="00A04332" w:rsidP="00BB4F1B">
            <w:pPr>
              <w:pStyle w:val="Tabletext"/>
              <w:jc w:val="center"/>
            </w:pPr>
            <w:r w:rsidRPr="00EB0DC3">
              <w:t>Category</w:t>
            </w:r>
          </w:p>
        </w:tc>
        <w:tc>
          <w:tcPr>
            <w:tcW w:w="1356" w:type="pct"/>
            <w:hideMark/>
          </w:tcPr>
          <w:p w14:paraId="1C9ED02E" w14:textId="1E7F0E70" w:rsidR="001574A3" w:rsidRPr="00396CCF" w:rsidRDefault="001574A3" w:rsidP="00BB4F1B">
            <w:pPr>
              <w:pStyle w:val="Tabletext"/>
              <w:ind w:left="0" w:right="0"/>
              <w:jc w:val="center"/>
              <w:rPr>
                <w:bCs/>
                <w:lang w:val="en-US"/>
              </w:rPr>
            </w:pPr>
            <w:r>
              <w:rPr>
                <w:bCs/>
                <w:lang w:val="en-US"/>
              </w:rPr>
              <w:t>D plus EP (n</w:t>
            </w:r>
            <w:r w:rsidR="00A04332">
              <w:rPr>
                <w:bCs/>
                <w:lang w:val="en-US"/>
              </w:rPr>
              <w:t xml:space="preserve"> </w:t>
            </w:r>
            <w:r>
              <w:rPr>
                <w:bCs/>
                <w:lang w:val="en-US"/>
              </w:rPr>
              <w:t>=</w:t>
            </w:r>
            <w:r w:rsidR="00A04332">
              <w:rPr>
                <w:bCs/>
                <w:lang w:val="en-US"/>
              </w:rPr>
              <w:t xml:space="preserve"> </w:t>
            </w:r>
            <w:r>
              <w:rPr>
                <w:bCs/>
                <w:lang w:val="en-US"/>
              </w:rPr>
              <w:t>268</w:t>
            </w:r>
            <w:r w:rsidRPr="00396CCF">
              <w:rPr>
                <w:bCs/>
                <w:lang w:val="en-US"/>
              </w:rPr>
              <w:t>)</w:t>
            </w:r>
          </w:p>
        </w:tc>
        <w:tc>
          <w:tcPr>
            <w:tcW w:w="1329" w:type="pct"/>
            <w:hideMark/>
          </w:tcPr>
          <w:p w14:paraId="13A530BB" w14:textId="6A3E9251" w:rsidR="001574A3" w:rsidRPr="00396CCF" w:rsidRDefault="001574A3" w:rsidP="00BB4F1B">
            <w:pPr>
              <w:pStyle w:val="Tabletext"/>
              <w:ind w:left="0" w:right="0"/>
              <w:jc w:val="center"/>
              <w:rPr>
                <w:bCs/>
                <w:lang w:val="en-US"/>
              </w:rPr>
            </w:pPr>
            <w:r>
              <w:rPr>
                <w:bCs/>
                <w:lang w:val="en-US"/>
              </w:rPr>
              <w:t>EP (n</w:t>
            </w:r>
            <w:r w:rsidR="00A04332">
              <w:rPr>
                <w:bCs/>
                <w:lang w:val="en-US"/>
              </w:rPr>
              <w:t xml:space="preserve"> </w:t>
            </w:r>
            <w:r>
              <w:rPr>
                <w:bCs/>
                <w:lang w:val="en-US"/>
              </w:rPr>
              <w:t>=</w:t>
            </w:r>
            <w:r w:rsidR="00A04332">
              <w:rPr>
                <w:bCs/>
                <w:lang w:val="en-US"/>
              </w:rPr>
              <w:t xml:space="preserve"> </w:t>
            </w:r>
            <w:r>
              <w:rPr>
                <w:bCs/>
                <w:lang w:val="en-US"/>
              </w:rPr>
              <w:t>269</w:t>
            </w:r>
            <w:r w:rsidRPr="00396CCF">
              <w:rPr>
                <w:bCs/>
                <w:lang w:val="en-US"/>
              </w:rPr>
              <w:t>)</w:t>
            </w:r>
          </w:p>
        </w:tc>
      </w:tr>
      <w:tr w:rsidR="00F274C3" w:rsidRPr="004C6DD4" w14:paraId="4424AD8A" w14:textId="77777777" w:rsidTr="00EB0DC3">
        <w:tblPrEx>
          <w:tblLook w:val="0420" w:firstRow="1" w:lastRow="0" w:firstColumn="0" w:lastColumn="0" w:noHBand="0" w:noVBand="1"/>
        </w:tblPrEx>
        <w:trPr>
          <w:trHeight w:val="20"/>
        </w:trPr>
        <w:tc>
          <w:tcPr>
            <w:tcW w:w="1192" w:type="pct"/>
            <w:hideMark/>
          </w:tcPr>
          <w:p w14:paraId="785F3B5D" w14:textId="77777777" w:rsidR="00F274C3" w:rsidRPr="00396CCF" w:rsidRDefault="00F274C3" w:rsidP="00F274C3">
            <w:pPr>
              <w:pStyle w:val="Tabletext"/>
              <w:ind w:left="0" w:right="0"/>
              <w:rPr>
                <w:b/>
                <w:bCs/>
                <w:color w:val="auto"/>
                <w:lang w:val="en-US"/>
              </w:rPr>
            </w:pPr>
            <w:r w:rsidRPr="00396CCF">
              <w:rPr>
                <w:b/>
                <w:bCs/>
                <w:color w:val="auto"/>
                <w:lang w:val="en-US"/>
              </w:rPr>
              <w:t>Age</w:t>
            </w:r>
          </w:p>
        </w:tc>
        <w:tc>
          <w:tcPr>
            <w:tcW w:w="1122" w:type="pct"/>
          </w:tcPr>
          <w:p w14:paraId="78755518" w14:textId="77777777" w:rsidR="00F274C3" w:rsidRPr="001574A3" w:rsidRDefault="00F274C3" w:rsidP="001574A3">
            <w:pPr>
              <w:pStyle w:val="Tabletext"/>
              <w:spacing w:before="60" w:after="60" w:line="240" w:lineRule="auto"/>
              <w:ind w:left="0" w:right="0"/>
              <w:jc w:val="center"/>
              <w:rPr>
                <w:bCs/>
                <w:color w:val="auto"/>
                <w:lang w:val="en-US"/>
              </w:rPr>
            </w:pPr>
            <w:r w:rsidRPr="001574A3">
              <w:rPr>
                <w:bCs/>
                <w:color w:val="auto"/>
                <w:lang w:val="en-US"/>
              </w:rPr>
              <w:t>Median (range)</w:t>
            </w:r>
          </w:p>
        </w:tc>
        <w:tc>
          <w:tcPr>
            <w:tcW w:w="1356" w:type="pct"/>
            <w:hideMark/>
          </w:tcPr>
          <w:p w14:paraId="484E72BA" w14:textId="639A2308" w:rsidR="00F274C3" w:rsidRPr="001574A3" w:rsidRDefault="00EA1B9C" w:rsidP="001574A3">
            <w:pPr>
              <w:pStyle w:val="Tabletext"/>
              <w:spacing w:before="60" w:after="60" w:line="240" w:lineRule="auto"/>
              <w:jc w:val="center"/>
              <w:rPr>
                <w:bCs/>
                <w:color w:val="auto"/>
                <w:lang w:val="en-US"/>
              </w:rPr>
            </w:pPr>
            <w:r w:rsidRPr="001574A3">
              <w:rPr>
                <w:bCs/>
                <w:color w:val="auto"/>
                <w:lang w:val="en-US"/>
              </w:rPr>
              <w:t>62 (22 to</w:t>
            </w:r>
            <w:r w:rsidR="00A04332">
              <w:rPr>
                <w:bCs/>
                <w:color w:val="auto"/>
                <w:lang w:val="en-US"/>
              </w:rPr>
              <w:t xml:space="preserve"> </w:t>
            </w:r>
            <w:r w:rsidR="00F274C3" w:rsidRPr="001574A3">
              <w:rPr>
                <w:bCs/>
                <w:color w:val="auto"/>
                <w:lang w:val="en-US"/>
              </w:rPr>
              <w:t>82)</w:t>
            </w:r>
          </w:p>
        </w:tc>
        <w:tc>
          <w:tcPr>
            <w:tcW w:w="1329" w:type="pct"/>
            <w:hideMark/>
          </w:tcPr>
          <w:p w14:paraId="049430E6" w14:textId="77777777" w:rsidR="00F274C3" w:rsidRPr="001574A3" w:rsidRDefault="00F274C3" w:rsidP="001574A3">
            <w:pPr>
              <w:pStyle w:val="Tabletext"/>
              <w:spacing w:before="60" w:after="60" w:line="240" w:lineRule="auto"/>
              <w:jc w:val="center"/>
              <w:rPr>
                <w:bCs/>
                <w:color w:val="auto"/>
                <w:lang w:val="en-US"/>
              </w:rPr>
            </w:pPr>
            <w:r w:rsidRPr="001574A3">
              <w:rPr>
                <w:bCs/>
                <w:color w:val="auto"/>
                <w:lang w:val="en-US"/>
              </w:rPr>
              <w:t>63 (3</w:t>
            </w:r>
            <w:r w:rsidR="00EA1B9C" w:rsidRPr="001574A3">
              <w:rPr>
                <w:bCs/>
                <w:color w:val="auto"/>
                <w:lang w:val="en-US"/>
              </w:rPr>
              <w:t>5 to</w:t>
            </w:r>
            <w:r w:rsidRPr="001574A3">
              <w:rPr>
                <w:bCs/>
                <w:color w:val="auto"/>
                <w:lang w:val="en-US"/>
              </w:rPr>
              <w:t>52)</w:t>
            </w:r>
          </w:p>
        </w:tc>
      </w:tr>
      <w:tr w:rsidR="00F274C3" w:rsidRPr="004C6DD4" w14:paraId="387A5CA8" w14:textId="77777777" w:rsidTr="00EB0DC3">
        <w:tblPrEx>
          <w:tblLook w:val="0420" w:firstRow="1" w:lastRow="0" w:firstColumn="0" w:lastColumn="0" w:noHBand="0" w:noVBand="1"/>
        </w:tblPrEx>
        <w:trPr>
          <w:trHeight w:val="20"/>
        </w:trPr>
        <w:tc>
          <w:tcPr>
            <w:tcW w:w="1192" w:type="pct"/>
            <w:hideMark/>
          </w:tcPr>
          <w:p w14:paraId="4E2253A2" w14:textId="77777777" w:rsidR="00F274C3" w:rsidRPr="008B2CD7" w:rsidRDefault="00F274C3" w:rsidP="00F274C3">
            <w:pPr>
              <w:pStyle w:val="Tabletext"/>
              <w:ind w:left="0" w:right="0"/>
              <w:rPr>
                <w:b/>
                <w:bCs/>
                <w:color w:val="auto"/>
                <w:lang w:val="en-US"/>
              </w:rPr>
            </w:pPr>
            <w:r w:rsidRPr="008B2CD7">
              <w:rPr>
                <w:b/>
                <w:bCs/>
                <w:color w:val="auto"/>
                <w:lang w:val="en-US"/>
              </w:rPr>
              <w:t>Age group</w:t>
            </w:r>
          </w:p>
        </w:tc>
        <w:tc>
          <w:tcPr>
            <w:tcW w:w="1122" w:type="pct"/>
          </w:tcPr>
          <w:p w14:paraId="15EF5927" w14:textId="77777777" w:rsidR="00F274C3" w:rsidRPr="001574A3" w:rsidRDefault="00F274C3" w:rsidP="001574A3">
            <w:pPr>
              <w:pStyle w:val="Tabletext"/>
              <w:spacing w:before="60" w:after="60" w:line="240" w:lineRule="auto"/>
              <w:ind w:left="0" w:right="0"/>
              <w:jc w:val="center"/>
              <w:rPr>
                <w:bCs/>
                <w:color w:val="auto"/>
                <w:lang w:val="en-US"/>
              </w:rPr>
            </w:pPr>
            <w:r w:rsidRPr="001574A3">
              <w:rPr>
                <w:bCs/>
                <w:color w:val="auto"/>
                <w:lang w:val="en-US"/>
              </w:rPr>
              <w:t>&lt; 65 years</w:t>
            </w:r>
          </w:p>
          <w:p w14:paraId="1A3BE4D8" w14:textId="77777777" w:rsidR="00F274C3" w:rsidRPr="001574A3" w:rsidRDefault="00F274C3" w:rsidP="001574A3">
            <w:pPr>
              <w:pStyle w:val="Tabletext"/>
              <w:spacing w:before="60" w:after="60" w:line="240" w:lineRule="auto"/>
              <w:ind w:left="0" w:right="0"/>
              <w:jc w:val="center"/>
              <w:rPr>
                <w:bCs/>
                <w:color w:val="auto"/>
                <w:lang w:val="en-US"/>
              </w:rPr>
            </w:pPr>
            <w:r w:rsidRPr="001574A3">
              <w:rPr>
                <w:bCs/>
                <w:color w:val="auto"/>
                <w:lang w:val="en-US"/>
              </w:rPr>
              <w:t>≥ 65 to &lt; 75 years</w:t>
            </w:r>
          </w:p>
          <w:p w14:paraId="06C6E460" w14:textId="77777777" w:rsidR="00F274C3" w:rsidRPr="001574A3" w:rsidRDefault="00F274C3" w:rsidP="001574A3">
            <w:pPr>
              <w:pStyle w:val="Tabletext"/>
              <w:spacing w:before="60" w:after="60" w:line="240" w:lineRule="auto"/>
              <w:ind w:left="0" w:right="0"/>
              <w:jc w:val="center"/>
              <w:rPr>
                <w:bCs/>
                <w:color w:val="auto"/>
                <w:lang w:val="en-US"/>
              </w:rPr>
            </w:pPr>
            <w:r w:rsidRPr="001574A3">
              <w:rPr>
                <w:bCs/>
                <w:color w:val="auto"/>
                <w:lang w:val="en-US"/>
              </w:rPr>
              <w:t>≥ 75 years</w:t>
            </w:r>
          </w:p>
        </w:tc>
        <w:tc>
          <w:tcPr>
            <w:tcW w:w="1356" w:type="pct"/>
            <w:hideMark/>
          </w:tcPr>
          <w:p w14:paraId="1733E94E" w14:textId="77777777" w:rsidR="00F274C3" w:rsidRPr="001574A3" w:rsidRDefault="00F274C3" w:rsidP="001574A3">
            <w:pPr>
              <w:pStyle w:val="Tabletext"/>
              <w:spacing w:before="60" w:after="60" w:line="240" w:lineRule="auto"/>
              <w:jc w:val="center"/>
              <w:rPr>
                <w:bCs/>
                <w:color w:val="auto"/>
                <w:lang w:val="en-US"/>
              </w:rPr>
            </w:pPr>
            <w:r w:rsidRPr="001574A3">
              <w:rPr>
                <w:bCs/>
                <w:color w:val="auto"/>
                <w:lang w:val="en-US"/>
              </w:rPr>
              <w:t>167 (62.3%)</w:t>
            </w:r>
          </w:p>
          <w:p w14:paraId="3D8A122E" w14:textId="77777777" w:rsidR="00F274C3" w:rsidRPr="001574A3" w:rsidRDefault="00F274C3" w:rsidP="001574A3">
            <w:pPr>
              <w:pStyle w:val="Tabletext"/>
              <w:spacing w:before="60" w:after="60" w:line="240" w:lineRule="auto"/>
              <w:jc w:val="center"/>
              <w:rPr>
                <w:bCs/>
                <w:color w:val="auto"/>
                <w:lang w:val="en-US"/>
              </w:rPr>
            </w:pPr>
            <w:r w:rsidRPr="001574A3">
              <w:rPr>
                <w:bCs/>
                <w:color w:val="auto"/>
                <w:lang w:val="en-US"/>
              </w:rPr>
              <w:t>82 (30.6%)</w:t>
            </w:r>
          </w:p>
          <w:p w14:paraId="74E83511" w14:textId="77777777" w:rsidR="00F274C3" w:rsidRPr="001574A3" w:rsidRDefault="00F274C3" w:rsidP="001574A3">
            <w:pPr>
              <w:pStyle w:val="Tabletext"/>
              <w:spacing w:before="60" w:after="60" w:line="240" w:lineRule="auto"/>
              <w:jc w:val="center"/>
              <w:rPr>
                <w:bCs/>
                <w:color w:val="auto"/>
                <w:lang w:val="en-US"/>
              </w:rPr>
            </w:pPr>
            <w:r w:rsidRPr="001574A3">
              <w:rPr>
                <w:bCs/>
                <w:color w:val="auto"/>
                <w:lang w:val="en-US"/>
              </w:rPr>
              <w:t>19 (7.1%)</w:t>
            </w:r>
          </w:p>
        </w:tc>
        <w:tc>
          <w:tcPr>
            <w:tcW w:w="1329" w:type="pct"/>
            <w:hideMark/>
          </w:tcPr>
          <w:p w14:paraId="0B48BC86" w14:textId="77777777" w:rsidR="00F274C3" w:rsidRPr="001574A3" w:rsidRDefault="00F274C3" w:rsidP="001574A3">
            <w:pPr>
              <w:pStyle w:val="Tabletext"/>
              <w:spacing w:before="60" w:after="60" w:line="240" w:lineRule="auto"/>
              <w:jc w:val="center"/>
              <w:rPr>
                <w:bCs/>
                <w:color w:val="auto"/>
                <w:lang w:val="en-US"/>
              </w:rPr>
            </w:pPr>
            <w:r w:rsidRPr="001574A3">
              <w:rPr>
                <w:bCs/>
                <w:color w:val="auto"/>
                <w:lang w:val="en-US"/>
              </w:rPr>
              <w:t>157(58.1%)</w:t>
            </w:r>
          </w:p>
          <w:p w14:paraId="0075112A" w14:textId="77777777" w:rsidR="00F274C3" w:rsidRPr="001574A3" w:rsidRDefault="00F274C3" w:rsidP="001574A3">
            <w:pPr>
              <w:pStyle w:val="Tabletext"/>
              <w:spacing w:before="60" w:after="60" w:line="240" w:lineRule="auto"/>
              <w:jc w:val="center"/>
              <w:rPr>
                <w:bCs/>
                <w:color w:val="auto"/>
                <w:lang w:val="en-US"/>
              </w:rPr>
            </w:pPr>
            <w:r w:rsidRPr="001574A3">
              <w:rPr>
                <w:bCs/>
                <w:color w:val="auto"/>
                <w:lang w:val="en-US"/>
              </w:rPr>
              <w:t>90 (33.5%)</w:t>
            </w:r>
          </w:p>
          <w:p w14:paraId="26201961" w14:textId="77777777" w:rsidR="00F274C3" w:rsidRPr="001574A3" w:rsidRDefault="00F274C3" w:rsidP="001574A3">
            <w:pPr>
              <w:pStyle w:val="Tabletext"/>
              <w:spacing w:before="60" w:after="60" w:line="240" w:lineRule="auto"/>
              <w:jc w:val="center"/>
              <w:rPr>
                <w:bCs/>
                <w:color w:val="auto"/>
                <w:lang w:val="en-US"/>
              </w:rPr>
            </w:pPr>
            <w:r w:rsidRPr="001574A3">
              <w:rPr>
                <w:bCs/>
                <w:color w:val="auto"/>
                <w:lang w:val="en-US"/>
              </w:rPr>
              <w:t>22 (8.2%)</w:t>
            </w:r>
          </w:p>
        </w:tc>
      </w:tr>
      <w:tr w:rsidR="00F274C3" w:rsidRPr="004C6DD4" w14:paraId="7E1E02BF" w14:textId="77777777" w:rsidTr="00EB0DC3">
        <w:tblPrEx>
          <w:tblLook w:val="0420" w:firstRow="1" w:lastRow="0" w:firstColumn="0" w:lastColumn="0" w:noHBand="0" w:noVBand="1"/>
        </w:tblPrEx>
        <w:trPr>
          <w:trHeight w:val="20"/>
        </w:trPr>
        <w:tc>
          <w:tcPr>
            <w:tcW w:w="1192" w:type="pct"/>
            <w:hideMark/>
          </w:tcPr>
          <w:p w14:paraId="494163C6" w14:textId="77777777" w:rsidR="00F274C3" w:rsidRPr="00396CCF" w:rsidRDefault="00F274C3" w:rsidP="00F274C3">
            <w:pPr>
              <w:pStyle w:val="Tabletext"/>
              <w:ind w:left="0" w:right="0"/>
              <w:rPr>
                <w:b/>
                <w:bCs/>
                <w:color w:val="auto"/>
                <w:lang w:val="en-US"/>
              </w:rPr>
            </w:pPr>
            <w:r w:rsidRPr="00396CCF">
              <w:rPr>
                <w:b/>
                <w:bCs/>
                <w:color w:val="auto"/>
                <w:lang w:val="en-US"/>
              </w:rPr>
              <w:t>Sex</w:t>
            </w:r>
          </w:p>
        </w:tc>
        <w:tc>
          <w:tcPr>
            <w:tcW w:w="1122" w:type="pct"/>
          </w:tcPr>
          <w:p w14:paraId="6C9D70B4" w14:textId="77777777" w:rsidR="00F274C3" w:rsidRPr="001574A3" w:rsidRDefault="00F274C3" w:rsidP="001574A3">
            <w:pPr>
              <w:pStyle w:val="Tabletext"/>
              <w:spacing w:before="60" w:after="60" w:line="240" w:lineRule="auto"/>
              <w:ind w:left="0" w:right="0"/>
              <w:jc w:val="center"/>
              <w:rPr>
                <w:bCs/>
                <w:color w:val="auto"/>
                <w:lang w:val="en-US"/>
              </w:rPr>
            </w:pPr>
            <w:r w:rsidRPr="001574A3">
              <w:rPr>
                <w:bCs/>
                <w:color w:val="auto"/>
                <w:lang w:val="en-US"/>
              </w:rPr>
              <w:t>Male</w:t>
            </w:r>
          </w:p>
        </w:tc>
        <w:tc>
          <w:tcPr>
            <w:tcW w:w="1356" w:type="pct"/>
            <w:hideMark/>
          </w:tcPr>
          <w:p w14:paraId="6EF9980F" w14:textId="77777777" w:rsidR="00F274C3" w:rsidRPr="001574A3" w:rsidRDefault="00F274C3" w:rsidP="001574A3">
            <w:pPr>
              <w:pStyle w:val="Tabletext"/>
              <w:spacing w:before="60" w:after="60" w:line="240" w:lineRule="auto"/>
              <w:jc w:val="center"/>
              <w:rPr>
                <w:bCs/>
                <w:color w:val="auto"/>
                <w:lang w:val="en-US"/>
              </w:rPr>
            </w:pPr>
            <w:r w:rsidRPr="001574A3">
              <w:rPr>
                <w:bCs/>
                <w:color w:val="auto"/>
                <w:lang w:val="en-US"/>
              </w:rPr>
              <w:t>190 (70.9%)</w:t>
            </w:r>
          </w:p>
        </w:tc>
        <w:tc>
          <w:tcPr>
            <w:tcW w:w="1329" w:type="pct"/>
            <w:hideMark/>
          </w:tcPr>
          <w:p w14:paraId="784B5C3A" w14:textId="77777777" w:rsidR="00F274C3" w:rsidRPr="001574A3" w:rsidRDefault="00F274C3" w:rsidP="001574A3">
            <w:pPr>
              <w:pStyle w:val="Tabletext"/>
              <w:spacing w:before="60" w:after="60" w:line="240" w:lineRule="auto"/>
              <w:jc w:val="center"/>
              <w:rPr>
                <w:bCs/>
                <w:color w:val="auto"/>
                <w:lang w:val="en-US"/>
              </w:rPr>
            </w:pPr>
            <w:r w:rsidRPr="001574A3">
              <w:rPr>
                <w:bCs/>
                <w:color w:val="auto"/>
                <w:lang w:val="en-US"/>
              </w:rPr>
              <w:t>184 (68.4%)</w:t>
            </w:r>
          </w:p>
        </w:tc>
      </w:tr>
      <w:tr w:rsidR="00F274C3" w:rsidRPr="004C6DD4" w14:paraId="5B71803D" w14:textId="77777777" w:rsidTr="00EB0DC3">
        <w:tblPrEx>
          <w:tblLook w:val="0420" w:firstRow="1" w:lastRow="0" w:firstColumn="0" w:lastColumn="0" w:noHBand="0" w:noVBand="1"/>
        </w:tblPrEx>
        <w:trPr>
          <w:trHeight w:val="20"/>
        </w:trPr>
        <w:tc>
          <w:tcPr>
            <w:tcW w:w="1192" w:type="pct"/>
            <w:hideMark/>
          </w:tcPr>
          <w:p w14:paraId="605C45F5" w14:textId="77777777" w:rsidR="00F274C3" w:rsidRPr="00F274C3" w:rsidRDefault="00F274C3" w:rsidP="00F274C3">
            <w:pPr>
              <w:pStyle w:val="Tabletext"/>
              <w:ind w:left="0" w:right="0"/>
              <w:rPr>
                <w:b/>
                <w:bCs/>
                <w:color w:val="auto"/>
                <w:lang w:val="en-US"/>
              </w:rPr>
            </w:pPr>
            <w:r w:rsidRPr="009B64D4">
              <w:rPr>
                <w:b/>
                <w:bCs/>
                <w:color w:val="auto"/>
                <w:lang w:val="en-US"/>
              </w:rPr>
              <w:t>Race</w:t>
            </w:r>
          </w:p>
        </w:tc>
        <w:tc>
          <w:tcPr>
            <w:tcW w:w="1122" w:type="pct"/>
          </w:tcPr>
          <w:p w14:paraId="4EF4A97C" w14:textId="77777777" w:rsidR="00F274C3" w:rsidRPr="001574A3" w:rsidRDefault="00F274C3" w:rsidP="001574A3">
            <w:pPr>
              <w:pStyle w:val="Tabletext"/>
              <w:spacing w:before="60" w:after="60" w:line="240" w:lineRule="auto"/>
              <w:ind w:left="0" w:right="0"/>
              <w:jc w:val="center"/>
              <w:rPr>
                <w:bCs/>
                <w:color w:val="auto"/>
                <w:lang w:val="en-US"/>
              </w:rPr>
            </w:pPr>
            <w:r w:rsidRPr="001574A3">
              <w:rPr>
                <w:bCs/>
                <w:color w:val="auto"/>
                <w:lang w:val="en-US"/>
              </w:rPr>
              <w:t>White</w:t>
            </w:r>
          </w:p>
          <w:p w14:paraId="1B16DFF4" w14:textId="77777777" w:rsidR="00F274C3" w:rsidRPr="001574A3" w:rsidRDefault="00F274C3" w:rsidP="001574A3">
            <w:pPr>
              <w:pStyle w:val="Tabletext"/>
              <w:spacing w:before="60" w:after="60" w:line="240" w:lineRule="auto"/>
              <w:ind w:left="0" w:right="0"/>
              <w:jc w:val="center"/>
              <w:rPr>
                <w:bCs/>
                <w:color w:val="auto"/>
                <w:lang w:val="en-US"/>
              </w:rPr>
            </w:pPr>
            <w:r w:rsidRPr="001574A3">
              <w:rPr>
                <w:bCs/>
                <w:color w:val="auto"/>
                <w:lang w:val="en-US"/>
              </w:rPr>
              <w:t>Black</w:t>
            </w:r>
          </w:p>
          <w:p w14:paraId="579A4850" w14:textId="77777777" w:rsidR="00F274C3" w:rsidRPr="001574A3" w:rsidRDefault="00F274C3" w:rsidP="001574A3">
            <w:pPr>
              <w:pStyle w:val="Tabletext"/>
              <w:spacing w:before="60" w:after="60" w:line="240" w:lineRule="auto"/>
              <w:ind w:left="0" w:right="0"/>
              <w:jc w:val="center"/>
              <w:rPr>
                <w:bCs/>
                <w:color w:val="auto"/>
                <w:lang w:val="en-US"/>
              </w:rPr>
            </w:pPr>
            <w:r w:rsidRPr="001574A3">
              <w:rPr>
                <w:bCs/>
                <w:color w:val="auto"/>
                <w:lang w:val="en-US"/>
              </w:rPr>
              <w:t>Asian</w:t>
            </w:r>
          </w:p>
          <w:p w14:paraId="54D51980" w14:textId="77777777" w:rsidR="00F274C3" w:rsidRPr="001574A3" w:rsidRDefault="00F274C3" w:rsidP="001574A3">
            <w:pPr>
              <w:pStyle w:val="Tabletext"/>
              <w:spacing w:before="60" w:after="60" w:line="240" w:lineRule="auto"/>
              <w:ind w:left="0" w:right="0"/>
              <w:jc w:val="center"/>
              <w:rPr>
                <w:bCs/>
                <w:color w:val="auto"/>
                <w:lang w:val="en-US"/>
              </w:rPr>
            </w:pPr>
            <w:r w:rsidRPr="001574A3">
              <w:rPr>
                <w:bCs/>
                <w:color w:val="auto"/>
                <w:lang w:val="en-US"/>
              </w:rPr>
              <w:t>Unknown/Other</w:t>
            </w:r>
          </w:p>
        </w:tc>
        <w:tc>
          <w:tcPr>
            <w:tcW w:w="1356" w:type="pct"/>
            <w:hideMark/>
          </w:tcPr>
          <w:p w14:paraId="0E4027AF" w14:textId="77777777" w:rsidR="00F274C3" w:rsidRPr="001574A3" w:rsidRDefault="00F274C3" w:rsidP="001574A3">
            <w:pPr>
              <w:pStyle w:val="Tabletext"/>
              <w:spacing w:before="60" w:after="60" w:line="240" w:lineRule="auto"/>
              <w:jc w:val="center"/>
              <w:rPr>
                <w:bCs/>
                <w:color w:val="auto"/>
                <w:lang w:val="en-US"/>
              </w:rPr>
            </w:pPr>
            <w:r w:rsidRPr="001574A3">
              <w:rPr>
                <w:bCs/>
                <w:color w:val="auto"/>
                <w:lang w:val="en-US"/>
              </w:rPr>
              <w:t>229 (85.4%)</w:t>
            </w:r>
          </w:p>
          <w:p w14:paraId="4E3F126E" w14:textId="77777777" w:rsidR="00F274C3" w:rsidRPr="001574A3" w:rsidRDefault="00F274C3" w:rsidP="001574A3">
            <w:pPr>
              <w:pStyle w:val="Tabletext"/>
              <w:spacing w:before="60" w:after="60" w:line="240" w:lineRule="auto"/>
              <w:jc w:val="center"/>
              <w:rPr>
                <w:bCs/>
                <w:color w:val="auto"/>
                <w:lang w:val="en-US"/>
              </w:rPr>
            </w:pPr>
            <w:r w:rsidRPr="001574A3">
              <w:rPr>
                <w:bCs/>
                <w:color w:val="auto"/>
                <w:lang w:val="en-US"/>
              </w:rPr>
              <w:t>2 (0.1%)</w:t>
            </w:r>
          </w:p>
          <w:p w14:paraId="64B2E618" w14:textId="77777777" w:rsidR="00F274C3" w:rsidRPr="001574A3" w:rsidRDefault="00F274C3" w:rsidP="001574A3">
            <w:pPr>
              <w:pStyle w:val="Tabletext"/>
              <w:spacing w:before="60" w:after="60" w:line="240" w:lineRule="auto"/>
              <w:jc w:val="center"/>
              <w:rPr>
                <w:bCs/>
                <w:color w:val="auto"/>
                <w:lang w:val="en-US"/>
              </w:rPr>
            </w:pPr>
            <w:r w:rsidRPr="001574A3">
              <w:rPr>
                <w:bCs/>
                <w:color w:val="auto"/>
                <w:lang w:val="en-US"/>
              </w:rPr>
              <w:t>36 (13.4%)</w:t>
            </w:r>
          </w:p>
          <w:p w14:paraId="3E320248" w14:textId="77777777" w:rsidR="00F274C3" w:rsidRPr="001574A3" w:rsidRDefault="00F274C3" w:rsidP="001574A3">
            <w:pPr>
              <w:pStyle w:val="Tabletext"/>
              <w:spacing w:before="60" w:after="60" w:line="240" w:lineRule="auto"/>
              <w:jc w:val="center"/>
              <w:rPr>
                <w:bCs/>
                <w:color w:val="auto"/>
                <w:lang w:val="en-US"/>
              </w:rPr>
            </w:pPr>
            <w:r w:rsidRPr="001574A3">
              <w:rPr>
                <w:bCs/>
                <w:color w:val="auto"/>
                <w:lang w:val="en-US"/>
              </w:rPr>
              <w:t>1 (0.4%)</w:t>
            </w:r>
          </w:p>
        </w:tc>
        <w:tc>
          <w:tcPr>
            <w:tcW w:w="1329" w:type="pct"/>
            <w:hideMark/>
          </w:tcPr>
          <w:p w14:paraId="1F8E5CA6" w14:textId="77777777" w:rsidR="00F274C3" w:rsidRPr="001574A3" w:rsidRDefault="00F274C3" w:rsidP="001574A3">
            <w:pPr>
              <w:pStyle w:val="Tabletext"/>
              <w:spacing w:before="60" w:after="60" w:line="240" w:lineRule="auto"/>
              <w:jc w:val="center"/>
              <w:rPr>
                <w:bCs/>
                <w:color w:val="auto"/>
                <w:lang w:val="en-US"/>
              </w:rPr>
            </w:pPr>
            <w:r w:rsidRPr="001574A3">
              <w:rPr>
                <w:bCs/>
                <w:color w:val="auto"/>
                <w:lang w:val="en-US"/>
              </w:rPr>
              <w:t>221 (82.2%)</w:t>
            </w:r>
          </w:p>
          <w:p w14:paraId="338513A3" w14:textId="77777777" w:rsidR="00F274C3" w:rsidRPr="001574A3" w:rsidRDefault="00F274C3" w:rsidP="001574A3">
            <w:pPr>
              <w:pStyle w:val="Tabletext"/>
              <w:spacing w:before="60" w:after="60" w:line="240" w:lineRule="auto"/>
              <w:jc w:val="center"/>
              <w:rPr>
                <w:bCs/>
                <w:color w:val="auto"/>
                <w:lang w:val="en-US"/>
              </w:rPr>
            </w:pPr>
            <w:r w:rsidRPr="001574A3">
              <w:rPr>
                <w:bCs/>
                <w:color w:val="auto"/>
                <w:lang w:val="en-US"/>
              </w:rPr>
              <w:t>3 (1.1%)</w:t>
            </w:r>
          </w:p>
          <w:p w14:paraId="134F2B0F" w14:textId="77777777" w:rsidR="00F274C3" w:rsidRPr="001574A3" w:rsidRDefault="00F274C3" w:rsidP="001574A3">
            <w:pPr>
              <w:pStyle w:val="Tabletext"/>
              <w:spacing w:before="60" w:after="60" w:line="240" w:lineRule="auto"/>
              <w:jc w:val="center"/>
              <w:rPr>
                <w:bCs/>
                <w:color w:val="auto"/>
                <w:lang w:val="en-US"/>
              </w:rPr>
            </w:pPr>
            <w:r w:rsidRPr="001574A3">
              <w:rPr>
                <w:bCs/>
                <w:color w:val="auto"/>
                <w:lang w:val="en-US"/>
              </w:rPr>
              <w:t>42 (15.6%)</w:t>
            </w:r>
          </w:p>
          <w:p w14:paraId="5F33A5EE" w14:textId="77777777" w:rsidR="00F274C3" w:rsidRPr="001574A3" w:rsidRDefault="00F274C3" w:rsidP="001574A3">
            <w:pPr>
              <w:pStyle w:val="Tabletext"/>
              <w:spacing w:before="60" w:after="60" w:line="240" w:lineRule="auto"/>
              <w:jc w:val="center"/>
              <w:rPr>
                <w:bCs/>
                <w:color w:val="auto"/>
                <w:lang w:val="en-US"/>
              </w:rPr>
            </w:pPr>
            <w:r w:rsidRPr="001574A3">
              <w:rPr>
                <w:bCs/>
                <w:color w:val="auto"/>
                <w:lang w:val="en-US"/>
              </w:rPr>
              <w:t>3 (1.1%)</w:t>
            </w:r>
          </w:p>
        </w:tc>
      </w:tr>
      <w:tr w:rsidR="00F274C3" w:rsidRPr="004C6DD4" w14:paraId="2E6AE08A" w14:textId="77777777" w:rsidTr="00EB0DC3">
        <w:tblPrEx>
          <w:tblLook w:val="0420" w:firstRow="1" w:lastRow="0" w:firstColumn="0" w:lastColumn="0" w:noHBand="0" w:noVBand="1"/>
        </w:tblPrEx>
        <w:trPr>
          <w:trHeight w:val="20"/>
        </w:trPr>
        <w:tc>
          <w:tcPr>
            <w:tcW w:w="1192" w:type="pct"/>
            <w:hideMark/>
          </w:tcPr>
          <w:p w14:paraId="2C5189C4" w14:textId="79ADC7C5" w:rsidR="00F274C3" w:rsidRPr="00F274C3" w:rsidRDefault="00F274C3" w:rsidP="00F274C3">
            <w:pPr>
              <w:pStyle w:val="Tabletext"/>
              <w:ind w:left="0" w:right="0"/>
              <w:rPr>
                <w:b/>
                <w:bCs/>
                <w:color w:val="auto"/>
                <w:lang w:val="en-US"/>
              </w:rPr>
            </w:pPr>
            <w:r w:rsidRPr="009B64D4">
              <w:rPr>
                <w:b/>
                <w:bCs/>
                <w:color w:val="auto"/>
                <w:lang w:val="en-US"/>
              </w:rPr>
              <w:t>ECOG</w:t>
            </w:r>
            <w:r w:rsidR="00A04332">
              <w:rPr>
                <w:b/>
                <w:bCs/>
                <w:color w:val="auto"/>
                <w:lang w:val="en-US"/>
              </w:rPr>
              <w:t xml:space="preserve"> PS</w:t>
            </w:r>
          </w:p>
        </w:tc>
        <w:tc>
          <w:tcPr>
            <w:tcW w:w="1122" w:type="pct"/>
          </w:tcPr>
          <w:p w14:paraId="4F1EE35E" w14:textId="77777777" w:rsidR="00F274C3" w:rsidRPr="001574A3" w:rsidRDefault="00F274C3" w:rsidP="001574A3">
            <w:pPr>
              <w:pStyle w:val="Tabletext"/>
              <w:spacing w:before="60" w:after="60" w:line="240" w:lineRule="auto"/>
              <w:ind w:left="0" w:right="0"/>
              <w:jc w:val="center"/>
              <w:rPr>
                <w:bCs/>
                <w:color w:val="auto"/>
                <w:lang w:val="en-US"/>
              </w:rPr>
            </w:pPr>
            <w:r w:rsidRPr="001574A3">
              <w:rPr>
                <w:bCs/>
                <w:color w:val="auto"/>
                <w:lang w:val="en-US"/>
              </w:rPr>
              <w:t>0</w:t>
            </w:r>
          </w:p>
          <w:p w14:paraId="6F056BB5" w14:textId="77777777" w:rsidR="00F274C3" w:rsidRPr="001574A3" w:rsidRDefault="00F274C3" w:rsidP="001574A3">
            <w:pPr>
              <w:pStyle w:val="Tabletext"/>
              <w:spacing w:before="60" w:after="60" w:line="240" w:lineRule="auto"/>
              <w:ind w:left="0" w:right="0"/>
              <w:jc w:val="center"/>
              <w:rPr>
                <w:bCs/>
                <w:color w:val="auto"/>
                <w:lang w:val="en-US"/>
              </w:rPr>
            </w:pPr>
            <w:r w:rsidRPr="001574A3">
              <w:rPr>
                <w:bCs/>
                <w:color w:val="auto"/>
                <w:lang w:val="en-US"/>
              </w:rPr>
              <w:t>1</w:t>
            </w:r>
          </w:p>
        </w:tc>
        <w:tc>
          <w:tcPr>
            <w:tcW w:w="1356" w:type="pct"/>
            <w:hideMark/>
          </w:tcPr>
          <w:p w14:paraId="3E01E16F" w14:textId="77777777" w:rsidR="00F274C3" w:rsidRPr="001574A3" w:rsidRDefault="00F274C3" w:rsidP="001574A3">
            <w:pPr>
              <w:pStyle w:val="Tabletext"/>
              <w:spacing w:before="60" w:after="60" w:line="240" w:lineRule="auto"/>
              <w:jc w:val="center"/>
              <w:rPr>
                <w:bCs/>
                <w:color w:val="auto"/>
                <w:lang w:val="en-US"/>
              </w:rPr>
            </w:pPr>
            <w:r w:rsidRPr="001574A3">
              <w:rPr>
                <w:bCs/>
                <w:color w:val="auto"/>
                <w:lang w:val="en-US"/>
              </w:rPr>
              <w:t>99 (36.9%)</w:t>
            </w:r>
          </w:p>
          <w:p w14:paraId="693241B4" w14:textId="77777777" w:rsidR="00F274C3" w:rsidRPr="001574A3" w:rsidRDefault="00F274C3" w:rsidP="001574A3">
            <w:pPr>
              <w:pStyle w:val="Tabletext"/>
              <w:spacing w:before="60" w:after="60" w:line="240" w:lineRule="auto"/>
              <w:jc w:val="center"/>
              <w:rPr>
                <w:bCs/>
                <w:color w:val="auto"/>
                <w:lang w:val="en-US"/>
              </w:rPr>
            </w:pPr>
            <w:r w:rsidRPr="001574A3">
              <w:rPr>
                <w:bCs/>
                <w:color w:val="auto"/>
                <w:lang w:val="en-US"/>
              </w:rPr>
              <w:t>169 (63.1%)</w:t>
            </w:r>
          </w:p>
        </w:tc>
        <w:tc>
          <w:tcPr>
            <w:tcW w:w="1329" w:type="pct"/>
            <w:hideMark/>
          </w:tcPr>
          <w:p w14:paraId="480F8330" w14:textId="77777777" w:rsidR="00F274C3" w:rsidRPr="001574A3" w:rsidRDefault="00F274C3" w:rsidP="001574A3">
            <w:pPr>
              <w:pStyle w:val="Tabletext"/>
              <w:spacing w:before="60" w:after="60" w:line="240" w:lineRule="auto"/>
              <w:jc w:val="center"/>
              <w:rPr>
                <w:bCs/>
                <w:color w:val="auto"/>
                <w:lang w:val="en-US"/>
              </w:rPr>
            </w:pPr>
            <w:r w:rsidRPr="001574A3">
              <w:rPr>
                <w:bCs/>
                <w:color w:val="auto"/>
                <w:lang w:val="en-US"/>
              </w:rPr>
              <w:t>90 (33.5%)</w:t>
            </w:r>
          </w:p>
          <w:p w14:paraId="16289864" w14:textId="77777777" w:rsidR="00F274C3" w:rsidRPr="001574A3" w:rsidRDefault="00F274C3" w:rsidP="001574A3">
            <w:pPr>
              <w:pStyle w:val="Tabletext"/>
              <w:spacing w:before="60" w:after="60" w:line="240" w:lineRule="auto"/>
              <w:jc w:val="center"/>
              <w:rPr>
                <w:bCs/>
                <w:color w:val="auto"/>
                <w:lang w:val="en-US"/>
              </w:rPr>
            </w:pPr>
            <w:r w:rsidRPr="001574A3">
              <w:rPr>
                <w:bCs/>
                <w:color w:val="auto"/>
                <w:lang w:val="en-US"/>
              </w:rPr>
              <w:t>179 (66.5%)</w:t>
            </w:r>
          </w:p>
        </w:tc>
      </w:tr>
      <w:tr w:rsidR="00F274C3" w:rsidRPr="004C6DD4" w14:paraId="06EDAE5A" w14:textId="77777777" w:rsidTr="00EB0DC3">
        <w:tblPrEx>
          <w:tblLook w:val="0420" w:firstRow="1" w:lastRow="0" w:firstColumn="0" w:lastColumn="0" w:noHBand="0" w:noVBand="1"/>
        </w:tblPrEx>
        <w:trPr>
          <w:trHeight w:val="20"/>
        </w:trPr>
        <w:tc>
          <w:tcPr>
            <w:tcW w:w="1192" w:type="pct"/>
            <w:hideMark/>
          </w:tcPr>
          <w:p w14:paraId="5534C80D" w14:textId="77777777" w:rsidR="00F274C3" w:rsidRPr="00F274C3" w:rsidRDefault="00F274C3" w:rsidP="00F274C3">
            <w:pPr>
              <w:pStyle w:val="Tabletext"/>
              <w:ind w:left="0" w:right="0"/>
              <w:rPr>
                <w:b/>
                <w:bCs/>
                <w:color w:val="auto"/>
                <w:lang w:val="en-US"/>
              </w:rPr>
            </w:pPr>
            <w:r w:rsidRPr="009B64D4">
              <w:rPr>
                <w:b/>
                <w:bCs/>
                <w:color w:val="auto"/>
                <w:lang w:val="en-US"/>
              </w:rPr>
              <w:t>Smoking</w:t>
            </w:r>
          </w:p>
        </w:tc>
        <w:tc>
          <w:tcPr>
            <w:tcW w:w="1122" w:type="pct"/>
          </w:tcPr>
          <w:p w14:paraId="64EB8438" w14:textId="77777777" w:rsidR="00F274C3" w:rsidRPr="001574A3" w:rsidRDefault="00F274C3" w:rsidP="001574A3">
            <w:pPr>
              <w:pStyle w:val="Tabletext"/>
              <w:spacing w:before="60" w:after="60" w:line="240" w:lineRule="auto"/>
              <w:ind w:left="0" w:right="0"/>
              <w:jc w:val="center"/>
              <w:rPr>
                <w:bCs/>
                <w:color w:val="auto"/>
                <w:lang w:val="en-US"/>
              </w:rPr>
            </w:pPr>
            <w:r w:rsidRPr="001574A3">
              <w:rPr>
                <w:bCs/>
                <w:color w:val="auto"/>
                <w:lang w:val="en-US"/>
              </w:rPr>
              <w:t>Current</w:t>
            </w:r>
          </w:p>
          <w:p w14:paraId="3A3C4EF5" w14:textId="77777777" w:rsidR="00F274C3" w:rsidRPr="001574A3" w:rsidRDefault="00F274C3" w:rsidP="001574A3">
            <w:pPr>
              <w:pStyle w:val="Tabletext"/>
              <w:spacing w:before="60" w:after="60" w:line="240" w:lineRule="auto"/>
              <w:ind w:left="0" w:right="0"/>
              <w:jc w:val="center"/>
              <w:rPr>
                <w:bCs/>
                <w:color w:val="auto"/>
                <w:lang w:val="en-US"/>
              </w:rPr>
            </w:pPr>
            <w:r w:rsidRPr="001574A3">
              <w:rPr>
                <w:bCs/>
                <w:color w:val="auto"/>
                <w:lang w:val="en-US"/>
              </w:rPr>
              <w:t>Former</w:t>
            </w:r>
          </w:p>
          <w:p w14:paraId="36ADD516" w14:textId="77777777" w:rsidR="00F274C3" w:rsidRPr="001574A3" w:rsidRDefault="00F274C3" w:rsidP="001574A3">
            <w:pPr>
              <w:pStyle w:val="Tabletext"/>
              <w:spacing w:before="60" w:after="60" w:line="240" w:lineRule="auto"/>
              <w:ind w:left="0" w:right="0"/>
              <w:jc w:val="center"/>
              <w:rPr>
                <w:bCs/>
                <w:color w:val="auto"/>
                <w:lang w:val="en-US"/>
              </w:rPr>
            </w:pPr>
            <w:r w:rsidRPr="001574A3">
              <w:rPr>
                <w:bCs/>
                <w:color w:val="auto"/>
                <w:lang w:val="en-US"/>
              </w:rPr>
              <w:t>Never</w:t>
            </w:r>
          </w:p>
        </w:tc>
        <w:tc>
          <w:tcPr>
            <w:tcW w:w="1356" w:type="pct"/>
            <w:hideMark/>
          </w:tcPr>
          <w:p w14:paraId="45D47CCA" w14:textId="77777777" w:rsidR="00F274C3" w:rsidRPr="001574A3" w:rsidRDefault="00F274C3" w:rsidP="001574A3">
            <w:pPr>
              <w:pStyle w:val="Tabletext"/>
              <w:spacing w:before="60" w:after="60" w:line="240" w:lineRule="auto"/>
              <w:jc w:val="center"/>
              <w:rPr>
                <w:bCs/>
                <w:color w:val="auto"/>
                <w:lang w:val="en-US"/>
              </w:rPr>
            </w:pPr>
            <w:r w:rsidRPr="001574A3">
              <w:rPr>
                <w:bCs/>
                <w:color w:val="auto"/>
                <w:lang w:val="en-US"/>
              </w:rPr>
              <w:t>120 (44.8%)</w:t>
            </w:r>
          </w:p>
          <w:p w14:paraId="03C43C62" w14:textId="77777777" w:rsidR="00F274C3" w:rsidRPr="001574A3" w:rsidRDefault="00F274C3" w:rsidP="001574A3">
            <w:pPr>
              <w:pStyle w:val="Tabletext"/>
              <w:spacing w:before="60" w:after="60" w:line="240" w:lineRule="auto"/>
              <w:jc w:val="center"/>
              <w:rPr>
                <w:bCs/>
                <w:color w:val="auto"/>
                <w:lang w:val="en-US"/>
              </w:rPr>
            </w:pPr>
            <w:r w:rsidRPr="001574A3">
              <w:rPr>
                <w:bCs/>
                <w:color w:val="auto"/>
                <w:lang w:val="en-US"/>
              </w:rPr>
              <w:t>126 (47.0%)</w:t>
            </w:r>
          </w:p>
          <w:p w14:paraId="1A4D3DC4" w14:textId="77777777" w:rsidR="00F274C3" w:rsidRPr="001574A3" w:rsidRDefault="00F274C3" w:rsidP="001574A3">
            <w:pPr>
              <w:pStyle w:val="Tabletext"/>
              <w:spacing w:before="60" w:after="60" w:line="240" w:lineRule="auto"/>
              <w:jc w:val="center"/>
              <w:rPr>
                <w:bCs/>
                <w:color w:val="auto"/>
                <w:lang w:val="en-US"/>
              </w:rPr>
            </w:pPr>
            <w:r w:rsidRPr="001574A3">
              <w:rPr>
                <w:bCs/>
                <w:color w:val="auto"/>
                <w:lang w:val="en-US"/>
              </w:rPr>
              <w:t>22 (8.2%)</w:t>
            </w:r>
          </w:p>
        </w:tc>
        <w:tc>
          <w:tcPr>
            <w:tcW w:w="1329" w:type="pct"/>
            <w:hideMark/>
          </w:tcPr>
          <w:p w14:paraId="20474A98" w14:textId="77777777" w:rsidR="00F274C3" w:rsidRPr="001574A3" w:rsidRDefault="00F274C3" w:rsidP="001574A3">
            <w:pPr>
              <w:pStyle w:val="Tabletext"/>
              <w:spacing w:before="60" w:after="60" w:line="240" w:lineRule="auto"/>
              <w:jc w:val="center"/>
              <w:rPr>
                <w:bCs/>
                <w:color w:val="auto"/>
                <w:lang w:val="en-US"/>
              </w:rPr>
            </w:pPr>
            <w:r w:rsidRPr="001574A3">
              <w:rPr>
                <w:bCs/>
                <w:color w:val="auto"/>
                <w:lang w:val="en-US"/>
              </w:rPr>
              <w:t>126 (46.8%)</w:t>
            </w:r>
          </w:p>
          <w:p w14:paraId="6A055A25" w14:textId="77777777" w:rsidR="00F274C3" w:rsidRPr="001574A3" w:rsidRDefault="00F274C3" w:rsidP="001574A3">
            <w:pPr>
              <w:pStyle w:val="Tabletext"/>
              <w:spacing w:before="60" w:after="60" w:line="240" w:lineRule="auto"/>
              <w:jc w:val="center"/>
              <w:rPr>
                <w:bCs/>
                <w:color w:val="auto"/>
                <w:lang w:val="en-US"/>
              </w:rPr>
            </w:pPr>
            <w:r w:rsidRPr="001574A3">
              <w:rPr>
                <w:bCs/>
                <w:color w:val="auto"/>
                <w:lang w:val="en-US"/>
              </w:rPr>
              <w:t>128 47.6%)</w:t>
            </w:r>
          </w:p>
          <w:p w14:paraId="6A602EBB" w14:textId="77777777" w:rsidR="00F274C3" w:rsidRPr="001574A3" w:rsidRDefault="00F274C3" w:rsidP="001574A3">
            <w:pPr>
              <w:pStyle w:val="Tabletext"/>
              <w:spacing w:before="60" w:after="60" w:line="240" w:lineRule="auto"/>
              <w:jc w:val="center"/>
              <w:rPr>
                <w:bCs/>
                <w:color w:val="auto"/>
                <w:lang w:val="en-US"/>
              </w:rPr>
            </w:pPr>
            <w:r w:rsidRPr="001574A3">
              <w:rPr>
                <w:bCs/>
                <w:color w:val="auto"/>
                <w:lang w:val="en-US"/>
              </w:rPr>
              <w:t>15(5.6%)</w:t>
            </w:r>
          </w:p>
        </w:tc>
      </w:tr>
      <w:tr w:rsidR="00F274C3" w:rsidRPr="004C6DD4" w14:paraId="1210C1D9" w14:textId="77777777" w:rsidTr="00EB0DC3">
        <w:tblPrEx>
          <w:tblLook w:val="0420" w:firstRow="1" w:lastRow="0" w:firstColumn="0" w:lastColumn="0" w:noHBand="0" w:noVBand="1"/>
        </w:tblPrEx>
        <w:trPr>
          <w:trHeight w:val="20"/>
        </w:trPr>
        <w:tc>
          <w:tcPr>
            <w:tcW w:w="1192" w:type="pct"/>
          </w:tcPr>
          <w:p w14:paraId="6746742E" w14:textId="09149B86" w:rsidR="00F274C3" w:rsidRPr="00411C59" w:rsidRDefault="00F274C3" w:rsidP="00EA1B9C">
            <w:pPr>
              <w:pStyle w:val="Tabletext"/>
              <w:ind w:left="0"/>
              <w:rPr>
                <w:b/>
                <w:bCs/>
                <w:color w:val="auto"/>
                <w:lang w:val="en-US"/>
              </w:rPr>
            </w:pPr>
            <w:r>
              <w:rPr>
                <w:b/>
                <w:bCs/>
                <w:color w:val="auto"/>
                <w:lang w:val="en-US"/>
              </w:rPr>
              <w:t>S</w:t>
            </w:r>
            <w:r w:rsidRPr="00737E27">
              <w:rPr>
                <w:b/>
                <w:bCs/>
                <w:color w:val="auto"/>
                <w:lang w:val="en-US"/>
              </w:rPr>
              <w:t>tage (AJCC staging)</w:t>
            </w:r>
            <w:r w:rsidR="00307C7A">
              <w:fldChar w:fldCharType="begin"/>
            </w:r>
            <w:r w:rsidR="00307C7A">
              <w:rPr>
                <w:b/>
                <w:bCs/>
                <w:color w:val="auto"/>
                <w:lang w:val="en-US"/>
              </w:rPr>
              <w:instrText xml:space="preserve"> NOTEREF _Ref62810738 \f \h </w:instrText>
            </w:r>
            <w:r w:rsidR="001574A3">
              <w:instrText xml:space="preserve"> \* MERGEFORMAT </w:instrText>
            </w:r>
            <w:r w:rsidR="00307C7A">
              <w:fldChar w:fldCharType="separate"/>
            </w:r>
            <w:r w:rsidR="00130E57" w:rsidRPr="00130E57">
              <w:rPr>
                <w:rStyle w:val="FootnoteReference"/>
              </w:rPr>
              <w:t>8</w:t>
            </w:r>
            <w:r w:rsidR="00307C7A">
              <w:fldChar w:fldCharType="end"/>
            </w:r>
          </w:p>
        </w:tc>
        <w:tc>
          <w:tcPr>
            <w:tcW w:w="1122" w:type="pct"/>
          </w:tcPr>
          <w:p w14:paraId="14E3FF7A" w14:textId="77777777" w:rsidR="00F274C3" w:rsidRPr="001574A3" w:rsidRDefault="00F274C3" w:rsidP="001574A3">
            <w:pPr>
              <w:pStyle w:val="Tabletext"/>
              <w:spacing w:before="60" w:after="60" w:line="240" w:lineRule="auto"/>
              <w:ind w:left="0" w:right="0"/>
              <w:jc w:val="center"/>
              <w:rPr>
                <w:bCs/>
                <w:color w:val="auto"/>
                <w:lang w:val="en-US"/>
              </w:rPr>
            </w:pPr>
            <w:r w:rsidRPr="001574A3">
              <w:rPr>
                <w:bCs/>
                <w:color w:val="auto"/>
                <w:lang w:val="en-US"/>
              </w:rPr>
              <w:t>III</w:t>
            </w:r>
          </w:p>
          <w:p w14:paraId="09CC9AFA" w14:textId="77777777" w:rsidR="00F274C3" w:rsidRPr="001574A3" w:rsidRDefault="00F274C3" w:rsidP="001574A3">
            <w:pPr>
              <w:pStyle w:val="Tabletext"/>
              <w:spacing w:before="60" w:after="60" w:line="240" w:lineRule="auto"/>
              <w:ind w:left="0" w:right="0"/>
              <w:jc w:val="center"/>
              <w:rPr>
                <w:bCs/>
                <w:color w:val="auto"/>
                <w:lang w:val="en-US"/>
              </w:rPr>
            </w:pPr>
            <w:r w:rsidRPr="001574A3">
              <w:rPr>
                <w:bCs/>
                <w:color w:val="auto"/>
                <w:lang w:val="en-US"/>
              </w:rPr>
              <w:t>IIIA</w:t>
            </w:r>
          </w:p>
          <w:p w14:paraId="09623061" w14:textId="77777777" w:rsidR="00F274C3" w:rsidRPr="001574A3" w:rsidRDefault="00F274C3" w:rsidP="001574A3">
            <w:pPr>
              <w:pStyle w:val="Tabletext"/>
              <w:spacing w:before="60" w:after="60" w:line="240" w:lineRule="auto"/>
              <w:ind w:left="0" w:right="0"/>
              <w:jc w:val="center"/>
              <w:rPr>
                <w:bCs/>
                <w:color w:val="auto"/>
                <w:lang w:val="en-US"/>
              </w:rPr>
            </w:pPr>
            <w:r w:rsidRPr="001574A3">
              <w:rPr>
                <w:bCs/>
                <w:color w:val="auto"/>
                <w:lang w:val="en-US"/>
              </w:rPr>
              <w:t>IIIB</w:t>
            </w:r>
          </w:p>
          <w:p w14:paraId="16E6BEA0" w14:textId="77777777" w:rsidR="00F274C3" w:rsidRPr="001574A3" w:rsidRDefault="00F274C3" w:rsidP="001574A3">
            <w:pPr>
              <w:pStyle w:val="Tabletext"/>
              <w:spacing w:before="60" w:after="60" w:line="240" w:lineRule="auto"/>
              <w:jc w:val="center"/>
              <w:rPr>
                <w:bCs/>
                <w:color w:val="auto"/>
                <w:lang w:val="en-US"/>
              </w:rPr>
            </w:pPr>
            <w:r w:rsidRPr="001574A3">
              <w:rPr>
                <w:bCs/>
                <w:color w:val="auto"/>
                <w:lang w:val="en-US"/>
              </w:rPr>
              <w:t>IV</w:t>
            </w:r>
          </w:p>
        </w:tc>
        <w:tc>
          <w:tcPr>
            <w:tcW w:w="1356" w:type="pct"/>
          </w:tcPr>
          <w:p w14:paraId="2D2BBB3F" w14:textId="59EB1BE3" w:rsidR="00F274C3" w:rsidRPr="001574A3" w:rsidRDefault="00411C59" w:rsidP="001574A3">
            <w:pPr>
              <w:pStyle w:val="Tabletext"/>
              <w:spacing w:before="60" w:after="60" w:line="240" w:lineRule="auto"/>
              <w:ind w:left="0" w:right="0"/>
              <w:jc w:val="center"/>
              <w:rPr>
                <w:bCs/>
                <w:color w:val="auto"/>
                <w:lang w:val="en-US"/>
              </w:rPr>
            </w:pPr>
            <w:r w:rsidRPr="3A7DEE26">
              <w:rPr>
                <w:color w:val="auto"/>
                <w:lang w:val="en-US"/>
              </w:rPr>
              <w:t>1</w:t>
            </w:r>
            <w:r w:rsidR="00F274C3" w:rsidRPr="3A7DEE26">
              <w:rPr>
                <w:color w:val="auto"/>
                <w:lang w:val="en-US"/>
              </w:rPr>
              <w:t xml:space="preserve"> (0.4%)</w:t>
            </w:r>
          </w:p>
          <w:p w14:paraId="01BB1F6E" w14:textId="77777777" w:rsidR="00F274C3" w:rsidRPr="001574A3" w:rsidRDefault="00F274C3" w:rsidP="001574A3">
            <w:pPr>
              <w:pStyle w:val="Tabletext"/>
              <w:spacing w:before="60" w:after="60" w:line="240" w:lineRule="auto"/>
              <w:ind w:left="0" w:right="0"/>
              <w:jc w:val="center"/>
              <w:rPr>
                <w:bCs/>
                <w:color w:val="auto"/>
                <w:lang w:val="en-US"/>
              </w:rPr>
            </w:pPr>
            <w:r w:rsidRPr="001574A3">
              <w:rPr>
                <w:bCs/>
                <w:color w:val="auto"/>
                <w:lang w:val="en-US"/>
              </w:rPr>
              <w:t>5 (1.9%)</w:t>
            </w:r>
          </w:p>
          <w:p w14:paraId="02B173A4" w14:textId="77777777" w:rsidR="00F274C3" w:rsidRPr="001574A3" w:rsidRDefault="00F274C3" w:rsidP="001574A3">
            <w:pPr>
              <w:pStyle w:val="Tabletext"/>
              <w:spacing w:before="60" w:after="60" w:line="240" w:lineRule="auto"/>
              <w:ind w:left="0" w:right="0"/>
              <w:jc w:val="center"/>
              <w:rPr>
                <w:bCs/>
                <w:color w:val="auto"/>
                <w:lang w:val="en-US"/>
              </w:rPr>
            </w:pPr>
            <w:r w:rsidRPr="001574A3">
              <w:rPr>
                <w:bCs/>
                <w:color w:val="auto"/>
                <w:lang w:val="en-US"/>
              </w:rPr>
              <w:t>22 (8.2%)</w:t>
            </w:r>
          </w:p>
          <w:p w14:paraId="6CAE024A" w14:textId="77777777" w:rsidR="00F274C3" w:rsidRPr="001574A3" w:rsidRDefault="00F274C3" w:rsidP="001574A3">
            <w:pPr>
              <w:pStyle w:val="Tabletext"/>
              <w:spacing w:before="60" w:after="60" w:line="240" w:lineRule="auto"/>
              <w:jc w:val="center"/>
              <w:rPr>
                <w:bCs/>
                <w:color w:val="auto"/>
                <w:lang w:val="en-US"/>
              </w:rPr>
            </w:pPr>
            <w:r w:rsidRPr="001574A3">
              <w:rPr>
                <w:bCs/>
                <w:color w:val="auto"/>
                <w:lang w:val="en-US"/>
              </w:rPr>
              <w:t>240 (89.6%)</w:t>
            </w:r>
          </w:p>
        </w:tc>
        <w:tc>
          <w:tcPr>
            <w:tcW w:w="1329" w:type="pct"/>
          </w:tcPr>
          <w:p w14:paraId="6A9ACC0F" w14:textId="013FDF6D" w:rsidR="00F274C3" w:rsidRPr="001574A3" w:rsidRDefault="00F274C3" w:rsidP="001574A3">
            <w:pPr>
              <w:pStyle w:val="Tabletext"/>
              <w:spacing w:before="60" w:after="60" w:line="240" w:lineRule="auto"/>
              <w:ind w:left="0" w:right="0"/>
              <w:jc w:val="center"/>
              <w:rPr>
                <w:bCs/>
                <w:color w:val="auto"/>
                <w:lang w:val="en-US"/>
              </w:rPr>
            </w:pPr>
            <w:r w:rsidRPr="001574A3">
              <w:rPr>
                <w:bCs/>
                <w:color w:val="auto"/>
                <w:lang w:val="en-US"/>
              </w:rPr>
              <w:t>0</w:t>
            </w:r>
            <w:r w:rsidR="00A04332">
              <w:rPr>
                <w:bCs/>
                <w:color w:val="auto"/>
                <w:lang w:val="en-US"/>
              </w:rPr>
              <w:t xml:space="preserve"> (%)</w:t>
            </w:r>
          </w:p>
          <w:p w14:paraId="4F934579" w14:textId="77777777" w:rsidR="00F274C3" w:rsidRPr="001574A3" w:rsidRDefault="00F274C3" w:rsidP="001574A3">
            <w:pPr>
              <w:pStyle w:val="Tabletext"/>
              <w:spacing w:before="60" w:after="60" w:line="240" w:lineRule="auto"/>
              <w:ind w:left="0" w:right="0"/>
              <w:jc w:val="center"/>
              <w:rPr>
                <w:bCs/>
                <w:color w:val="auto"/>
                <w:lang w:val="en-US"/>
              </w:rPr>
            </w:pPr>
            <w:r w:rsidRPr="001574A3">
              <w:rPr>
                <w:bCs/>
                <w:color w:val="auto"/>
                <w:lang w:val="en-US"/>
              </w:rPr>
              <w:t>3 (1.1%)</w:t>
            </w:r>
          </w:p>
          <w:p w14:paraId="5FDD0D9E" w14:textId="77777777" w:rsidR="00F274C3" w:rsidRPr="001574A3" w:rsidRDefault="00F274C3" w:rsidP="001574A3">
            <w:pPr>
              <w:pStyle w:val="Tabletext"/>
              <w:spacing w:before="60" w:after="60" w:line="240" w:lineRule="auto"/>
              <w:ind w:left="0" w:right="0"/>
              <w:jc w:val="center"/>
              <w:rPr>
                <w:bCs/>
                <w:color w:val="auto"/>
                <w:lang w:val="en-US"/>
              </w:rPr>
            </w:pPr>
            <w:r w:rsidRPr="001574A3">
              <w:rPr>
                <w:bCs/>
                <w:color w:val="auto"/>
                <w:lang w:val="en-US"/>
              </w:rPr>
              <w:t>21 (7.8%)</w:t>
            </w:r>
          </w:p>
          <w:p w14:paraId="3E605E5C" w14:textId="77777777" w:rsidR="00F274C3" w:rsidRPr="001574A3" w:rsidRDefault="00F274C3" w:rsidP="001574A3">
            <w:pPr>
              <w:pStyle w:val="Tabletext"/>
              <w:spacing w:before="60" w:after="60" w:line="240" w:lineRule="auto"/>
              <w:jc w:val="center"/>
              <w:rPr>
                <w:bCs/>
                <w:color w:val="auto"/>
                <w:lang w:val="en-US"/>
              </w:rPr>
            </w:pPr>
            <w:r w:rsidRPr="001574A3">
              <w:rPr>
                <w:bCs/>
                <w:color w:val="auto"/>
                <w:lang w:val="en-US"/>
              </w:rPr>
              <w:t>245 (91.1%)</w:t>
            </w:r>
          </w:p>
        </w:tc>
      </w:tr>
      <w:tr w:rsidR="00F274C3" w:rsidRPr="004C6DD4" w14:paraId="0A76D0D5" w14:textId="77777777" w:rsidTr="00EB0DC3">
        <w:tblPrEx>
          <w:tblLook w:val="0420" w:firstRow="1" w:lastRow="0" w:firstColumn="0" w:lastColumn="0" w:noHBand="0" w:noVBand="1"/>
        </w:tblPrEx>
        <w:trPr>
          <w:trHeight w:val="20"/>
        </w:trPr>
        <w:tc>
          <w:tcPr>
            <w:tcW w:w="1192" w:type="pct"/>
          </w:tcPr>
          <w:p w14:paraId="27E94DD1" w14:textId="77777777" w:rsidR="00F274C3" w:rsidRPr="00737E27" w:rsidRDefault="00F274C3" w:rsidP="001574A3">
            <w:pPr>
              <w:pStyle w:val="Tabletext"/>
              <w:spacing w:before="60" w:after="60" w:line="240" w:lineRule="auto"/>
              <w:ind w:left="0"/>
              <w:rPr>
                <w:b/>
                <w:bCs/>
                <w:lang w:val="en-US"/>
              </w:rPr>
            </w:pPr>
            <w:r w:rsidRPr="00737E27">
              <w:rPr>
                <w:b/>
                <w:bCs/>
                <w:color w:val="auto"/>
                <w:lang w:val="en-US"/>
              </w:rPr>
              <w:t>Histology</w:t>
            </w:r>
            <w:r w:rsidRPr="00737E27">
              <w:rPr>
                <w:bCs/>
                <w:color w:val="auto"/>
                <w:lang w:val="en-US"/>
              </w:rPr>
              <w:t xml:space="preserve"> </w:t>
            </w:r>
          </w:p>
        </w:tc>
        <w:tc>
          <w:tcPr>
            <w:tcW w:w="1122" w:type="pct"/>
          </w:tcPr>
          <w:p w14:paraId="3C5B164E" w14:textId="77777777" w:rsidR="00F274C3" w:rsidRPr="00F274C3" w:rsidRDefault="00F274C3" w:rsidP="001574A3">
            <w:pPr>
              <w:pStyle w:val="Tabletext"/>
              <w:spacing w:before="60" w:after="60" w:line="240" w:lineRule="auto"/>
              <w:ind w:left="0" w:right="0"/>
              <w:jc w:val="center"/>
              <w:rPr>
                <w:bCs/>
                <w:color w:val="auto"/>
                <w:lang w:val="en-US"/>
              </w:rPr>
            </w:pPr>
            <w:r w:rsidRPr="00F274C3">
              <w:rPr>
                <w:bCs/>
                <w:color w:val="auto"/>
                <w:lang w:val="en-US"/>
              </w:rPr>
              <w:t>SCLC (neuroendocrine)</w:t>
            </w:r>
          </w:p>
          <w:p w14:paraId="0D737DD7" w14:textId="77777777" w:rsidR="00F274C3" w:rsidRPr="00F274C3" w:rsidRDefault="00F274C3" w:rsidP="001574A3">
            <w:pPr>
              <w:pStyle w:val="Tabletext"/>
              <w:spacing w:before="60" w:after="60" w:line="240" w:lineRule="auto"/>
              <w:ind w:left="0" w:right="0"/>
              <w:jc w:val="center"/>
              <w:rPr>
                <w:color w:val="auto"/>
              </w:rPr>
            </w:pPr>
            <w:r w:rsidRPr="00F274C3">
              <w:rPr>
                <w:color w:val="auto"/>
                <w:lang w:val="en-US"/>
              </w:rPr>
              <w:t>SCLC (combined)</w:t>
            </w:r>
          </w:p>
          <w:p w14:paraId="22AF49DE" w14:textId="77777777" w:rsidR="00F274C3" w:rsidRPr="00F274C3" w:rsidRDefault="00F274C3" w:rsidP="001574A3">
            <w:pPr>
              <w:pStyle w:val="Tabletext"/>
              <w:spacing w:before="60" w:after="60" w:line="240" w:lineRule="auto"/>
              <w:ind w:left="0" w:right="0"/>
              <w:jc w:val="center"/>
              <w:rPr>
                <w:lang w:val="en-US"/>
              </w:rPr>
            </w:pPr>
            <w:r w:rsidRPr="00F274C3">
              <w:rPr>
                <w:color w:val="auto"/>
                <w:lang w:val="en-US"/>
              </w:rPr>
              <w:t>Other</w:t>
            </w:r>
          </w:p>
        </w:tc>
        <w:tc>
          <w:tcPr>
            <w:tcW w:w="1356" w:type="pct"/>
          </w:tcPr>
          <w:p w14:paraId="39B19C4C" w14:textId="77777777" w:rsidR="00F274C3" w:rsidRPr="00F274C3" w:rsidRDefault="00F274C3" w:rsidP="001574A3">
            <w:pPr>
              <w:pStyle w:val="Tabletext"/>
              <w:spacing w:before="60" w:after="60" w:line="240" w:lineRule="auto"/>
              <w:ind w:left="0" w:right="0"/>
              <w:jc w:val="center"/>
              <w:rPr>
                <w:color w:val="auto"/>
              </w:rPr>
            </w:pPr>
            <w:r w:rsidRPr="00F274C3">
              <w:rPr>
                <w:color w:val="auto"/>
                <w:lang w:val="en-US"/>
              </w:rPr>
              <w:t>39 (14.6%)</w:t>
            </w:r>
          </w:p>
          <w:p w14:paraId="6DC5D07F" w14:textId="37C8868B" w:rsidR="00F274C3" w:rsidRPr="00F274C3" w:rsidRDefault="001574A3" w:rsidP="001574A3">
            <w:pPr>
              <w:pStyle w:val="Tabletext"/>
              <w:spacing w:before="60" w:after="60" w:line="240" w:lineRule="auto"/>
              <w:ind w:left="0" w:right="0"/>
              <w:jc w:val="center"/>
              <w:rPr>
                <w:color w:val="auto"/>
                <w:lang w:val="en-US"/>
              </w:rPr>
            </w:pPr>
            <w:r>
              <w:rPr>
                <w:color w:val="auto"/>
                <w:lang w:val="en-US"/>
              </w:rPr>
              <w:br/>
            </w:r>
            <w:r w:rsidR="00F274C3" w:rsidRPr="00F274C3">
              <w:rPr>
                <w:color w:val="auto"/>
                <w:lang w:val="en-US"/>
              </w:rPr>
              <w:t>229 (85.4%)</w:t>
            </w:r>
          </w:p>
          <w:p w14:paraId="58DC7D83" w14:textId="433FABA1" w:rsidR="00F274C3" w:rsidRPr="00F274C3" w:rsidRDefault="00F274C3" w:rsidP="001574A3">
            <w:pPr>
              <w:pStyle w:val="Tabletext"/>
              <w:spacing w:before="60" w:after="60" w:line="240" w:lineRule="auto"/>
              <w:ind w:left="0" w:right="0"/>
              <w:jc w:val="center"/>
              <w:rPr>
                <w:lang w:val="en-US"/>
              </w:rPr>
            </w:pPr>
            <w:r w:rsidRPr="00F274C3">
              <w:rPr>
                <w:color w:val="auto"/>
              </w:rPr>
              <w:t>0</w:t>
            </w:r>
            <w:r w:rsidR="00A04332">
              <w:rPr>
                <w:color w:val="auto"/>
              </w:rPr>
              <w:t xml:space="preserve"> (0%)</w:t>
            </w:r>
          </w:p>
        </w:tc>
        <w:tc>
          <w:tcPr>
            <w:tcW w:w="1329" w:type="pct"/>
          </w:tcPr>
          <w:p w14:paraId="1DC801A7" w14:textId="77777777" w:rsidR="00F274C3" w:rsidRPr="00F274C3" w:rsidRDefault="00F274C3" w:rsidP="001574A3">
            <w:pPr>
              <w:pStyle w:val="Tabletext"/>
              <w:spacing w:before="60" w:after="60" w:line="240" w:lineRule="auto"/>
              <w:ind w:left="0" w:right="0"/>
              <w:jc w:val="center"/>
              <w:rPr>
                <w:color w:val="auto"/>
              </w:rPr>
            </w:pPr>
            <w:r w:rsidRPr="00F274C3">
              <w:rPr>
                <w:color w:val="auto"/>
                <w:lang w:val="en-US"/>
              </w:rPr>
              <w:t>48 (17.8%)</w:t>
            </w:r>
          </w:p>
          <w:p w14:paraId="1CF42F33" w14:textId="22DE4A94" w:rsidR="00F274C3" w:rsidRPr="00F274C3" w:rsidRDefault="001574A3" w:rsidP="001574A3">
            <w:pPr>
              <w:pStyle w:val="Tabletext"/>
              <w:spacing w:before="60" w:after="60" w:line="240" w:lineRule="auto"/>
              <w:ind w:left="0" w:right="0"/>
              <w:jc w:val="center"/>
              <w:rPr>
                <w:color w:val="auto"/>
              </w:rPr>
            </w:pPr>
            <w:r>
              <w:rPr>
                <w:color w:val="auto"/>
                <w:lang w:val="en-US"/>
              </w:rPr>
              <w:br/>
            </w:r>
            <w:r w:rsidR="00F274C3" w:rsidRPr="00F274C3">
              <w:rPr>
                <w:color w:val="auto"/>
                <w:lang w:val="en-US"/>
              </w:rPr>
              <w:t>220(81.8%)</w:t>
            </w:r>
          </w:p>
          <w:p w14:paraId="5EC36E99" w14:textId="77777777" w:rsidR="00F274C3" w:rsidRPr="00F274C3" w:rsidRDefault="00F274C3" w:rsidP="001574A3">
            <w:pPr>
              <w:pStyle w:val="Tabletext"/>
              <w:spacing w:before="60" w:after="60" w:line="240" w:lineRule="auto"/>
              <w:ind w:left="0" w:right="0"/>
              <w:jc w:val="center"/>
            </w:pPr>
            <w:r w:rsidRPr="00F274C3">
              <w:rPr>
                <w:color w:val="auto"/>
                <w:lang w:val="en-US"/>
              </w:rPr>
              <w:t>1 (0.4%)</w:t>
            </w:r>
          </w:p>
        </w:tc>
      </w:tr>
    </w:tbl>
    <w:p w14:paraId="1059B5A4" w14:textId="52B89A19" w:rsidR="00A04332" w:rsidRDefault="00A04332" w:rsidP="00EB0DC3">
      <w:pPr>
        <w:pStyle w:val="TableDescription"/>
      </w:pPr>
      <w:r>
        <w:t xml:space="preserve">For </w:t>
      </w:r>
      <w:r w:rsidR="00EE178C">
        <w:t xml:space="preserve">the characteristics of </w:t>
      </w:r>
      <w:r>
        <w:t>age group to histology, the number of patients is given followed by percentage. D = </w:t>
      </w:r>
      <w:proofErr w:type="spellStart"/>
      <w:r>
        <w:t>durvalumab</w:t>
      </w:r>
      <w:proofErr w:type="spellEnd"/>
      <w:r>
        <w:t>; EP = etoposide-platinum; ECOG PS = Eastern Cooperative Oncology Group Performance Score; AJCC = American Joint</w:t>
      </w:r>
      <w:r w:rsidR="00EE178C">
        <w:t xml:space="preserve"> Committee on</w:t>
      </w:r>
      <w:r>
        <w:t xml:space="preserve"> Cancer</w:t>
      </w:r>
      <w:r w:rsidR="00EE178C">
        <w:t>; SCLC = small cell lung cancer.</w:t>
      </w:r>
    </w:p>
    <w:p w14:paraId="0B36286A" w14:textId="1F3BF852" w:rsidR="00F274C3" w:rsidRDefault="00F274C3" w:rsidP="00F274C3">
      <w:r>
        <w:t>Across the study 39.5% of patients had liver metastases and 10.2% of patients had brain/central nervous system metastases. Prior anticancer therapy was minimal (1.1%</w:t>
      </w:r>
      <w:r w:rsidR="00EE178C">
        <w:t> </w:t>
      </w:r>
      <w:r>
        <w:t>cytotoxic; 3.4% radiotherapy).</w:t>
      </w:r>
    </w:p>
    <w:p w14:paraId="37B9245A" w14:textId="0C2B3926" w:rsidR="00F274C3" w:rsidRDefault="00F274C3" w:rsidP="00F274C3">
      <w:r>
        <w:t>The median number of cycles received for each of etoposide, carboplatin and cisplatin were 4/4/4 for the D + EP group and 6/6/4</w:t>
      </w:r>
      <w:r w:rsidR="00307C7A">
        <w:t xml:space="preserve"> for the EP only group (see</w:t>
      </w:r>
      <w:r w:rsidR="00A2076E">
        <w:t xml:space="preserve"> </w:t>
      </w:r>
      <w:r w:rsidR="00A2076E">
        <w:fldChar w:fldCharType="begin"/>
      </w:r>
      <w:r w:rsidR="00A2076E">
        <w:instrText xml:space="preserve"> REF _Ref62216725 \h </w:instrText>
      </w:r>
      <w:r w:rsidR="00A2076E">
        <w:fldChar w:fldCharType="separate"/>
      </w:r>
      <w:r w:rsidR="00130E57" w:rsidRPr="00A2076E">
        <w:t xml:space="preserve">Table </w:t>
      </w:r>
      <w:r w:rsidR="00130E57">
        <w:rPr>
          <w:noProof/>
        </w:rPr>
        <w:t>5</w:t>
      </w:r>
      <w:r w:rsidR="00A2076E">
        <w:fldChar w:fldCharType="end"/>
      </w:r>
      <w:r>
        <w:t>).</w:t>
      </w:r>
    </w:p>
    <w:p w14:paraId="54B4733A" w14:textId="6E218830" w:rsidR="00F274C3" w:rsidRDefault="00F274C3" w:rsidP="00A2076E">
      <w:pPr>
        <w:pStyle w:val="TableTitle"/>
      </w:pPr>
      <w:bookmarkStart w:id="48" w:name="_Ref62216725"/>
      <w:r w:rsidRPr="00A2076E">
        <w:lastRenderedPageBreak/>
        <w:t xml:space="preserve">Table </w:t>
      </w:r>
      <w:r>
        <w:fldChar w:fldCharType="begin"/>
      </w:r>
      <w:r>
        <w:instrText>SEQ Table \* ARABIC</w:instrText>
      </w:r>
      <w:r>
        <w:fldChar w:fldCharType="separate"/>
      </w:r>
      <w:r w:rsidR="00130E57">
        <w:rPr>
          <w:noProof/>
        </w:rPr>
        <w:t>5</w:t>
      </w:r>
      <w:r>
        <w:fldChar w:fldCharType="end"/>
      </w:r>
      <w:bookmarkEnd w:id="48"/>
      <w:r>
        <w:t>:</w:t>
      </w:r>
      <w:r w:rsidR="00A2076E">
        <w:t xml:space="preserve"> The CASPIAN trial</w:t>
      </w:r>
      <w:r w:rsidR="00EE178C">
        <w:t>; number of</w:t>
      </w:r>
      <w:r w:rsidR="00A2076E">
        <w:t xml:space="preserve"> cycles of e</w:t>
      </w:r>
      <w:r>
        <w:t>toposide and platinum therapy (carboplatin or cisplatin) in each treatment arm</w:t>
      </w:r>
    </w:p>
    <w:tbl>
      <w:tblPr>
        <w:tblStyle w:val="TableTGAblue"/>
        <w:tblW w:w="5000" w:type="pct"/>
        <w:tblLayout w:type="fixed"/>
        <w:tblLook w:val="04A0" w:firstRow="1" w:lastRow="0" w:firstColumn="1" w:lastColumn="0" w:noHBand="0" w:noVBand="1"/>
      </w:tblPr>
      <w:tblGrid>
        <w:gridCol w:w="1190"/>
        <w:gridCol w:w="1235"/>
        <w:gridCol w:w="1346"/>
        <w:gridCol w:w="1142"/>
        <w:gridCol w:w="1147"/>
        <w:gridCol w:w="1347"/>
        <w:gridCol w:w="1077"/>
      </w:tblGrid>
      <w:tr w:rsidR="0078080E" w14:paraId="7B19BE60" w14:textId="77777777" w:rsidTr="00EB0DC3">
        <w:trPr>
          <w:cnfStyle w:val="100000000000" w:firstRow="1" w:lastRow="0" w:firstColumn="0" w:lastColumn="0" w:oddVBand="0" w:evenVBand="0" w:oddHBand="0" w:evenHBand="0" w:firstRowFirstColumn="0" w:firstRowLastColumn="0" w:lastRowFirstColumn="0" w:lastRowLastColumn="0"/>
          <w:trHeight w:val="20"/>
        </w:trPr>
        <w:tc>
          <w:tcPr>
            <w:tcW w:w="701" w:type="pct"/>
            <w:tcBorders>
              <w:right w:val="single" w:sz="4" w:space="0" w:color="auto"/>
            </w:tcBorders>
          </w:tcPr>
          <w:p w14:paraId="2AA154A2" w14:textId="77777777" w:rsidR="001574A3" w:rsidRPr="0029339B" w:rsidRDefault="001574A3" w:rsidP="00BB4F1B">
            <w:pPr>
              <w:pStyle w:val="Tabletext"/>
              <w:ind w:left="0" w:right="0"/>
              <w:rPr>
                <w:color w:val="9160CB" w:themeColor="accent5" w:themeTint="99"/>
              </w:rPr>
            </w:pPr>
          </w:p>
        </w:tc>
        <w:tc>
          <w:tcPr>
            <w:tcW w:w="2194" w:type="pct"/>
            <w:gridSpan w:val="3"/>
            <w:tcBorders>
              <w:left w:val="single" w:sz="4" w:space="0" w:color="auto"/>
              <w:right w:val="single" w:sz="4" w:space="0" w:color="auto"/>
            </w:tcBorders>
          </w:tcPr>
          <w:p w14:paraId="0A38A3A5" w14:textId="5AB22CDE" w:rsidR="001574A3" w:rsidRDefault="001574A3" w:rsidP="00BB4F1B">
            <w:pPr>
              <w:pStyle w:val="Tabletext"/>
              <w:jc w:val="center"/>
              <w:rPr>
                <w:bCs/>
                <w:lang w:val="en-US"/>
              </w:rPr>
            </w:pPr>
            <w:r>
              <w:rPr>
                <w:bCs/>
                <w:lang w:val="en-US"/>
              </w:rPr>
              <w:t>D</w:t>
            </w:r>
            <w:r w:rsidR="00EE178C">
              <w:rPr>
                <w:bCs/>
                <w:lang w:val="en-US"/>
              </w:rPr>
              <w:t>urvalumab</w:t>
            </w:r>
            <w:r>
              <w:rPr>
                <w:bCs/>
                <w:lang w:val="en-US"/>
              </w:rPr>
              <w:t xml:space="preserve"> plus </w:t>
            </w:r>
            <w:r w:rsidR="00EE178C">
              <w:rPr>
                <w:bCs/>
                <w:lang w:val="en-US"/>
              </w:rPr>
              <w:t>etoposide-platinum</w:t>
            </w:r>
            <w:r>
              <w:rPr>
                <w:bCs/>
                <w:lang w:val="en-US"/>
              </w:rPr>
              <w:t xml:space="preserve"> (n = 265)</w:t>
            </w:r>
          </w:p>
        </w:tc>
        <w:tc>
          <w:tcPr>
            <w:tcW w:w="2105" w:type="pct"/>
            <w:gridSpan w:val="3"/>
            <w:tcBorders>
              <w:left w:val="single" w:sz="4" w:space="0" w:color="auto"/>
            </w:tcBorders>
          </w:tcPr>
          <w:p w14:paraId="39EAADC9" w14:textId="00701AA4" w:rsidR="001574A3" w:rsidRDefault="001574A3" w:rsidP="00BB4F1B">
            <w:pPr>
              <w:pStyle w:val="Tabletext"/>
              <w:jc w:val="center"/>
              <w:rPr>
                <w:bCs/>
                <w:lang w:val="en-US"/>
              </w:rPr>
            </w:pPr>
            <w:r>
              <w:rPr>
                <w:bCs/>
                <w:lang w:val="en-US"/>
              </w:rPr>
              <w:t>E</w:t>
            </w:r>
            <w:r w:rsidR="00EE178C">
              <w:rPr>
                <w:bCs/>
                <w:lang w:val="en-US"/>
              </w:rPr>
              <w:t>toposide-platinum</w:t>
            </w:r>
            <w:r w:rsidR="00EE178C">
              <w:rPr>
                <w:bCs/>
                <w:lang w:val="en-US"/>
              </w:rPr>
              <w:br/>
            </w:r>
            <w:r>
              <w:rPr>
                <w:bCs/>
                <w:lang w:val="en-US"/>
              </w:rPr>
              <w:t>(n = 266)</w:t>
            </w:r>
          </w:p>
        </w:tc>
      </w:tr>
      <w:tr w:rsidR="0078080E" w:rsidRPr="0029339B" w14:paraId="7578F4DD" w14:textId="77777777" w:rsidTr="00EB0DC3">
        <w:tblPrEx>
          <w:tblLook w:val="0420" w:firstRow="1" w:lastRow="0" w:firstColumn="0" w:lastColumn="0" w:noHBand="0" w:noVBand="1"/>
        </w:tblPrEx>
        <w:trPr>
          <w:trHeight w:val="20"/>
        </w:trPr>
        <w:tc>
          <w:tcPr>
            <w:tcW w:w="701" w:type="pct"/>
          </w:tcPr>
          <w:p w14:paraId="471382FC" w14:textId="77777777" w:rsidR="00A2076E" w:rsidRPr="00DD0CA2" w:rsidRDefault="00A2076E" w:rsidP="001574A3">
            <w:pPr>
              <w:pStyle w:val="Tabletext"/>
              <w:keepNext/>
              <w:spacing w:before="60" w:after="60" w:line="240" w:lineRule="auto"/>
              <w:ind w:left="0"/>
              <w:rPr>
                <w:color w:val="auto"/>
              </w:rPr>
            </w:pPr>
            <w:r w:rsidRPr="00DD0CA2">
              <w:rPr>
                <w:color w:val="auto"/>
              </w:rPr>
              <w:t>Cycles received</w:t>
            </w:r>
          </w:p>
        </w:tc>
        <w:tc>
          <w:tcPr>
            <w:tcW w:w="728" w:type="pct"/>
            <w:tcBorders>
              <w:top w:val="single" w:sz="4" w:space="0" w:color="auto"/>
            </w:tcBorders>
          </w:tcPr>
          <w:p w14:paraId="5294D18A" w14:textId="77777777" w:rsidR="00A2076E" w:rsidRDefault="00A2076E" w:rsidP="001574A3">
            <w:pPr>
              <w:pStyle w:val="Tabletext"/>
              <w:keepNext/>
              <w:spacing w:before="60" w:after="60" w:line="240" w:lineRule="auto"/>
              <w:ind w:left="0"/>
              <w:rPr>
                <w:bCs/>
                <w:lang w:val="en-US"/>
              </w:rPr>
            </w:pPr>
            <w:r>
              <w:t>Etoposide</w:t>
            </w:r>
          </w:p>
        </w:tc>
        <w:tc>
          <w:tcPr>
            <w:tcW w:w="793" w:type="pct"/>
            <w:tcBorders>
              <w:top w:val="single" w:sz="4" w:space="0" w:color="auto"/>
            </w:tcBorders>
          </w:tcPr>
          <w:p w14:paraId="32378CBA" w14:textId="77777777" w:rsidR="00A2076E" w:rsidRDefault="00A2076E" w:rsidP="001574A3">
            <w:pPr>
              <w:pStyle w:val="Tabletext"/>
              <w:keepNext/>
              <w:spacing w:before="60" w:after="60" w:line="240" w:lineRule="auto"/>
              <w:ind w:left="0"/>
              <w:rPr>
                <w:bCs/>
                <w:lang w:val="en-US"/>
              </w:rPr>
            </w:pPr>
            <w:r>
              <w:rPr>
                <w:bCs/>
                <w:lang w:val="en-US"/>
              </w:rPr>
              <w:t>Carboplatin</w:t>
            </w:r>
          </w:p>
        </w:tc>
        <w:tc>
          <w:tcPr>
            <w:tcW w:w="673" w:type="pct"/>
            <w:tcBorders>
              <w:top w:val="single" w:sz="4" w:space="0" w:color="auto"/>
            </w:tcBorders>
          </w:tcPr>
          <w:p w14:paraId="181E7D23" w14:textId="77777777" w:rsidR="00A2076E" w:rsidRDefault="00A2076E" w:rsidP="001574A3">
            <w:pPr>
              <w:pStyle w:val="Tabletext"/>
              <w:keepNext/>
              <w:spacing w:before="60" w:after="60" w:line="240" w:lineRule="auto"/>
              <w:ind w:left="0"/>
              <w:rPr>
                <w:bCs/>
                <w:lang w:val="en-US"/>
              </w:rPr>
            </w:pPr>
            <w:r>
              <w:rPr>
                <w:bCs/>
                <w:lang w:val="en-US"/>
              </w:rPr>
              <w:t>Cisplatin</w:t>
            </w:r>
          </w:p>
        </w:tc>
        <w:tc>
          <w:tcPr>
            <w:tcW w:w="676" w:type="pct"/>
            <w:tcBorders>
              <w:top w:val="single" w:sz="4" w:space="0" w:color="auto"/>
            </w:tcBorders>
          </w:tcPr>
          <w:p w14:paraId="64B358B7" w14:textId="77777777" w:rsidR="00A2076E" w:rsidRDefault="00A2076E" w:rsidP="001574A3">
            <w:pPr>
              <w:pStyle w:val="Tabletext"/>
              <w:keepNext/>
              <w:spacing w:before="60" w:after="60" w:line="240" w:lineRule="auto"/>
              <w:ind w:left="0"/>
              <w:rPr>
                <w:bCs/>
                <w:lang w:val="en-US"/>
              </w:rPr>
            </w:pPr>
            <w:r>
              <w:t>Etoposide</w:t>
            </w:r>
          </w:p>
        </w:tc>
        <w:tc>
          <w:tcPr>
            <w:tcW w:w="794" w:type="pct"/>
            <w:tcBorders>
              <w:top w:val="single" w:sz="4" w:space="0" w:color="auto"/>
            </w:tcBorders>
          </w:tcPr>
          <w:p w14:paraId="4F5F5CBD" w14:textId="77777777" w:rsidR="00A2076E" w:rsidRDefault="00A2076E" w:rsidP="001574A3">
            <w:pPr>
              <w:pStyle w:val="Tabletext"/>
              <w:keepNext/>
              <w:spacing w:before="60" w:after="60" w:line="240" w:lineRule="auto"/>
              <w:ind w:left="0"/>
              <w:rPr>
                <w:bCs/>
                <w:lang w:val="en-US"/>
              </w:rPr>
            </w:pPr>
            <w:r>
              <w:rPr>
                <w:bCs/>
                <w:lang w:val="en-US"/>
              </w:rPr>
              <w:t>Carboplatin</w:t>
            </w:r>
          </w:p>
        </w:tc>
        <w:tc>
          <w:tcPr>
            <w:tcW w:w="635" w:type="pct"/>
            <w:tcBorders>
              <w:top w:val="single" w:sz="4" w:space="0" w:color="auto"/>
            </w:tcBorders>
          </w:tcPr>
          <w:p w14:paraId="1875ACF5" w14:textId="77777777" w:rsidR="00A2076E" w:rsidRDefault="00A2076E" w:rsidP="001574A3">
            <w:pPr>
              <w:pStyle w:val="Tabletext"/>
              <w:keepNext/>
              <w:spacing w:before="60" w:after="60" w:line="240" w:lineRule="auto"/>
              <w:ind w:left="0"/>
              <w:rPr>
                <w:bCs/>
                <w:lang w:val="en-US"/>
              </w:rPr>
            </w:pPr>
            <w:r>
              <w:rPr>
                <w:bCs/>
                <w:lang w:val="en-US"/>
              </w:rPr>
              <w:t>Cisplatin</w:t>
            </w:r>
          </w:p>
        </w:tc>
      </w:tr>
      <w:tr w:rsidR="00A2076E" w:rsidRPr="004C6DD4" w14:paraId="657EBD9A" w14:textId="77777777" w:rsidTr="00EB0DC3">
        <w:tblPrEx>
          <w:tblLook w:val="0420" w:firstRow="1" w:lastRow="0" w:firstColumn="0" w:lastColumn="0" w:noHBand="0" w:noVBand="1"/>
        </w:tblPrEx>
        <w:trPr>
          <w:trHeight w:val="20"/>
        </w:trPr>
        <w:tc>
          <w:tcPr>
            <w:tcW w:w="5000" w:type="pct"/>
            <w:gridSpan w:val="7"/>
          </w:tcPr>
          <w:p w14:paraId="3C56B587" w14:textId="77777777" w:rsidR="00A2076E" w:rsidRPr="00DD0CA2" w:rsidRDefault="00A2076E" w:rsidP="001574A3">
            <w:pPr>
              <w:pStyle w:val="Tabletext"/>
              <w:keepNext/>
              <w:spacing w:before="60" w:after="60" w:line="240" w:lineRule="auto"/>
              <w:jc w:val="center"/>
              <w:rPr>
                <w:i/>
                <w:color w:val="auto"/>
              </w:rPr>
            </w:pPr>
            <w:r w:rsidRPr="00DD0CA2">
              <w:rPr>
                <w:color w:val="auto"/>
              </w:rPr>
              <w:t>Number of cycles received</w:t>
            </w:r>
          </w:p>
        </w:tc>
      </w:tr>
      <w:tr w:rsidR="0078080E" w:rsidRPr="004C6DD4" w14:paraId="07D1F4D8" w14:textId="77777777" w:rsidTr="00EB0DC3">
        <w:tblPrEx>
          <w:tblLook w:val="0420" w:firstRow="1" w:lastRow="0" w:firstColumn="0" w:lastColumn="0" w:noHBand="0" w:noVBand="1"/>
        </w:tblPrEx>
        <w:trPr>
          <w:trHeight w:val="20"/>
        </w:trPr>
        <w:tc>
          <w:tcPr>
            <w:tcW w:w="701" w:type="pct"/>
          </w:tcPr>
          <w:p w14:paraId="4A3CBAAD" w14:textId="77777777" w:rsidR="00A2076E" w:rsidRPr="00A2076E" w:rsidRDefault="00307C7A" w:rsidP="001574A3">
            <w:pPr>
              <w:pStyle w:val="Tabletext"/>
              <w:keepNext/>
              <w:spacing w:before="60" w:after="60" w:line="240" w:lineRule="auto"/>
              <w:ind w:left="0"/>
              <w:rPr>
                <w:color w:val="auto"/>
              </w:rPr>
            </w:pPr>
            <w:r>
              <w:rPr>
                <w:color w:val="auto"/>
              </w:rPr>
              <w:t>≥ 1</w:t>
            </w:r>
          </w:p>
        </w:tc>
        <w:tc>
          <w:tcPr>
            <w:tcW w:w="728" w:type="pct"/>
          </w:tcPr>
          <w:p w14:paraId="16D250BF" w14:textId="254F6BE3" w:rsidR="00A2076E" w:rsidRPr="00A2076E" w:rsidRDefault="00A2076E" w:rsidP="001574A3">
            <w:pPr>
              <w:pStyle w:val="Tabletext"/>
              <w:keepNext/>
              <w:spacing w:before="60" w:after="60" w:line="240" w:lineRule="auto"/>
              <w:ind w:left="0"/>
            </w:pPr>
            <w:r w:rsidRPr="00A2076E">
              <w:t xml:space="preserve">265 </w:t>
            </w:r>
            <w:r w:rsidR="001574A3">
              <w:br/>
            </w:r>
            <w:r w:rsidRPr="00A2076E">
              <w:t>(100%)</w:t>
            </w:r>
          </w:p>
        </w:tc>
        <w:tc>
          <w:tcPr>
            <w:tcW w:w="793" w:type="pct"/>
          </w:tcPr>
          <w:p w14:paraId="1D707752" w14:textId="72EAA972" w:rsidR="00A2076E" w:rsidRPr="00A2076E" w:rsidRDefault="00A2076E" w:rsidP="001574A3">
            <w:pPr>
              <w:pStyle w:val="Tabletext"/>
              <w:keepNext/>
              <w:spacing w:before="60" w:after="60" w:line="240" w:lineRule="auto"/>
              <w:ind w:left="0"/>
            </w:pPr>
            <w:r w:rsidRPr="00A2076E">
              <w:t xml:space="preserve">208 </w:t>
            </w:r>
            <w:r w:rsidR="001574A3">
              <w:br/>
            </w:r>
            <w:r w:rsidRPr="00A2076E">
              <w:t>(100%)</w:t>
            </w:r>
          </w:p>
        </w:tc>
        <w:tc>
          <w:tcPr>
            <w:tcW w:w="673" w:type="pct"/>
          </w:tcPr>
          <w:p w14:paraId="7E9E46A6" w14:textId="1252DF04" w:rsidR="00A2076E" w:rsidRPr="00A2076E" w:rsidRDefault="00A2076E" w:rsidP="001574A3">
            <w:pPr>
              <w:pStyle w:val="Tabletext"/>
              <w:keepNext/>
              <w:spacing w:before="60" w:after="60" w:line="240" w:lineRule="auto"/>
              <w:ind w:left="0"/>
            </w:pPr>
            <w:r w:rsidRPr="00A2076E">
              <w:t>65</w:t>
            </w:r>
            <w:r w:rsidR="00CF33C6">
              <w:t xml:space="preserve"> </w:t>
            </w:r>
            <w:r w:rsidR="0078080E">
              <w:br/>
            </w:r>
            <w:r w:rsidRPr="00A2076E">
              <w:t>(100%)</w:t>
            </w:r>
          </w:p>
        </w:tc>
        <w:tc>
          <w:tcPr>
            <w:tcW w:w="676" w:type="pct"/>
          </w:tcPr>
          <w:p w14:paraId="1909418C" w14:textId="77777777" w:rsidR="00A2076E" w:rsidRPr="00A2076E" w:rsidRDefault="00A2076E" w:rsidP="001574A3">
            <w:pPr>
              <w:pStyle w:val="Tabletext"/>
              <w:keepNext/>
              <w:spacing w:before="60" w:after="60" w:line="240" w:lineRule="auto"/>
              <w:ind w:left="0"/>
            </w:pPr>
            <w:r w:rsidRPr="00A2076E">
              <w:t>266 (100%)</w:t>
            </w:r>
          </w:p>
        </w:tc>
        <w:tc>
          <w:tcPr>
            <w:tcW w:w="794" w:type="pct"/>
          </w:tcPr>
          <w:p w14:paraId="1324596D" w14:textId="41E99BD8" w:rsidR="00A2076E" w:rsidRPr="00A2076E" w:rsidRDefault="00CF33C6" w:rsidP="001574A3">
            <w:pPr>
              <w:pStyle w:val="Tabletext"/>
              <w:keepNext/>
              <w:spacing w:before="60" w:after="60" w:line="240" w:lineRule="auto"/>
              <w:ind w:left="0"/>
            </w:pPr>
            <w:r>
              <w:t xml:space="preserve">208 </w:t>
            </w:r>
            <w:r w:rsidR="0078080E">
              <w:br/>
            </w:r>
            <w:r w:rsidR="00A2076E" w:rsidRPr="00A2076E">
              <w:t>(100%)</w:t>
            </w:r>
          </w:p>
        </w:tc>
        <w:tc>
          <w:tcPr>
            <w:tcW w:w="635" w:type="pct"/>
          </w:tcPr>
          <w:p w14:paraId="74875B99" w14:textId="4617015F" w:rsidR="00A2076E" w:rsidRPr="00A2076E" w:rsidRDefault="00CF33C6" w:rsidP="001574A3">
            <w:pPr>
              <w:pStyle w:val="Tabletext"/>
              <w:keepNext/>
              <w:spacing w:before="60" w:after="60" w:line="240" w:lineRule="auto"/>
              <w:ind w:left="0"/>
            </w:pPr>
            <w:r>
              <w:t xml:space="preserve">67 </w:t>
            </w:r>
            <w:r w:rsidR="001574A3">
              <w:br/>
            </w:r>
            <w:r w:rsidR="00A2076E" w:rsidRPr="00A2076E">
              <w:t>(100%)</w:t>
            </w:r>
          </w:p>
        </w:tc>
      </w:tr>
      <w:tr w:rsidR="0078080E" w:rsidRPr="004C6DD4" w14:paraId="217B563A" w14:textId="77777777" w:rsidTr="00EB0DC3">
        <w:tblPrEx>
          <w:tblLook w:val="0420" w:firstRow="1" w:lastRow="0" w:firstColumn="0" w:lastColumn="0" w:noHBand="0" w:noVBand="1"/>
        </w:tblPrEx>
        <w:trPr>
          <w:trHeight w:val="20"/>
        </w:trPr>
        <w:tc>
          <w:tcPr>
            <w:tcW w:w="701" w:type="pct"/>
          </w:tcPr>
          <w:p w14:paraId="1CAACA7A" w14:textId="77777777" w:rsidR="00A2076E" w:rsidRPr="00A2076E" w:rsidRDefault="00307C7A" w:rsidP="001574A3">
            <w:pPr>
              <w:pStyle w:val="Tabletext"/>
              <w:keepNext/>
              <w:spacing w:before="60" w:after="60" w:line="240" w:lineRule="auto"/>
              <w:ind w:left="0"/>
              <w:rPr>
                <w:color w:val="auto"/>
              </w:rPr>
            </w:pPr>
            <w:r>
              <w:rPr>
                <w:color w:val="auto"/>
              </w:rPr>
              <w:t>≥</w:t>
            </w:r>
            <w:r w:rsidR="00CF33C6">
              <w:rPr>
                <w:color w:val="auto"/>
              </w:rPr>
              <w:t xml:space="preserve"> </w:t>
            </w:r>
            <w:r w:rsidR="00A2076E" w:rsidRPr="00A2076E">
              <w:rPr>
                <w:color w:val="auto"/>
              </w:rPr>
              <w:t>2</w:t>
            </w:r>
          </w:p>
        </w:tc>
        <w:tc>
          <w:tcPr>
            <w:tcW w:w="728" w:type="pct"/>
          </w:tcPr>
          <w:p w14:paraId="3DF5B843" w14:textId="77777777" w:rsidR="001574A3" w:rsidRDefault="00A2076E" w:rsidP="001574A3">
            <w:pPr>
              <w:pStyle w:val="Tabletext"/>
              <w:keepNext/>
              <w:spacing w:before="60" w:after="60" w:line="240" w:lineRule="auto"/>
              <w:ind w:left="0"/>
            </w:pPr>
            <w:r w:rsidRPr="00A2076E">
              <w:t xml:space="preserve">249 </w:t>
            </w:r>
          </w:p>
          <w:p w14:paraId="5F267326" w14:textId="7A342829" w:rsidR="00A2076E" w:rsidRPr="00A2076E" w:rsidRDefault="00A2076E" w:rsidP="001574A3">
            <w:pPr>
              <w:pStyle w:val="Tabletext"/>
              <w:keepNext/>
              <w:spacing w:before="60" w:after="60" w:line="240" w:lineRule="auto"/>
              <w:ind w:left="0"/>
            </w:pPr>
            <w:r w:rsidRPr="00A2076E">
              <w:t>(94%)</w:t>
            </w:r>
          </w:p>
        </w:tc>
        <w:tc>
          <w:tcPr>
            <w:tcW w:w="793" w:type="pct"/>
          </w:tcPr>
          <w:p w14:paraId="611C67EC" w14:textId="2F736D48" w:rsidR="00A2076E" w:rsidRPr="00A2076E" w:rsidRDefault="00A2076E" w:rsidP="001574A3">
            <w:pPr>
              <w:pStyle w:val="Tabletext"/>
              <w:keepNext/>
              <w:spacing w:before="60" w:after="60" w:line="240" w:lineRule="auto"/>
              <w:ind w:left="0"/>
            </w:pPr>
            <w:r w:rsidRPr="00A2076E">
              <w:t xml:space="preserve">193 </w:t>
            </w:r>
            <w:r w:rsidR="001574A3">
              <w:br/>
            </w:r>
            <w:r w:rsidRPr="00A2076E">
              <w:t>(92.8%)</w:t>
            </w:r>
          </w:p>
        </w:tc>
        <w:tc>
          <w:tcPr>
            <w:tcW w:w="673" w:type="pct"/>
          </w:tcPr>
          <w:p w14:paraId="19CBB0E3" w14:textId="10425DF2" w:rsidR="00A2076E" w:rsidRPr="00A2076E" w:rsidRDefault="00A2076E" w:rsidP="001574A3">
            <w:pPr>
              <w:pStyle w:val="Tabletext"/>
              <w:keepNext/>
              <w:spacing w:before="60" w:after="60" w:line="240" w:lineRule="auto"/>
              <w:ind w:left="0"/>
            </w:pPr>
            <w:r w:rsidRPr="00A2076E">
              <w:t xml:space="preserve">59 </w:t>
            </w:r>
            <w:r w:rsidR="0078080E">
              <w:br/>
            </w:r>
            <w:r w:rsidRPr="00A2076E">
              <w:t>(90.8%)</w:t>
            </w:r>
          </w:p>
        </w:tc>
        <w:tc>
          <w:tcPr>
            <w:tcW w:w="676" w:type="pct"/>
          </w:tcPr>
          <w:p w14:paraId="364DBA60" w14:textId="77777777" w:rsidR="00A2076E" w:rsidRPr="00A2076E" w:rsidRDefault="00CF33C6" w:rsidP="001574A3">
            <w:pPr>
              <w:pStyle w:val="Tabletext"/>
              <w:keepNext/>
              <w:spacing w:before="60" w:after="60" w:line="240" w:lineRule="auto"/>
              <w:ind w:left="0"/>
            </w:pPr>
            <w:r>
              <w:t xml:space="preserve">249 </w:t>
            </w:r>
            <w:r w:rsidR="00A2076E" w:rsidRPr="00A2076E">
              <w:t>(93.6%)</w:t>
            </w:r>
          </w:p>
        </w:tc>
        <w:tc>
          <w:tcPr>
            <w:tcW w:w="794" w:type="pct"/>
          </w:tcPr>
          <w:p w14:paraId="5EF3BA68" w14:textId="3A0C935F" w:rsidR="00A2076E" w:rsidRPr="00A2076E" w:rsidRDefault="00A2076E" w:rsidP="001574A3">
            <w:pPr>
              <w:pStyle w:val="Tabletext"/>
              <w:keepNext/>
              <w:spacing w:before="60" w:after="60" w:line="240" w:lineRule="auto"/>
              <w:ind w:left="0"/>
            </w:pPr>
            <w:r w:rsidRPr="00A2076E">
              <w:t xml:space="preserve">196 </w:t>
            </w:r>
            <w:r w:rsidR="0078080E">
              <w:br/>
            </w:r>
            <w:r w:rsidRPr="00A2076E">
              <w:t>(94.2%)</w:t>
            </w:r>
          </w:p>
        </w:tc>
        <w:tc>
          <w:tcPr>
            <w:tcW w:w="635" w:type="pct"/>
          </w:tcPr>
          <w:p w14:paraId="47431733" w14:textId="77777777" w:rsidR="00CF33C6" w:rsidRDefault="00CF33C6" w:rsidP="001574A3">
            <w:pPr>
              <w:pStyle w:val="Tabletext"/>
              <w:keepNext/>
              <w:spacing w:before="60" w:after="60" w:line="240" w:lineRule="auto"/>
              <w:ind w:left="0"/>
            </w:pPr>
            <w:r>
              <w:t>56</w:t>
            </w:r>
          </w:p>
          <w:p w14:paraId="73DDDD2F" w14:textId="77777777" w:rsidR="00A2076E" w:rsidRPr="00A2076E" w:rsidRDefault="00A2076E" w:rsidP="001574A3">
            <w:pPr>
              <w:pStyle w:val="Tabletext"/>
              <w:keepNext/>
              <w:spacing w:before="60" w:after="60" w:line="240" w:lineRule="auto"/>
              <w:ind w:left="0"/>
            </w:pPr>
            <w:r w:rsidRPr="00A2076E">
              <w:t>(83.6%)</w:t>
            </w:r>
          </w:p>
        </w:tc>
      </w:tr>
      <w:tr w:rsidR="0078080E" w:rsidRPr="004C6DD4" w14:paraId="35E4B0BF" w14:textId="77777777" w:rsidTr="00EB0DC3">
        <w:tblPrEx>
          <w:tblLook w:val="0420" w:firstRow="1" w:lastRow="0" w:firstColumn="0" w:lastColumn="0" w:noHBand="0" w:noVBand="1"/>
        </w:tblPrEx>
        <w:trPr>
          <w:trHeight w:val="20"/>
        </w:trPr>
        <w:tc>
          <w:tcPr>
            <w:tcW w:w="701" w:type="pct"/>
          </w:tcPr>
          <w:p w14:paraId="13A7B62E" w14:textId="77777777" w:rsidR="00A2076E" w:rsidRPr="00A2076E" w:rsidRDefault="00307C7A" w:rsidP="001574A3">
            <w:pPr>
              <w:pStyle w:val="Tabletext"/>
              <w:keepNext/>
              <w:spacing w:before="60" w:after="60" w:line="240" w:lineRule="auto"/>
              <w:ind w:left="0"/>
              <w:rPr>
                <w:color w:val="auto"/>
              </w:rPr>
            </w:pPr>
            <w:r>
              <w:rPr>
                <w:color w:val="auto"/>
              </w:rPr>
              <w:t>≥</w:t>
            </w:r>
            <w:r w:rsidR="00CF33C6">
              <w:rPr>
                <w:color w:val="auto"/>
              </w:rPr>
              <w:t xml:space="preserve"> </w:t>
            </w:r>
            <w:r w:rsidR="00A2076E" w:rsidRPr="00A2076E">
              <w:rPr>
                <w:color w:val="auto"/>
              </w:rPr>
              <w:t>3</w:t>
            </w:r>
          </w:p>
        </w:tc>
        <w:tc>
          <w:tcPr>
            <w:tcW w:w="728" w:type="pct"/>
          </w:tcPr>
          <w:p w14:paraId="2404C4A6" w14:textId="16AAB67D" w:rsidR="00A2076E" w:rsidRPr="00A2076E" w:rsidRDefault="00CF33C6" w:rsidP="001574A3">
            <w:pPr>
              <w:pStyle w:val="Tabletext"/>
              <w:keepNext/>
              <w:spacing w:before="60" w:after="60" w:line="240" w:lineRule="auto"/>
              <w:ind w:left="0" w:right="0"/>
              <w:rPr>
                <w:color w:val="auto"/>
              </w:rPr>
            </w:pPr>
            <w:r>
              <w:rPr>
                <w:color w:val="auto"/>
              </w:rPr>
              <w:t xml:space="preserve">242 </w:t>
            </w:r>
            <w:r w:rsidR="001574A3">
              <w:rPr>
                <w:color w:val="auto"/>
              </w:rPr>
              <w:br/>
            </w:r>
            <w:r w:rsidR="00A2076E" w:rsidRPr="00A2076E">
              <w:rPr>
                <w:color w:val="auto"/>
              </w:rPr>
              <w:t>(91.3%)</w:t>
            </w:r>
          </w:p>
        </w:tc>
        <w:tc>
          <w:tcPr>
            <w:tcW w:w="793" w:type="pct"/>
          </w:tcPr>
          <w:p w14:paraId="65F8E826" w14:textId="090F584E" w:rsidR="00A2076E" w:rsidRPr="00A2076E" w:rsidRDefault="00A2076E" w:rsidP="001574A3">
            <w:pPr>
              <w:pStyle w:val="Tabletext"/>
              <w:keepNext/>
              <w:spacing w:before="60" w:after="60" w:line="240" w:lineRule="auto"/>
              <w:ind w:left="0" w:right="0"/>
              <w:rPr>
                <w:color w:val="auto"/>
              </w:rPr>
            </w:pPr>
            <w:r w:rsidRPr="00A2076E">
              <w:rPr>
                <w:color w:val="auto"/>
              </w:rPr>
              <w:t xml:space="preserve">185 </w:t>
            </w:r>
            <w:r w:rsidR="0078080E">
              <w:rPr>
                <w:color w:val="auto"/>
              </w:rPr>
              <w:br/>
            </w:r>
            <w:r w:rsidRPr="00A2076E">
              <w:rPr>
                <w:color w:val="auto"/>
              </w:rPr>
              <w:t>(88.9%)</w:t>
            </w:r>
          </w:p>
        </w:tc>
        <w:tc>
          <w:tcPr>
            <w:tcW w:w="673" w:type="pct"/>
          </w:tcPr>
          <w:p w14:paraId="18EEDD76" w14:textId="5D1AB6F3" w:rsidR="00A2076E" w:rsidRPr="00A2076E" w:rsidRDefault="00CF33C6" w:rsidP="001574A3">
            <w:pPr>
              <w:pStyle w:val="Tabletext"/>
              <w:keepNext/>
              <w:spacing w:before="60" w:after="60" w:line="240" w:lineRule="auto"/>
              <w:ind w:left="0"/>
              <w:rPr>
                <w:lang w:val="en-US"/>
              </w:rPr>
            </w:pPr>
            <w:r>
              <w:rPr>
                <w:lang w:val="en-US"/>
              </w:rPr>
              <w:t xml:space="preserve">54 </w:t>
            </w:r>
            <w:r w:rsidR="0078080E">
              <w:rPr>
                <w:lang w:val="en-US"/>
              </w:rPr>
              <w:br/>
            </w:r>
            <w:r w:rsidR="00A2076E" w:rsidRPr="00A2076E">
              <w:rPr>
                <w:lang w:val="en-US"/>
              </w:rPr>
              <w:t>(83.1%)</w:t>
            </w:r>
          </w:p>
        </w:tc>
        <w:tc>
          <w:tcPr>
            <w:tcW w:w="676" w:type="pct"/>
          </w:tcPr>
          <w:p w14:paraId="1EB2C1AD" w14:textId="77777777" w:rsidR="00A2076E" w:rsidRPr="00A2076E" w:rsidRDefault="00CF33C6" w:rsidP="001574A3">
            <w:pPr>
              <w:pStyle w:val="Tabletext"/>
              <w:keepNext/>
              <w:spacing w:before="60" w:after="60" w:line="240" w:lineRule="auto"/>
              <w:ind w:left="0"/>
              <w:rPr>
                <w:lang w:val="en-US"/>
              </w:rPr>
            </w:pPr>
            <w:r>
              <w:rPr>
                <w:lang w:val="en-US"/>
              </w:rPr>
              <w:t xml:space="preserve">238 </w:t>
            </w:r>
            <w:r w:rsidR="00A2076E" w:rsidRPr="00A2076E">
              <w:rPr>
                <w:lang w:val="en-US"/>
              </w:rPr>
              <w:t>(89.5%)</w:t>
            </w:r>
          </w:p>
        </w:tc>
        <w:tc>
          <w:tcPr>
            <w:tcW w:w="794" w:type="pct"/>
          </w:tcPr>
          <w:p w14:paraId="4ABCBA1A" w14:textId="0F7E7E8E" w:rsidR="00A2076E" w:rsidRPr="00A2076E" w:rsidRDefault="00A2076E" w:rsidP="001574A3">
            <w:pPr>
              <w:pStyle w:val="Tabletext"/>
              <w:keepNext/>
              <w:spacing w:before="60" w:after="60" w:line="240" w:lineRule="auto"/>
              <w:ind w:left="0"/>
              <w:rPr>
                <w:lang w:val="en-US"/>
              </w:rPr>
            </w:pPr>
            <w:r w:rsidRPr="00A2076E">
              <w:rPr>
                <w:lang w:val="en-US"/>
              </w:rPr>
              <w:t xml:space="preserve">187 </w:t>
            </w:r>
            <w:r w:rsidR="0078080E">
              <w:rPr>
                <w:lang w:val="en-US"/>
              </w:rPr>
              <w:br/>
            </w:r>
            <w:r w:rsidRPr="00A2076E">
              <w:rPr>
                <w:lang w:val="en-US"/>
              </w:rPr>
              <w:t>(89.9%)</w:t>
            </w:r>
          </w:p>
        </w:tc>
        <w:tc>
          <w:tcPr>
            <w:tcW w:w="635" w:type="pct"/>
          </w:tcPr>
          <w:p w14:paraId="453C5063" w14:textId="7B9C7AC4" w:rsidR="00A2076E" w:rsidRPr="00A2076E" w:rsidRDefault="00CF33C6" w:rsidP="001574A3">
            <w:pPr>
              <w:pStyle w:val="Tabletext"/>
              <w:keepNext/>
              <w:spacing w:before="60" w:after="60" w:line="240" w:lineRule="auto"/>
              <w:ind w:left="0"/>
              <w:rPr>
                <w:lang w:val="en-US"/>
              </w:rPr>
            </w:pPr>
            <w:r>
              <w:rPr>
                <w:lang w:val="en-US"/>
              </w:rPr>
              <w:t xml:space="preserve">52 </w:t>
            </w:r>
            <w:r w:rsidR="001574A3">
              <w:rPr>
                <w:lang w:val="en-US"/>
              </w:rPr>
              <w:br/>
            </w:r>
            <w:r w:rsidR="00A2076E" w:rsidRPr="00A2076E">
              <w:rPr>
                <w:lang w:val="en-US"/>
              </w:rPr>
              <w:t>(77.6%)</w:t>
            </w:r>
          </w:p>
        </w:tc>
      </w:tr>
      <w:tr w:rsidR="0078080E" w:rsidRPr="004C6DD4" w14:paraId="1F7BA094" w14:textId="77777777" w:rsidTr="00EB0DC3">
        <w:tblPrEx>
          <w:tblLook w:val="0420" w:firstRow="1" w:lastRow="0" w:firstColumn="0" w:lastColumn="0" w:noHBand="0" w:noVBand="1"/>
        </w:tblPrEx>
        <w:trPr>
          <w:trHeight w:val="20"/>
        </w:trPr>
        <w:tc>
          <w:tcPr>
            <w:tcW w:w="701" w:type="pct"/>
          </w:tcPr>
          <w:p w14:paraId="215D4D81" w14:textId="77777777" w:rsidR="00A2076E" w:rsidRPr="00A2076E" w:rsidRDefault="00307C7A" w:rsidP="001574A3">
            <w:pPr>
              <w:pStyle w:val="Tabletext"/>
              <w:keepNext/>
              <w:spacing w:before="60" w:after="60" w:line="240" w:lineRule="auto"/>
              <w:ind w:left="0"/>
              <w:rPr>
                <w:color w:val="auto"/>
              </w:rPr>
            </w:pPr>
            <w:r>
              <w:rPr>
                <w:color w:val="auto"/>
              </w:rPr>
              <w:t>≥</w:t>
            </w:r>
            <w:r w:rsidR="00CF33C6">
              <w:rPr>
                <w:color w:val="auto"/>
              </w:rPr>
              <w:t xml:space="preserve"> </w:t>
            </w:r>
            <w:r w:rsidR="00A2076E" w:rsidRPr="00A2076E">
              <w:rPr>
                <w:color w:val="auto"/>
              </w:rPr>
              <w:t>4</w:t>
            </w:r>
          </w:p>
        </w:tc>
        <w:tc>
          <w:tcPr>
            <w:tcW w:w="728" w:type="pct"/>
          </w:tcPr>
          <w:p w14:paraId="13731799" w14:textId="2E278C37" w:rsidR="00A2076E" w:rsidRPr="00A2076E" w:rsidRDefault="00A2076E" w:rsidP="001574A3">
            <w:pPr>
              <w:pStyle w:val="Tabletext"/>
              <w:keepNext/>
              <w:spacing w:before="60" w:after="60" w:line="240" w:lineRule="auto"/>
              <w:ind w:left="0"/>
            </w:pPr>
            <w:r w:rsidRPr="00A2076E">
              <w:t>230</w:t>
            </w:r>
            <w:r w:rsidR="001574A3">
              <w:t xml:space="preserve"> </w:t>
            </w:r>
            <w:r w:rsidR="001574A3">
              <w:br/>
            </w:r>
            <w:r w:rsidRPr="00A2076E">
              <w:t>(86.8%)</w:t>
            </w:r>
          </w:p>
        </w:tc>
        <w:tc>
          <w:tcPr>
            <w:tcW w:w="793" w:type="pct"/>
          </w:tcPr>
          <w:p w14:paraId="415CF1DE" w14:textId="2CBB6AB9" w:rsidR="00A2076E" w:rsidRPr="00A2076E" w:rsidRDefault="00B80666" w:rsidP="001574A3">
            <w:pPr>
              <w:pStyle w:val="Tabletext"/>
              <w:keepNext/>
              <w:spacing w:before="60" w:after="60" w:line="240" w:lineRule="auto"/>
              <w:ind w:left="0"/>
            </w:pPr>
            <w:r>
              <w:t xml:space="preserve">169 </w:t>
            </w:r>
            <w:r w:rsidR="0078080E">
              <w:br/>
            </w:r>
            <w:r w:rsidR="00A2076E" w:rsidRPr="00A2076E">
              <w:t>(81.3%)</w:t>
            </w:r>
          </w:p>
        </w:tc>
        <w:tc>
          <w:tcPr>
            <w:tcW w:w="673" w:type="pct"/>
          </w:tcPr>
          <w:p w14:paraId="25B7AEB6" w14:textId="67D3512A" w:rsidR="00A2076E" w:rsidRPr="00A2076E" w:rsidRDefault="00A2076E" w:rsidP="001574A3">
            <w:pPr>
              <w:pStyle w:val="Tabletext"/>
              <w:keepNext/>
              <w:spacing w:before="60" w:after="60" w:line="240" w:lineRule="auto"/>
              <w:ind w:left="0"/>
              <w:rPr>
                <w:lang w:val="en-US"/>
              </w:rPr>
            </w:pPr>
            <w:r w:rsidRPr="00A2076E">
              <w:rPr>
                <w:lang w:val="en-US"/>
              </w:rPr>
              <w:t>51</w:t>
            </w:r>
            <w:r w:rsidR="0078080E">
              <w:rPr>
                <w:lang w:val="en-US"/>
              </w:rPr>
              <w:br/>
            </w:r>
            <w:r w:rsidRPr="00A2076E">
              <w:rPr>
                <w:lang w:val="en-US"/>
              </w:rPr>
              <w:t>(78.5%)</w:t>
            </w:r>
          </w:p>
        </w:tc>
        <w:tc>
          <w:tcPr>
            <w:tcW w:w="676" w:type="pct"/>
          </w:tcPr>
          <w:p w14:paraId="12B64686" w14:textId="77777777" w:rsidR="00A2076E" w:rsidRPr="00A2076E" w:rsidRDefault="00CF33C6" w:rsidP="001574A3">
            <w:pPr>
              <w:pStyle w:val="Tabletext"/>
              <w:keepNext/>
              <w:spacing w:before="60" w:after="60" w:line="240" w:lineRule="auto"/>
              <w:ind w:left="0"/>
              <w:rPr>
                <w:lang w:val="en-US"/>
              </w:rPr>
            </w:pPr>
            <w:r>
              <w:rPr>
                <w:lang w:val="en-US"/>
              </w:rPr>
              <w:t xml:space="preserve">225 </w:t>
            </w:r>
            <w:r w:rsidR="00A2076E" w:rsidRPr="00A2076E">
              <w:rPr>
                <w:lang w:val="en-US"/>
              </w:rPr>
              <w:t>(84.6%)</w:t>
            </w:r>
          </w:p>
        </w:tc>
        <w:tc>
          <w:tcPr>
            <w:tcW w:w="794" w:type="pct"/>
          </w:tcPr>
          <w:p w14:paraId="75BC4450" w14:textId="02C9B54D" w:rsidR="00A2076E" w:rsidRPr="00A2076E" w:rsidRDefault="00A2076E" w:rsidP="001574A3">
            <w:pPr>
              <w:pStyle w:val="Tabletext"/>
              <w:keepNext/>
              <w:spacing w:before="60" w:after="60" w:line="240" w:lineRule="auto"/>
              <w:ind w:left="0"/>
              <w:rPr>
                <w:lang w:val="en-US"/>
              </w:rPr>
            </w:pPr>
            <w:r w:rsidRPr="00A2076E">
              <w:rPr>
                <w:lang w:val="en-US"/>
              </w:rPr>
              <w:t xml:space="preserve">174 </w:t>
            </w:r>
            <w:r w:rsidR="0078080E">
              <w:rPr>
                <w:lang w:val="en-US"/>
              </w:rPr>
              <w:br/>
            </w:r>
            <w:r w:rsidRPr="00A2076E">
              <w:rPr>
                <w:lang w:val="en-US"/>
              </w:rPr>
              <w:t>(83.7%)</w:t>
            </w:r>
          </w:p>
        </w:tc>
        <w:tc>
          <w:tcPr>
            <w:tcW w:w="635" w:type="pct"/>
          </w:tcPr>
          <w:p w14:paraId="546AC7B0" w14:textId="5C3583C9" w:rsidR="00A2076E" w:rsidRPr="00A2076E" w:rsidRDefault="00CF33C6" w:rsidP="001574A3">
            <w:pPr>
              <w:pStyle w:val="Tabletext"/>
              <w:keepNext/>
              <w:spacing w:before="60" w:after="60" w:line="240" w:lineRule="auto"/>
              <w:ind w:left="0"/>
              <w:rPr>
                <w:lang w:val="en-US"/>
              </w:rPr>
            </w:pPr>
            <w:r>
              <w:rPr>
                <w:lang w:val="en-US"/>
              </w:rPr>
              <w:t>46</w:t>
            </w:r>
            <w:r w:rsidR="001574A3">
              <w:rPr>
                <w:lang w:val="en-US"/>
              </w:rPr>
              <w:br/>
            </w:r>
            <w:r w:rsidR="00A2076E" w:rsidRPr="00A2076E">
              <w:rPr>
                <w:lang w:val="en-US"/>
              </w:rPr>
              <w:t>(68.7%)</w:t>
            </w:r>
          </w:p>
        </w:tc>
      </w:tr>
      <w:tr w:rsidR="0078080E" w:rsidRPr="004C6DD4" w14:paraId="7B61B305" w14:textId="77777777" w:rsidTr="00EB0DC3">
        <w:tblPrEx>
          <w:tblLook w:val="0420" w:firstRow="1" w:lastRow="0" w:firstColumn="0" w:lastColumn="0" w:noHBand="0" w:noVBand="1"/>
        </w:tblPrEx>
        <w:trPr>
          <w:trHeight w:val="20"/>
        </w:trPr>
        <w:tc>
          <w:tcPr>
            <w:tcW w:w="701" w:type="pct"/>
          </w:tcPr>
          <w:p w14:paraId="64CC07FC" w14:textId="77777777" w:rsidR="00A2076E" w:rsidRPr="00A2076E" w:rsidRDefault="00307C7A" w:rsidP="001574A3">
            <w:pPr>
              <w:pStyle w:val="Tabletext"/>
              <w:keepNext/>
              <w:spacing w:before="60" w:after="60" w:line="240" w:lineRule="auto"/>
              <w:ind w:left="0"/>
              <w:rPr>
                <w:color w:val="auto"/>
              </w:rPr>
            </w:pPr>
            <w:r>
              <w:rPr>
                <w:color w:val="auto"/>
              </w:rPr>
              <w:t>≥</w:t>
            </w:r>
            <w:r w:rsidR="00CF33C6">
              <w:rPr>
                <w:color w:val="auto"/>
              </w:rPr>
              <w:t xml:space="preserve"> </w:t>
            </w:r>
            <w:r w:rsidR="00A2076E" w:rsidRPr="00A2076E">
              <w:rPr>
                <w:color w:val="auto"/>
              </w:rPr>
              <w:t>5</w:t>
            </w:r>
          </w:p>
        </w:tc>
        <w:tc>
          <w:tcPr>
            <w:tcW w:w="728" w:type="pct"/>
          </w:tcPr>
          <w:p w14:paraId="025B2D8F" w14:textId="3E3AD34D" w:rsidR="00A2076E" w:rsidRPr="00A2076E" w:rsidRDefault="00A2076E" w:rsidP="001574A3">
            <w:pPr>
              <w:pStyle w:val="Tabletext"/>
              <w:keepNext/>
              <w:spacing w:before="60" w:after="60" w:line="240" w:lineRule="auto"/>
              <w:ind w:left="0"/>
            </w:pPr>
            <w:r w:rsidRPr="00A2076E">
              <w:t xml:space="preserve">3 </w:t>
            </w:r>
            <w:r w:rsidR="001574A3">
              <w:br/>
            </w:r>
            <w:r w:rsidRPr="00A2076E">
              <w:t>(1.1%)</w:t>
            </w:r>
          </w:p>
        </w:tc>
        <w:tc>
          <w:tcPr>
            <w:tcW w:w="793" w:type="pct"/>
          </w:tcPr>
          <w:p w14:paraId="7EEF86B6" w14:textId="2CFA1280" w:rsidR="00A2076E" w:rsidRPr="00A2076E" w:rsidRDefault="00A2076E" w:rsidP="001574A3">
            <w:pPr>
              <w:pStyle w:val="Tabletext"/>
              <w:keepNext/>
              <w:spacing w:before="60" w:after="60" w:line="240" w:lineRule="auto"/>
              <w:ind w:left="0"/>
            </w:pPr>
            <w:r w:rsidRPr="00A2076E">
              <w:t xml:space="preserve">2 </w:t>
            </w:r>
            <w:r w:rsidR="0078080E">
              <w:br/>
            </w:r>
            <w:r w:rsidRPr="00A2076E">
              <w:t>(1.0%)</w:t>
            </w:r>
          </w:p>
        </w:tc>
        <w:tc>
          <w:tcPr>
            <w:tcW w:w="673" w:type="pct"/>
          </w:tcPr>
          <w:p w14:paraId="460FE410" w14:textId="30DDA402" w:rsidR="00A2076E" w:rsidRPr="00A2076E" w:rsidRDefault="00A2076E" w:rsidP="001574A3">
            <w:pPr>
              <w:pStyle w:val="Tabletext"/>
              <w:keepNext/>
              <w:spacing w:before="60" w:after="60" w:line="240" w:lineRule="auto"/>
              <w:ind w:left="0"/>
              <w:rPr>
                <w:lang w:val="en-US"/>
              </w:rPr>
            </w:pPr>
            <w:r w:rsidRPr="00A2076E">
              <w:rPr>
                <w:lang w:val="en-US"/>
              </w:rPr>
              <w:t xml:space="preserve">1 </w:t>
            </w:r>
            <w:r w:rsidR="0078080E">
              <w:rPr>
                <w:lang w:val="en-US"/>
              </w:rPr>
              <w:br/>
            </w:r>
            <w:r w:rsidRPr="00A2076E">
              <w:rPr>
                <w:lang w:val="en-US"/>
              </w:rPr>
              <w:t>(1.5%)</w:t>
            </w:r>
          </w:p>
        </w:tc>
        <w:tc>
          <w:tcPr>
            <w:tcW w:w="676" w:type="pct"/>
          </w:tcPr>
          <w:p w14:paraId="6AAD129A" w14:textId="77777777" w:rsidR="00A2076E" w:rsidRPr="00A2076E" w:rsidRDefault="00A2076E" w:rsidP="001574A3">
            <w:pPr>
              <w:pStyle w:val="Tabletext"/>
              <w:keepNext/>
              <w:spacing w:before="60" w:after="60" w:line="240" w:lineRule="auto"/>
              <w:ind w:left="0"/>
              <w:rPr>
                <w:lang w:val="en-US"/>
              </w:rPr>
            </w:pPr>
            <w:r w:rsidRPr="00A2076E">
              <w:rPr>
                <w:lang w:val="en-US"/>
              </w:rPr>
              <w:t>167 (62.8%)</w:t>
            </w:r>
          </w:p>
        </w:tc>
        <w:tc>
          <w:tcPr>
            <w:tcW w:w="794" w:type="pct"/>
          </w:tcPr>
          <w:p w14:paraId="0CAF8127" w14:textId="0F3D08CB" w:rsidR="00A2076E" w:rsidRPr="00A2076E" w:rsidRDefault="00A2076E" w:rsidP="001574A3">
            <w:pPr>
              <w:pStyle w:val="Tabletext"/>
              <w:keepNext/>
              <w:spacing w:before="60" w:after="60" w:line="240" w:lineRule="auto"/>
              <w:ind w:left="0"/>
              <w:rPr>
                <w:lang w:val="en-US"/>
              </w:rPr>
            </w:pPr>
            <w:r w:rsidRPr="00A2076E">
              <w:rPr>
                <w:lang w:val="en-US"/>
              </w:rPr>
              <w:t xml:space="preserve">130 </w:t>
            </w:r>
            <w:r w:rsidR="0078080E">
              <w:rPr>
                <w:lang w:val="en-US"/>
              </w:rPr>
              <w:br/>
            </w:r>
            <w:r w:rsidRPr="00A2076E">
              <w:rPr>
                <w:lang w:val="en-US"/>
              </w:rPr>
              <w:t>(62.5%)</w:t>
            </w:r>
          </w:p>
        </w:tc>
        <w:tc>
          <w:tcPr>
            <w:tcW w:w="635" w:type="pct"/>
          </w:tcPr>
          <w:p w14:paraId="43FA7B87" w14:textId="0C0DB04E" w:rsidR="00A2076E" w:rsidRPr="00A2076E" w:rsidRDefault="00CF33C6" w:rsidP="001574A3">
            <w:pPr>
              <w:pStyle w:val="Tabletext"/>
              <w:keepNext/>
              <w:spacing w:before="60" w:after="60" w:line="240" w:lineRule="auto"/>
              <w:ind w:left="0"/>
              <w:rPr>
                <w:lang w:val="en-US"/>
              </w:rPr>
            </w:pPr>
            <w:r>
              <w:rPr>
                <w:lang w:val="en-US"/>
              </w:rPr>
              <w:t xml:space="preserve">33 </w:t>
            </w:r>
            <w:r w:rsidR="001574A3">
              <w:rPr>
                <w:lang w:val="en-US"/>
              </w:rPr>
              <w:br/>
            </w:r>
            <w:r w:rsidR="00A2076E" w:rsidRPr="00A2076E">
              <w:rPr>
                <w:lang w:val="en-US"/>
              </w:rPr>
              <w:t>(49.3%)</w:t>
            </w:r>
          </w:p>
        </w:tc>
      </w:tr>
      <w:tr w:rsidR="0078080E" w:rsidRPr="004C6DD4" w14:paraId="5534B01B" w14:textId="77777777" w:rsidTr="00EB0DC3">
        <w:tblPrEx>
          <w:tblLook w:val="0420" w:firstRow="1" w:lastRow="0" w:firstColumn="0" w:lastColumn="0" w:noHBand="0" w:noVBand="1"/>
        </w:tblPrEx>
        <w:trPr>
          <w:trHeight w:val="20"/>
        </w:trPr>
        <w:tc>
          <w:tcPr>
            <w:tcW w:w="701" w:type="pct"/>
          </w:tcPr>
          <w:p w14:paraId="6E1DC3DF" w14:textId="77777777" w:rsidR="00A2076E" w:rsidRPr="00A2076E" w:rsidRDefault="00307C7A" w:rsidP="001574A3">
            <w:pPr>
              <w:pStyle w:val="Tabletext"/>
              <w:keepNext/>
              <w:spacing w:before="60" w:after="60" w:line="240" w:lineRule="auto"/>
              <w:ind w:left="0"/>
              <w:rPr>
                <w:color w:val="auto"/>
              </w:rPr>
            </w:pPr>
            <w:r>
              <w:rPr>
                <w:color w:val="auto"/>
              </w:rPr>
              <w:t>≥</w:t>
            </w:r>
            <w:r w:rsidR="00CF33C6">
              <w:rPr>
                <w:color w:val="auto"/>
              </w:rPr>
              <w:t xml:space="preserve"> </w:t>
            </w:r>
            <w:r w:rsidR="00A2076E" w:rsidRPr="00A2076E">
              <w:rPr>
                <w:color w:val="auto"/>
              </w:rPr>
              <w:t>6</w:t>
            </w:r>
          </w:p>
        </w:tc>
        <w:tc>
          <w:tcPr>
            <w:tcW w:w="728" w:type="pct"/>
          </w:tcPr>
          <w:p w14:paraId="06F02200" w14:textId="25BAC474" w:rsidR="00A2076E" w:rsidRPr="00A2076E" w:rsidRDefault="00A2076E" w:rsidP="001574A3">
            <w:pPr>
              <w:pStyle w:val="Tabletext"/>
              <w:keepNext/>
              <w:spacing w:before="60" w:after="60" w:line="240" w:lineRule="auto"/>
              <w:ind w:left="0"/>
            </w:pPr>
            <w:r w:rsidRPr="00A2076E">
              <w:t xml:space="preserve">1 </w:t>
            </w:r>
            <w:r w:rsidR="0078080E">
              <w:br/>
            </w:r>
            <w:r w:rsidRPr="00A2076E">
              <w:t>(0.4%)</w:t>
            </w:r>
          </w:p>
        </w:tc>
        <w:tc>
          <w:tcPr>
            <w:tcW w:w="793" w:type="pct"/>
          </w:tcPr>
          <w:p w14:paraId="45550156" w14:textId="10A4836E" w:rsidR="00A2076E" w:rsidRPr="00A2076E" w:rsidRDefault="00A2076E" w:rsidP="001574A3">
            <w:pPr>
              <w:pStyle w:val="Tabletext"/>
              <w:keepNext/>
              <w:spacing w:before="60" w:after="60" w:line="240" w:lineRule="auto"/>
              <w:ind w:left="0"/>
            </w:pPr>
            <w:r w:rsidRPr="00A2076E">
              <w:t xml:space="preserve">1 </w:t>
            </w:r>
            <w:r w:rsidR="0078080E">
              <w:br/>
            </w:r>
            <w:r w:rsidRPr="00A2076E">
              <w:t>(0.5%)</w:t>
            </w:r>
          </w:p>
        </w:tc>
        <w:tc>
          <w:tcPr>
            <w:tcW w:w="673" w:type="pct"/>
          </w:tcPr>
          <w:p w14:paraId="692127F1" w14:textId="77777777" w:rsidR="00A2076E" w:rsidRPr="00A2076E" w:rsidRDefault="00A2076E" w:rsidP="001574A3">
            <w:pPr>
              <w:pStyle w:val="Tabletext"/>
              <w:keepNext/>
              <w:spacing w:before="60" w:after="60" w:line="240" w:lineRule="auto"/>
              <w:ind w:left="0"/>
              <w:rPr>
                <w:lang w:val="en-US"/>
              </w:rPr>
            </w:pPr>
            <w:r w:rsidRPr="00A2076E">
              <w:rPr>
                <w:lang w:val="en-US"/>
              </w:rPr>
              <w:t>0</w:t>
            </w:r>
          </w:p>
        </w:tc>
        <w:tc>
          <w:tcPr>
            <w:tcW w:w="676" w:type="pct"/>
          </w:tcPr>
          <w:p w14:paraId="38063160" w14:textId="77777777" w:rsidR="00A2076E" w:rsidRPr="00A2076E" w:rsidRDefault="00A2076E" w:rsidP="001574A3">
            <w:pPr>
              <w:pStyle w:val="Tabletext"/>
              <w:keepNext/>
              <w:spacing w:before="60" w:after="60" w:line="240" w:lineRule="auto"/>
              <w:ind w:left="0"/>
              <w:rPr>
                <w:lang w:val="en-US"/>
              </w:rPr>
            </w:pPr>
            <w:r w:rsidRPr="00A2076E">
              <w:rPr>
                <w:lang w:val="en-US"/>
              </w:rPr>
              <w:t>151 (56.8%)</w:t>
            </w:r>
          </w:p>
        </w:tc>
        <w:tc>
          <w:tcPr>
            <w:tcW w:w="794" w:type="pct"/>
          </w:tcPr>
          <w:p w14:paraId="60A10E22" w14:textId="3387019B" w:rsidR="00A2076E" w:rsidRPr="00A2076E" w:rsidRDefault="00A2076E" w:rsidP="001574A3">
            <w:pPr>
              <w:pStyle w:val="Tabletext"/>
              <w:keepNext/>
              <w:spacing w:before="60" w:after="60" w:line="240" w:lineRule="auto"/>
              <w:ind w:left="0"/>
              <w:rPr>
                <w:lang w:val="en-US"/>
              </w:rPr>
            </w:pPr>
            <w:r w:rsidRPr="00A2076E">
              <w:rPr>
                <w:lang w:val="en-US"/>
              </w:rPr>
              <w:t xml:space="preserve">115 </w:t>
            </w:r>
            <w:r w:rsidR="0078080E">
              <w:rPr>
                <w:lang w:val="en-US"/>
              </w:rPr>
              <w:br/>
            </w:r>
            <w:r w:rsidRPr="00A2076E">
              <w:rPr>
                <w:lang w:val="en-US"/>
              </w:rPr>
              <w:t>(55.3%)</w:t>
            </w:r>
          </w:p>
        </w:tc>
        <w:tc>
          <w:tcPr>
            <w:tcW w:w="635" w:type="pct"/>
          </w:tcPr>
          <w:p w14:paraId="1DA81B86" w14:textId="04316499" w:rsidR="00A2076E" w:rsidRPr="00A2076E" w:rsidRDefault="00CF33C6" w:rsidP="001574A3">
            <w:pPr>
              <w:pStyle w:val="Tabletext"/>
              <w:keepNext/>
              <w:spacing w:before="60" w:after="60" w:line="240" w:lineRule="auto"/>
              <w:ind w:left="0"/>
              <w:rPr>
                <w:lang w:val="en-US"/>
              </w:rPr>
            </w:pPr>
            <w:r>
              <w:rPr>
                <w:lang w:val="en-US"/>
              </w:rPr>
              <w:t xml:space="preserve">32 </w:t>
            </w:r>
            <w:r w:rsidR="001574A3">
              <w:rPr>
                <w:lang w:val="en-US"/>
              </w:rPr>
              <w:br/>
            </w:r>
            <w:r w:rsidR="00A2076E" w:rsidRPr="00A2076E">
              <w:rPr>
                <w:lang w:val="en-US"/>
              </w:rPr>
              <w:t>(47.8%)</w:t>
            </w:r>
          </w:p>
        </w:tc>
      </w:tr>
    </w:tbl>
    <w:p w14:paraId="6154E023" w14:textId="67BABED2" w:rsidR="00A2076E" w:rsidRDefault="00A2076E" w:rsidP="00A2076E">
      <w:r w:rsidRPr="00A2076E">
        <w:t>P</w:t>
      </w:r>
      <w:r w:rsidR="00EE178C">
        <w:t>rophylactic cranial irradiation (PCI)</w:t>
      </w:r>
      <w:r w:rsidRPr="00A2076E">
        <w:t xml:space="preserve"> was received by 7.8% of the EP group.</w:t>
      </w:r>
    </w:p>
    <w:p w14:paraId="102780E0" w14:textId="77777777" w:rsidR="00A2076E" w:rsidRPr="00A2076E" w:rsidRDefault="00A2076E" w:rsidP="00A2076E">
      <w:pPr>
        <w:pStyle w:val="Heading6"/>
      </w:pPr>
      <w:r w:rsidRPr="00A2076E">
        <w:t>Results</w:t>
      </w:r>
    </w:p>
    <w:p w14:paraId="2743291B" w14:textId="568CC2B4" w:rsidR="00F30846" w:rsidRPr="00F30846" w:rsidRDefault="00A2076E" w:rsidP="00A2076E">
      <w:r>
        <w:t>At the time of primary analysis 336 events (62.6% maturity for overall OS) had occurred, with approximately 58% and 6</w:t>
      </w:r>
      <w:r w:rsidR="00307C7A">
        <w:t xml:space="preserve">7% of events (deaths) in the D plus </w:t>
      </w:r>
      <w:r>
        <w:t>EP and EP along groups, respectively, and a median duration of follow up follow-up for all pat</w:t>
      </w:r>
      <w:r w:rsidR="00307C7A">
        <w:t>ients was 11.3 months in the D plus</w:t>
      </w:r>
      <w:r>
        <w:t xml:space="preserve"> EP group and 9.86 months in the EP group.</w:t>
      </w:r>
    </w:p>
    <w:p w14:paraId="70424CE1" w14:textId="2E8BB2B6" w:rsidR="00A2076E" w:rsidRDefault="00A2076E" w:rsidP="00A2076E">
      <w:r w:rsidRPr="00A2076E">
        <w:rPr>
          <w:i/>
        </w:rPr>
        <w:t>Primary e</w:t>
      </w:r>
      <w:r w:rsidR="00CF33C6">
        <w:rPr>
          <w:i/>
        </w:rPr>
        <w:t>fficacy outcome</w:t>
      </w:r>
      <w:r w:rsidR="007F03DE">
        <w:t xml:space="preserve">: </w:t>
      </w:r>
      <w:r>
        <w:t>The primary efficacy outcome was OS. R</w:t>
      </w:r>
      <w:r w:rsidR="00307C7A">
        <w:t xml:space="preserve">esults are summarised in </w:t>
      </w:r>
      <w:r w:rsidR="00307C7A">
        <w:fldChar w:fldCharType="begin"/>
      </w:r>
      <w:r w:rsidR="00307C7A">
        <w:instrText xml:space="preserve"> REF _Ref62810957 \h </w:instrText>
      </w:r>
      <w:r w:rsidR="00307C7A">
        <w:fldChar w:fldCharType="separate"/>
      </w:r>
      <w:r w:rsidR="00130E57" w:rsidRPr="00CF33C6">
        <w:t xml:space="preserve">Table </w:t>
      </w:r>
      <w:r w:rsidR="00130E57">
        <w:rPr>
          <w:noProof/>
        </w:rPr>
        <w:t>6</w:t>
      </w:r>
      <w:r w:rsidR="00307C7A">
        <w:fldChar w:fldCharType="end"/>
      </w:r>
      <w:r>
        <w:t xml:space="preserve"> and Figure 1, below. Results for OS in </w:t>
      </w:r>
      <w:r w:rsidR="00307C7A">
        <w:fldChar w:fldCharType="begin"/>
      </w:r>
      <w:r w:rsidR="00307C7A">
        <w:instrText xml:space="preserve"> REF _Ref62810957 \h </w:instrText>
      </w:r>
      <w:r w:rsidR="00307C7A">
        <w:fldChar w:fldCharType="separate"/>
      </w:r>
      <w:r w:rsidR="00130E57" w:rsidRPr="00CF33C6">
        <w:t xml:space="preserve">Table </w:t>
      </w:r>
      <w:r w:rsidR="00130E57">
        <w:rPr>
          <w:noProof/>
        </w:rPr>
        <w:t>6</w:t>
      </w:r>
      <w:r w:rsidR="00307C7A">
        <w:fldChar w:fldCharType="end"/>
      </w:r>
      <w:r w:rsidR="00307C7A">
        <w:t xml:space="preserve"> </w:t>
      </w:r>
      <w:r>
        <w:t xml:space="preserve">are presented for the March 2019 cut–off from the </w:t>
      </w:r>
      <w:r w:rsidR="00EE178C">
        <w:t xml:space="preserve">clinical study report </w:t>
      </w:r>
      <w:r>
        <w:t xml:space="preserve">with supplementary data from the January 2020 cut-off provided at </w:t>
      </w:r>
      <w:r w:rsidR="00EE178C">
        <w:t>second round of TGA evaluation</w:t>
      </w:r>
      <w:r>
        <w:t>.</w:t>
      </w:r>
    </w:p>
    <w:p w14:paraId="3A8C3E96" w14:textId="329C11E2" w:rsidR="00CF33C6" w:rsidRDefault="00CF33C6" w:rsidP="00CF33C6">
      <w:pPr>
        <w:pStyle w:val="TableTitle"/>
      </w:pPr>
      <w:bookmarkStart w:id="49" w:name="_Ref62810957"/>
      <w:r w:rsidRPr="00CF33C6">
        <w:lastRenderedPageBreak/>
        <w:t xml:space="preserve">Table </w:t>
      </w:r>
      <w:r>
        <w:fldChar w:fldCharType="begin"/>
      </w:r>
      <w:r>
        <w:instrText>SEQ Table \* ARABIC</w:instrText>
      </w:r>
      <w:r>
        <w:fldChar w:fldCharType="separate"/>
      </w:r>
      <w:r w:rsidR="00130E57">
        <w:rPr>
          <w:noProof/>
        </w:rPr>
        <w:t>6</w:t>
      </w:r>
      <w:r>
        <w:fldChar w:fldCharType="end"/>
      </w:r>
      <w:bookmarkEnd w:id="49"/>
      <w:r>
        <w:t>: The CASPIAN trial</w:t>
      </w:r>
      <w:r w:rsidR="00EE178C">
        <w:t>; primary efficacy outcome</w:t>
      </w:r>
      <w:r>
        <w:t xml:space="preserve"> </w:t>
      </w:r>
      <w:r w:rsidR="00EE178C">
        <w:t>(</w:t>
      </w:r>
      <w:r>
        <w:t>overall survival</w:t>
      </w:r>
      <w:r w:rsidR="00EE178C">
        <w:t>)</w:t>
      </w:r>
    </w:p>
    <w:tbl>
      <w:tblPr>
        <w:tblStyle w:val="TableTGAblue"/>
        <w:tblW w:w="5000" w:type="pct"/>
        <w:tblLook w:val="04A0" w:firstRow="1" w:lastRow="0" w:firstColumn="1" w:lastColumn="0" w:noHBand="0" w:noVBand="1"/>
      </w:tblPr>
      <w:tblGrid>
        <w:gridCol w:w="2802"/>
        <w:gridCol w:w="1460"/>
        <w:gridCol w:w="1358"/>
        <w:gridCol w:w="1480"/>
        <w:gridCol w:w="1389"/>
      </w:tblGrid>
      <w:tr w:rsidR="00B03ED3" w14:paraId="257FAD0A" w14:textId="77777777" w:rsidTr="00EB0DC3">
        <w:trPr>
          <w:cnfStyle w:val="100000000000" w:firstRow="1" w:lastRow="0" w:firstColumn="0" w:lastColumn="0" w:oddVBand="0" w:evenVBand="0" w:oddHBand="0" w:evenHBand="0" w:firstRowFirstColumn="0" w:firstRowLastColumn="0" w:lastRowFirstColumn="0" w:lastRowLastColumn="0"/>
        </w:trPr>
        <w:tc>
          <w:tcPr>
            <w:tcW w:w="1650" w:type="pct"/>
            <w:tcBorders>
              <w:right w:val="single" w:sz="4" w:space="0" w:color="auto"/>
            </w:tcBorders>
          </w:tcPr>
          <w:p w14:paraId="75472593" w14:textId="77777777" w:rsidR="00B03ED3" w:rsidRDefault="00B03ED3" w:rsidP="00FC6E30">
            <w:pPr>
              <w:pStyle w:val="Tabletext"/>
              <w:rPr>
                <w:lang w:eastAsia="ja-JP"/>
              </w:rPr>
            </w:pPr>
          </w:p>
        </w:tc>
        <w:tc>
          <w:tcPr>
            <w:tcW w:w="860" w:type="pct"/>
            <w:tcBorders>
              <w:top w:val="single" w:sz="4" w:space="0" w:color="auto"/>
              <w:left w:val="single" w:sz="4" w:space="0" w:color="auto"/>
              <w:bottom w:val="single" w:sz="4" w:space="0" w:color="auto"/>
              <w:right w:val="single" w:sz="4" w:space="0" w:color="auto"/>
            </w:tcBorders>
          </w:tcPr>
          <w:p w14:paraId="45797947" w14:textId="77777777" w:rsidR="00B03ED3" w:rsidRPr="008C51B2" w:rsidRDefault="00B03ED3" w:rsidP="00FC6E30">
            <w:pPr>
              <w:pStyle w:val="Tabletext"/>
              <w:ind w:left="0"/>
              <w:jc w:val="center"/>
              <w:rPr>
                <w:lang w:eastAsia="ja-JP"/>
              </w:rPr>
            </w:pPr>
            <w:r>
              <w:rPr>
                <w:lang w:eastAsia="ja-JP"/>
              </w:rPr>
              <w:t>D plus</w:t>
            </w:r>
            <w:r w:rsidRPr="008C51B2">
              <w:rPr>
                <w:lang w:eastAsia="ja-JP"/>
              </w:rPr>
              <w:t xml:space="preserve"> EP</w:t>
            </w:r>
          </w:p>
          <w:p w14:paraId="602E82D1" w14:textId="77777777" w:rsidR="00B03ED3" w:rsidRDefault="00B03ED3" w:rsidP="00FC6E30">
            <w:pPr>
              <w:pStyle w:val="Tabletext"/>
              <w:ind w:left="0"/>
              <w:jc w:val="center"/>
              <w:rPr>
                <w:lang w:eastAsia="ja-JP"/>
              </w:rPr>
            </w:pPr>
            <w:r>
              <w:rPr>
                <w:lang w:eastAsia="ja-JP"/>
              </w:rPr>
              <w:t xml:space="preserve">(n </w:t>
            </w:r>
            <w:r w:rsidRPr="008C51B2">
              <w:rPr>
                <w:lang w:eastAsia="ja-JP"/>
              </w:rPr>
              <w:t>=</w:t>
            </w:r>
            <w:r>
              <w:rPr>
                <w:lang w:eastAsia="ja-JP"/>
              </w:rPr>
              <w:t xml:space="preserve"> </w:t>
            </w:r>
            <w:r w:rsidRPr="008C51B2">
              <w:rPr>
                <w:lang w:eastAsia="ja-JP"/>
              </w:rPr>
              <w:t>268)</w:t>
            </w:r>
          </w:p>
          <w:p w14:paraId="735D6696" w14:textId="77777777" w:rsidR="00B03ED3" w:rsidRPr="008C51B2" w:rsidRDefault="00B03ED3" w:rsidP="00FC6E30">
            <w:pPr>
              <w:pStyle w:val="Tabletext"/>
              <w:ind w:left="0"/>
              <w:jc w:val="center"/>
              <w:rPr>
                <w:lang w:eastAsia="ja-JP"/>
              </w:rPr>
            </w:pPr>
            <w:r>
              <w:rPr>
                <w:lang w:eastAsia="ja-JP"/>
              </w:rPr>
              <w:t>03/ 2019</w:t>
            </w:r>
          </w:p>
        </w:tc>
        <w:tc>
          <w:tcPr>
            <w:tcW w:w="800" w:type="pct"/>
            <w:tcBorders>
              <w:top w:val="single" w:sz="4" w:space="0" w:color="auto"/>
              <w:left w:val="single" w:sz="4" w:space="0" w:color="auto"/>
              <w:bottom w:val="single" w:sz="4" w:space="0" w:color="auto"/>
              <w:right w:val="single" w:sz="4" w:space="0" w:color="auto"/>
            </w:tcBorders>
          </w:tcPr>
          <w:p w14:paraId="61358073" w14:textId="77777777" w:rsidR="00B03ED3" w:rsidRPr="008C51B2" w:rsidRDefault="00B03ED3" w:rsidP="00FC6E30">
            <w:pPr>
              <w:pStyle w:val="Tabletext"/>
              <w:ind w:left="0"/>
              <w:jc w:val="center"/>
              <w:rPr>
                <w:lang w:eastAsia="ja-JP"/>
              </w:rPr>
            </w:pPr>
            <w:r w:rsidRPr="008C51B2">
              <w:rPr>
                <w:lang w:eastAsia="ja-JP"/>
              </w:rPr>
              <w:t>EP</w:t>
            </w:r>
          </w:p>
          <w:p w14:paraId="5C8DB4A3" w14:textId="77777777" w:rsidR="00B03ED3" w:rsidRDefault="00B03ED3" w:rsidP="00FC6E30">
            <w:pPr>
              <w:pStyle w:val="Tabletext"/>
              <w:ind w:left="0"/>
              <w:jc w:val="center"/>
              <w:rPr>
                <w:lang w:eastAsia="ja-JP"/>
              </w:rPr>
            </w:pPr>
            <w:r>
              <w:rPr>
                <w:lang w:eastAsia="ja-JP"/>
              </w:rPr>
              <w:t xml:space="preserve">(n </w:t>
            </w:r>
            <w:r w:rsidRPr="008C51B2">
              <w:rPr>
                <w:lang w:eastAsia="ja-JP"/>
              </w:rPr>
              <w:t>=</w:t>
            </w:r>
            <w:r>
              <w:rPr>
                <w:lang w:eastAsia="ja-JP"/>
              </w:rPr>
              <w:t xml:space="preserve"> </w:t>
            </w:r>
            <w:r w:rsidRPr="008C51B2">
              <w:rPr>
                <w:lang w:eastAsia="ja-JP"/>
              </w:rPr>
              <w:t>269)</w:t>
            </w:r>
          </w:p>
          <w:p w14:paraId="4357AA88" w14:textId="77777777" w:rsidR="00B03ED3" w:rsidRPr="008C51B2" w:rsidRDefault="00B03ED3" w:rsidP="00FC6E30">
            <w:pPr>
              <w:pStyle w:val="Tabletext"/>
              <w:ind w:left="0"/>
              <w:jc w:val="center"/>
              <w:rPr>
                <w:lang w:eastAsia="ja-JP"/>
              </w:rPr>
            </w:pPr>
            <w:r>
              <w:rPr>
                <w:lang w:eastAsia="ja-JP"/>
              </w:rPr>
              <w:t>03/2019</w:t>
            </w:r>
          </w:p>
        </w:tc>
        <w:tc>
          <w:tcPr>
            <w:tcW w:w="872" w:type="pct"/>
            <w:tcBorders>
              <w:top w:val="single" w:sz="4" w:space="0" w:color="auto"/>
              <w:left w:val="single" w:sz="4" w:space="0" w:color="auto"/>
              <w:bottom w:val="single" w:sz="4" w:space="0" w:color="auto"/>
              <w:right w:val="single" w:sz="4" w:space="0" w:color="auto"/>
            </w:tcBorders>
          </w:tcPr>
          <w:p w14:paraId="1535EAAA" w14:textId="77777777" w:rsidR="00B03ED3" w:rsidRPr="008C51B2" w:rsidRDefault="00B03ED3" w:rsidP="00FC6E30">
            <w:pPr>
              <w:pStyle w:val="Tabletext"/>
              <w:ind w:left="0"/>
              <w:jc w:val="center"/>
              <w:rPr>
                <w:lang w:eastAsia="ja-JP"/>
              </w:rPr>
            </w:pPr>
            <w:r>
              <w:rPr>
                <w:lang w:eastAsia="ja-JP"/>
              </w:rPr>
              <w:t>D plus</w:t>
            </w:r>
            <w:r w:rsidRPr="008C51B2">
              <w:rPr>
                <w:lang w:eastAsia="ja-JP"/>
              </w:rPr>
              <w:t xml:space="preserve"> EP</w:t>
            </w:r>
          </w:p>
          <w:p w14:paraId="50784BA1" w14:textId="77777777" w:rsidR="00B03ED3" w:rsidRDefault="00B03ED3" w:rsidP="00FC6E30">
            <w:pPr>
              <w:pStyle w:val="Tabletext"/>
              <w:ind w:left="0"/>
              <w:jc w:val="center"/>
              <w:rPr>
                <w:lang w:eastAsia="ja-JP"/>
              </w:rPr>
            </w:pPr>
            <w:r>
              <w:rPr>
                <w:lang w:eastAsia="ja-JP"/>
              </w:rPr>
              <w:t xml:space="preserve">(n </w:t>
            </w:r>
            <w:r w:rsidRPr="008C51B2">
              <w:rPr>
                <w:lang w:eastAsia="ja-JP"/>
              </w:rPr>
              <w:t>=</w:t>
            </w:r>
            <w:r>
              <w:rPr>
                <w:lang w:eastAsia="ja-JP"/>
              </w:rPr>
              <w:t xml:space="preserve"> </w:t>
            </w:r>
            <w:r w:rsidRPr="008C51B2">
              <w:rPr>
                <w:lang w:eastAsia="ja-JP"/>
              </w:rPr>
              <w:t>268)</w:t>
            </w:r>
          </w:p>
          <w:p w14:paraId="31FA5175" w14:textId="77777777" w:rsidR="00B03ED3" w:rsidRPr="008C51B2" w:rsidRDefault="00B03ED3" w:rsidP="00FC6E30">
            <w:pPr>
              <w:pStyle w:val="Tabletext"/>
              <w:ind w:left="0"/>
              <w:jc w:val="center"/>
              <w:rPr>
                <w:lang w:eastAsia="ja-JP"/>
              </w:rPr>
            </w:pPr>
            <w:r>
              <w:rPr>
                <w:lang w:eastAsia="ja-JP"/>
              </w:rPr>
              <w:t>01/ 2020</w:t>
            </w:r>
          </w:p>
        </w:tc>
        <w:tc>
          <w:tcPr>
            <w:tcW w:w="819" w:type="pct"/>
            <w:tcBorders>
              <w:top w:val="single" w:sz="4" w:space="0" w:color="auto"/>
              <w:left w:val="single" w:sz="4" w:space="0" w:color="auto"/>
              <w:bottom w:val="single" w:sz="4" w:space="0" w:color="auto"/>
              <w:right w:val="single" w:sz="4" w:space="0" w:color="auto"/>
            </w:tcBorders>
          </w:tcPr>
          <w:p w14:paraId="6B13B38B" w14:textId="77777777" w:rsidR="00B03ED3" w:rsidRPr="008C51B2" w:rsidRDefault="00B03ED3" w:rsidP="00FC6E30">
            <w:pPr>
              <w:pStyle w:val="Tabletext"/>
              <w:ind w:left="0"/>
              <w:jc w:val="center"/>
              <w:rPr>
                <w:lang w:eastAsia="ja-JP"/>
              </w:rPr>
            </w:pPr>
            <w:r w:rsidRPr="008C51B2">
              <w:rPr>
                <w:lang w:eastAsia="ja-JP"/>
              </w:rPr>
              <w:t>EP</w:t>
            </w:r>
          </w:p>
          <w:p w14:paraId="6DDBC49E" w14:textId="77777777" w:rsidR="00B03ED3" w:rsidRDefault="00B03ED3" w:rsidP="00FC6E30">
            <w:pPr>
              <w:pStyle w:val="Tabletext"/>
              <w:ind w:left="0"/>
              <w:jc w:val="center"/>
              <w:rPr>
                <w:lang w:eastAsia="ja-JP"/>
              </w:rPr>
            </w:pPr>
            <w:r>
              <w:rPr>
                <w:lang w:eastAsia="ja-JP"/>
              </w:rPr>
              <w:t xml:space="preserve">(n </w:t>
            </w:r>
            <w:r w:rsidRPr="008C51B2">
              <w:rPr>
                <w:lang w:eastAsia="ja-JP"/>
              </w:rPr>
              <w:t>=</w:t>
            </w:r>
            <w:r>
              <w:rPr>
                <w:lang w:eastAsia="ja-JP"/>
              </w:rPr>
              <w:t xml:space="preserve"> </w:t>
            </w:r>
            <w:r w:rsidRPr="008C51B2">
              <w:rPr>
                <w:lang w:eastAsia="ja-JP"/>
              </w:rPr>
              <w:t>269)</w:t>
            </w:r>
          </w:p>
          <w:p w14:paraId="2312DB9C" w14:textId="77777777" w:rsidR="00B03ED3" w:rsidRPr="008C51B2" w:rsidRDefault="00B03ED3" w:rsidP="00FC6E30">
            <w:pPr>
              <w:pStyle w:val="Tabletext"/>
              <w:ind w:left="0"/>
              <w:jc w:val="center"/>
              <w:rPr>
                <w:lang w:eastAsia="ja-JP"/>
              </w:rPr>
            </w:pPr>
            <w:r>
              <w:rPr>
                <w:lang w:eastAsia="ja-JP"/>
              </w:rPr>
              <w:t>01/2020</w:t>
            </w:r>
          </w:p>
        </w:tc>
      </w:tr>
      <w:tr w:rsidR="00B03ED3" w14:paraId="0ADBD76F" w14:textId="77777777" w:rsidTr="00EB0DC3">
        <w:tc>
          <w:tcPr>
            <w:tcW w:w="1650" w:type="pct"/>
          </w:tcPr>
          <w:p w14:paraId="2E1E2968" w14:textId="77777777" w:rsidR="00B03ED3" w:rsidRPr="003F3949" w:rsidRDefault="00B03ED3" w:rsidP="00FC6E30">
            <w:pPr>
              <w:pStyle w:val="Tabletext"/>
              <w:keepNext/>
              <w:ind w:left="0"/>
              <w:rPr>
                <w:lang w:eastAsia="ja-JP"/>
              </w:rPr>
            </w:pPr>
            <w:r>
              <w:rPr>
                <w:lang w:eastAsia="ja-JP"/>
              </w:rPr>
              <w:t>HR, D plus EP versus. EP</w:t>
            </w:r>
          </w:p>
        </w:tc>
        <w:tc>
          <w:tcPr>
            <w:tcW w:w="1660" w:type="pct"/>
            <w:gridSpan w:val="2"/>
            <w:tcBorders>
              <w:top w:val="single" w:sz="4" w:space="0" w:color="auto"/>
            </w:tcBorders>
          </w:tcPr>
          <w:p w14:paraId="56274D47" w14:textId="77777777" w:rsidR="00B03ED3" w:rsidRDefault="00B03ED3" w:rsidP="00FC6E30">
            <w:pPr>
              <w:pStyle w:val="Tabletext"/>
              <w:keepNext/>
              <w:jc w:val="center"/>
              <w:rPr>
                <w:lang w:eastAsia="ja-JP"/>
              </w:rPr>
            </w:pPr>
            <w:r>
              <w:rPr>
                <w:lang w:eastAsia="ja-JP"/>
              </w:rPr>
              <w:t>0.73</w:t>
            </w:r>
          </w:p>
        </w:tc>
        <w:tc>
          <w:tcPr>
            <w:tcW w:w="1691" w:type="pct"/>
            <w:gridSpan w:val="2"/>
            <w:tcBorders>
              <w:top w:val="single" w:sz="4" w:space="0" w:color="auto"/>
            </w:tcBorders>
          </w:tcPr>
          <w:p w14:paraId="3CCC761C" w14:textId="77777777" w:rsidR="00B03ED3" w:rsidRDefault="00B03ED3" w:rsidP="00FC6E30">
            <w:pPr>
              <w:pStyle w:val="Tabletext"/>
              <w:keepNext/>
              <w:jc w:val="center"/>
              <w:rPr>
                <w:lang w:eastAsia="ja-JP"/>
              </w:rPr>
            </w:pPr>
            <w:r>
              <w:rPr>
                <w:lang w:eastAsia="ja-JP"/>
              </w:rPr>
              <w:t>0.75</w:t>
            </w:r>
          </w:p>
        </w:tc>
      </w:tr>
      <w:tr w:rsidR="00B03ED3" w14:paraId="1714ECA4" w14:textId="77777777" w:rsidTr="00EB0DC3">
        <w:tc>
          <w:tcPr>
            <w:tcW w:w="1650" w:type="pct"/>
          </w:tcPr>
          <w:p w14:paraId="2EE466D6" w14:textId="77777777" w:rsidR="00B03ED3" w:rsidRDefault="00B03ED3" w:rsidP="00FC6E30">
            <w:pPr>
              <w:pStyle w:val="Tabletext"/>
              <w:keepNext/>
              <w:ind w:left="0"/>
              <w:rPr>
                <w:lang w:eastAsia="ja-JP"/>
              </w:rPr>
            </w:pPr>
            <w:r>
              <w:rPr>
                <w:lang w:eastAsia="ja-JP"/>
              </w:rPr>
              <w:t>95% CI for HR</w:t>
            </w:r>
          </w:p>
        </w:tc>
        <w:tc>
          <w:tcPr>
            <w:tcW w:w="1660" w:type="pct"/>
            <w:gridSpan w:val="2"/>
          </w:tcPr>
          <w:p w14:paraId="0B49EB59" w14:textId="77777777" w:rsidR="00B03ED3" w:rsidRDefault="00B03ED3" w:rsidP="00FC6E30">
            <w:pPr>
              <w:pStyle w:val="Tabletext"/>
              <w:keepNext/>
              <w:jc w:val="center"/>
              <w:rPr>
                <w:lang w:eastAsia="ja-JP"/>
              </w:rPr>
            </w:pPr>
            <w:r>
              <w:rPr>
                <w:lang w:eastAsia="ja-JP"/>
              </w:rPr>
              <w:t>(0.59, 0.91)</w:t>
            </w:r>
          </w:p>
        </w:tc>
        <w:tc>
          <w:tcPr>
            <w:tcW w:w="1691" w:type="pct"/>
            <w:gridSpan w:val="2"/>
          </w:tcPr>
          <w:p w14:paraId="2DD67360" w14:textId="77777777" w:rsidR="00B03ED3" w:rsidRDefault="00B03ED3" w:rsidP="00FC6E30">
            <w:pPr>
              <w:pStyle w:val="Tabletext"/>
              <w:keepNext/>
              <w:jc w:val="center"/>
              <w:rPr>
                <w:lang w:eastAsia="ja-JP"/>
              </w:rPr>
            </w:pPr>
            <w:r>
              <w:rPr>
                <w:lang w:eastAsia="ja-JP"/>
              </w:rPr>
              <w:t>(0.63, 0.91)</w:t>
            </w:r>
          </w:p>
        </w:tc>
      </w:tr>
      <w:tr w:rsidR="00B03ED3" w14:paraId="6DD7DA72" w14:textId="77777777" w:rsidTr="00EB0DC3">
        <w:tc>
          <w:tcPr>
            <w:tcW w:w="1650" w:type="pct"/>
          </w:tcPr>
          <w:p w14:paraId="18C6FCFD" w14:textId="77777777" w:rsidR="00B03ED3" w:rsidRPr="00833ED6" w:rsidRDefault="00B03ED3" w:rsidP="00FC6E30">
            <w:pPr>
              <w:pStyle w:val="Tabletext"/>
              <w:keepNext/>
              <w:ind w:left="0"/>
              <w:rPr>
                <w:vertAlign w:val="superscript"/>
                <w:lang w:eastAsia="ja-JP"/>
              </w:rPr>
            </w:pPr>
            <w:r>
              <w:rPr>
                <w:lang w:eastAsia="ja-JP"/>
              </w:rPr>
              <w:t>2-sided p-value</w:t>
            </w:r>
          </w:p>
        </w:tc>
        <w:tc>
          <w:tcPr>
            <w:tcW w:w="1660" w:type="pct"/>
            <w:gridSpan w:val="2"/>
          </w:tcPr>
          <w:p w14:paraId="24E42C3C" w14:textId="77777777" w:rsidR="00B03ED3" w:rsidRDefault="00B03ED3" w:rsidP="00FC6E30">
            <w:pPr>
              <w:pStyle w:val="Tabletext"/>
              <w:keepNext/>
              <w:jc w:val="center"/>
              <w:rPr>
                <w:lang w:eastAsia="ja-JP"/>
              </w:rPr>
            </w:pPr>
            <w:r>
              <w:rPr>
                <w:lang w:eastAsia="ja-JP"/>
              </w:rPr>
              <w:t>0.0047</w:t>
            </w:r>
          </w:p>
        </w:tc>
        <w:tc>
          <w:tcPr>
            <w:tcW w:w="1691" w:type="pct"/>
            <w:gridSpan w:val="2"/>
          </w:tcPr>
          <w:p w14:paraId="6081C7B8" w14:textId="77777777" w:rsidR="00B03ED3" w:rsidRDefault="00B03ED3" w:rsidP="00FC6E30">
            <w:pPr>
              <w:pStyle w:val="Tabletext"/>
              <w:keepNext/>
              <w:jc w:val="center"/>
              <w:rPr>
                <w:lang w:eastAsia="ja-JP"/>
              </w:rPr>
            </w:pPr>
            <w:r>
              <w:rPr>
                <w:lang w:eastAsia="ja-JP"/>
              </w:rPr>
              <w:t>0.0032</w:t>
            </w:r>
          </w:p>
        </w:tc>
      </w:tr>
      <w:tr w:rsidR="00B03ED3" w14:paraId="2FEB1EBE" w14:textId="77777777" w:rsidTr="00EB0DC3">
        <w:tc>
          <w:tcPr>
            <w:tcW w:w="1650" w:type="pct"/>
          </w:tcPr>
          <w:p w14:paraId="0CE44A3E" w14:textId="77777777" w:rsidR="00B03ED3" w:rsidRDefault="00B03ED3" w:rsidP="00FC6E30">
            <w:pPr>
              <w:pStyle w:val="Tabletext"/>
              <w:keepNext/>
              <w:ind w:left="0"/>
              <w:rPr>
                <w:lang w:eastAsia="ja-JP"/>
              </w:rPr>
            </w:pPr>
            <w:r>
              <w:rPr>
                <w:lang w:eastAsia="ja-JP"/>
              </w:rPr>
              <w:t>Events, death, n (%)</w:t>
            </w:r>
          </w:p>
        </w:tc>
        <w:tc>
          <w:tcPr>
            <w:tcW w:w="860" w:type="pct"/>
          </w:tcPr>
          <w:p w14:paraId="2D00E5B2" w14:textId="77777777" w:rsidR="00B03ED3" w:rsidRDefault="00B03ED3" w:rsidP="00FC6E30">
            <w:pPr>
              <w:pStyle w:val="Tabletext"/>
              <w:keepNext/>
              <w:ind w:left="0"/>
              <w:jc w:val="center"/>
              <w:rPr>
                <w:lang w:eastAsia="ja-JP"/>
              </w:rPr>
            </w:pPr>
            <w:r w:rsidRPr="00C96F51">
              <w:rPr>
                <w:lang w:eastAsia="ja-JP"/>
              </w:rPr>
              <w:t>155 (57.8)</w:t>
            </w:r>
          </w:p>
        </w:tc>
        <w:tc>
          <w:tcPr>
            <w:tcW w:w="800" w:type="pct"/>
          </w:tcPr>
          <w:p w14:paraId="1678A7D9" w14:textId="77777777" w:rsidR="00B03ED3" w:rsidRDefault="00B03ED3" w:rsidP="00FC6E30">
            <w:pPr>
              <w:pStyle w:val="Tabletext"/>
              <w:keepNext/>
              <w:ind w:left="0"/>
              <w:jc w:val="center"/>
              <w:rPr>
                <w:lang w:eastAsia="ja-JP"/>
              </w:rPr>
            </w:pPr>
            <w:r w:rsidRPr="00C96F51">
              <w:rPr>
                <w:lang w:eastAsia="ja-JP"/>
              </w:rPr>
              <w:t>181 (67.3)</w:t>
            </w:r>
          </w:p>
        </w:tc>
        <w:tc>
          <w:tcPr>
            <w:tcW w:w="872" w:type="pct"/>
          </w:tcPr>
          <w:p w14:paraId="2DCBDC91" w14:textId="77777777" w:rsidR="00B03ED3" w:rsidRPr="00C96F51" w:rsidRDefault="00B03ED3" w:rsidP="00FC6E30">
            <w:pPr>
              <w:pStyle w:val="Tabletext"/>
              <w:keepNext/>
              <w:ind w:left="0"/>
              <w:jc w:val="center"/>
              <w:rPr>
                <w:lang w:eastAsia="ja-JP"/>
              </w:rPr>
            </w:pPr>
            <w:r>
              <w:rPr>
                <w:lang w:eastAsia="ja-JP"/>
              </w:rPr>
              <w:t>210</w:t>
            </w:r>
            <w:r w:rsidRPr="00C96F51">
              <w:rPr>
                <w:lang w:eastAsia="ja-JP"/>
              </w:rPr>
              <w:t xml:space="preserve"> (</w:t>
            </w:r>
            <w:r>
              <w:rPr>
                <w:lang w:eastAsia="ja-JP"/>
              </w:rPr>
              <w:t>78.4</w:t>
            </w:r>
            <w:r w:rsidRPr="00C96F51">
              <w:rPr>
                <w:lang w:eastAsia="ja-JP"/>
              </w:rPr>
              <w:t>)</w:t>
            </w:r>
          </w:p>
        </w:tc>
        <w:tc>
          <w:tcPr>
            <w:tcW w:w="819" w:type="pct"/>
          </w:tcPr>
          <w:p w14:paraId="00D96B04" w14:textId="77777777" w:rsidR="00B03ED3" w:rsidRPr="00C96F51" w:rsidRDefault="00B03ED3" w:rsidP="00FC6E30">
            <w:pPr>
              <w:pStyle w:val="Tabletext"/>
              <w:keepNext/>
              <w:ind w:left="0"/>
              <w:jc w:val="center"/>
              <w:rPr>
                <w:lang w:eastAsia="ja-JP"/>
              </w:rPr>
            </w:pPr>
            <w:r>
              <w:rPr>
                <w:lang w:eastAsia="ja-JP"/>
              </w:rPr>
              <w:t>231</w:t>
            </w:r>
            <w:r w:rsidRPr="00C96F51">
              <w:rPr>
                <w:lang w:eastAsia="ja-JP"/>
              </w:rPr>
              <w:t>(</w:t>
            </w:r>
            <w:r>
              <w:rPr>
                <w:lang w:eastAsia="ja-JP"/>
              </w:rPr>
              <w:t>85.9</w:t>
            </w:r>
            <w:r w:rsidRPr="00C96F51">
              <w:rPr>
                <w:lang w:eastAsia="ja-JP"/>
              </w:rPr>
              <w:t>)</w:t>
            </w:r>
          </w:p>
        </w:tc>
      </w:tr>
      <w:tr w:rsidR="00B03ED3" w14:paraId="04F4E28D" w14:textId="77777777" w:rsidTr="00EB0DC3">
        <w:tc>
          <w:tcPr>
            <w:tcW w:w="1650" w:type="pct"/>
          </w:tcPr>
          <w:p w14:paraId="6A0731E5" w14:textId="77777777" w:rsidR="00B03ED3" w:rsidRDefault="00B03ED3" w:rsidP="00FC6E30">
            <w:pPr>
              <w:pStyle w:val="Tabletext"/>
              <w:keepNext/>
              <w:ind w:left="0"/>
              <w:rPr>
                <w:lang w:eastAsia="ja-JP"/>
              </w:rPr>
            </w:pPr>
            <w:r>
              <w:rPr>
                <w:lang w:eastAsia="ja-JP"/>
              </w:rPr>
              <w:t>Censored subjects, n (%)</w:t>
            </w:r>
          </w:p>
        </w:tc>
        <w:tc>
          <w:tcPr>
            <w:tcW w:w="860" w:type="pct"/>
          </w:tcPr>
          <w:p w14:paraId="3111FF7D" w14:textId="77777777" w:rsidR="00B03ED3" w:rsidRDefault="00B03ED3" w:rsidP="00FC6E30">
            <w:pPr>
              <w:pStyle w:val="Tabletext"/>
              <w:keepNext/>
              <w:ind w:left="0"/>
              <w:jc w:val="center"/>
              <w:rPr>
                <w:lang w:eastAsia="ja-JP"/>
              </w:rPr>
            </w:pPr>
            <w:r w:rsidRPr="00C96F51">
              <w:rPr>
                <w:lang w:eastAsia="ja-JP"/>
              </w:rPr>
              <w:t>113 (42.2)</w:t>
            </w:r>
          </w:p>
        </w:tc>
        <w:tc>
          <w:tcPr>
            <w:tcW w:w="800" w:type="pct"/>
          </w:tcPr>
          <w:p w14:paraId="1A831FC0" w14:textId="77777777" w:rsidR="00B03ED3" w:rsidRDefault="00B03ED3" w:rsidP="00FC6E30">
            <w:pPr>
              <w:pStyle w:val="Tabletext"/>
              <w:keepNext/>
              <w:ind w:left="0"/>
              <w:jc w:val="center"/>
              <w:rPr>
                <w:lang w:eastAsia="ja-JP"/>
              </w:rPr>
            </w:pPr>
            <w:r w:rsidRPr="00C96F51">
              <w:rPr>
                <w:lang w:eastAsia="ja-JP"/>
              </w:rPr>
              <w:t>88 (32.7)</w:t>
            </w:r>
          </w:p>
        </w:tc>
        <w:tc>
          <w:tcPr>
            <w:tcW w:w="872" w:type="pct"/>
          </w:tcPr>
          <w:p w14:paraId="3365CB36" w14:textId="77777777" w:rsidR="00B03ED3" w:rsidRPr="00C96F51" w:rsidRDefault="00B03ED3" w:rsidP="00FC6E30">
            <w:pPr>
              <w:pStyle w:val="Tabletext"/>
              <w:keepNext/>
              <w:ind w:left="0"/>
              <w:jc w:val="center"/>
              <w:rPr>
                <w:lang w:eastAsia="ja-JP"/>
              </w:rPr>
            </w:pPr>
            <w:r>
              <w:rPr>
                <w:lang w:eastAsia="ja-JP"/>
              </w:rPr>
              <w:t>58</w:t>
            </w:r>
            <w:r w:rsidRPr="00C96F51">
              <w:rPr>
                <w:lang w:eastAsia="ja-JP"/>
              </w:rPr>
              <w:t xml:space="preserve"> (</w:t>
            </w:r>
            <w:r>
              <w:rPr>
                <w:lang w:eastAsia="ja-JP"/>
              </w:rPr>
              <w:t>21.6</w:t>
            </w:r>
            <w:r w:rsidRPr="00C96F51">
              <w:rPr>
                <w:lang w:eastAsia="ja-JP"/>
              </w:rPr>
              <w:t>)</w:t>
            </w:r>
          </w:p>
        </w:tc>
        <w:tc>
          <w:tcPr>
            <w:tcW w:w="819" w:type="pct"/>
          </w:tcPr>
          <w:p w14:paraId="6331B4E0" w14:textId="77777777" w:rsidR="00B03ED3" w:rsidRPr="00C96F51" w:rsidRDefault="00B03ED3" w:rsidP="00FC6E30">
            <w:pPr>
              <w:pStyle w:val="Tabletext"/>
              <w:keepNext/>
              <w:ind w:left="0"/>
              <w:jc w:val="center"/>
              <w:rPr>
                <w:lang w:eastAsia="ja-JP"/>
              </w:rPr>
            </w:pPr>
            <w:r>
              <w:rPr>
                <w:lang w:eastAsia="ja-JP"/>
              </w:rPr>
              <w:t>38</w:t>
            </w:r>
            <w:r w:rsidRPr="00C96F51">
              <w:rPr>
                <w:lang w:eastAsia="ja-JP"/>
              </w:rPr>
              <w:t xml:space="preserve"> (</w:t>
            </w:r>
            <w:r>
              <w:rPr>
                <w:lang w:eastAsia="ja-JP"/>
              </w:rPr>
              <w:t>14.1</w:t>
            </w:r>
            <w:r w:rsidRPr="00C96F51">
              <w:rPr>
                <w:lang w:eastAsia="ja-JP"/>
              </w:rPr>
              <w:t>)</w:t>
            </w:r>
          </w:p>
        </w:tc>
      </w:tr>
      <w:tr w:rsidR="00B03ED3" w14:paraId="16949C78" w14:textId="77777777" w:rsidTr="00EB0DC3">
        <w:tc>
          <w:tcPr>
            <w:tcW w:w="1650" w:type="pct"/>
          </w:tcPr>
          <w:p w14:paraId="41A3E149" w14:textId="77777777" w:rsidR="00B03ED3" w:rsidRDefault="00B03ED3" w:rsidP="00FC6E30">
            <w:pPr>
              <w:pStyle w:val="Tabletext"/>
              <w:keepNext/>
              <w:ind w:left="0"/>
              <w:rPr>
                <w:lang w:eastAsia="ja-JP"/>
              </w:rPr>
            </w:pPr>
            <w:r>
              <w:rPr>
                <w:lang w:eastAsia="ja-JP"/>
              </w:rPr>
              <w:t>Still in survival follow-up n (%)</w:t>
            </w:r>
          </w:p>
        </w:tc>
        <w:tc>
          <w:tcPr>
            <w:tcW w:w="860" w:type="pct"/>
          </w:tcPr>
          <w:p w14:paraId="470691D9" w14:textId="77777777" w:rsidR="00B03ED3" w:rsidRDefault="00B03ED3" w:rsidP="00FC6E30">
            <w:pPr>
              <w:pStyle w:val="Tabletext"/>
              <w:keepNext/>
              <w:ind w:left="0"/>
              <w:jc w:val="center"/>
              <w:rPr>
                <w:lang w:eastAsia="ja-JP"/>
              </w:rPr>
            </w:pPr>
            <w:r w:rsidRPr="00C96F51">
              <w:rPr>
                <w:lang w:eastAsia="ja-JP"/>
              </w:rPr>
              <w:t>112 (41.8)</w:t>
            </w:r>
          </w:p>
        </w:tc>
        <w:tc>
          <w:tcPr>
            <w:tcW w:w="800" w:type="pct"/>
          </w:tcPr>
          <w:p w14:paraId="621613FD" w14:textId="77777777" w:rsidR="00B03ED3" w:rsidRDefault="00B03ED3" w:rsidP="00FC6E30">
            <w:pPr>
              <w:pStyle w:val="Tabletext"/>
              <w:keepNext/>
              <w:ind w:left="0"/>
              <w:jc w:val="center"/>
              <w:rPr>
                <w:lang w:eastAsia="ja-JP"/>
              </w:rPr>
            </w:pPr>
            <w:r w:rsidRPr="00C96F51">
              <w:rPr>
                <w:lang w:eastAsia="ja-JP"/>
              </w:rPr>
              <w:t>77 (28.6)</w:t>
            </w:r>
          </w:p>
        </w:tc>
        <w:tc>
          <w:tcPr>
            <w:tcW w:w="872" w:type="pct"/>
          </w:tcPr>
          <w:p w14:paraId="0409A8CE" w14:textId="77777777" w:rsidR="00B03ED3" w:rsidRPr="00C96F51" w:rsidRDefault="00B03ED3" w:rsidP="00FC6E30">
            <w:pPr>
              <w:pStyle w:val="Tabletext"/>
              <w:keepNext/>
              <w:ind w:left="0"/>
              <w:jc w:val="center"/>
              <w:rPr>
                <w:lang w:eastAsia="ja-JP"/>
              </w:rPr>
            </w:pPr>
            <w:r>
              <w:rPr>
                <w:lang w:eastAsia="ja-JP"/>
              </w:rPr>
              <w:t>56</w:t>
            </w:r>
            <w:r w:rsidRPr="00C96F51">
              <w:rPr>
                <w:lang w:eastAsia="ja-JP"/>
              </w:rPr>
              <w:t xml:space="preserve"> (</w:t>
            </w:r>
            <w:r>
              <w:rPr>
                <w:lang w:eastAsia="ja-JP"/>
              </w:rPr>
              <w:t>20.9</w:t>
            </w:r>
            <w:r w:rsidRPr="00C96F51">
              <w:rPr>
                <w:lang w:eastAsia="ja-JP"/>
              </w:rPr>
              <w:t>)</w:t>
            </w:r>
          </w:p>
        </w:tc>
        <w:tc>
          <w:tcPr>
            <w:tcW w:w="819" w:type="pct"/>
          </w:tcPr>
          <w:p w14:paraId="019D9CCA" w14:textId="77777777" w:rsidR="00B03ED3" w:rsidRPr="00C96F51" w:rsidRDefault="00B03ED3" w:rsidP="00FC6E30">
            <w:pPr>
              <w:pStyle w:val="Tabletext"/>
              <w:keepNext/>
              <w:ind w:left="0"/>
              <w:jc w:val="center"/>
              <w:rPr>
                <w:lang w:eastAsia="ja-JP"/>
              </w:rPr>
            </w:pPr>
            <w:r>
              <w:rPr>
                <w:lang w:eastAsia="ja-JP"/>
              </w:rPr>
              <w:t>31</w:t>
            </w:r>
            <w:r w:rsidRPr="00C96F51">
              <w:rPr>
                <w:lang w:eastAsia="ja-JP"/>
              </w:rPr>
              <w:t xml:space="preserve"> (</w:t>
            </w:r>
            <w:r>
              <w:rPr>
                <w:lang w:eastAsia="ja-JP"/>
              </w:rPr>
              <w:t>11.5</w:t>
            </w:r>
            <w:r w:rsidRPr="00C96F51">
              <w:rPr>
                <w:lang w:eastAsia="ja-JP"/>
              </w:rPr>
              <w:t>)</w:t>
            </w:r>
          </w:p>
        </w:tc>
      </w:tr>
      <w:tr w:rsidR="00B03ED3" w14:paraId="7E991BAB" w14:textId="77777777" w:rsidTr="00EB0DC3">
        <w:tc>
          <w:tcPr>
            <w:tcW w:w="1650" w:type="pct"/>
          </w:tcPr>
          <w:p w14:paraId="5E436C14" w14:textId="77777777" w:rsidR="00B03ED3" w:rsidRDefault="00B03ED3" w:rsidP="00FC6E30">
            <w:pPr>
              <w:pStyle w:val="Tabletext"/>
              <w:keepNext/>
              <w:ind w:left="0"/>
              <w:rPr>
                <w:lang w:eastAsia="ja-JP"/>
              </w:rPr>
            </w:pPr>
            <w:r>
              <w:rPr>
                <w:lang w:eastAsia="ja-JP"/>
              </w:rPr>
              <w:t>Median OS (months)</w:t>
            </w:r>
          </w:p>
        </w:tc>
        <w:tc>
          <w:tcPr>
            <w:tcW w:w="860" w:type="pct"/>
          </w:tcPr>
          <w:p w14:paraId="5B96215B" w14:textId="77777777" w:rsidR="00B03ED3" w:rsidRDefault="00B03ED3" w:rsidP="00FC6E30">
            <w:pPr>
              <w:pStyle w:val="Tabletext"/>
              <w:keepNext/>
              <w:ind w:left="0"/>
              <w:jc w:val="center"/>
              <w:rPr>
                <w:lang w:eastAsia="ja-JP"/>
              </w:rPr>
            </w:pPr>
            <w:r w:rsidRPr="00C96F51">
              <w:rPr>
                <w:lang w:eastAsia="ja-JP"/>
              </w:rPr>
              <w:t>13.0</w:t>
            </w:r>
          </w:p>
        </w:tc>
        <w:tc>
          <w:tcPr>
            <w:tcW w:w="800" w:type="pct"/>
          </w:tcPr>
          <w:p w14:paraId="298A7960" w14:textId="77777777" w:rsidR="00B03ED3" w:rsidRDefault="00B03ED3" w:rsidP="00FC6E30">
            <w:pPr>
              <w:pStyle w:val="Tabletext"/>
              <w:keepNext/>
              <w:ind w:left="0"/>
              <w:jc w:val="center"/>
              <w:rPr>
                <w:lang w:eastAsia="ja-JP"/>
              </w:rPr>
            </w:pPr>
            <w:r>
              <w:rPr>
                <w:lang w:eastAsia="ja-JP"/>
              </w:rPr>
              <w:t>10.3</w:t>
            </w:r>
          </w:p>
        </w:tc>
        <w:tc>
          <w:tcPr>
            <w:tcW w:w="872" w:type="pct"/>
          </w:tcPr>
          <w:p w14:paraId="405F1F22" w14:textId="77777777" w:rsidR="00B03ED3" w:rsidRDefault="00B03ED3" w:rsidP="00FC6E30">
            <w:pPr>
              <w:pStyle w:val="Tabletext"/>
              <w:keepNext/>
              <w:ind w:left="0"/>
              <w:jc w:val="center"/>
              <w:rPr>
                <w:lang w:eastAsia="ja-JP"/>
              </w:rPr>
            </w:pPr>
            <w:r>
              <w:rPr>
                <w:lang w:eastAsia="ja-JP"/>
              </w:rPr>
              <w:t>12.9</w:t>
            </w:r>
          </w:p>
        </w:tc>
        <w:tc>
          <w:tcPr>
            <w:tcW w:w="819" w:type="pct"/>
          </w:tcPr>
          <w:p w14:paraId="1C3A2B3A" w14:textId="77777777" w:rsidR="00B03ED3" w:rsidRDefault="00B03ED3" w:rsidP="00FC6E30">
            <w:pPr>
              <w:pStyle w:val="Tabletext"/>
              <w:keepNext/>
              <w:ind w:left="0"/>
              <w:jc w:val="center"/>
              <w:rPr>
                <w:lang w:eastAsia="ja-JP"/>
              </w:rPr>
            </w:pPr>
            <w:r>
              <w:rPr>
                <w:lang w:eastAsia="ja-JP"/>
              </w:rPr>
              <w:t>10.5</w:t>
            </w:r>
          </w:p>
        </w:tc>
      </w:tr>
      <w:tr w:rsidR="00B03ED3" w14:paraId="137EB287" w14:textId="77777777" w:rsidTr="00EB0DC3">
        <w:tc>
          <w:tcPr>
            <w:tcW w:w="1650" w:type="pct"/>
          </w:tcPr>
          <w:p w14:paraId="52C779E3" w14:textId="77777777" w:rsidR="00B03ED3" w:rsidRPr="00833ED6" w:rsidRDefault="00B03ED3" w:rsidP="00FC6E30">
            <w:pPr>
              <w:pStyle w:val="Tabletext"/>
              <w:keepNext/>
              <w:ind w:left="0"/>
              <w:rPr>
                <w:vertAlign w:val="superscript"/>
                <w:lang w:eastAsia="ja-JP"/>
              </w:rPr>
            </w:pPr>
            <w:r>
              <w:rPr>
                <w:lang w:eastAsia="ja-JP"/>
              </w:rPr>
              <w:t>95% CI for median OS</w:t>
            </w:r>
          </w:p>
        </w:tc>
        <w:tc>
          <w:tcPr>
            <w:tcW w:w="860" w:type="pct"/>
          </w:tcPr>
          <w:p w14:paraId="499BE297" w14:textId="77777777" w:rsidR="00B03ED3" w:rsidRDefault="00B03ED3" w:rsidP="00FC6E30">
            <w:pPr>
              <w:pStyle w:val="Tabletext"/>
              <w:keepNext/>
              <w:ind w:left="0"/>
              <w:jc w:val="center"/>
              <w:rPr>
                <w:lang w:eastAsia="ja-JP"/>
              </w:rPr>
            </w:pPr>
            <w:r>
              <w:rPr>
                <w:lang w:eastAsia="ja-JP"/>
              </w:rPr>
              <w:t>(</w:t>
            </w:r>
            <w:r w:rsidRPr="00C96F51">
              <w:rPr>
                <w:lang w:eastAsia="ja-JP"/>
              </w:rPr>
              <w:t>11.5, 14.8</w:t>
            </w:r>
            <w:r>
              <w:rPr>
                <w:lang w:eastAsia="ja-JP"/>
              </w:rPr>
              <w:t>)</w:t>
            </w:r>
          </w:p>
        </w:tc>
        <w:tc>
          <w:tcPr>
            <w:tcW w:w="800" w:type="pct"/>
          </w:tcPr>
          <w:p w14:paraId="7C508E9F" w14:textId="77777777" w:rsidR="00B03ED3" w:rsidRDefault="00B03ED3" w:rsidP="00FC6E30">
            <w:pPr>
              <w:pStyle w:val="Tabletext"/>
              <w:keepNext/>
              <w:ind w:left="0"/>
              <w:jc w:val="center"/>
              <w:rPr>
                <w:lang w:eastAsia="ja-JP"/>
              </w:rPr>
            </w:pPr>
            <w:r>
              <w:rPr>
                <w:lang w:eastAsia="ja-JP"/>
              </w:rPr>
              <w:t>(</w:t>
            </w:r>
            <w:r w:rsidRPr="00C96F51">
              <w:rPr>
                <w:lang w:eastAsia="ja-JP"/>
              </w:rPr>
              <w:t>9.3, 11.2</w:t>
            </w:r>
            <w:r>
              <w:rPr>
                <w:lang w:eastAsia="ja-JP"/>
              </w:rPr>
              <w:t>)</w:t>
            </w:r>
          </w:p>
        </w:tc>
        <w:tc>
          <w:tcPr>
            <w:tcW w:w="872" w:type="pct"/>
          </w:tcPr>
          <w:p w14:paraId="397C6CD0" w14:textId="77777777" w:rsidR="00B03ED3" w:rsidRDefault="00B03ED3" w:rsidP="00FC6E30">
            <w:pPr>
              <w:pStyle w:val="Tabletext"/>
              <w:keepNext/>
              <w:ind w:left="0"/>
              <w:jc w:val="center"/>
              <w:rPr>
                <w:lang w:eastAsia="ja-JP"/>
              </w:rPr>
            </w:pPr>
            <w:r>
              <w:rPr>
                <w:lang w:eastAsia="ja-JP"/>
              </w:rPr>
              <w:t>(</w:t>
            </w:r>
            <w:r w:rsidRPr="00C96F51">
              <w:rPr>
                <w:lang w:eastAsia="ja-JP"/>
              </w:rPr>
              <w:t>11.</w:t>
            </w:r>
            <w:r>
              <w:rPr>
                <w:lang w:eastAsia="ja-JP"/>
              </w:rPr>
              <w:t>3</w:t>
            </w:r>
            <w:r w:rsidRPr="00C96F51">
              <w:rPr>
                <w:lang w:eastAsia="ja-JP"/>
              </w:rPr>
              <w:t>, 14.</w:t>
            </w:r>
            <w:r>
              <w:rPr>
                <w:lang w:eastAsia="ja-JP"/>
              </w:rPr>
              <w:t>7)</w:t>
            </w:r>
          </w:p>
        </w:tc>
        <w:tc>
          <w:tcPr>
            <w:tcW w:w="819" w:type="pct"/>
          </w:tcPr>
          <w:p w14:paraId="7567358F" w14:textId="77777777" w:rsidR="00B03ED3" w:rsidRDefault="00B03ED3" w:rsidP="00FC6E30">
            <w:pPr>
              <w:pStyle w:val="Tabletext"/>
              <w:keepNext/>
              <w:ind w:left="0"/>
              <w:jc w:val="center"/>
              <w:rPr>
                <w:lang w:eastAsia="ja-JP"/>
              </w:rPr>
            </w:pPr>
            <w:r>
              <w:rPr>
                <w:lang w:eastAsia="ja-JP"/>
              </w:rPr>
              <w:t>(</w:t>
            </w:r>
            <w:r w:rsidRPr="00C96F51">
              <w:rPr>
                <w:lang w:eastAsia="ja-JP"/>
              </w:rPr>
              <w:t>9.3, 11.2</w:t>
            </w:r>
            <w:r>
              <w:rPr>
                <w:lang w:eastAsia="ja-JP"/>
              </w:rPr>
              <w:t>)</w:t>
            </w:r>
          </w:p>
        </w:tc>
      </w:tr>
      <w:tr w:rsidR="00B03ED3" w14:paraId="2C4C842C" w14:textId="77777777" w:rsidTr="00EB0DC3">
        <w:tc>
          <w:tcPr>
            <w:tcW w:w="1650" w:type="pct"/>
          </w:tcPr>
          <w:p w14:paraId="7E939704" w14:textId="77777777" w:rsidR="00B03ED3" w:rsidRDefault="00B03ED3" w:rsidP="00FC6E30">
            <w:pPr>
              <w:pStyle w:val="Tabletext"/>
              <w:keepNext/>
              <w:ind w:left="0"/>
              <w:rPr>
                <w:lang w:eastAsia="ja-JP"/>
              </w:rPr>
            </w:pPr>
            <w:r w:rsidRPr="00833ED6">
              <w:rPr>
                <w:lang w:eastAsia="ja-JP"/>
              </w:rPr>
              <w:t>Survival rate at 12 months (%)</w:t>
            </w:r>
          </w:p>
        </w:tc>
        <w:tc>
          <w:tcPr>
            <w:tcW w:w="860" w:type="pct"/>
          </w:tcPr>
          <w:p w14:paraId="7F157A92" w14:textId="77777777" w:rsidR="00B03ED3" w:rsidRDefault="00B03ED3" w:rsidP="00FC6E30">
            <w:pPr>
              <w:pStyle w:val="Tabletext"/>
              <w:keepNext/>
              <w:ind w:left="0"/>
              <w:jc w:val="center"/>
              <w:rPr>
                <w:lang w:eastAsia="ja-JP"/>
              </w:rPr>
            </w:pPr>
            <w:r w:rsidRPr="00C96F51">
              <w:rPr>
                <w:lang w:eastAsia="ja-JP"/>
              </w:rPr>
              <w:t>53.7</w:t>
            </w:r>
          </w:p>
        </w:tc>
        <w:tc>
          <w:tcPr>
            <w:tcW w:w="800" w:type="pct"/>
          </w:tcPr>
          <w:p w14:paraId="760C38A2" w14:textId="77777777" w:rsidR="00B03ED3" w:rsidRDefault="00B03ED3" w:rsidP="00FC6E30">
            <w:pPr>
              <w:pStyle w:val="Tabletext"/>
              <w:keepNext/>
              <w:ind w:left="0"/>
              <w:jc w:val="center"/>
              <w:rPr>
                <w:lang w:eastAsia="ja-JP"/>
              </w:rPr>
            </w:pPr>
            <w:r>
              <w:rPr>
                <w:lang w:eastAsia="ja-JP"/>
              </w:rPr>
              <w:t>39.8</w:t>
            </w:r>
          </w:p>
        </w:tc>
        <w:tc>
          <w:tcPr>
            <w:tcW w:w="872" w:type="pct"/>
          </w:tcPr>
          <w:p w14:paraId="4DE599F5" w14:textId="77777777" w:rsidR="00B03ED3" w:rsidRDefault="00B03ED3" w:rsidP="00FC6E30">
            <w:pPr>
              <w:pStyle w:val="Tabletext"/>
              <w:keepNext/>
              <w:ind w:left="0"/>
              <w:jc w:val="center"/>
              <w:rPr>
                <w:lang w:eastAsia="ja-JP"/>
              </w:rPr>
            </w:pPr>
            <w:r>
              <w:rPr>
                <w:lang w:eastAsia="ja-JP"/>
              </w:rPr>
              <w:t>52.8</w:t>
            </w:r>
          </w:p>
        </w:tc>
        <w:tc>
          <w:tcPr>
            <w:tcW w:w="819" w:type="pct"/>
          </w:tcPr>
          <w:p w14:paraId="7C5036A0" w14:textId="77777777" w:rsidR="00B03ED3" w:rsidRDefault="00B03ED3" w:rsidP="00FC6E30">
            <w:pPr>
              <w:pStyle w:val="Tabletext"/>
              <w:keepNext/>
              <w:ind w:left="0"/>
              <w:jc w:val="center"/>
              <w:rPr>
                <w:lang w:eastAsia="ja-JP"/>
              </w:rPr>
            </w:pPr>
            <w:r>
              <w:rPr>
                <w:lang w:eastAsia="ja-JP"/>
              </w:rPr>
              <w:t>39.3</w:t>
            </w:r>
          </w:p>
        </w:tc>
      </w:tr>
      <w:tr w:rsidR="00B03ED3" w14:paraId="0AB4C4B7" w14:textId="77777777" w:rsidTr="00EB0DC3">
        <w:tc>
          <w:tcPr>
            <w:tcW w:w="1650" w:type="pct"/>
          </w:tcPr>
          <w:p w14:paraId="0E776321" w14:textId="4F702CD0" w:rsidR="00B03ED3" w:rsidRDefault="00B03ED3" w:rsidP="00FC6E30">
            <w:pPr>
              <w:pStyle w:val="Tabletext"/>
              <w:keepNext/>
              <w:ind w:left="0"/>
              <w:rPr>
                <w:lang w:eastAsia="ja-JP"/>
              </w:rPr>
            </w:pPr>
            <w:r w:rsidRPr="00833ED6">
              <w:rPr>
                <w:lang w:eastAsia="ja-JP"/>
              </w:rPr>
              <w:t>95% CI for</w:t>
            </w:r>
            <w:r>
              <w:rPr>
                <w:lang w:eastAsia="ja-JP"/>
              </w:rPr>
              <w:t xml:space="preserve"> survival rate at 12</w:t>
            </w:r>
            <w:r w:rsidR="00CC2293">
              <w:rPr>
                <w:lang w:eastAsia="ja-JP"/>
              </w:rPr>
              <w:t> </w:t>
            </w:r>
            <w:r>
              <w:rPr>
                <w:lang w:eastAsia="ja-JP"/>
              </w:rPr>
              <w:t>months (%)</w:t>
            </w:r>
          </w:p>
        </w:tc>
        <w:tc>
          <w:tcPr>
            <w:tcW w:w="860" w:type="pct"/>
          </w:tcPr>
          <w:p w14:paraId="1522A5FC" w14:textId="77777777" w:rsidR="00B03ED3" w:rsidRDefault="00B03ED3" w:rsidP="00FC6E30">
            <w:pPr>
              <w:pStyle w:val="Tabletext"/>
              <w:keepNext/>
              <w:ind w:left="0"/>
              <w:jc w:val="center"/>
              <w:rPr>
                <w:lang w:eastAsia="ja-JP"/>
              </w:rPr>
            </w:pPr>
            <w:r>
              <w:rPr>
                <w:lang w:eastAsia="ja-JP"/>
              </w:rPr>
              <w:t>(</w:t>
            </w:r>
            <w:r w:rsidRPr="00C96F51">
              <w:rPr>
                <w:lang w:eastAsia="ja-JP"/>
              </w:rPr>
              <w:t>47.4, 59.5</w:t>
            </w:r>
            <w:r>
              <w:rPr>
                <w:lang w:eastAsia="ja-JP"/>
              </w:rPr>
              <w:t>)</w:t>
            </w:r>
          </w:p>
        </w:tc>
        <w:tc>
          <w:tcPr>
            <w:tcW w:w="800" w:type="pct"/>
          </w:tcPr>
          <w:p w14:paraId="6D46627A" w14:textId="77777777" w:rsidR="00B03ED3" w:rsidRDefault="00B03ED3" w:rsidP="00FC6E30">
            <w:pPr>
              <w:pStyle w:val="Tabletext"/>
              <w:keepNext/>
              <w:ind w:left="0"/>
              <w:jc w:val="center"/>
              <w:rPr>
                <w:lang w:eastAsia="ja-JP"/>
              </w:rPr>
            </w:pPr>
            <w:r>
              <w:rPr>
                <w:lang w:eastAsia="ja-JP"/>
              </w:rPr>
              <w:t>(</w:t>
            </w:r>
            <w:r w:rsidRPr="00C96F51">
              <w:rPr>
                <w:lang w:eastAsia="ja-JP"/>
              </w:rPr>
              <w:t>33.7, 45.8</w:t>
            </w:r>
            <w:r>
              <w:rPr>
                <w:lang w:eastAsia="ja-JP"/>
              </w:rPr>
              <w:t>)</w:t>
            </w:r>
          </w:p>
        </w:tc>
        <w:tc>
          <w:tcPr>
            <w:tcW w:w="872" w:type="pct"/>
          </w:tcPr>
          <w:p w14:paraId="403CC96C" w14:textId="77777777" w:rsidR="00B03ED3" w:rsidRDefault="00B03ED3" w:rsidP="00FC6E30">
            <w:pPr>
              <w:pStyle w:val="Tabletext"/>
              <w:keepNext/>
              <w:ind w:left="0"/>
              <w:jc w:val="center"/>
              <w:rPr>
                <w:lang w:eastAsia="ja-JP"/>
              </w:rPr>
            </w:pPr>
            <w:r>
              <w:rPr>
                <w:lang w:eastAsia="ja-JP"/>
              </w:rPr>
              <w:t>(46.6</w:t>
            </w:r>
            <w:r w:rsidRPr="00C96F51">
              <w:rPr>
                <w:lang w:eastAsia="ja-JP"/>
              </w:rPr>
              <w:t>, 5</w:t>
            </w:r>
            <w:r>
              <w:rPr>
                <w:lang w:eastAsia="ja-JP"/>
              </w:rPr>
              <w:t>8</w:t>
            </w:r>
            <w:r w:rsidRPr="00C96F51">
              <w:rPr>
                <w:lang w:eastAsia="ja-JP"/>
              </w:rPr>
              <w:t>.5</w:t>
            </w:r>
            <w:r>
              <w:rPr>
                <w:lang w:eastAsia="ja-JP"/>
              </w:rPr>
              <w:t>)</w:t>
            </w:r>
          </w:p>
        </w:tc>
        <w:tc>
          <w:tcPr>
            <w:tcW w:w="819" w:type="pct"/>
          </w:tcPr>
          <w:p w14:paraId="77080BAC" w14:textId="77777777" w:rsidR="00B03ED3" w:rsidRDefault="00B03ED3" w:rsidP="00FC6E30">
            <w:pPr>
              <w:pStyle w:val="Tabletext"/>
              <w:keepNext/>
              <w:ind w:left="0"/>
              <w:jc w:val="center"/>
              <w:rPr>
                <w:lang w:eastAsia="ja-JP"/>
              </w:rPr>
            </w:pPr>
            <w:r>
              <w:rPr>
                <w:lang w:eastAsia="ja-JP"/>
              </w:rPr>
              <w:t>(</w:t>
            </w:r>
            <w:r w:rsidRPr="00C96F51">
              <w:rPr>
                <w:lang w:eastAsia="ja-JP"/>
              </w:rPr>
              <w:t>33.</w:t>
            </w:r>
            <w:r>
              <w:rPr>
                <w:lang w:eastAsia="ja-JP"/>
              </w:rPr>
              <w:t>4</w:t>
            </w:r>
            <w:r w:rsidRPr="00C96F51">
              <w:rPr>
                <w:lang w:eastAsia="ja-JP"/>
              </w:rPr>
              <w:t>, 45.</w:t>
            </w:r>
            <w:r>
              <w:rPr>
                <w:lang w:eastAsia="ja-JP"/>
              </w:rPr>
              <w:t>1)</w:t>
            </w:r>
          </w:p>
        </w:tc>
      </w:tr>
      <w:tr w:rsidR="00B03ED3" w14:paraId="5D481A3D" w14:textId="77777777" w:rsidTr="00EB0DC3">
        <w:tc>
          <w:tcPr>
            <w:tcW w:w="1650" w:type="pct"/>
          </w:tcPr>
          <w:p w14:paraId="53EB6471" w14:textId="77777777" w:rsidR="00B03ED3" w:rsidRPr="00833ED6" w:rsidRDefault="00B03ED3" w:rsidP="00FC6E30">
            <w:pPr>
              <w:pStyle w:val="Tabletext"/>
              <w:keepNext/>
              <w:ind w:left="0"/>
              <w:rPr>
                <w:lang w:eastAsia="ja-JP"/>
              </w:rPr>
            </w:pPr>
            <w:r w:rsidRPr="00833ED6">
              <w:rPr>
                <w:lang w:eastAsia="ja-JP"/>
              </w:rPr>
              <w:t>Survival rate at 1</w:t>
            </w:r>
            <w:r>
              <w:rPr>
                <w:lang w:eastAsia="ja-JP"/>
              </w:rPr>
              <w:t>8</w:t>
            </w:r>
            <w:r w:rsidRPr="00833ED6">
              <w:rPr>
                <w:lang w:eastAsia="ja-JP"/>
              </w:rPr>
              <w:t xml:space="preserve"> months (%)</w:t>
            </w:r>
          </w:p>
        </w:tc>
        <w:tc>
          <w:tcPr>
            <w:tcW w:w="860" w:type="pct"/>
          </w:tcPr>
          <w:p w14:paraId="0879133A" w14:textId="77777777" w:rsidR="00B03ED3" w:rsidRDefault="00B03ED3" w:rsidP="00FC6E30">
            <w:pPr>
              <w:pStyle w:val="Tabletext"/>
              <w:keepNext/>
              <w:ind w:left="0"/>
              <w:jc w:val="center"/>
              <w:rPr>
                <w:lang w:eastAsia="ja-JP"/>
              </w:rPr>
            </w:pPr>
            <w:r w:rsidRPr="00C96F51">
              <w:rPr>
                <w:lang w:eastAsia="ja-JP"/>
              </w:rPr>
              <w:t>33.9</w:t>
            </w:r>
          </w:p>
        </w:tc>
        <w:tc>
          <w:tcPr>
            <w:tcW w:w="800" w:type="pct"/>
          </w:tcPr>
          <w:p w14:paraId="27E3592F" w14:textId="77777777" w:rsidR="00B03ED3" w:rsidRDefault="00B03ED3" w:rsidP="00FC6E30">
            <w:pPr>
              <w:pStyle w:val="Tabletext"/>
              <w:keepNext/>
              <w:ind w:left="0"/>
              <w:jc w:val="center"/>
              <w:rPr>
                <w:lang w:eastAsia="ja-JP"/>
              </w:rPr>
            </w:pPr>
            <w:r>
              <w:rPr>
                <w:lang w:eastAsia="ja-JP"/>
              </w:rPr>
              <w:t>24.7</w:t>
            </w:r>
          </w:p>
        </w:tc>
        <w:tc>
          <w:tcPr>
            <w:tcW w:w="872" w:type="pct"/>
          </w:tcPr>
          <w:p w14:paraId="57E133FE" w14:textId="77777777" w:rsidR="00B03ED3" w:rsidRDefault="00B03ED3" w:rsidP="00FC6E30">
            <w:pPr>
              <w:pStyle w:val="Tabletext"/>
              <w:keepNext/>
              <w:ind w:left="0"/>
              <w:jc w:val="center"/>
              <w:rPr>
                <w:lang w:eastAsia="ja-JP"/>
              </w:rPr>
            </w:pPr>
            <w:r>
              <w:rPr>
                <w:lang w:eastAsia="ja-JP"/>
              </w:rPr>
              <w:t>32.0</w:t>
            </w:r>
          </w:p>
        </w:tc>
        <w:tc>
          <w:tcPr>
            <w:tcW w:w="819" w:type="pct"/>
          </w:tcPr>
          <w:p w14:paraId="759481E5" w14:textId="77777777" w:rsidR="00B03ED3" w:rsidRDefault="00B03ED3" w:rsidP="00FC6E30">
            <w:pPr>
              <w:pStyle w:val="Tabletext"/>
              <w:keepNext/>
              <w:ind w:left="0"/>
              <w:jc w:val="center"/>
              <w:rPr>
                <w:lang w:eastAsia="ja-JP"/>
              </w:rPr>
            </w:pPr>
            <w:r>
              <w:rPr>
                <w:lang w:eastAsia="ja-JP"/>
              </w:rPr>
              <w:t>24.8</w:t>
            </w:r>
          </w:p>
        </w:tc>
      </w:tr>
      <w:tr w:rsidR="00B03ED3" w14:paraId="40093C60" w14:textId="77777777" w:rsidTr="00EB0DC3">
        <w:tc>
          <w:tcPr>
            <w:tcW w:w="1650" w:type="pct"/>
          </w:tcPr>
          <w:p w14:paraId="32236D4E" w14:textId="77777777" w:rsidR="00B03ED3" w:rsidRPr="00833ED6" w:rsidRDefault="00B03ED3" w:rsidP="00FC6E30">
            <w:pPr>
              <w:pStyle w:val="Tabletext"/>
              <w:keepNext/>
              <w:ind w:left="0"/>
              <w:rPr>
                <w:lang w:eastAsia="ja-JP"/>
              </w:rPr>
            </w:pPr>
            <w:r w:rsidRPr="00833ED6">
              <w:rPr>
                <w:lang w:eastAsia="ja-JP"/>
              </w:rPr>
              <w:t>95% CI for</w:t>
            </w:r>
            <w:r>
              <w:rPr>
                <w:lang w:eastAsia="ja-JP"/>
              </w:rPr>
              <w:t xml:space="preserve"> survival rate at 18 months (%)</w:t>
            </w:r>
          </w:p>
        </w:tc>
        <w:tc>
          <w:tcPr>
            <w:tcW w:w="860" w:type="pct"/>
          </w:tcPr>
          <w:p w14:paraId="14250655" w14:textId="77777777" w:rsidR="00B03ED3" w:rsidRDefault="00B03ED3" w:rsidP="00FC6E30">
            <w:pPr>
              <w:pStyle w:val="Tabletext"/>
              <w:keepNext/>
              <w:ind w:left="0"/>
              <w:jc w:val="center"/>
              <w:rPr>
                <w:lang w:eastAsia="ja-JP"/>
              </w:rPr>
            </w:pPr>
            <w:r>
              <w:rPr>
                <w:lang w:eastAsia="ja-JP"/>
              </w:rPr>
              <w:t xml:space="preserve">(26.9, </w:t>
            </w:r>
            <w:r w:rsidRPr="00C96F51">
              <w:rPr>
                <w:lang w:eastAsia="ja-JP"/>
              </w:rPr>
              <w:t>41.0</w:t>
            </w:r>
            <w:r>
              <w:rPr>
                <w:lang w:eastAsia="ja-JP"/>
              </w:rPr>
              <w:t>)</w:t>
            </w:r>
          </w:p>
        </w:tc>
        <w:tc>
          <w:tcPr>
            <w:tcW w:w="800" w:type="pct"/>
          </w:tcPr>
          <w:p w14:paraId="6B7098CF" w14:textId="77777777" w:rsidR="00B03ED3" w:rsidRDefault="00B03ED3" w:rsidP="00FC6E30">
            <w:pPr>
              <w:pStyle w:val="Tabletext"/>
              <w:keepNext/>
              <w:ind w:left="0"/>
              <w:jc w:val="center"/>
              <w:rPr>
                <w:lang w:eastAsia="ja-JP"/>
              </w:rPr>
            </w:pPr>
            <w:r>
              <w:rPr>
                <w:lang w:eastAsia="ja-JP"/>
              </w:rPr>
              <w:t>(</w:t>
            </w:r>
            <w:r w:rsidRPr="008C51B2">
              <w:rPr>
                <w:lang w:eastAsia="ja-JP"/>
              </w:rPr>
              <w:t>18.4, 31.6</w:t>
            </w:r>
            <w:r>
              <w:rPr>
                <w:lang w:eastAsia="ja-JP"/>
              </w:rPr>
              <w:t>)</w:t>
            </w:r>
          </w:p>
        </w:tc>
        <w:tc>
          <w:tcPr>
            <w:tcW w:w="872" w:type="pct"/>
          </w:tcPr>
          <w:p w14:paraId="59A3244D" w14:textId="77777777" w:rsidR="00B03ED3" w:rsidRDefault="00B03ED3" w:rsidP="00FC6E30">
            <w:pPr>
              <w:pStyle w:val="Tabletext"/>
              <w:keepNext/>
              <w:ind w:left="0"/>
              <w:jc w:val="center"/>
              <w:rPr>
                <w:lang w:eastAsia="ja-JP"/>
              </w:rPr>
            </w:pPr>
            <w:r>
              <w:rPr>
                <w:lang w:eastAsia="ja-JP"/>
              </w:rPr>
              <w:t>(</w:t>
            </w:r>
            <w:r w:rsidRPr="00C96F51">
              <w:rPr>
                <w:lang w:eastAsia="ja-JP"/>
              </w:rPr>
              <w:t>26.</w:t>
            </w:r>
            <w:r>
              <w:rPr>
                <w:lang w:eastAsia="ja-JP"/>
              </w:rPr>
              <w:t>5</w:t>
            </w:r>
            <w:r w:rsidRPr="00C96F51">
              <w:rPr>
                <w:lang w:eastAsia="ja-JP"/>
              </w:rPr>
              <w:t xml:space="preserve">, </w:t>
            </w:r>
            <w:r>
              <w:rPr>
                <w:lang w:eastAsia="ja-JP"/>
              </w:rPr>
              <w:t>37.7)</w:t>
            </w:r>
          </w:p>
        </w:tc>
        <w:tc>
          <w:tcPr>
            <w:tcW w:w="819" w:type="pct"/>
          </w:tcPr>
          <w:p w14:paraId="62B4756A" w14:textId="77777777" w:rsidR="00B03ED3" w:rsidRDefault="00B03ED3" w:rsidP="00FC6E30">
            <w:pPr>
              <w:pStyle w:val="Tabletext"/>
              <w:keepNext/>
              <w:ind w:left="0"/>
              <w:jc w:val="center"/>
              <w:rPr>
                <w:lang w:eastAsia="ja-JP"/>
              </w:rPr>
            </w:pPr>
            <w:r>
              <w:rPr>
                <w:lang w:eastAsia="ja-JP"/>
              </w:rPr>
              <w:t>(19.7</w:t>
            </w:r>
            <w:r w:rsidRPr="008C51B2">
              <w:rPr>
                <w:lang w:eastAsia="ja-JP"/>
              </w:rPr>
              <w:t xml:space="preserve">, </w:t>
            </w:r>
            <w:r>
              <w:rPr>
                <w:lang w:eastAsia="ja-JP"/>
              </w:rPr>
              <w:t>30.1)</w:t>
            </w:r>
          </w:p>
        </w:tc>
      </w:tr>
    </w:tbl>
    <w:p w14:paraId="4B6F7C8F" w14:textId="7C0B0789" w:rsidR="00CF33C6" w:rsidRPr="00E6495C" w:rsidRDefault="003F3949" w:rsidP="00E6495C">
      <w:pPr>
        <w:pStyle w:val="TableDescription"/>
      </w:pPr>
      <w:r>
        <w:t>Median d</w:t>
      </w:r>
      <w:r w:rsidR="00CF33C6" w:rsidRPr="00E6495C">
        <w:t>uration of follow up: D + EP 11.3 months, EP 9.9 months, data cut 11 March 2019, and January 2020)</w:t>
      </w:r>
      <w:r>
        <w:t xml:space="preserve">. D = </w:t>
      </w:r>
      <w:proofErr w:type="spellStart"/>
      <w:r w:rsidR="00CC2293">
        <w:t>d</w:t>
      </w:r>
      <w:r>
        <w:t>urvalumab</w:t>
      </w:r>
      <w:proofErr w:type="spellEnd"/>
      <w:r>
        <w:t>, E</w:t>
      </w:r>
      <w:r w:rsidR="00CC2293">
        <w:t>P</w:t>
      </w:r>
      <w:r>
        <w:t xml:space="preserve"> = </w:t>
      </w:r>
      <w:r w:rsidR="00CC2293">
        <w:t>e</w:t>
      </w:r>
      <w:r>
        <w:t>toposide and platinum-based chemotherapy</w:t>
      </w:r>
      <w:r w:rsidR="00CC2293">
        <w:t>,</w:t>
      </w:r>
      <w:r>
        <w:t xml:space="preserve"> CI = </w:t>
      </w:r>
      <w:r w:rsidR="00CC2293">
        <w:t>c</w:t>
      </w:r>
      <w:r>
        <w:t>onfidence interval</w:t>
      </w:r>
      <w:r w:rsidR="00CC2293">
        <w:t xml:space="preserve">, </w:t>
      </w:r>
      <w:r>
        <w:t xml:space="preserve">HR = </w:t>
      </w:r>
      <w:r w:rsidR="00CC2293">
        <w:t>h</w:t>
      </w:r>
      <w:r>
        <w:t>azard ratio</w:t>
      </w:r>
      <w:r w:rsidR="00CC2293">
        <w:t>, OS = overall survival</w:t>
      </w:r>
    </w:p>
    <w:p w14:paraId="0F0A5AFC" w14:textId="104F4F74" w:rsidR="00E6495C" w:rsidRDefault="00E6495C" w:rsidP="00E6495C">
      <w:r w:rsidRPr="00E6495C">
        <w:t>The survival rate at 24 months in the January 2020 data set was 22.2% (</w:t>
      </w:r>
      <w:r w:rsidR="00CC2293">
        <w:t xml:space="preserve">95% CI: </w:t>
      </w:r>
      <w:r w:rsidRPr="00E6495C">
        <w:t>17.3, 27.5) v</w:t>
      </w:r>
      <w:r>
        <w:t>er</w:t>
      </w:r>
      <w:r w:rsidRPr="00E6495C">
        <w:t>s</w:t>
      </w:r>
      <w:r>
        <w:t>us</w:t>
      </w:r>
      <w:r w:rsidRPr="00E6495C">
        <w:t xml:space="preserve"> 14.4% (</w:t>
      </w:r>
      <w:r w:rsidR="00CC2293">
        <w:t xml:space="preserve">95% CI: </w:t>
      </w:r>
      <w:r w:rsidRPr="00E6495C">
        <w:t>10.3, 19.2).</w:t>
      </w:r>
    </w:p>
    <w:p w14:paraId="1B5131A4" w14:textId="1E6C8043" w:rsidR="00E6495C" w:rsidRDefault="00E6495C" w:rsidP="00E6495C">
      <w:pPr>
        <w:pStyle w:val="TableTitle"/>
      </w:pPr>
      <w:r w:rsidRPr="00E6495C">
        <w:lastRenderedPageBreak/>
        <w:t xml:space="preserve">Figure </w:t>
      </w:r>
      <w:r>
        <w:fldChar w:fldCharType="begin"/>
      </w:r>
      <w:r>
        <w:instrText>SEQ Figure \* ARABIC</w:instrText>
      </w:r>
      <w:r>
        <w:fldChar w:fldCharType="separate"/>
      </w:r>
      <w:r w:rsidR="00130E57">
        <w:rPr>
          <w:noProof/>
        </w:rPr>
        <w:t>2</w:t>
      </w:r>
      <w:r>
        <w:fldChar w:fldCharType="end"/>
      </w:r>
      <w:r>
        <w:t>: The CASPIAN trial</w:t>
      </w:r>
      <w:r w:rsidR="00CC2293">
        <w:t>; primary efficacy outcome</w:t>
      </w:r>
      <w:r>
        <w:t xml:space="preserve"> </w:t>
      </w:r>
      <w:r w:rsidR="00CC2293">
        <w:t>(</w:t>
      </w:r>
      <w:r>
        <w:t>Kaplan-Meier curve for overall survival</w:t>
      </w:r>
      <w:r w:rsidR="00CC2293">
        <w:t>)</w:t>
      </w:r>
    </w:p>
    <w:p w14:paraId="14EA2DFB" w14:textId="77777777" w:rsidR="00E6495C" w:rsidRDefault="00E6495C" w:rsidP="00E6495C">
      <w:r w:rsidRPr="003E13F8">
        <w:rPr>
          <w:i/>
          <w:noProof/>
          <w:lang w:eastAsia="en-AU"/>
        </w:rPr>
        <w:drawing>
          <wp:inline distT="0" distB="0" distL="0" distR="0" wp14:anchorId="06726AC2" wp14:editId="3B527E48">
            <wp:extent cx="5234940" cy="2468685"/>
            <wp:effectExtent l="0" t="0" r="3810" b="8255"/>
            <wp:docPr id="60" name="Picture 60" descr="The CASPIAN trial Kaplan-Meier curve for overall surv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2990" t="11749" b="17625"/>
                    <a:stretch/>
                  </pic:blipFill>
                  <pic:spPr bwMode="auto">
                    <a:xfrm>
                      <a:off x="0" y="0"/>
                      <a:ext cx="5234940" cy="2468685"/>
                    </a:xfrm>
                    <a:prstGeom prst="rect">
                      <a:avLst/>
                    </a:prstGeom>
                    <a:ln>
                      <a:noFill/>
                    </a:ln>
                    <a:extLst>
                      <a:ext uri="{53640926-AAD7-44D8-BBD7-CCE9431645EC}">
                        <a14:shadowObscured xmlns:a14="http://schemas.microsoft.com/office/drawing/2010/main"/>
                      </a:ext>
                    </a:extLst>
                  </pic:spPr>
                </pic:pic>
              </a:graphicData>
            </a:graphic>
          </wp:inline>
        </w:drawing>
      </w:r>
    </w:p>
    <w:p w14:paraId="76F2C202" w14:textId="77777777" w:rsidR="00E6495C" w:rsidRDefault="00E6495C" w:rsidP="003E7B40">
      <w:pPr>
        <w:pStyle w:val="FigureDescription"/>
      </w:pPr>
      <w:r>
        <w:t>Intent to treat population, full set analysis, data cut off: 27 January 2020</w:t>
      </w:r>
    </w:p>
    <w:p w14:paraId="5A09C009" w14:textId="0F282E47" w:rsidR="00E6495C" w:rsidRDefault="00E6495C" w:rsidP="003E7B40">
      <w:pPr>
        <w:pStyle w:val="FigureDescription"/>
      </w:pPr>
      <w:r>
        <w:t xml:space="preserve">D = </w:t>
      </w:r>
      <w:proofErr w:type="spellStart"/>
      <w:r w:rsidR="00CC2293">
        <w:t>d</w:t>
      </w:r>
      <w:r>
        <w:t>urvalumab</w:t>
      </w:r>
      <w:proofErr w:type="spellEnd"/>
      <w:r>
        <w:t xml:space="preserve">, </w:t>
      </w:r>
      <w:r w:rsidR="00CC2293">
        <w:t>e</w:t>
      </w:r>
      <w:r>
        <w:t xml:space="preserve"> = Etoposide and platinum-based chemotherapy</w:t>
      </w:r>
      <w:r w:rsidR="007F03DE">
        <w:t>, OS = overall survival, CI = </w:t>
      </w:r>
      <w:r w:rsidR="00CC2293">
        <w:t>confidence interval.</w:t>
      </w:r>
    </w:p>
    <w:p w14:paraId="4318F61B" w14:textId="77777777" w:rsidR="00E6495C" w:rsidRDefault="00E6495C" w:rsidP="003E7B40">
      <w:pPr>
        <w:pStyle w:val="FigureDescription"/>
      </w:pPr>
      <w:r>
        <w:t>Circle indicate a censored observation. CI = confidence interval. 1 month = 30.4375 days.</w:t>
      </w:r>
    </w:p>
    <w:p w14:paraId="2FA645AC" w14:textId="662323B4" w:rsidR="00E6495C" w:rsidRDefault="00E6495C" w:rsidP="00E6495C">
      <w:r w:rsidRPr="00E6495C">
        <w:t xml:space="preserve">A sensitivity analysis for OS adjusting for predefined baseline covariates (platinum agent, age, sex, </w:t>
      </w:r>
      <w:r w:rsidR="00CC2293">
        <w:t>World Health Organization (</w:t>
      </w:r>
      <w:r w:rsidRPr="00E6495C">
        <w:t>WHO</w:t>
      </w:r>
      <w:r w:rsidR="00CC2293">
        <w:t>)</w:t>
      </w:r>
      <w:r w:rsidRPr="00E6495C">
        <w:t xml:space="preserve"> performance status, smoking status, brain/CNS metastases, disease stage at diagnosis, race, and region) provided</w:t>
      </w:r>
      <w:r w:rsidR="003F3949">
        <w:t xml:space="preserve"> an adjusted HR estimate for D plus</w:t>
      </w:r>
      <w:r w:rsidRPr="00E6495C">
        <w:t xml:space="preserve"> EP </w:t>
      </w:r>
      <w:r w:rsidR="003E1D32">
        <w:t>versus</w:t>
      </w:r>
      <w:r w:rsidRPr="00E6495C">
        <w:t xml:space="preserve"> EP of 0.71 (95% CI: 0.566, 0.877). Subgroup analyses were considered exploratory by the evaluator.</w:t>
      </w:r>
    </w:p>
    <w:p w14:paraId="57986342" w14:textId="13840913" w:rsidR="00E6495C" w:rsidRDefault="00E6495C" w:rsidP="00E6495C">
      <w:r w:rsidRPr="00E6495C">
        <w:rPr>
          <w:i/>
        </w:rPr>
        <w:t>Key secondary outcome</w:t>
      </w:r>
      <w:r w:rsidR="007F03DE">
        <w:t xml:space="preserve">: </w:t>
      </w:r>
      <w:r w:rsidR="003F3949">
        <w:t>PFS</w:t>
      </w:r>
      <w:r>
        <w:t xml:space="preserve"> was based on investigator assessment</w:t>
      </w:r>
      <w:r w:rsidR="003F3949">
        <w:t>.</w:t>
      </w:r>
    </w:p>
    <w:p w14:paraId="0C24B352" w14:textId="61975FA6" w:rsidR="00E6495C" w:rsidRDefault="00E6495C" w:rsidP="00203A46">
      <w:pPr>
        <w:pStyle w:val="TableTitle"/>
      </w:pPr>
      <w:r w:rsidRPr="00203A46">
        <w:t xml:space="preserve">Table </w:t>
      </w:r>
      <w:r>
        <w:fldChar w:fldCharType="begin"/>
      </w:r>
      <w:r>
        <w:instrText>SEQ Table \* ARABIC</w:instrText>
      </w:r>
      <w:r>
        <w:fldChar w:fldCharType="separate"/>
      </w:r>
      <w:r w:rsidR="00130E57">
        <w:rPr>
          <w:noProof/>
        </w:rPr>
        <w:t>7</w:t>
      </w:r>
      <w:r>
        <w:fldChar w:fldCharType="end"/>
      </w:r>
      <w:r>
        <w:t>: The CASPIAN trial</w:t>
      </w:r>
      <w:r w:rsidR="007F03DE">
        <w:t>;</w:t>
      </w:r>
      <w:r>
        <w:t xml:space="preserve"> </w:t>
      </w:r>
      <w:r w:rsidR="007F03DE">
        <w:t>secondary outcome (</w:t>
      </w:r>
      <w:r>
        <w:t>p</w:t>
      </w:r>
      <w:r w:rsidRPr="00E6495C">
        <w:t>rogression-free survival</w:t>
      </w:r>
      <w:r w:rsidR="00203A46">
        <w:t xml:space="preserve"> analysis</w:t>
      </w:r>
      <w:r w:rsidR="007F03DE">
        <w:t>)</w:t>
      </w:r>
    </w:p>
    <w:tbl>
      <w:tblPr>
        <w:tblStyle w:val="TableTGAblue"/>
        <w:tblW w:w="0" w:type="auto"/>
        <w:tblInd w:w="108" w:type="dxa"/>
        <w:tblLook w:val="04A0" w:firstRow="1" w:lastRow="0" w:firstColumn="1" w:lastColumn="0" w:noHBand="0" w:noVBand="1"/>
      </w:tblPr>
      <w:tblGrid>
        <w:gridCol w:w="2720"/>
        <w:gridCol w:w="2525"/>
        <w:gridCol w:w="2835"/>
      </w:tblGrid>
      <w:tr w:rsidR="00B03ED3" w:rsidRPr="0029339B" w14:paraId="3BE1CE91" w14:textId="77777777" w:rsidTr="00B03ED3">
        <w:trPr>
          <w:cnfStyle w:val="100000000000" w:firstRow="1" w:lastRow="0" w:firstColumn="0" w:lastColumn="0" w:oddVBand="0" w:evenVBand="0" w:oddHBand="0" w:evenHBand="0" w:firstRowFirstColumn="0" w:firstRowLastColumn="0" w:lastRowFirstColumn="0" w:lastRowLastColumn="0"/>
        </w:trPr>
        <w:tc>
          <w:tcPr>
            <w:tcW w:w="2720" w:type="dxa"/>
            <w:tcBorders>
              <w:right w:val="single" w:sz="4" w:space="0" w:color="auto"/>
            </w:tcBorders>
          </w:tcPr>
          <w:p w14:paraId="7A381896" w14:textId="77777777" w:rsidR="00B03ED3" w:rsidRPr="0029339B" w:rsidRDefault="00B03ED3" w:rsidP="00B03ED3">
            <w:pPr>
              <w:pStyle w:val="Tabletext"/>
              <w:spacing w:before="60" w:after="60" w:line="240" w:lineRule="auto"/>
              <w:ind w:left="0" w:right="0"/>
              <w:jc w:val="center"/>
              <w:rPr>
                <w:color w:val="9160CB" w:themeColor="accent5" w:themeTint="99"/>
              </w:rPr>
            </w:pPr>
          </w:p>
        </w:tc>
        <w:tc>
          <w:tcPr>
            <w:tcW w:w="2525" w:type="dxa"/>
            <w:tcBorders>
              <w:top w:val="single" w:sz="4" w:space="0" w:color="auto"/>
              <w:left w:val="single" w:sz="4" w:space="0" w:color="auto"/>
              <w:bottom w:val="single" w:sz="4" w:space="0" w:color="auto"/>
              <w:right w:val="single" w:sz="4" w:space="0" w:color="auto"/>
            </w:tcBorders>
          </w:tcPr>
          <w:p w14:paraId="55142608" w14:textId="77777777" w:rsidR="00B03ED3" w:rsidRPr="00514C44" w:rsidRDefault="00B03ED3" w:rsidP="00B03ED3">
            <w:pPr>
              <w:pStyle w:val="Tabletext"/>
              <w:spacing w:before="60" w:after="60" w:line="240" w:lineRule="auto"/>
              <w:ind w:left="0" w:right="0"/>
              <w:jc w:val="center"/>
            </w:pPr>
            <w:r>
              <w:rPr>
                <w:bCs/>
                <w:lang w:val="en-US"/>
              </w:rPr>
              <w:t>D + EP</w:t>
            </w:r>
          </w:p>
          <w:p w14:paraId="0103DE59" w14:textId="77777777" w:rsidR="00B03ED3" w:rsidRPr="0029339B" w:rsidRDefault="00B03ED3" w:rsidP="00B03ED3">
            <w:pPr>
              <w:pStyle w:val="Tabletext"/>
              <w:spacing w:before="60" w:after="60" w:line="240" w:lineRule="auto"/>
              <w:ind w:left="0" w:right="0"/>
              <w:jc w:val="center"/>
              <w:rPr>
                <w:color w:val="9160CB" w:themeColor="accent5" w:themeTint="99"/>
              </w:rPr>
            </w:pPr>
            <w:r>
              <w:rPr>
                <w:bCs/>
                <w:lang w:val="en-US"/>
              </w:rPr>
              <w:t>N = 268</w:t>
            </w:r>
          </w:p>
        </w:tc>
        <w:tc>
          <w:tcPr>
            <w:tcW w:w="2835" w:type="dxa"/>
            <w:tcBorders>
              <w:top w:val="single" w:sz="4" w:space="0" w:color="auto"/>
              <w:left w:val="single" w:sz="4" w:space="0" w:color="auto"/>
              <w:bottom w:val="single" w:sz="4" w:space="0" w:color="auto"/>
              <w:right w:val="single" w:sz="4" w:space="0" w:color="auto"/>
            </w:tcBorders>
          </w:tcPr>
          <w:p w14:paraId="0C759CDB" w14:textId="77777777" w:rsidR="00B03ED3" w:rsidRPr="00514C44" w:rsidRDefault="00B03ED3" w:rsidP="00B03ED3">
            <w:pPr>
              <w:pStyle w:val="Tabletext"/>
              <w:spacing w:before="60" w:after="60" w:line="240" w:lineRule="auto"/>
              <w:ind w:left="0" w:right="0"/>
              <w:jc w:val="center"/>
            </w:pPr>
            <w:r w:rsidRPr="00514C44">
              <w:rPr>
                <w:bCs/>
                <w:lang w:val="en-US"/>
              </w:rPr>
              <w:t>EP</w:t>
            </w:r>
          </w:p>
          <w:p w14:paraId="170F2A98" w14:textId="77777777" w:rsidR="00B03ED3" w:rsidRPr="0029339B" w:rsidRDefault="00B03ED3" w:rsidP="00B03ED3">
            <w:pPr>
              <w:pStyle w:val="Tabletext"/>
              <w:spacing w:before="60" w:after="60" w:line="240" w:lineRule="auto"/>
              <w:ind w:left="0" w:right="0"/>
              <w:jc w:val="center"/>
              <w:rPr>
                <w:color w:val="9160CB" w:themeColor="accent5" w:themeTint="99"/>
              </w:rPr>
            </w:pPr>
            <w:r>
              <w:rPr>
                <w:bCs/>
                <w:lang w:val="en-US"/>
              </w:rPr>
              <w:t>N = 269</w:t>
            </w:r>
          </w:p>
        </w:tc>
      </w:tr>
      <w:tr w:rsidR="00B03ED3" w:rsidRPr="0029339B" w14:paraId="0E512360" w14:textId="77777777" w:rsidTr="00B03ED3">
        <w:tc>
          <w:tcPr>
            <w:tcW w:w="2720" w:type="dxa"/>
          </w:tcPr>
          <w:p w14:paraId="60BE5B7D" w14:textId="77777777" w:rsidR="00B03ED3" w:rsidRPr="0009661A" w:rsidRDefault="00B03ED3" w:rsidP="00B03ED3">
            <w:pPr>
              <w:pStyle w:val="Tabletext"/>
              <w:spacing w:before="60" w:after="60" w:line="240" w:lineRule="auto"/>
              <w:ind w:left="0" w:right="0"/>
              <w:jc w:val="both"/>
              <w:rPr>
                <w:color w:val="auto"/>
              </w:rPr>
            </w:pPr>
            <w:r>
              <w:rPr>
                <w:color w:val="auto"/>
                <w:lang w:val="en-US"/>
              </w:rPr>
              <w:t>HR, D plus</w:t>
            </w:r>
            <w:r w:rsidRPr="0009661A">
              <w:rPr>
                <w:color w:val="auto"/>
                <w:lang w:val="en-US"/>
              </w:rPr>
              <w:t xml:space="preserve"> EP </w:t>
            </w:r>
            <w:r>
              <w:rPr>
                <w:color w:val="auto"/>
                <w:lang w:val="en-US"/>
              </w:rPr>
              <w:t>versus</w:t>
            </w:r>
            <w:r w:rsidRPr="0009661A">
              <w:rPr>
                <w:color w:val="auto"/>
                <w:lang w:val="en-US"/>
              </w:rPr>
              <w:t xml:space="preserve"> EP</w:t>
            </w:r>
          </w:p>
        </w:tc>
        <w:tc>
          <w:tcPr>
            <w:tcW w:w="5360" w:type="dxa"/>
            <w:gridSpan w:val="2"/>
            <w:tcBorders>
              <w:top w:val="single" w:sz="4" w:space="0" w:color="auto"/>
            </w:tcBorders>
          </w:tcPr>
          <w:p w14:paraId="01C8C599" w14:textId="77777777" w:rsidR="00B03ED3" w:rsidRPr="00347934" w:rsidRDefault="00B03ED3" w:rsidP="00B03ED3">
            <w:pPr>
              <w:pStyle w:val="Tabletext"/>
              <w:spacing w:before="60" w:after="60" w:line="240" w:lineRule="auto"/>
              <w:ind w:left="0" w:right="0"/>
              <w:jc w:val="center"/>
              <w:rPr>
                <w:color w:val="auto"/>
              </w:rPr>
            </w:pPr>
            <w:r w:rsidRPr="0009661A">
              <w:rPr>
                <w:color w:val="auto"/>
                <w:lang w:val="en-US"/>
              </w:rPr>
              <w:t>0.78</w:t>
            </w:r>
          </w:p>
        </w:tc>
      </w:tr>
      <w:tr w:rsidR="00B03ED3" w:rsidRPr="0029339B" w14:paraId="0040FE74" w14:textId="77777777" w:rsidTr="00B03ED3">
        <w:tc>
          <w:tcPr>
            <w:tcW w:w="2720" w:type="dxa"/>
          </w:tcPr>
          <w:p w14:paraId="59C6D478" w14:textId="77777777" w:rsidR="00B03ED3" w:rsidRPr="0009661A" w:rsidRDefault="00B03ED3" w:rsidP="00B03ED3">
            <w:pPr>
              <w:pStyle w:val="Tabletext"/>
              <w:spacing w:before="60" w:after="60" w:line="240" w:lineRule="auto"/>
              <w:ind w:left="0"/>
              <w:jc w:val="both"/>
              <w:rPr>
                <w:color w:val="auto"/>
                <w:lang w:val="en-US"/>
              </w:rPr>
            </w:pPr>
            <w:r w:rsidRPr="0009661A">
              <w:rPr>
                <w:color w:val="auto"/>
                <w:lang w:val="en-US"/>
              </w:rPr>
              <w:t>95% CI for HR</w:t>
            </w:r>
          </w:p>
        </w:tc>
        <w:tc>
          <w:tcPr>
            <w:tcW w:w="5360" w:type="dxa"/>
            <w:gridSpan w:val="2"/>
          </w:tcPr>
          <w:p w14:paraId="3BD1F216" w14:textId="77777777" w:rsidR="00B03ED3" w:rsidRPr="0009661A" w:rsidRDefault="00B03ED3" w:rsidP="00B03ED3">
            <w:pPr>
              <w:pStyle w:val="Tabletext"/>
              <w:spacing w:before="60" w:after="60" w:line="240" w:lineRule="auto"/>
              <w:jc w:val="center"/>
              <w:rPr>
                <w:color w:val="auto"/>
                <w:lang w:val="en-US"/>
              </w:rPr>
            </w:pPr>
            <w:r>
              <w:rPr>
                <w:color w:val="auto"/>
                <w:lang w:val="en-US"/>
              </w:rPr>
              <w:t>0.645, 0.936</w:t>
            </w:r>
          </w:p>
        </w:tc>
      </w:tr>
      <w:tr w:rsidR="00B03ED3" w:rsidRPr="0029339B" w14:paraId="6055A827" w14:textId="77777777" w:rsidTr="00B03ED3">
        <w:tc>
          <w:tcPr>
            <w:tcW w:w="2720" w:type="dxa"/>
          </w:tcPr>
          <w:p w14:paraId="586E4E0E" w14:textId="77777777" w:rsidR="00B03ED3" w:rsidRPr="0009661A" w:rsidRDefault="00B03ED3" w:rsidP="00B03ED3">
            <w:pPr>
              <w:pStyle w:val="Tabletext"/>
              <w:spacing w:before="60" w:after="60" w:line="240" w:lineRule="auto"/>
              <w:ind w:left="0"/>
              <w:jc w:val="both"/>
              <w:rPr>
                <w:color w:val="auto"/>
                <w:lang w:val="en-US"/>
              </w:rPr>
            </w:pPr>
            <w:r w:rsidRPr="0009661A">
              <w:rPr>
                <w:color w:val="auto"/>
                <w:lang w:val="en-US"/>
              </w:rPr>
              <w:t>Total number of events</w:t>
            </w:r>
          </w:p>
        </w:tc>
        <w:tc>
          <w:tcPr>
            <w:tcW w:w="2525" w:type="dxa"/>
          </w:tcPr>
          <w:p w14:paraId="1AB5457B" w14:textId="77777777" w:rsidR="00B03ED3" w:rsidRPr="0009661A" w:rsidRDefault="00B03ED3" w:rsidP="00B03ED3">
            <w:pPr>
              <w:pStyle w:val="Tabletext"/>
              <w:spacing w:before="60" w:after="60" w:line="240" w:lineRule="auto"/>
              <w:jc w:val="center"/>
              <w:rPr>
                <w:color w:val="auto"/>
                <w:lang w:val="en-US"/>
              </w:rPr>
            </w:pPr>
            <w:r w:rsidRPr="0009661A">
              <w:rPr>
                <w:color w:val="auto"/>
                <w:lang w:val="en-US"/>
              </w:rPr>
              <w:t>226 (84.3%)</w:t>
            </w:r>
          </w:p>
        </w:tc>
        <w:tc>
          <w:tcPr>
            <w:tcW w:w="2835" w:type="dxa"/>
          </w:tcPr>
          <w:p w14:paraId="3737521B" w14:textId="77777777" w:rsidR="00B03ED3" w:rsidRPr="0009661A" w:rsidRDefault="00B03ED3" w:rsidP="00B03ED3">
            <w:pPr>
              <w:pStyle w:val="Tabletext"/>
              <w:spacing w:before="60" w:after="60" w:line="240" w:lineRule="auto"/>
              <w:jc w:val="center"/>
              <w:rPr>
                <w:color w:val="auto"/>
                <w:lang w:val="en-US"/>
              </w:rPr>
            </w:pPr>
            <w:r w:rsidRPr="0009661A">
              <w:rPr>
                <w:color w:val="auto"/>
                <w:lang w:val="en-US"/>
              </w:rPr>
              <w:t>233 (86.6%)</w:t>
            </w:r>
          </w:p>
        </w:tc>
      </w:tr>
      <w:tr w:rsidR="00B03ED3" w:rsidRPr="0029339B" w14:paraId="00E05E53" w14:textId="77777777" w:rsidTr="00B03ED3">
        <w:tc>
          <w:tcPr>
            <w:tcW w:w="2720" w:type="dxa"/>
          </w:tcPr>
          <w:p w14:paraId="5120D1E9" w14:textId="77777777" w:rsidR="00B03ED3" w:rsidRPr="0009661A" w:rsidRDefault="00B03ED3" w:rsidP="00B03ED3">
            <w:pPr>
              <w:pStyle w:val="Tabletext"/>
              <w:spacing w:before="60" w:after="60" w:line="240" w:lineRule="auto"/>
              <w:ind w:left="0" w:right="0"/>
              <w:jc w:val="both"/>
              <w:rPr>
                <w:color w:val="auto"/>
              </w:rPr>
            </w:pPr>
            <w:r w:rsidRPr="0009661A">
              <w:rPr>
                <w:color w:val="auto"/>
                <w:lang w:val="en-US"/>
              </w:rPr>
              <w:t>Median PFS</w:t>
            </w:r>
            <w:r>
              <w:rPr>
                <w:color w:val="auto"/>
                <w:lang w:val="en-US"/>
              </w:rPr>
              <w:t xml:space="preserve"> months </w:t>
            </w:r>
            <w:r w:rsidRPr="0009661A">
              <w:rPr>
                <w:color w:val="auto"/>
                <w:lang w:val="en-US"/>
              </w:rPr>
              <w:t>(95% CI)</w:t>
            </w:r>
          </w:p>
        </w:tc>
        <w:tc>
          <w:tcPr>
            <w:tcW w:w="2525" w:type="dxa"/>
          </w:tcPr>
          <w:p w14:paraId="7321A724" w14:textId="77777777" w:rsidR="00B03ED3" w:rsidRPr="0009661A" w:rsidRDefault="00B03ED3" w:rsidP="00B03ED3">
            <w:pPr>
              <w:pStyle w:val="Tabletext"/>
              <w:spacing w:before="60" w:after="60" w:line="240" w:lineRule="auto"/>
              <w:ind w:left="0" w:right="0"/>
              <w:jc w:val="center"/>
              <w:rPr>
                <w:color w:val="auto"/>
              </w:rPr>
            </w:pPr>
            <w:r w:rsidRPr="0009661A">
              <w:rPr>
                <w:color w:val="auto"/>
                <w:lang w:val="en-US"/>
              </w:rPr>
              <w:t>5.1 (4.7, 6.2)</w:t>
            </w:r>
          </w:p>
        </w:tc>
        <w:tc>
          <w:tcPr>
            <w:tcW w:w="2835" w:type="dxa"/>
          </w:tcPr>
          <w:p w14:paraId="6D160590" w14:textId="77777777" w:rsidR="00B03ED3" w:rsidRPr="0009661A" w:rsidRDefault="00B03ED3" w:rsidP="00B03ED3">
            <w:pPr>
              <w:pStyle w:val="Tabletext"/>
              <w:spacing w:before="60" w:after="60" w:line="240" w:lineRule="auto"/>
              <w:ind w:left="0" w:right="0"/>
              <w:jc w:val="center"/>
              <w:rPr>
                <w:color w:val="auto"/>
              </w:rPr>
            </w:pPr>
            <w:r w:rsidRPr="0009661A">
              <w:rPr>
                <w:color w:val="auto"/>
                <w:lang w:val="en-US"/>
              </w:rPr>
              <w:t>5.4 (4.8, 6.2)</w:t>
            </w:r>
          </w:p>
        </w:tc>
      </w:tr>
      <w:tr w:rsidR="00B03ED3" w:rsidRPr="0029339B" w14:paraId="7B92A474" w14:textId="77777777" w:rsidTr="00B03ED3">
        <w:tc>
          <w:tcPr>
            <w:tcW w:w="2720" w:type="dxa"/>
            <w:tcBorders>
              <w:bottom w:val="single" w:sz="8" w:space="0" w:color="000000" w:themeColor="text1"/>
            </w:tcBorders>
          </w:tcPr>
          <w:p w14:paraId="3A8F571E" w14:textId="77777777" w:rsidR="00B03ED3" w:rsidRPr="0009661A" w:rsidRDefault="00B03ED3" w:rsidP="00B03ED3">
            <w:pPr>
              <w:pStyle w:val="Tabletext"/>
              <w:spacing w:before="60" w:after="60" w:line="240" w:lineRule="auto"/>
              <w:ind w:left="0"/>
              <w:jc w:val="both"/>
              <w:rPr>
                <w:lang w:val="en-US"/>
              </w:rPr>
            </w:pPr>
            <w:r>
              <w:rPr>
                <w:lang w:val="en-US"/>
              </w:rPr>
              <w:t xml:space="preserve">PFS at 6 months </w:t>
            </w:r>
          </w:p>
        </w:tc>
        <w:tc>
          <w:tcPr>
            <w:tcW w:w="2525" w:type="dxa"/>
            <w:tcBorders>
              <w:bottom w:val="single" w:sz="8" w:space="0" w:color="000000" w:themeColor="text1"/>
            </w:tcBorders>
          </w:tcPr>
          <w:p w14:paraId="280DDFE2" w14:textId="77777777" w:rsidR="00B03ED3" w:rsidRPr="0009661A" w:rsidRDefault="00B03ED3" w:rsidP="00B03ED3">
            <w:pPr>
              <w:pStyle w:val="Tabletext"/>
              <w:spacing w:before="60" w:after="60" w:line="240" w:lineRule="auto"/>
              <w:jc w:val="center"/>
              <w:rPr>
                <w:lang w:val="en-US"/>
              </w:rPr>
            </w:pPr>
            <w:r>
              <w:rPr>
                <w:lang w:val="en-US"/>
              </w:rPr>
              <w:t>45.4% (39.3, 51.3)</w:t>
            </w:r>
          </w:p>
        </w:tc>
        <w:tc>
          <w:tcPr>
            <w:tcW w:w="2835" w:type="dxa"/>
            <w:tcBorders>
              <w:bottom w:val="single" w:sz="8" w:space="0" w:color="000000" w:themeColor="text1"/>
            </w:tcBorders>
          </w:tcPr>
          <w:p w14:paraId="3752B911" w14:textId="77777777" w:rsidR="00B03ED3" w:rsidRPr="0009661A" w:rsidRDefault="00B03ED3" w:rsidP="00B03ED3">
            <w:pPr>
              <w:pStyle w:val="Tabletext"/>
              <w:spacing w:before="60" w:after="60" w:line="240" w:lineRule="auto"/>
              <w:jc w:val="center"/>
              <w:rPr>
                <w:lang w:val="en-US"/>
              </w:rPr>
            </w:pPr>
            <w:r>
              <w:rPr>
                <w:lang w:val="en-US"/>
              </w:rPr>
              <w:t>45.6% (39.3, 51.7)</w:t>
            </w:r>
          </w:p>
        </w:tc>
      </w:tr>
      <w:tr w:rsidR="00B03ED3" w:rsidRPr="0029339B" w14:paraId="050D7976" w14:textId="77777777" w:rsidTr="00B03ED3">
        <w:tc>
          <w:tcPr>
            <w:tcW w:w="2720" w:type="dxa"/>
            <w:tcBorders>
              <w:bottom w:val="single" w:sz="8" w:space="0" w:color="000000" w:themeColor="text1"/>
            </w:tcBorders>
          </w:tcPr>
          <w:p w14:paraId="43BBE9D4" w14:textId="77777777" w:rsidR="00B03ED3" w:rsidRPr="0009661A" w:rsidRDefault="00B03ED3" w:rsidP="00B03ED3">
            <w:pPr>
              <w:pStyle w:val="Tabletext"/>
              <w:spacing w:before="60" w:after="60" w:line="240" w:lineRule="auto"/>
              <w:ind w:left="0"/>
              <w:jc w:val="both"/>
              <w:rPr>
                <w:lang w:val="en-US"/>
              </w:rPr>
            </w:pPr>
            <w:r>
              <w:rPr>
                <w:lang w:val="en-US"/>
              </w:rPr>
              <w:t>PFS at 12 months</w:t>
            </w:r>
          </w:p>
        </w:tc>
        <w:tc>
          <w:tcPr>
            <w:tcW w:w="2525" w:type="dxa"/>
            <w:tcBorders>
              <w:bottom w:val="single" w:sz="8" w:space="0" w:color="000000" w:themeColor="text1"/>
            </w:tcBorders>
          </w:tcPr>
          <w:p w14:paraId="1B06553E" w14:textId="77777777" w:rsidR="00B03ED3" w:rsidRPr="0009661A" w:rsidRDefault="00B03ED3" w:rsidP="00B03ED3">
            <w:pPr>
              <w:pStyle w:val="Tabletext"/>
              <w:spacing w:before="60" w:after="60" w:line="240" w:lineRule="auto"/>
              <w:jc w:val="center"/>
              <w:rPr>
                <w:lang w:val="en-US"/>
              </w:rPr>
            </w:pPr>
            <w:r>
              <w:rPr>
                <w:lang w:val="en-US"/>
              </w:rPr>
              <w:t>17.5% (13.1, 22.5)</w:t>
            </w:r>
          </w:p>
        </w:tc>
        <w:tc>
          <w:tcPr>
            <w:tcW w:w="2835" w:type="dxa"/>
            <w:tcBorders>
              <w:bottom w:val="single" w:sz="8" w:space="0" w:color="000000" w:themeColor="text1"/>
            </w:tcBorders>
          </w:tcPr>
          <w:p w14:paraId="5D00DC3A" w14:textId="77777777" w:rsidR="00B03ED3" w:rsidRPr="0009661A" w:rsidRDefault="00B03ED3" w:rsidP="00B03ED3">
            <w:pPr>
              <w:pStyle w:val="Tabletext"/>
              <w:spacing w:before="60" w:after="60" w:line="240" w:lineRule="auto"/>
              <w:jc w:val="center"/>
              <w:rPr>
                <w:lang w:val="en-US"/>
              </w:rPr>
            </w:pPr>
            <w:r>
              <w:rPr>
                <w:lang w:val="en-US"/>
              </w:rPr>
              <w:t>4.7% (2.4, 8.0)</w:t>
            </w:r>
          </w:p>
        </w:tc>
      </w:tr>
    </w:tbl>
    <w:p w14:paraId="7D58FC4E" w14:textId="44AD4C40" w:rsidR="003F3949" w:rsidRDefault="003F3949" w:rsidP="003F3949">
      <w:pPr>
        <w:pStyle w:val="TableDescription"/>
      </w:pPr>
      <w:r>
        <w:t xml:space="preserve">D = </w:t>
      </w:r>
      <w:proofErr w:type="spellStart"/>
      <w:r w:rsidR="007F03DE">
        <w:t>d</w:t>
      </w:r>
      <w:r>
        <w:t>urvalumab</w:t>
      </w:r>
      <w:proofErr w:type="spellEnd"/>
      <w:r>
        <w:t>, E</w:t>
      </w:r>
      <w:r w:rsidR="00A2426C">
        <w:t>P</w:t>
      </w:r>
      <w:r>
        <w:t xml:space="preserve"> = </w:t>
      </w:r>
      <w:r w:rsidR="007F03DE">
        <w:t>e</w:t>
      </w:r>
      <w:r>
        <w:t>toposide and platinum-based chemotherapy</w:t>
      </w:r>
      <w:r w:rsidR="007F03DE">
        <w:t>,</w:t>
      </w:r>
      <w:r>
        <w:t xml:space="preserve"> CI = </w:t>
      </w:r>
      <w:r w:rsidR="007F03DE">
        <w:t>c</w:t>
      </w:r>
      <w:r>
        <w:t>onfidence interval</w:t>
      </w:r>
      <w:r w:rsidR="007F03DE">
        <w:t xml:space="preserve">, </w:t>
      </w:r>
      <w:r>
        <w:t>HR</w:t>
      </w:r>
      <w:r w:rsidR="007F03DE">
        <w:t> </w:t>
      </w:r>
      <w:r>
        <w:t>=</w:t>
      </w:r>
      <w:r w:rsidR="007F03DE">
        <w:t> h</w:t>
      </w:r>
      <w:r>
        <w:t xml:space="preserve">azard ratio, PFS = </w:t>
      </w:r>
      <w:r w:rsidR="007F03DE">
        <w:t>p</w:t>
      </w:r>
      <w:r>
        <w:t>rogression free survival.</w:t>
      </w:r>
    </w:p>
    <w:p w14:paraId="3E096D1E" w14:textId="47531B2D" w:rsidR="00347934" w:rsidRDefault="00347934" w:rsidP="00347934">
      <w:r w:rsidRPr="00347934">
        <w:rPr>
          <w:i/>
        </w:rPr>
        <w:t>Time to subsequent treatment or death</w:t>
      </w:r>
      <w:r w:rsidR="007F03DE">
        <w:t xml:space="preserve">: </w:t>
      </w:r>
      <w:r w:rsidRPr="00347934">
        <w:t xml:space="preserve">Median time to first subsequent </w:t>
      </w:r>
      <w:r w:rsidR="003F3949">
        <w:t>therapy or death: 7.4 months D plus</w:t>
      </w:r>
      <w:r w:rsidRPr="00347934">
        <w:t xml:space="preserve"> EP group; 6.8 months EP group; HR: 0.70 (95% CI: 0.58, 0.84). Median time from progression to first next a</w:t>
      </w:r>
      <w:r w:rsidR="003F3949">
        <w:t>nticancer therapy: 41.0 days D plus</w:t>
      </w:r>
      <w:r w:rsidRPr="00347934">
        <w:t xml:space="preserve"> EP group; 19.0 days EP group.</w:t>
      </w:r>
    </w:p>
    <w:p w14:paraId="0AABFDF4" w14:textId="12F85CD3" w:rsidR="00347934" w:rsidRDefault="00347934" w:rsidP="00347934">
      <w:pPr>
        <w:rPr>
          <w:i/>
        </w:rPr>
      </w:pPr>
      <w:r w:rsidRPr="00347934">
        <w:rPr>
          <w:i/>
        </w:rPr>
        <w:t>Other secondary outcome</w:t>
      </w:r>
      <w:r w:rsidR="007F03DE">
        <w:rPr>
          <w:i/>
        </w:rPr>
        <w:t>,</w:t>
      </w:r>
      <w:r w:rsidR="000C587D">
        <w:rPr>
          <w:i/>
        </w:rPr>
        <w:t xml:space="preserve"> </w:t>
      </w:r>
      <w:r w:rsidR="007F03DE" w:rsidRPr="00347934">
        <w:rPr>
          <w:i/>
        </w:rPr>
        <w:t>overall response rate and duration of response</w:t>
      </w:r>
      <w:r w:rsidR="000C587D">
        <w:rPr>
          <w:i/>
        </w:rPr>
        <w:t>:</w:t>
      </w:r>
    </w:p>
    <w:p w14:paraId="033A3C42" w14:textId="18F8089B" w:rsidR="00347934" w:rsidRDefault="003F3949" w:rsidP="00347934">
      <w:r>
        <w:t>ORR (</w:t>
      </w:r>
      <w:proofErr w:type="spellStart"/>
      <w:r>
        <w:t>Inv</w:t>
      </w:r>
      <w:proofErr w:type="spellEnd"/>
      <w:r>
        <w:t>): D plus</w:t>
      </w:r>
      <w:r w:rsidR="00347934">
        <w:t xml:space="preserve"> EP group 79.5%; EP group 70.3% in the alone group, OR 1.64; (</w:t>
      </w:r>
      <w:r>
        <w:t>95% CI: 1.11, 2.44; p =0.0137).</w:t>
      </w:r>
    </w:p>
    <w:p w14:paraId="6C264F72" w14:textId="5A4664B6" w:rsidR="00347934" w:rsidRDefault="00347934" w:rsidP="00347934">
      <w:r>
        <w:lastRenderedPageBreak/>
        <w:t xml:space="preserve">Median </w:t>
      </w:r>
      <w:r w:rsidR="000C587D">
        <w:t xml:space="preserve">duration of response </w:t>
      </w:r>
      <w:r>
        <w:t>(</w:t>
      </w:r>
      <w:proofErr w:type="spellStart"/>
      <w:r>
        <w:t>DoR</w:t>
      </w:r>
      <w:proofErr w:type="spellEnd"/>
      <w:r>
        <w:t xml:space="preserve">) was </w:t>
      </w:r>
      <w:r w:rsidR="004E0C87">
        <w:t>4.8</w:t>
      </w:r>
      <w:r>
        <w:t xml:space="preserve"> months in both groups. At 12 months the proportion of patients remaining </w:t>
      </w:r>
      <w:r w:rsidR="003F3949">
        <w:t>in response was 22.7% in the D plus</w:t>
      </w:r>
      <w:r>
        <w:t xml:space="preserve"> EP group </w:t>
      </w:r>
      <w:r w:rsidR="003E1D32">
        <w:t>versus</w:t>
      </w:r>
      <w:r>
        <w:t xml:space="preserve"> 6.3% in the EP group, a</w:t>
      </w:r>
      <w:r w:rsidR="003F3949">
        <w:t>nd at 15 months it was 19.9% D plus</w:t>
      </w:r>
      <w:r>
        <w:t xml:space="preserve"> EP group </w:t>
      </w:r>
      <w:r w:rsidR="003E1D32">
        <w:t>versus</w:t>
      </w:r>
      <w:r>
        <w:t xml:space="preserve"> 2.1% in the EP group. At the data cu</w:t>
      </w:r>
      <w:r w:rsidR="003F3949">
        <w:t>t of January 2020 16% of the D plus</w:t>
      </w:r>
      <w:r>
        <w:t xml:space="preserve"> EP group were still on </w:t>
      </w:r>
      <w:proofErr w:type="spellStart"/>
      <w:r>
        <w:t>durvalumab</w:t>
      </w:r>
      <w:proofErr w:type="spellEnd"/>
      <w:r>
        <w:t>.</w:t>
      </w:r>
    </w:p>
    <w:p w14:paraId="14C2AD59" w14:textId="77777777" w:rsidR="00347934" w:rsidRDefault="00347934" w:rsidP="00347934">
      <w:r>
        <w:t xml:space="preserve">Post-discontinuation anti-cancer treatment was administered to 43.2% of patients, and was similar in both treatment groups: 41.3% received chemotherapy and 3.5% received an immunotherapy. Post-discontinuation radiotherapy was received by </w:t>
      </w:r>
      <w:r w:rsidR="003F3949">
        <w:t>25.7% in the D plus</w:t>
      </w:r>
      <w:r>
        <w:t xml:space="preserve"> EP group and 37.9% of the EP group. After disease progression, radiotherapy was rece</w:t>
      </w:r>
      <w:r w:rsidR="003F3949">
        <w:t>ived by 1.9% patients in the D plus</w:t>
      </w:r>
      <w:r>
        <w:t xml:space="preserve"> EP group and 13.8% of the EP group.</w:t>
      </w:r>
    </w:p>
    <w:p w14:paraId="0B80ED27" w14:textId="59929260" w:rsidR="00B36BAD" w:rsidRPr="00624E0A" w:rsidRDefault="00B36BAD" w:rsidP="00EB0DC3">
      <w:pPr>
        <w:pStyle w:val="Heading5"/>
        <w:rPr>
          <w:rStyle w:val="Heading6Char"/>
          <w:bCs/>
          <w:i/>
        </w:rPr>
      </w:pPr>
      <w:r w:rsidRPr="00624E0A">
        <w:rPr>
          <w:rStyle w:val="Heading6Char"/>
        </w:rPr>
        <w:t>St</w:t>
      </w:r>
      <w:r>
        <w:rPr>
          <w:rStyle w:val="Heading6Char"/>
        </w:rPr>
        <w:t>udy 1108</w:t>
      </w:r>
      <w:r w:rsidR="000C587D">
        <w:rPr>
          <w:rStyle w:val="Heading6Char"/>
        </w:rPr>
        <w:t xml:space="preserve"> (supportive study)</w:t>
      </w:r>
    </w:p>
    <w:p w14:paraId="6C169F06" w14:textId="564524BF" w:rsidR="00347934" w:rsidRDefault="003F3949" w:rsidP="00B36BAD">
      <w:r>
        <w:t>This Phase I/II</w:t>
      </w:r>
      <w:r w:rsidR="00B36BAD" w:rsidRPr="00B36BAD">
        <w:t xml:space="preserve">, open-label, first-in-human, dose escalation/exploration, dose expansion study of </w:t>
      </w:r>
      <w:proofErr w:type="spellStart"/>
      <w:r w:rsidR="00B36BAD" w:rsidRPr="00B36BAD">
        <w:t>durvalumab</w:t>
      </w:r>
      <w:proofErr w:type="spellEnd"/>
      <w:r w:rsidR="00B36BAD" w:rsidRPr="00B36BAD">
        <w:t xml:space="preserve"> monotherapy in 1,022 patients with solid tumours provided results </w:t>
      </w:r>
      <w:r>
        <w:t>from a 21 patient SCLC cohort. In the dose-escalation and</w:t>
      </w:r>
      <w:r w:rsidR="00B36BAD" w:rsidRPr="00B36BAD">
        <w:t xml:space="preserve">-exploration phases, patients received IV doses of 0.1 to 10 mg/kg </w:t>
      </w:r>
      <w:proofErr w:type="spellStart"/>
      <w:r w:rsidR="00B36BAD" w:rsidRPr="00B36BAD">
        <w:t>durvalumab</w:t>
      </w:r>
      <w:proofErr w:type="spellEnd"/>
      <w:r w:rsidR="00B36BAD" w:rsidRPr="00B36BAD">
        <w:t xml:space="preserve"> Q2W and 15 mg/kg Q3W; and 20 mg/kg Q4W. In the dose-expansion phase the dose was 10 mg/kg </w:t>
      </w:r>
      <w:proofErr w:type="spellStart"/>
      <w:r w:rsidR="00B36BAD" w:rsidRPr="00B36BAD">
        <w:t>durvalumab</w:t>
      </w:r>
      <w:proofErr w:type="spellEnd"/>
      <w:r w:rsidR="00B36BAD" w:rsidRPr="00B36BAD">
        <w:t xml:space="preserve"> IV Q2W for up to 12 months. The efficacy endpoint in the dose-expansion phase was ORR (RECIST</w:t>
      </w:r>
      <w:r>
        <w:t>;</w:t>
      </w:r>
      <w:r>
        <w:fldChar w:fldCharType="begin"/>
      </w:r>
      <w:r>
        <w:instrText xml:space="preserve"> NOTEREF _Ref62814985 \f \h </w:instrText>
      </w:r>
      <w:r>
        <w:fldChar w:fldCharType="separate"/>
      </w:r>
      <w:r w:rsidR="00130E57" w:rsidRPr="00130E57">
        <w:rPr>
          <w:rStyle w:val="FootnoteReference"/>
        </w:rPr>
        <w:t>10</w:t>
      </w:r>
      <w:r>
        <w:fldChar w:fldCharType="end"/>
      </w:r>
      <w:r w:rsidR="00B36BAD" w:rsidRPr="00B36BAD">
        <w:t xml:space="preserve"> v</w:t>
      </w:r>
      <w:r>
        <w:t xml:space="preserve">ersion </w:t>
      </w:r>
      <w:r w:rsidR="00B36BAD" w:rsidRPr="00B36BAD">
        <w:t xml:space="preserve">1.1 by </w:t>
      </w:r>
      <w:r>
        <w:t>blinded i</w:t>
      </w:r>
      <w:r w:rsidRPr="006974B2">
        <w:t>ndependent</w:t>
      </w:r>
      <w:r>
        <w:t xml:space="preserve"> central r</w:t>
      </w:r>
      <w:r w:rsidRPr="006974B2">
        <w:t>eview</w:t>
      </w:r>
      <w:r w:rsidRPr="00B36BAD">
        <w:t xml:space="preserve"> </w:t>
      </w:r>
      <w:r>
        <w:t>(</w:t>
      </w:r>
      <w:r w:rsidR="00B36BAD" w:rsidRPr="00B36BAD">
        <w:t>BICR</w:t>
      </w:r>
      <w:r>
        <w:t>)</w:t>
      </w:r>
      <w:r w:rsidR="00B36BAD" w:rsidRPr="00B36BAD">
        <w:t xml:space="preserve">): 9.5% (95% CI: 1.2, 30.4). The median time to response was 3.4 months (range: 1.3 to 5.5 months), but the median </w:t>
      </w:r>
      <w:proofErr w:type="spellStart"/>
      <w:r w:rsidR="00B36BAD" w:rsidRPr="00B36BAD">
        <w:t>DoR</w:t>
      </w:r>
      <w:proofErr w:type="spellEnd"/>
      <w:r w:rsidR="00B36BAD" w:rsidRPr="00B36BAD">
        <w:t xml:space="preserve"> </w:t>
      </w:r>
      <w:r w:rsidR="00DE358B">
        <w:t>was not reached (non</w:t>
      </w:r>
      <w:r w:rsidR="00BF5D25">
        <w:t>-</w:t>
      </w:r>
      <w:r w:rsidR="00DE358B">
        <w:t>responder (NR)</w:t>
      </w:r>
      <w:r w:rsidR="00B36BAD" w:rsidRPr="00B36BAD">
        <w:t>; 95% CI: 14.6, NR). Median PFS (</w:t>
      </w:r>
      <w:proofErr w:type="spellStart"/>
      <w:r w:rsidR="00B36BAD" w:rsidRPr="00B36BAD">
        <w:t>Inv</w:t>
      </w:r>
      <w:proofErr w:type="spellEnd"/>
      <w:r w:rsidR="00B36BAD" w:rsidRPr="00B36BAD">
        <w:t>) was 1.5 months (95% CI: 0.9, 1.8) with a 12-month PFS of 14.3% (95% CI: 3.6, 32.1). Median OS was 4.8 months (95% CI: 1.3, 10.4) with a 12-month OS of 27.6% (95% CI: 10.2, 48.4).</w:t>
      </w:r>
    </w:p>
    <w:p w14:paraId="3ADF8950" w14:textId="77777777" w:rsidR="00B36BAD" w:rsidRDefault="00B36BAD" w:rsidP="00B36BAD">
      <w:pPr>
        <w:pStyle w:val="Heading4"/>
      </w:pPr>
      <w:r>
        <w:t>Safety</w:t>
      </w:r>
    </w:p>
    <w:p w14:paraId="2CA39DB4" w14:textId="77777777" w:rsidR="00B36BAD" w:rsidRDefault="00B36BAD" w:rsidP="00B36BAD">
      <w:r w:rsidRPr="00B36BAD">
        <w:t>Safety data f</w:t>
      </w:r>
      <w:r w:rsidR="00DE358B">
        <w:t>rom the D plus</w:t>
      </w:r>
      <w:r w:rsidRPr="00B36BAD">
        <w:t xml:space="preserve"> EP </w:t>
      </w:r>
      <w:r w:rsidR="00DE358B">
        <w:t>and EP arms of the CASPIAN trial</w:t>
      </w:r>
      <w:r w:rsidRPr="00B36BAD">
        <w:t xml:space="preserve"> was supplemented by an integrated safety set from a pan-tumour </w:t>
      </w:r>
      <w:proofErr w:type="spellStart"/>
      <w:r w:rsidRPr="00B36BAD">
        <w:t>durvalumab</w:t>
      </w:r>
      <w:proofErr w:type="spellEnd"/>
      <w:r w:rsidRPr="00B36BAD">
        <w:t xml:space="preserve"> monotherapy </w:t>
      </w:r>
      <w:r>
        <w:t>pool that included nine safety data</w:t>
      </w:r>
      <w:r w:rsidRPr="00B36BAD">
        <w:t xml:space="preserve"> studies.</w:t>
      </w:r>
    </w:p>
    <w:p w14:paraId="1BE5BB7D" w14:textId="77777777" w:rsidR="00B36BAD" w:rsidRDefault="00B36BAD" w:rsidP="00B36BAD">
      <w:pPr>
        <w:pStyle w:val="Heading5"/>
      </w:pPr>
      <w:r>
        <w:t>Exposure</w:t>
      </w:r>
    </w:p>
    <w:p w14:paraId="57566D9F" w14:textId="77777777" w:rsidR="00B36BAD" w:rsidRDefault="00B36BAD" w:rsidP="00B36BAD">
      <w:pPr>
        <w:rPr>
          <w:lang w:eastAsia="ja-JP"/>
        </w:rPr>
      </w:pPr>
      <w:r>
        <w:t xml:space="preserve">The </w:t>
      </w:r>
      <w:r w:rsidR="00131855">
        <w:t>CASPIAN trial</w:t>
      </w:r>
      <w:r>
        <w:t xml:space="preserve"> d</w:t>
      </w:r>
      <w:r w:rsidR="00DE358B">
        <w:t xml:space="preserve">ata inform the safety of the D plus </w:t>
      </w:r>
      <w:r>
        <w:t>EP combination form 265 pa</w:t>
      </w:r>
      <w:r w:rsidR="00DE358B">
        <w:t xml:space="preserve">tients, with a median range of </w:t>
      </w:r>
      <w:r>
        <w:t xml:space="preserve">exposure duration of 28 weeks (range 0.3 to 94.3 weeks), and a median of 7 infusions (range 1 to 25) and with 20% of patients exposed to more than 12 treatment infusions. The </w:t>
      </w:r>
      <w:proofErr w:type="spellStart"/>
      <w:r>
        <w:t>durvalumab</w:t>
      </w:r>
      <w:proofErr w:type="spellEnd"/>
      <w:r>
        <w:t xml:space="preserve"> monotherapy pool included data from 3006 subjects who received at least one dose of </w:t>
      </w:r>
      <w:proofErr w:type="spellStart"/>
      <w:r>
        <w:t>durvalumab</w:t>
      </w:r>
      <w:proofErr w:type="spellEnd"/>
      <w:r>
        <w:t xml:space="preserve"> given at 10</w:t>
      </w:r>
      <w:r w:rsidR="00DE358B">
        <w:t xml:space="preserve"> </w:t>
      </w:r>
      <w:r>
        <w:t>mg/kg Q2W or 20 mg/kg Q4W IV for any line of therapy. These patients had a median</w:t>
      </w:r>
      <w:r w:rsidR="00DE358B">
        <w:t xml:space="preserve"> exposure of 16 weeks (range 0 to</w:t>
      </w:r>
      <w:r>
        <w:t xml:space="preserve"> 152). </w:t>
      </w:r>
      <w:r w:rsidRPr="00ED1904">
        <w:rPr>
          <w:lang w:eastAsia="ja-JP"/>
        </w:rPr>
        <w:t>The median duration of EP exposure was 11.9 weeks, 12.1 weeks, and 12.1 weeks, for the etoposide, carboplatin and cis</w:t>
      </w:r>
      <w:r>
        <w:rPr>
          <w:lang w:eastAsia="ja-JP"/>
        </w:rPr>
        <w:t xml:space="preserve">platin components, respectively </w:t>
      </w:r>
      <w:r w:rsidR="00DE358B">
        <w:rPr>
          <w:lang w:eastAsia="ja-JP"/>
        </w:rPr>
        <w:t>in the D plus</w:t>
      </w:r>
      <w:r w:rsidRPr="00ED1904">
        <w:rPr>
          <w:lang w:eastAsia="ja-JP"/>
        </w:rPr>
        <w:t xml:space="preserve"> EP group </w:t>
      </w:r>
      <w:r>
        <w:rPr>
          <w:lang w:eastAsia="ja-JP"/>
        </w:rPr>
        <w:t xml:space="preserve">and </w:t>
      </w:r>
      <w:r w:rsidRPr="00ED1904">
        <w:rPr>
          <w:lang w:eastAsia="ja-JP"/>
        </w:rPr>
        <w:t xml:space="preserve">18.7 weeks, 19.0 weeks, and 14.0 weeks, for the etoposide, carboplatin and cisplatin components, respectively in the EP </w:t>
      </w:r>
      <w:r>
        <w:rPr>
          <w:lang w:eastAsia="ja-JP"/>
        </w:rPr>
        <w:t>group</w:t>
      </w:r>
      <w:r w:rsidRPr="00ED1904">
        <w:rPr>
          <w:lang w:eastAsia="ja-JP"/>
        </w:rPr>
        <w:t>.</w:t>
      </w:r>
    </w:p>
    <w:p w14:paraId="29B843FB" w14:textId="67065B2B" w:rsidR="00B36BAD" w:rsidRDefault="00B36BAD" w:rsidP="00B36BAD">
      <w:r>
        <w:t xml:space="preserve">The </w:t>
      </w:r>
      <w:r w:rsidR="005F57E5">
        <w:t>periodic benefit risk evaluation r</w:t>
      </w:r>
      <w:r w:rsidR="005F57E5" w:rsidRPr="005F57E5">
        <w:t xml:space="preserve">eport </w:t>
      </w:r>
      <w:r w:rsidR="005F57E5">
        <w:t>(</w:t>
      </w:r>
      <w:r>
        <w:t>PBRER</w:t>
      </w:r>
      <w:r w:rsidR="005F57E5">
        <w:t>)</w:t>
      </w:r>
      <w:r>
        <w:t xml:space="preserve"> dated</w:t>
      </w:r>
      <w:r w:rsidR="005F57E5">
        <w:t xml:space="preserve"> 15 June 2020</w:t>
      </w:r>
      <w:r>
        <w:t xml:space="preserve"> states 9</w:t>
      </w:r>
      <w:r w:rsidR="00906DBC">
        <w:t>,</w:t>
      </w:r>
      <w:r>
        <w:t xml:space="preserve">641 patients have received </w:t>
      </w:r>
      <w:proofErr w:type="spellStart"/>
      <w:r>
        <w:t>durvalumab</w:t>
      </w:r>
      <w:proofErr w:type="spellEnd"/>
      <w:r>
        <w:t xml:space="preserve"> in AstraZeneca or Medimmune</w:t>
      </w:r>
      <w:r w:rsidR="00906DBC">
        <w:t xml:space="preserve"> (sponsor or sponsor subsidiary)</w:t>
      </w:r>
      <w:r>
        <w:t xml:space="preserve"> sponsored interventional studies in multiple tumours, stages of disease, and lines of therapy, including 4,296 patients who received </w:t>
      </w:r>
      <w:proofErr w:type="spellStart"/>
      <w:r>
        <w:t>durvalumab</w:t>
      </w:r>
      <w:proofErr w:type="spellEnd"/>
      <w:r>
        <w:t xml:space="preserve"> monotherapy, 2,910 who received </w:t>
      </w:r>
      <w:proofErr w:type="spellStart"/>
      <w:r>
        <w:t>durvalumab</w:t>
      </w:r>
      <w:proofErr w:type="spellEnd"/>
      <w:r>
        <w:t xml:space="preserve"> in combination with an investigational and/or approved product, and 2,435 in combination with </w:t>
      </w:r>
      <w:proofErr w:type="spellStart"/>
      <w:r>
        <w:t>tremelimumab</w:t>
      </w:r>
      <w:proofErr w:type="spellEnd"/>
      <w:r>
        <w:t>. An</w:t>
      </w:r>
      <w:r w:rsidRPr="005D0E99">
        <w:t xml:space="preserve"> </w:t>
      </w:r>
      <w:r w:rsidR="005F57E5">
        <w:t>expanded access p</w:t>
      </w:r>
      <w:r>
        <w:t xml:space="preserve">rogram for </w:t>
      </w:r>
      <w:proofErr w:type="spellStart"/>
      <w:r>
        <w:t>durvalumab</w:t>
      </w:r>
      <w:proofErr w:type="spellEnd"/>
      <w:r>
        <w:t xml:space="preserve"> in combination with platinum and etoposide for the first-line treatment of ES</w:t>
      </w:r>
      <w:r w:rsidR="00906DBC">
        <w:noBreakHyphen/>
      </w:r>
      <w:r>
        <w:t>SCLC has enrolled 156 patients.</w:t>
      </w:r>
    </w:p>
    <w:p w14:paraId="1D14B825" w14:textId="77777777" w:rsidR="00B36BAD" w:rsidRDefault="00B36BAD" w:rsidP="00B36BAD">
      <w:pPr>
        <w:pStyle w:val="Heading5"/>
      </w:pPr>
      <w:r>
        <w:lastRenderedPageBreak/>
        <w:t>Overview of adverse events</w:t>
      </w:r>
    </w:p>
    <w:p w14:paraId="4B0B2F53" w14:textId="752A2A1E" w:rsidR="00360B04" w:rsidRDefault="00360B04" w:rsidP="00360B04">
      <w:pPr>
        <w:pStyle w:val="TableTitle"/>
      </w:pPr>
      <w:bookmarkStart w:id="50" w:name="_Ref67306813"/>
      <w:r w:rsidRPr="00B36BAD">
        <w:t xml:space="preserve">Table </w:t>
      </w:r>
      <w:r w:rsidR="0083053B">
        <w:fldChar w:fldCharType="begin"/>
      </w:r>
      <w:r w:rsidR="0083053B">
        <w:instrText xml:space="preserve"> SEQ Table \* ARABIC </w:instrText>
      </w:r>
      <w:r w:rsidR="0083053B">
        <w:fldChar w:fldCharType="separate"/>
      </w:r>
      <w:r w:rsidR="00130E57">
        <w:rPr>
          <w:noProof/>
        </w:rPr>
        <w:t>8</w:t>
      </w:r>
      <w:r w:rsidR="0083053B">
        <w:rPr>
          <w:noProof/>
        </w:rPr>
        <w:fldChar w:fldCharType="end"/>
      </w:r>
      <w:bookmarkEnd w:id="50"/>
      <w:r>
        <w:t>: The CASPIAN trial</w:t>
      </w:r>
      <w:r w:rsidR="00906DBC">
        <w:t>;</w:t>
      </w:r>
      <w:r>
        <w:t xml:space="preserve"> selected summary of safety parameter</w:t>
      </w:r>
      <w:r w:rsidR="00906DBC">
        <w:t>s</w:t>
      </w:r>
    </w:p>
    <w:tbl>
      <w:tblPr>
        <w:tblStyle w:val="TableTGAblue"/>
        <w:tblW w:w="5000" w:type="pct"/>
        <w:tblLook w:val="04A0" w:firstRow="1" w:lastRow="0" w:firstColumn="1" w:lastColumn="0" w:noHBand="0" w:noVBand="1"/>
      </w:tblPr>
      <w:tblGrid>
        <w:gridCol w:w="2336"/>
        <w:gridCol w:w="2096"/>
        <w:gridCol w:w="2077"/>
        <w:gridCol w:w="1975"/>
      </w:tblGrid>
      <w:tr w:rsidR="005F1460" w:rsidRPr="0029339B" w14:paraId="01162ADA" w14:textId="77777777" w:rsidTr="00EB0DC3">
        <w:trPr>
          <w:cnfStyle w:val="100000000000" w:firstRow="1" w:lastRow="0" w:firstColumn="0" w:lastColumn="0" w:oddVBand="0" w:evenVBand="0" w:oddHBand="0" w:evenHBand="0" w:firstRowFirstColumn="0" w:firstRowLastColumn="0" w:lastRowFirstColumn="0" w:lastRowLastColumn="0"/>
          <w:trHeight w:val="502"/>
        </w:trPr>
        <w:tc>
          <w:tcPr>
            <w:tcW w:w="1377" w:type="pct"/>
            <w:vMerge w:val="restart"/>
            <w:tcBorders>
              <w:top w:val="single" w:sz="8" w:space="0" w:color="auto"/>
              <w:left w:val="single" w:sz="8" w:space="0" w:color="auto"/>
              <w:bottom w:val="nil"/>
              <w:right w:val="single" w:sz="4" w:space="0" w:color="auto"/>
            </w:tcBorders>
          </w:tcPr>
          <w:p w14:paraId="0723507B" w14:textId="77777777" w:rsidR="005F1460" w:rsidRPr="0029339B" w:rsidRDefault="005F1460" w:rsidP="00F30846">
            <w:pPr>
              <w:pStyle w:val="Tabletext"/>
              <w:spacing w:before="0" w:after="0" w:line="240" w:lineRule="auto"/>
              <w:ind w:left="0" w:right="0"/>
              <w:rPr>
                <w:color w:val="9160CB" w:themeColor="accent5" w:themeTint="99"/>
              </w:rPr>
            </w:pPr>
          </w:p>
        </w:tc>
        <w:tc>
          <w:tcPr>
            <w:tcW w:w="2459" w:type="pct"/>
            <w:gridSpan w:val="2"/>
            <w:tcBorders>
              <w:top w:val="single" w:sz="8" w:space="0" w:color="auto"/>
              <w:left w:val="single" w:sz="4" w:space="0" w:color="auto"/>
              <w:bottom w:val="single" w:sz="8" w:space="0" w:color="auto"/>
              <w:right w:val="single" w:sz="8" w:space="0" w:color="auto"/>
            </w:tcBorders>
          </w:tcPr>
          <w:p w14:paraId="70D3438A" w14:textId="77777777" w:rsidR="005F1460" w:rsidRPr="00EB0DC3" w:rsidRDefault="005F1460" w:rsidP="00F30846">
            <w:pPr>
              <w:pStyle w:val="Tabletext"/>
              <w:spacing w:before="60" w:after="60" w:line="240" w:lineRule="auto"/>
              <w:jc w:val="center"/>
              <w:rPr>
                <w:lang w:eastAsia="ja-JP"/>
              </w:rPr>
            </w:pPr>
            <w:r w:rsidRPr="00906DBC">
              <w:rPr>
                <w:lang w:eastAsia="ja-JP"/>
              </w:rPr>
              <w:t>CASPIAN trial, (n = 531)</w:t>
            </w:r>
          </w:p>
        </w:tc>
        <w:tc>
          <w:tcPr>
            <w:tcW w:w="1164" w:type="pct"/>
            <w:vMerge w:val="restart"/>
            <w:tcBorders>
              <w:top w:val="single" w:sz="8" w:space="0" w:color="auto"/>
              <w:left w:val="single" w:sz="8" w:space="0" w:color="auto"/>
              <w:bottom w:val="nil"/>
              <w:right w:val="single" w:sz="8" w:space="0" w:color="auto"/>
            </w:tcBorders>
          </w:tcPr>
          <w:p w14:paraId="73D3028F" w14:textId="77777777" w:rsidR="005F1460" w:rsidRPr="00C73079" w:rsidRDefault="005F1460" w:rsidP="00F30846">
            <w:pPr>
              <w:pStyle w:val="Tabletext"/>
              <w:spacing w:before="60" w:after="60" w:line="240" w:lineRule="auto"/>
              <w:ind w:left="0"/>
              <w:rPr>
                <w:b w:val="0"/>
                <w:lang w:eastAsia="ja-JP"/>
              </w:rPr>
            </w:pPr>
            <w:r w:rsidRPr="00C73079">
              <w:rPr>
                <w:b w:val="0"/>
                <w:lang w:eastAsia="ja-JP"/>
              </w:rPr>
              <w:t>D pan-tumour</w:t>
            </w:r>
            <w:r>
              <w:rPr>
                <w:b w:val="0"/>
                <w:lang w:eastAsia="ja-JP"/>
              </w:rPr>
              <w:t xml:space="preserve"> (Monotherapy pool), (n </w:t>
            </w:r>
            <w:r w:rsidRPr="00C73079">
              <w:rPr>
                <w:b w:val="0"/>
                <w:lang w:eastAsia="ja-JP"/>
              </w:rPr>
              <w:t>=</w:t>
            </w:r>
            <w:r>
              <w:rPr>
                <w:b w:val="0"/>
                <w:lang w:eastAsia="ja-JP"/>
              </w:rPr>
              <w:t xml:space="preserve"> </w:t>
            </w:r>
            <w:r w:rsidRPr="00C73079">
              <w:rPr>
                <w:b w:val="0"/>
                <w:lang w:eastAsia="ja-JP"/>
              </w:rPr>
              <w:t>3,006)</w:t>
            </w:r>
          </w:p>
        </w:tc>
      </w:tr>
      <w:tr w:rsidR="00396123" w14:paraId="0755B458" w14:textId="77777777" w:rsidTr="00906DBC">
        <w:trPr>
          <w:trHeight w:val="893"/>
        </w:trPr>
        <w:tc>
          <w:tcPr>
            <w:tcW w:w="1377" w:type="pct"/>
            <w:vMerge/>
            <w:tcBorders>
              <w:top w:val="nil"/>
              <w:left w:val="single" w:sz="4" w:space="0" w:color="auto"/>
              <w:bottom w:val="single" w:sz="4" w:space="0" w:color="auto"/>
              <w:right w:val="single" w:sz="4" w:space="0" w:color="auto"/>
            </w:tcBorders>
          </w:tcPr>
          <w:p w14:paraId="4A76AD42" w14:textId="77777777" w:rsidR="005F1460" w:rsidRPr="00C73079" w:rsidRDefault="005F1460" w:rsidP="00FC6E30">
            <w:pPr>
              <w:pStyle w:val="Tabletext"/>
              <w:keepNext/>
              <w:rPr>
                <w:lang w:eastAsia="ja-JP"/>
              </w:rPr>
            </w:pPr>
          </w:p>
        </w:tc>
        <w:tc>
          <w:tcPr>
            <w:tcW w:w="1235" w:type="pct"/>
            <w:tcBorders>
              <w:top w:val="single" w:sz="8" w:space="0" w:color="auto"/>
              <w:left w:val="single" w:sz="4" w:space="0" w:color="auto"/>
              <w:bottom w:val="single" w:sz="4" w:space="0" w:color="auto"/>
              <w:right w:val="single" w:sz="4" w:space="0" w:color="auto"/>
            </w:tcBorders>
            <w:shd w:val="clear" w:color="auto" w:fill="006DA7"/>
          </w:tcPr>
          <w:p w14:paraId="45E1A26E" w14:textId="56D7C780" w:rsidR="005F1460" w:rsidRPr="00EB0DC3" w:rsidRDefault="005F1460" w:rsidP="00FC6E30">
            <w:pPr>
              <w:pStyle w:val="Tabletext"/>
              <w:keepNext/>
              <w:ind w:left="0"/>
              <w:rPr>
                <w:b/>
                <w:color w:val="FFFFFF" w:themeColor="background1"/>
                <w:lang w:eastAsia="ja-JP"/>
              </w:rPr>
            </w:pPr>
            <w:r w:rsidRPr="00EB0DC3">
              <w:rPr>
                <w:b/>
                <w:color w:val="FFFFFF" w:themeColor="background1"/>
                <w:lang w:eastAsia="ja-JP"/>
              </w:rPr>
              <w:t>D plus EP,  (n = 265)</w:t>
            </w:r>
          </w:p>
          <w:p w14:paraId="7C213903" w14:textId="77777777" w:rsidR="005F1460" w:rsidRPr="00EB0DC3" w:rsidRDefault="005F1460" w:rsidP="00FC6E30">
            <w:pPr>
              <w:pStyle w:val="Tabletext"/>
              <w:keepNext/>
              <w:ind w:left="0"/>
              <w:rPr>
                <w:b/>
                <w:color w:val="FFFFFF" w:themeColor="background1"/>
                <w:lang w:eastAsia="ja-JP"/>
              </w:rPr>
            </w:pPr>
            <w:r w:rsidRPr="00EB0DC3">
              <w:rPr>
                <w:b/>
                <w:color w:val="FFFFFF" w:themeColor="background1"/>
                <w:lang w:eastAsia="ja-JP"/>
              </w:rPr>
              <w:t>Median number of EP cycles = 4</w:t>
            </w:r>
          </w:p>
        </w:tc>
        <w:tc>
          <w:tcPr>
            <w:tcW w:w="1224" w:type="pct"/>
            <w:tcBorders>
              <w:top w:val="single" w:sz="8" w:space="0" w:color="auto"/>
              <w:left w:val="single" w:sz="4" w:space="0" w:color="auto"/>
              <w:bottom w:val="single" w:sz="4" w:space="0" w:color="auto"/>
              <w:right w:val="single" w:sz="8" w:space="0" w:color="auto"/>
            </w:tcBorders>
            <w:shd w:val="clear" w:color="auto" w:fill="006DA7"/>
          </w:tcPr>
          <w:p w14:paraId="21952D3D" w14:textId="0D18DC37" w:rsidR="005F1460" w:rsidRPr="00EB0DC3" w:rsidRDefault="005F1460" w:rsidP="00FC6E30">
            <w:pPr>
              <w:pStyle w:val="Tabletext"/>
              <w:keepNext/>
              <w:ind w:left="0"/>
              <w:rPr>
                <w:b/>
                <w:color w:val="FFFFFF" w:themeColor="background1"/>
                <w:lang w:eastAsia="ja-JP"/>
              </w:rPr>
            </w:pPr>
            <w:r w:rsidRPr="00EB0DC3">
              <w:rPr>
                <w:b/>
                <w:color w:val="FFFFFF" w:themeColor="background1"/>
                <w:lang w:eastAsia="ja-JP"/>
              </w:rPr>
              <w:t>EP, (n = 266)</w:t>
            </w:r>
          </w:p>
          <w:p w14:paraId="72F54E74" w14:textId="77777777" w:rsidR="005F1460" w:rsidRPr="00EB0DC3" w:rsidRDefault="005F1460" w:rsidP="00FC6E30">
            <w:pPr>
              <w:pStyle w:val="Tabletext"/>
              <w:keepNext/>
              <w:ind w:left="0"/>
              <w:rPr>
                <w:b/>
                <w:color w:val="FFFFFF" w:themeColor="background1"/>
                <w:lang w:eastAsia="ja-JP"/>
              </w:rPr>
            </w:pPr>
            <w:r w:rsidRPr="00EB0DC3">
              <w:rPr>
                <w:b/>
                <w:color w:val="FFFFFF" w:themeColor="background1"/>
                <w:lang w:eastAsia="ja-JP"/>
              </w:rPr>
              <w:t>Median number of EP cycles = 6</w:t>
            </w:r>
          </w:p>
        </w:tc>
        <w:tc>
          <w:tcPr>
            <w:tcW w:w="1164" w:type="pct"/>
            <w:vMerge/>
            <w:tcBorders>
              <w:top w:val="nil"/>
              <w:left w:val="single" w:sz="8" w:space="0" w:color="auto"/>
              <w:bottom w:val="nil"/>
              <w:right w:val="single" w:sz="8" w:space="0" w:color="auto"/>
            </w:tcBorders>
          </w:tcPr>
          <w:p w14:paraId="47CFBB6A" w14:textId="77777777" w:rsidR="005F1460" w:rsidRDefault="005F1460" w:rsidP="00FC6E30">
            <w:pPr>
              <w:pStyle w:val="Tabletext"/>
              <w:keepNext/>
              <w:jc w:val="center"/>
              <w:rPr>
                <w:i/>
                <w:lang w:eastAsia="ja-JP"/>
              </w:rPr>
            </w:pPr>
          </w:p>
        </w:tc>
      </w:tr>
      <w:tr w:rsidR="00360B04" w:rsidRPr="0029339B" w14:paraId="5AD7B4BE" w14:textId="77777777" w:rsidTr="00EB0DC3">
        <w:tc>
          <w:tcPr>
            <w:tcW w:w="3836" w:type="pct"/>
            <w:gridSpan w:val="3"/>
          </w:tcPr>
          <w:p w14:paraId="7DF4377B" w14:textId="77777777" w:rsidR="00360B04" w:rsidRPr="00623402" w:rsidRDefault="00360B04" w:rsidP="00F30846">
            <w:pPr>
              <w:pStyle w:val="Tabletext"/>
              <w:keepNext/>
              <w:spacing w:before="60" w:after="60" w:line="240" w:lineRule="auto"/>
              <w:rPr>
                <w:b/>
                <w:color w:val="auto"/>
                <w:sz w:val="14"/>
                <w:highlight w:val="black"/>
              </w:rPr>
            </w:pPr>
            <w:r w:rsidRPr="00623402">
              <w:rPr>
                <w:b/>
                <w:color w:val="auto"/>
              </w:rPr>
              <w:t>Treatment-emergent adverse events (TEAEs)</w:t>
            </w:r>
          </w:p>
        </w:tc>
        <w:tc>
          <w:tcPr>
            <w:tcW w:w="1164" w:type="pct"/>
          </w:tcPr>
          <w:p w14:paraId="1D016DA3" w14:textId="77777777" w:rsidR="00360B04" w:rsidRPr="00623402" w:rsidRDefault="00360B04" w:rsidP="00F30846">
            <w:pPr>
              <w:pStyle w:val="Tabletext"/>
              <w:keepNext/>
              <w:spacing w:before="60" w:after="60" w:line="240" w:lineRule="auto"/>
              <w:rPr>
                <w:b/>
                <w:color w:val="auto"/>
              </w:rPr>
            </w:pPr>
          </w:p>
        </w:tc>
      </w:tr>
      <w:tr w:rsidR="00360B04" w:rsidRPr="0029339B" w14:paraId="606759C8" w14:textId="77777777" w:rsidTr="00EB0DC3">
        <w:tc>
          <w:tcPr>
            <w:tcW w:w="1377" w:type="pct"/>
          </w:tcPr>
          <w:p w14:paraId="203DD583" w14:textId="77777777" w:rsidR="00360B04" w:rsidRPr="00623402" w:rsidRDefault="00360B04" w:rsidP="00F30846">
            <w:pPr>
              <w:pStyle w:val="Tabletext"/>
              <w:keepNext/>
              <w:spacing w:before="60" w:after="60" w:line="240" w:lineRule="auto"/>
              <w:ind w:left="0" w:right="0"/>
              <w:jc w:val="right"/>
              <w:rPr>
                <w:color w:val="auto"/>
              </w:rPr>
            </w:pPr>
            <w:r w:rsidRPr="00623402">
              <w:rPr>
                <w:color w:val="auto"/>
                <w:lang w:eastAsia="ja-JP"/>
              </w:rPr>
              <w:t>Any AE</w:t>
            </w:r>
          </w:p>
        </w:tc>
        <w:tc>
          <w:tcPr>
            <w:tcW w:w="1235" w:type="pct"/>
          </w:tcPr>
          <w:p w14:paraId="7F34B90F" w14:textId="77777777" w:rsidR="00360B04" w:rsidRPr="00623402" w:rsidRDefault="00360B04" w:rsidP="00F30846">
            <w:pPr>
              <w:pStyle w:val="Tabletext"/>
              <w:keepNext/>
              <w:tabs>
                <w:tab w:val="left" w:pos="1842"/>
              </w:tabs>
              <w:spacing w:before="60" w:after="60" w:line="240" w:lineRule="auto"/>
              <w:ind w:left="0" w:right="0"/>
              <w:jc w:val="center"/>
              <w:rPr>
                <w:color w:val="auto"/>
              </w:rPr>
            </w:pPr>
            <w:r w:rsidRPr="00623402">
              <w:rPr>
                <w:color w:val="auto"/>
                <w:lang w:eastAsia="ja-JP"/>
              </w:rPr>
              <w:t>260 (98.1)</w:t>
            </w:r>
          </w:p>
        </w:tc>
        <w:tc>
          <w:tcPr>
            <w:tcW w:w="1224" w:type="pct"/>
          </w:tcPr>
          <w:p w14:paraId="24AC76AD" w14:textId="77777777" w:rsidR="00360B04" w:rsidRPr="00623402" w:rsidRDefault="00360B04" w:rsidP="00F30846">
            <w:pPr>
              <w:pStyle w:val="Tabletext"/>
              <w:keepNext/>
              <w:spacing w:before="60" w:after="60" w:line="240" w:lineRule="auto"/>
              <w:ind w:left="0" w:right="0"/>
              <w:jc w:val="center"/>
              <w:rPr>
                <w:color w:val="auto"/>
              </w:rPr>
            </w:pPr>
            <w:r w:rsidRPr="00623402">
              <w:rPr>
                <w:color w:val="auto"/>
                <w:lang w:eastAsia="ja-JP"/>
              </w:rPr>
              <w:t>258 (97.0)</w:t>
            </w:r>
          </w:p>
        </w:tc>
        <w:tc>
          <w:tcPr>
            <w:tcW w:w="1164" w:type="pct"/>
          </w:tcPr>
          <w:p w14:paraId="07519900" w14:textId="77777777" w:rsidR="00360B04" w:rsidRPr="00623402" w:rsidRDefault="00360B04" w:rsidP="00F30846">
            <w:pPr>
              <w:pStyle w:val="Tabletext"/>
              <w:keepNext/>
              <w:spacing w:before="60" w:after="60" w:line="240" w:lineRule="auto"/>
              <w:jc w:val="center"/>
              <w:rPr>
                <w:color w:val="auto"/>
              </w:rPr>
            </w:pPr>
            <w:r w:rsidRPr="00623402">
              <w:rPr>
                <w:color w:val="auto"/>
                <w:lang w:eastAsia="ja-JP"/>
              </w:rPr>
              <w:t>2,867 (95.4)</w:t>
            </w:r>
          </w:p>
        </w:tc>
      </w:tr>
      <w:tr w:rsidR="00360B04" w:rsidRPr="0029339B" w14:paraId="3DFE1368" w14:textId="77777777" w:rsidTr="00EB0DC3">
        <w:tc>
          <w:tcPr>
            <w:tcW w:w="5000" w:type="pct"/>
            <w:gridSpan w:val="4"/>
          </w:tcPr>
          <w:p w14:paraId="77EC441D" w14:textId="77777777" w:rsidR="00360B04" w:rsidRPr="00623402" w:rsidRDefault="00360B04" w:rsidP="00F30846">
            <w:pPr>
              <w:pStyle w:val="Tabletext"/>
              <w:keepNext/>
              <w:spacing w:before="60" w:after="60" w:line="240" w:lineRule="auto"/>
              <w:rPr>
                <w:b/>
                <w:color w:val="auto"/>
                <w:lang w:eastAsia="ja-JP"/>
              </w:rPr>
            </w:pPr>
            <w:r w:rsidRPr="00623402">
              <w:rPr>
                <w:b/>
                <w:color w:val="auto"/>
                <w:lang w:eastAsia="ja-JP"/>
              </w:rPr>
              <w:t>Most common AEs &gt; 15% in either arm of CASPIAN</w:t>
            </w:r>
            <w:r>
              <w:rPr>
                <w:b/>
                <w:color w:val="auto"/>
                <w:lang w:eastAsia="ja-JP"/>
              </w:rPr>
              <w:t xml:space="preserve"> trial</w:t>
            </w:r>
          </w:p>
        </w:tc>
      </w:tr>
      <w:tr w:rsidR="00360B04" w:rsidRPr="0029339B" w14:paraId="23EBCEA7" w14:textId="77777777" w:rsidTr="00EB0DC3">
        <w:tc>
          <w:tcPr>
            <w:tcW w:w="1377" w:type="pct"/>
          </w:tcPr>
          <w:p w14:paraId="573B54D2" w14:textId="77777777" w:rsidR="00360B04" w:rsidRDefault="00360B04" w:rsidP="00F30846">
            <w:pPr>
              <w:pStyle w:val="Tabletext"/>
              <w:keepNext/>
              <w:spacing w:before="60" w:after="60" w:line="240" w:lineRule="auto"/>
              <w:jc w:val="right"/>
              <w:rPr>
                <w:i/>
                <w:lang w:eastAsia="ja-JP"/>
              </w:rPr>
            </w:pPr>
            <w:r>
              <w:rPr>
                <w:i/>
                <w:lang w:eastAsia="ja-JP"/>
              </w:rPr>
              <w:t>neutropenia</w:t>
            </w:r>
          </w:p>
        </w:tc>
        <w:tc>
          <w:tcPr>
            <w:tcW w:w="1235" w:type="pct"/>
          </w:tcPr>
          <w:p w14:paraId="1A31E68A" w14:textId="77777777" w:rsidR="00360B04" w:rsidRPr="00623402" w:rsidRDefault="00360B04" w:rsidP="00F30846">
            <w:pPr>
              <w:pStyle w:val="Tabletext"/>
              <w:keepNext/>
              <w:tabs>
                <w:tab w:val="left" w:pos="1842"/>
              </w:tabs>
              <w:spacing w:before="60" w:after="60" w:line="240" w:lineRule="auto"/>
              <w:jc w:val="center"/>
              <w:rPr>
                <w:i/>
                <w:color w:val="auto"/>
                <w:lang w:eastAsia="ja-JP"/>
              </w:rPr>
            </w:pPr>
            <w:r w:rsidRPr="00623402">
              <w:rPr>
                <w:i/>
                <w:color w:val="auto"/>
                <w:lang w:eastAsia="ja-JP"/>
              </w:rPr>
              <w:t>41.9%</w:t>
            </w:r>
          </w:p>
        </w:tc>
        <w:tc>
          <w:tcPr>
            <w:tcW w:w="1224" w:type="pct"/>
          </w:tcPr>
          <w:p w14:paraId="07660557" w14:textId="77777777" w:rsidR="00360B04" w:rsidRPr="00623402" w:rsidRDefault="00360B04" w:rsidP="00F30846">
            <w:pPr>
              <w:pStyle w:val="Tabletext"/>
              <w:keepNext/>
              <w:spacing w:before="60" w:after="60" w:line="240" w:lineRule="auto"/>
              <w:jc w:val="center"/>
              <w:rPr>
                <w:i/>
                <w:color w:val="auto"/>
                <w:lang w:eastAsia="ja-JP"/>
              </w:rPr>
            </w:pPr>
            <w:r w:rsidRPr="00623402">
              <w:rPr>
                <w:i/>
                <w:color w:val="auto"/>
                <w:lang w:eastAsia="ja-JP"/>
              </w:rPr>
              <w:t>46.6%</w:t>
            </w:r>
          </w:p>
        </w:tc>
        <w:tc>
          <w:tcPr>
            <w:tcW w:w="1164" w:type="pct"/>
          </w:tcPr>
          <w:p w14:paraId="6FE79FD6" w14:textId="77777777" w:rsidR="00360B04" w:rsidRPr="00623402" w:rsidRDefault="00360B04" w:rsidP="00F30846">
            <w:pPr>
              <w:pStyle w:val="Tabletext"/>
              <w:keepNext/>
              <w:spacing w:before="60" w:after="60" w:line="240" w:lineRule="auto"/>
              <w:jc w:val="center"/>
              <w:rPr>
                <w:i/>
                <w:color w:val="auto"/>
                <w:lang w:eastAsia="ja-JP"/>
              </w:rPr>
            </w:pPr>
            <w:r w:rsidRPr="00623402">
              <w:rPr>
                <w:i/>
                <w:color w:val="auto"/>
                <w:lang w:eastAsia="ja-JP"/>
              </w:rPr>
              <w:t>0.8%</w:t>
            </w:r>
          </w:p>
        </w:tc>
      </w:tr>
      <w:tr w:rsidR="00360B04" w:rsidRPr="0029339B" w14:paraId="42A0B446" w14:textId="77777777" w:rsidTr="00EB0DC3">
        <w:tc>
          <w:tcPr>
            <w:tcW w:w="1377" w:type="pct"/>
          </w:tcPr>
          <w:p w14:paraId="2863A487" w14:textId="77777777" w:rsidR="00360B04" w:rsidRDefault="00360B04" w:rsidP="00F30846">
            <w:pPr>
              <w:pStyle w:val="Tabletext"/>
              <w:keepNext/>
              <w:spacing w:before="60" w:after="60" w:line="240" w:lineRule="auto"/>
              <w:jc w:val="right"/>
              <w:rPr>
                <w:i/>
                <w:lang w:eastAsia="ja-JP"/>
              </w:rPr>
            </w:pPr>
            <w:r>
              <w:rPr>
                <w:i/>
                <w:lang w:eastAsia="ja-JP"/>
              </w:rPr>
              <w:t>anaemia</w:t>
            </w:r>
          </w:p>
        </w:tc>
        <w:tc>
          <w:tcPr>
            <w:tcW w:w="1235" w:type="pct"/>
          </w:tcPr>
          <w:p w14:paraId="11AB89F1" w14:textId="77777777" w:rsidR="00360B04" w:rsidRPr="00623402" w:rsidRDefault="00360B04" w:rsidP="00F30846">
            <w:pPr>
              <w:pStyle w:val="Tabletext"/>
              <w:keepNext/>
              <w:tabs>
                <w:tab w:val="left" w:pos="1842"/>
              </w:tabs>
              <w:spacing w:before="60" w:after="60" w:line="240" w:lineRule="auto"/>
              <w:jc w:val="center"/>
              <w:rPr>
                <w:i/>
                <w:color w:val="auto"/>
                <w:lang w:eastAsia="ja-JP"/>
              </w:rPr>
            </w:pPr>
            <w:r w:rsidRPr="00623402">
              <w:rPr>
                <w:i/>
                <w:color w:val="auto"/>
                <w:lang w:eastAsia="ja-JP"/>
              </w:rPr>
              <w:t>38.5%</w:t>
            </w:r>
          </w:p>
        </w:tc>
        <w:tc>
          <w:tcPr>
            <w:tcW w:w="1224" w:type="pct"/>
          </w:tcPr>
          <w:p w14:paraId="7CD78D2E" w14:textId="77777777" w:rsidR="00360B04" w:rsidRPr="00623402" w:rsidRDefault="00360B04" w:rsidP="00F30846">
            <w:pPr>
              <w:pStyle w:val="Tabletext"/>
              <w:keepNext/>
              <w:spacing w:before="60" w:after="60" w:line="240" w:lineRule="auto"/>
              <w:jc w:val="center"/>
              <w:rPr>
                <w:i/>
                <w:color w:val="auto"/>
                <w:lang w:eastAsia="ja-JP"/>
              </w:rPr>
            </w:pPr>
            <w:r w:rsidRPr="00623402">
              <w:rPr>
                <w:i/>
                <w:color w:val="auto"/>
                <w:lang w:eastAsia="ja-JP"/>
              </w:rPr>
              <w:t>47%</w:t>
            </w:r>
          </w:p>
        </w:tc>
        <w:tc>
          <w:tcPr>
            <w:tcW w:w="1164" w:type="pct"/>
          </w:tcPr>
          <w:p w14:paraId="74502B79" w14:textId="77777777" w:rsidR="00360B04" w:rsidRPr="00623402" w:rsidRDefault="00360B04" w:rsidP="00F30846">
            <w:pPr>
              <w:pStyle w:val="Tabletext"/>
              <w:keepNext/>
              <w:spacing w:before="60" w:after="60" w:line="240" w:lineRule="auto"/>
              <w:jc w:val="center"/>
              <w:rPr>
                <w:i/>
                <w:color w:val="auto"/>
                <w:lang w:eastAsia="ja-JP"/>
              </w:rPr>
            </w:pPr>
            <w:r w:rsidRPr="00623402">
              <w:rPr>
                <w:i/>
                <w:color w:val="auto"/>
                <w:lang w:eastAsia="ja-JP"/>
              </w:rPr>
              <w:t>13.2%</w:t>
            </w:r>
          </w:p>
        </w:tc>
      </w:tr>
      <w:tr w:rsidR="00360B04" w:rsidRPr="0029339B" w14:paraId="2ED2C76D" w14:textId="77777777" w:rsidTr="00EB0DC3">
        <w:tc>
          <w:tcPr>
            <w:tcW w:w="1377" w:type="pct"/>
          </w:tcPr>
          <w:p w14:paraId="2A30A9E3" w14:textId="77777777" w:rsidR="00360B04" w:rsidRDefault="00360B04" w:rsidP="00F30846">
            <w:pPr>
              <w:pStyle w:val="Tabletext"/>
              <w:keepNext/>
              <w:spacing w:before="60" w:after="60" w:line="240" w:lineRule="auto"/>
              <w:jc w:val="right"/>
              <w:rPr>
                <w:i/>
                <w:lang w:eastAsia="ja-JP"/>
              </w:rPr>
            </w:pPr>
            <w:r>
              <w:rPr>
                <w:i/>
                <w:lang w:eastAsia="ja-JP"/>
              </w:rPr>
              <w:t>nausea</w:t>
            </w:r>
          </w:p>
        </w:tc>
        <w:tc>
          <w:tcPr>
            <w:tcW w:w="1235" w:type="pct"/>
          </w:tcPr>
          <w:p w14:paraId="27F235BE" w14:textId="77777777" w:rsidR="00360B04" w:rsidRPr="00623402" w:rsidRDefault="00360B04" w:rsidP="00F30846">
            <w:pPr>
              <w:pStyle w:val="Tabletext"/>
              <w:keepNext/>
              <w:tabs>
                <w:tab w:val="left" w:pos="1842"/>
              </w:tabs>
              <w:spacing w:before="60" w:after="60" w:line="240" w:lineRule="auto"/>
              <w:jc w:val="center"/>
              <w:rPr>
                <w:i/>
                <w:color w:val="auto"/>
                <w:lang w:eastAsia="ja-JP"/>
              </w:rPr>
            </w:pPr>
            <w:r w:rsidRPr="00623402">
              <w:rPr>
                <w:i/>
                <w:color w:val="auto"/>
                <w:lang w:eastAsia="ja-JP"/>
              </w:rPr>
              <w:t>33.6%</w:t>
            </w:r>
          </w:p>
        </w:tc>
        <w:tc>
          <w:tcPr>
            <w:tcW w:w="1224" w:type="pct"/>
          </w:tcPr>
          <w:p w14:paraId="1204906B" w14:textId="77777777" w:rsidR="00360B04" w:rsidRPr="00623402" w:rsidRDefault="00360B04" w:rsidP="00F30846">
            <w:pPr>
              <w:pStyle w:val="Tabletext"/>
              <w:keepNext/>
              <w:spacing w:before="60" w:after="60" w:line="240" w:lineRule="auto"/>
              <w:jc w:val="center"/>
              <w:rPr>
                <w:i/>
                <w:color w:val="auto"/>
                <w:lang w:eastAsia="ja-JP"/>
              </w:rPr>
            </w:pPr>
            <w:r w:rsidRPr="00623402">
              <w:rPr>
                <w:i/>
                <w:color w:val="auto"/>
                <w:lang w:eastAsia="ja-JP"/>
              </w:rPr>
              <w:t>33.5%</w:t>
            </w:r>
          </w:p>
        </w:tc>
        <w:tc>
          <w:tcPr>
            <w:tcW w:w="1164" w:type="pct"/>
          </w:tcPr>
          <w:p w14:paraId="54251CE8" w14:textId="77777777" w:rsidR="00360B04" w:rsidRPr="00623402" w:rsidRDefault="00360B04" w:rsidP="00F30846">
            <w:pPr>
              <w:pStyle w:val="Tabletext"/>
              <w:keepNext/>
              <w:spacing w:before="60" w:after="60" w:line="240" w:lineRule="auto"/>
              <w:jc w:val="center"/>
              <w:rPr>
                <w:i/>
                <w:color w:val="auto"/>
                <w:lang w:eastAsia="ja-JP"/>
              </w:rPr>
            </w:pPr>
            <w:r w:rsidRPr="00623402">
              <w:rPr>
                <w:i/>
                <w:color w:val="auto"/>
                <w:lang w:eastAsia="ja-JP"/>
              </w:rPr>
              <w:t>18.0%</w:t>
            </w:r>
          </w:p>
        </w:tc>
      </w:tr>
      <w:tr w:rsidR="00360B04" w:rsidRPr="0029339B" w14:paraId="14A06F14" w14:textId="77777777" w:rsidTr="00EB0DC3">
        <w:tc>
          <w:tcPr>
            <w:tcW w:w="1377" w:type="pct"/>
          </w:tcPr>
          <w:p w14:paraId="67395D96" w14:textId="77777777" w:rsidR="00360B04" w:rsidRPr="00282A7E" w:rsidRDefault="00360B04" w:rsidP="00F30846">
            <w:pPr>
              <w:pStyle w:val="Tabletext"/>
              <w:keepNext/>
              <w:spacing w:before="60" w:after="60" w:line="240" w:lineRule="auto"/>
              <w:ind w:left="0"/>
              <w:jc w:val="right"/>
              <w:rPr>
                <w:i/>
                <w:lang w:eastAsia="ja-JP"/>
              </w:rPr>
            </w:pPr>
            <w:r>
              <w:rPr>
                <w:i/>
                <w:lang w:eastAsia="ja-JP"/>
              </w:rPr>
              <w:t>alopecia</w:t>
            </w:r>
          </w:p>
        </w:tc>
        <w:tc>
          <w:tcPr>
            <w:tcW w:w="1235" w:type="pct"/>
          </w:tcPr>
          <w:p w14:paraId="1EC83E27" w14:textId="77777777" w:rsidR="00360B04" w:rsidRPr="00623402" w:rsidRDefault="00360B04" w:rsidP="00F30846">
            <w:pPr>
              <w:pStyle w:val="Tabletext"/>
              <w:keepNext/>
              <w:tabs>
                <w:tab w:val="left" w:pos="1842"/>
              </w:tabs>
              <w:spacing w:before="60" w:after="60" w:line="240" w:lineRule="auto"/>
              <w:jc w:val="center"/>
              <w:rPr>
                <w:i/>
                <w:color w:val="auto"/>
                <w:lang w:eastAsia="ja-JP"/>
              </w:rPr>
            </w:pPr>
            <w:r w:rsidRPr="00623402">
              <w:rPr>
                <w:i/>
                <w:color w:val="auto"/>
                <w:lang w:eastAsia="ja-JP"/>
              </w:rPr>
              <w:t>31.3%</w:t>
            </w:r>
          </w:p>
        </w:tc>
        <w:tc>
          <w:tcPr>
            <w:tcW w:w="1224" w:type="pct"/>
          </w:tcPr>
          <w:p w14:paraId="03051EE9" w14:textId="77777777" w:rsidR="00360B04" w:rsidRPr="00623402" w:rsidRDefault="00360B04" w:rsidP="00F30846">
            <w:pPr>
              <w:pStyle w:val="Tabletext"/>
              <w:keepNext/>
              <w:spacing w:before="60" w:after="60" w:line="240" w:lineRule="auto"/>
              <w:jc w:val="center"/>
              <w:rPr>
                <w:i/>
                <w:color w:val="auto"/>
                <w:lang w:eastAsia="ja-JP"/>
              </w:rPr>
            </w:pPr>
            <w:r w:rsidRPr="00623402">
              <w:rPr>
                <w:i/>
                <w:color w:val="auto"/>
                <w:lang w:eastAsia="ja-JP"/>
              </w:rPr>
              <w:t>34.2%</w:t>
            </w:r>
          </w:p>
        </w:tc>
        <w:tc>
          <w:tcPr>
            <w:tcW w:w="1164" w:type="pct"/>
          </w:tcPr>
          <w:p w14:paraId="767F81B8" w14:textId="77777777" w:rsidR="00360B04" w:rsidRPr="00623402" w:rsidRDefault="00360B04" w:rsidP="00F30846">
            <w:pPr>
              <w:pStyle w:val="Tabletext"/>
              <w:keepNext/>
              <w:spacing w:before="60" w:after="60" w:line="240" w:lineRule="auto"/>
              <w:jc w:val="center"/>
              <w:rPr>
                <w:i/>
                <w:color w:val="auto"/>
                <w:lang w:eastAsia="ja-JP"/>
              </w:rPr>
            </w:pPr>
            <w:r w:rsidRPr="00623402">
              <w:rPr>
                <w:i/>
                <w:color w:val="auto"/>
                <w:lang w:eastAsia="ja-JP"/>
              </w:rPr>
              <w:t>0.9%</w:t>
            </w:r>
          </w:p>
        </w:tc>
      </w:tr>
      <w:tr w:rsidR="00360B04" w:rsidRPr="0029339B" w14:paraId="48A637FB" w14:textId="77777777" w:rsidTr="00EB0DC3">
        <w:tc>
          <w:tcPr>
            <w:tcW w:w="1377" w:type="pct"/>
          </w:tcPr>
          <w:p w14:paraId="69D206CA" w14:textId="77777777" w:rsidR="00360B04" w:rsidRDefault="00360B04" w:rsidP="00F30846">
            <w:pPr>
              <w:pStyle w:val="Tabletext"/>
              <w:keepNext/>
              <w:spacing w:before="60" w:after="60" w:line="240" w:lineRule="auto"/>
              <w:jc w:val="right"/>
              <w:rPr>
                <w:i/>
                <w:lang w:eastAsia="ja-JP"/>
              </w:rPr>
            </w:pPr>
            <w:r>
              <w:rPr>
                <w:i/>
                <w:lang w:eastAsia="ja-JP"/>
              </w:rPr>
              <w:t>constipation</w:t>
            </w:r>
          </w:p>
        </w:tc>
        <w:tc>
          <w:tcPr>
            <w:tcW w:w="1235" w:type="pct"/>
          </w:tcPr>
          <w:p w14:paraId="395B59E3" w14:textId="77777777" w:rsidR="00360B04" w:rsidRPr="00623402" w:rsidRDefault="00360B04" w:rsidP="00F30846">
            <w:pPr>
              <w:pStyle w:val="Tabletext"/>
              <w:keepNext/>
              <w:tabs>
                <w:tab w:val="left" w:pos="1842"/>
              </w:tabs>
              <w:spacing w:before="60" w:after="60" w:line="240" w:lineRule="auto"/>
              <w:jc w:val="center"/>
              <w:rPr>
                <w:i/>
                <w:color w:val="auto"/>
                <w:lang w:eastAsia="ja-JP"/>
              </w:rPr>
            </w:pPr>
            <w:r w:rsidRPr="00623402">
              <w:rPr>
                <w:i/>
                <w:color w:val="auto"/>
                <w:lang w:eastAsia="ja-JP"/>
              </w:rPr>
              <w:t>16.6%</w:t>
            </w:r>
          </w:p>
        </w:tc>
        <w:tc>
          <w:tcPr>
            <w:tcW w:w="1224" w:type="pct"/>
          </w:tcPr>
          <w:p w14:paraId="00941F87" w14:textId="77777777" w:rsidR="00360B04" w:rsidRPr="00623402" w:rsidRDefault="00360B04" w:rsidP="00F30846">
            <w:pPr>
              <w:pStyle w:val="Tabletext"/>
              <w:keepNext/>
              <w:spacing w:before="60" w:after="60" w:line="240" w:lineRule="auto"/>
              <w:jc w:val="center"/>
              <w:rPr>
                <w:i/>
                <w:color w:val="auto"/>
                <w:lang w:eastAsia="ja-JP"/>
              </w:rPr>
            </w:pPr>
            <w:r w:rsidRPr="00623402">
              <w:rPr>
                <w:i/>
                <w:color w:val="auto"/>
                <w:lang w:eastAsia="ja-JP"/>
              </w:rPr>
              <w:t>19.2%</w:t>
            </w:r>
          </w:p>
        </w:tc>
        <w:tc>
          <w:tcPr>
            <w:tcW w:w="1164" w:type="pct"/>
          </w:tcPr>
          <w:p w14:paraId="4D8A2B26" w14:textId="77777777" w:rsidR="00360B04" w:rsidRPr="00623402" w:rsidRDefault="00360B04" w:rsidP="00F30846">
            <w:pPr>
              <w:pStyle w:val="Tabletext"/>
              <w:keepNext/>
              <w:spacing w:before="60" w:after="60" w:line="240" w:lineRule="auto"/>
              <w:jc w:val="center"/>
              <w:rPr>
                <w:i/>
                <w:color w:val="auto"/>
                <w:lang w:eastAsia="ja-JP"/>
              </w:rPr>
            </w:pPr>
            <w:r w:rsidRPr="00623402">
              <w:rPr>
                <w:i/>
                <w:color w:val="auto"/>
                <w:lang w:eastAsia="ja-JP"/>
              </w:rPr>
              <w:t>16.8%</w:t>
            </w:r>
          </w:p>
        </w:tc>
      </w:tr>
      <w:tr w:rsidR="00360B04" w:rsidRPr="0029339B" w14:paraId="54E3D88F" w14:textId="77777777" w:rsidTr="00EB0DC3">
        <w:tc>
          <w:tcPr>
            <w:tcW w:w="1377" w:type="pct"/>
          </w:tcPr>
          <w:p w14:paraId="2BBE820F" w14:textId="77777777" w:rsidR="00360B04" w:rsidRPr="008933B0" w:rsidRDefault="00360B04" w:rsidP="00F30846">
            <w:pPr>
              <w:pStyle w:val="Tabletext"/>
              <w:keepNext/>
              <w:spacing w:before="60" w:after="60" w:line="240" w:lineRule="auto"/>
              <w:ind w:left="0"/>
              <w:jc w:val="right"/>
              <w:rPr>
                <w:i/>
                <w:color w:val="auto"/>
              </w:rPr>
            </w:pPr>
            <w:r w:rsidRPr="008933B0">
              <w:rPr>
                <w:i/>
                <w:color w:val="auto"/>
              </w:rPr>
              <w:t>decreased appetite</w:t>
            </w:r>
          </w:p>
        </w:tc>
        <w:tc>
          <w:tcPr>
            <w:tcW w:w="1235" w:type="pct"/>
          </w:tcPr>
          <w:p w14:paraId="4690462D" w14:textId="77777777" w:rsidR="00360B04" w:rsidRPr="00623402" w:rsidRDefault="00360B04" w:rsidP="00F30846">
            <w:pPr>
              <w:pStyle w:val="Tabletext"/>
              <w:keepNext/>
              <w:tabs>
                <w:tab w:val="left" w:pos="1842"/>
              </w:tabs>
              <w:spacing w:before="60" w:after="60" w:line="240" w:lineRule="auto"/>
              <w:jc w:val="center"/>
              <w:rPr>
                <w:i/>
                <w:color w:val="auto"/>
              </w:rPr>
            </w:pPr>
            <w:r w:rsidRPr="00623402">
              <w:rPr>
                <w:i/>
                <w:color w:val="auto"/>
              </w:rPr>
              <w:t>18.1%</w:t>
            </w:r>
          </w:p>
        </w:tc>
        <w:tc>
          <w:tcPr>
            <w:tcW w:w="1224" w:type="pct"/>
          </w:tcPr>
          <w:p w14:paraId="27E10630" w14:textId="77777777" w:rsidR="00360B04" w:rsidRPr="00623402" w:rsidRDefault="00360B04" w:rsidP="00F30846">
            <w:pPr>
              <w:pStyle w:val="Tabletext"/>
              <w:keepNext/>
              <w:spacing w:before="60" w:after="60" w:line="240" w:lineRule="auto"/>
              <w:jc w:val="center"/>
              <w:rPr>
                <w:i/>
                <w:color w:val="auto"/>
              </w:rPr>
            </w:pPr>
            <w:r w:rsidRPr="00623402">
              <w:rPr>
                <w:i/>
                <w:color w:val="auto"/>
              </w:rPr>
              <w:t>17.3%</w:t>
            </w:r>
          </w:p>
        </w:tc>
        <w:tc>
          <w:tcPr>
            <w:tcW w:w="1164" w:type="pct"/>
          </w:tcPr>
          <w:p w14:paraId="7EB7311B" w14:textId="77777777" w:rsidR="00360B04" w:rsidRPr="00623402" w:rsidRDefault="00360B04" w:rsidP="00F30846">
            <w:pPr>
              <w:pStyle w:val="Tabletext"/>
              <w:keepNext/>
              <w:spacing w:before="60" w:after="60" w:line="240" w:lineRule="auto"/>
              <w:jc w:val="center"/>
              <w:rPr>
                <w:i/>
                <w:color w:val="auto"/>
              </w:rPr>
            </w:pPr>
            <w:r w:rsidRPr="00623402">
              <w:rPr>
                <w:i/>
                <w:color w:val="auto"/>
              </w:rPr>
              <w:t>20.4%</w:t>
            </w:r>
          </w:p>
        </w:tc>
      </w:tr>
      <w:tr w:rsidR="00360B04" w:rsidRPr="0029339B" w14:paraId="5EEF56B6" w14:textId="77777777" w:rsidTr="00EB0DC3">
        <w:tc>
          <w:tcPr>
            <w:tcW w:w="1377" w:type="pct"/>
          </w:tcPr>
          <w:p w14:paraId="43F7DA9D" w14:textId="77777777" w:rsidR="00360B04" w:rsidRPr="008933B0" w:rsidRDefault="00360B04" w:rsidP="00F30846">
            <w:pPr>
              <w:pStyle w:val="Tabletext"/>
              <w:keepNext/>
              <w:spacing w:before="60" w:after="60" w:line="240" w:lineRule="auto"/>
              <w:jc w:val="right"/>
              <w:rPr>
                <w:i/>
              </w:rPr>
            </w:pPr>
            <w:r>
              <w:rPr>
                <w:i/>
              </w:rPr>
              <w:t>thrombocytopenia</w:t>
            </w:r>
          </w:p>
        </w:tc>
        <w:tc>
          <w:tcPr>
            <w:tcW w:w="1235" w:type="pct"/>
          </w:tcPr>
          <w:p w14:paraId="168A8BC2" w14:textId="77777777" w:rsidR="00360B04" w:rsidRPr="00623402" w:rsidRDefault="00360B04" w:rsidP="00F30846">
            <w:pPr>
              <w:pStyle w:val="Tabletext"/>
              <w:keepNext/>
              <w:tabs>
                <w:tab w:val="left" w:pos="1842"/>
              </w:tabs>
              <w:spacing w:before="60" w:after="60" w:line="240" w:lineRule="auto"/>
              <w:jc w:val="center"/>
              <w:rPr>
                <w:i/>
                <w:color w:val="auto"/>
              </w:rPr>
            </w:pPr>
            <w:r w:rsidRPr="00623402">
              <w:rPr>
                <w:i/>
                <w:color w:val="auto"/>
              </w:rPr>
              <w:t>15.5%</w:t>
            </w:r>
          </w:p>
        </w:tc>
        <w:tc>
          <w:tcPr>
            <w:tcW w:w="1224" w:type="pct"/>
          </w:tcPr>
          <w:p w14:paraId="5C205955" w14:textId="77777777" w:rsidR="00360B04" w:rsidRPr="00623402" w:rsidRDefault="00360B04" w:rsidP="00F30846">
            <w:pPr>
              <w:pStyle w:val="Tabletext"/>
              <w:keepNext/>
              <w:spacing w:before="60" w:after="60" w:line="240" w:lineRule="auto"/>
              <w:jc w:val="center"/>
              <w:rPr>
                <w:i/>
                <w:color w:val="auto"/>
              </w:rPr>
            </w:pPr>
            <w:r w:rsidRPr="00623402">
              <w:rPr>
                <w:i/>
                <w:color w:val="auto"/>
              </w:rPr>
              <w:t>19.9%</w:t>
            </w:r>
          </w:p>
        </w:tc>
        <w:tc>
          <w:tcPr>
            <w:tcW w:w="1164" w:type="pct"/>
          </w:tcPr>
          <w:p w14:paraId="600FF322" w14:textId="77777777" w:rsidR="00360B04" w:rsidRPr="00623402" w:rsidRDefault="00360B04" w:rsidP="00F30846">
            <w:pPr>
              <w:pStyle w:val="Tabletext"/>
              <w:keepNext/>
              <w:spacing w:before="60" w:after="60" w:line="240" w:lineRule="auto"/>
              <w:jc w:val="center"/>
              <w:rPr>
                <w:i/>
                <w:color w:val="auto"/>
              </w:rPr>
            </w:pPr>
            <w:r w:rsidRPr="00623402">
              <w:rPr>
                <w:i/>
                <w:color w:val="auto"/>
              </w:rPr>
              <w:t>1.5%</w:t>
            </w:r>
          </w:p>
        </w:tc>
      </w:tr>
      <w:tr w:rsidR="00360B04" w:rsidRPr="0029339B" w14:paraId="2C84DC82" w14:textId="77777777" w:rsidTr="00EB0DC3">
        <w:tc>
          <w:tcPr>
            <w:tcW w:w="1377" w:type="pct"/>
          </w:tcPr>
          <w:p w14:paraId="1EDE6B85" w14:textId="77777777" w:rsidR="00360B04" w:rsidRPr="008933B0" w:rsidRDefault="00360B04" w:rsidP="00F30846">
            <w:pPr>
              <w:pStyle w:val="Tabletext"/>
              <w:keepNext/>
              <w:spacing w:before="60" w:after="60" w:line="240" w:lineRule="auto"/>
              <w:jc w:val="right"/>
              <w:rPr>
                <w:i/>
              </w:rPr>
            </w:pPr>
            <w:r>
              <w:rPr>
                <w:i/>
              </w:rPr>
              <w:t>fatigue</w:t>
            </w:r>
          </w:p>
        </w:tc>
        <w:tc>
          <w:tcPr>
            <w:tcW w:w="1235" w:type="pct"/>
          </w:tcPr>
          <w:p w14:paraId="55CF9A44" w14:textId="77777777" w:rsidR="00360B04" w:rsidRPr="00623402" w:rsidRDefault="00360B04" w:rsidP="00F30846">
            <w:pPr>
              <w:pStyle w:val="Tabletext"/>
              <w:keepNext/>
              <w:tabs>
                <w:tab w:val="left" w:pos="1842"/>
              </w:tabs>
              <w:spacing w:before="60" w:after="60" w:line="240" w:lineRule="auto"/>
              <w:jc w:val="center"/>
              <w:rPr>
                <w:i/>
                <w:color w:val="auto"/>
              </w:rPr>
            </w:pPr>
            <w:r w:rsidRPr="00623402">
              <w:rPr>
                <w:i/>
                <w:color w:val="auto"/>
              </w:rPr>
              <w:t>18.1%</w:t>
            </w:r>
          </w:p>
        </w:tc>
        <w:tc>
          <w:tcPr>
            <w:tcW w:w="1224" w:type="pct"/>
          </w:tcPr>
          <w:p w14:paraId="185E1173" w14:textId="77777777" w:rsidR="00360B04" w:rsidRPr="00623402" w:rsidRDefault="00360B04" w:rsidP="00F30846">
            <w:pPr>
              <w:pStyle w:val="Tabletext"/>
              <w:keepNext/>
              <w:spacing w:before="60" w:after="60" w:line="240" w:lineRule="auto"/>
              <w:jc w:val="center"/>
              <w:rPr>
                <w:i/>
                <w:color w:val="auto"/>
              </w:rPr>
            </w:pPr>
            <w:r w:rsidRPr="00623402">
              <w:rPr>
                <w:i/>
                <w:color w:val="auto"/>
              </w:rPr>
              <w:t>16.9%</w:t>
            </w:r>
          </w:p>
        </w:tc>
        <w:tc>
          <w:tcPr>
            <w:tcW w:w="1164" w:type="pct"/>
          </w:tcPr>
          <w:p w14:paraId="6BD02E15" w14:textId="77777777" w:rsidR="00360B04" w:rsidRPr="00623402" w:rsidRDefault="00360B04" w:rsidP="00F30846">
            <w:pPr>
              <w:pStyle w:val="Tabletext"/>
              <w:keepNext/>
              <w:spacing w:before="60" w:after="60" w:line="240" w:lineRule="auto"/>
              <w:jc w:val="center"/>
              <w:rPr>
                <w:i/>
                <w:color w:val="auto"/>
              </w:rPr>
            </w:pPr>
            <w:r w:rsidRPr="00623402">
              <w:rPr>
                <w:i/>
                <w:color w:val="auto"/>
              </w:rPr>
              <w:t>26.6%</w:t>
            </w:r>
          </w:p>
        </w:tc>
      </w:tr>
      <w:tr w:rsidR="00360B04" w:rsidRPr="0029339B" w14:paraId="333847B0" w14:textId="77777777" w:rsidTr="00EB0DC3">
        <w:tc>
          <w:tcPr>
            <w:tcW w:w="1377" w:type="pct"/>
          </w:tcPr>
          <w:p w14:paraId="000C2AE4" w14:textId="77777777" w:rsidR="00360B04" w:rsidRPr="008933B0" w:rsidRDefault="00360B04" w:rsidP="00F30846">
            <w:pPr>
              <w:pStyle w:val="Tabletext"/>
              <w:keepNext/>
              <w:spacing w:before="60" w:after="60" w:line="240" w:lineRule="auto"/>
              <w:jc w:val="right"/>
              <w:rPr>
                <w:i/>
              </w:rPr>
            </w:pPr>
            <w:r>
              <w:rPr>
                <w:i/>
              </w:rPr>
              <w:t>vomiting</w:t>
            </w:r>
          </w:p>
        </w:tc>
        <w:tc>
          <w:tcPr>
            <w:tcW w:w="1235" w:type="pct"/>
          </w:tcPr>
          <w:p w14:paraId="6DD62120" w14:textId="77777777" w:rsidR="00360B04" w:rsidRPr="00623402" w:rsidRDefault="00360B04" w:rsidP="00F30846">
            <w:pPr>
              <w:pStyle w:val="Tabletext"/>
              <w:keepNext/>
              <w:tabs>
                <w:tab w:val="left" w:pos="1842"/>
              </w:tabs>
              <w:spacing w:before="60" w:after="60" w:line="240" w:lineRule="auto"/>
              <w:jc w:val="center"/>
              <w:rPr>
                <w:i/>
                <w:color w:val="auto"/>
              </w:rPr>
            </w:pPr>
            <w:r w:rsidRPr="00623402">
              <w:rPr>
                <w:i/>
                <w:color w:val="auto"/>
              </w:rPr>
              <w:t>14.7%</w:t>
            </w:r>
          </w:p>
        </w:tc>
        <w:tc>
          <w:tcPr>
            <w:tcW w:w="1224" w:type="pct"/>
          </w:tcPr>
          <w:p w14:paraId="4AC1C096" w14:textId="77777777" w:rsidR="00360B04" w:rsidRPr="00623402" w:rsidRDefault="00360B04" w:rsidP="00F30846">
            <w:pPr>
              <w:pStyle w:val="Tabletext"/>
              <w:keepNext/>
              <w:spacing w:before="60" w:after="60" w:line="240" w:lineRule="auto"/>
              <w:jc w:val="center"/>
              <w:rPr>
                <w:i/>
                <w:color w:val="auto"/>
              </w:rPr>
            </w:pPr>
            <w:r w:rsidRPr="00623402">
              <w:rPr>
                <w:i/>
                <w:color w:val="auto"/>
              </w:rPr>
              <w:t>16.5%</w:t>
            </w:r>
          </w:p>
        </w:tc>
        <w:tc>
          <w:tcPr>
            <w:tcW w:w="1164" w:type="pct"/>
          </w:tcPr>
          <w:p w14:paraId="06061AA1" w14:textId="77777777" w:rsidR="00360B04" w:rsidRPr="00623402" w:rsidRDefault="00360B04" w:rsidP="00F30846">
            <w:pPr>
              <w:pStyle w:val="Tabletext"/>
              <w:keepNext/>
              <w:spacing w:before="60" w:after="60" w:line="240" w:lineRule="auto"/>
              <w:jc w:val="center"/>
              <w:rPr>
                <w:i/>
                <w:color w:val="auto"/>
              </w:rPr>
            </w:pPr>
            <w:r w:rsidRPr="00623402">
              <w:rPr>
                <w:i/>
                <w:color w:val="auto"/>
              </w:rPr>
              <w:t>11.9%</w:t>
            </w:r>
          </w:p>
        </w:tc>
      </w:tr>
      <w:tr w:rsidR="00360B04" w:rsidRPr="0029339B" w14:paraId="61E82185" w14:textId="77777777" w:rsidTr="00EB0DC3">
        <w:tc>
          <w:tcPr>
            <w:tcW w:w="1377" w:type="pct"/>
          </w:tcPr>
          <w:p w14:paraId="1123036E" w14:textId="77777777" w:rsidR="00360B04" w:rsidRDefault="00360B04" w:rsidP="00F30846">
            <w:pPr>
              <w:pStyle w:val="Tabletext"/>
              <w:keepNext/>
              <w:spacing w:before="60" w:after="60" w:line="240" w:lineRule="auto"/>
              <w:jc w:val="right"/>
              <w:rPr>
                <w:i/>
              </w:rPr>
            </w:pPr>
            <w:r>
              <w:rPr>
                <w:i/>
              </w:rPr>
              <w:t>asthenia</w:t>
            </w:r>
          </w:p>
        </w:tc>
        <w:tc>
          <w:tcPr>
            <w:tcW w:w="1235" w:type="pct"/>
          </w:tcPr>
          <w:p w14:paraId="07475A4C" w14:textId="77777777" w:rsidR="00360B04" w:rsidRPr="00623402" w:rsidRDefault="00360B04" w:rsidP="00F30846">
            <w:pPr>
              <w:pStyle w:val="Tabletext"/>
              <w:keepNext/>
              <w:tabs>
                <w:tab w:val="left" w:pos="1842"/>
              </w:tabs>
              <w:spacing w:before="60" w:after="60" w:line="240" w:lineRule="auto"/>
              <w:jc w:val="center"/>
              <w:rPr>
                <w:i/>
                <w:color w:val="auto"/>
              </w:rPr>
            </w:pPr>
            <w:r w:rsidRPr="00623402">
              <w:rPr>
                <w:i/>
                <w:color w:val="auto"/>
              </w:rPr>
              <w:t>15.1%</w:t>
            </w:r>
          </w:p>
        </w:tc>
        <w:tc>
          <w:tcPr>
            <w:tcW w:w="1224" w:type="pct"/>
          </w:tcPr>
          <w:p w14:paraId="575FC616" w14:textId="77777777" w:rsidR="00360B04" w:rsidRPr="00623402" w:rsidRDefault="00360B04" w:rsidP="00F30846">
            <w:pPr>
              <w:pStyle w:val="Tabletext"/>
              <w:keepNext/>
              <w:spacing w:before="60" w:after="60" w:line="240" w:lineRule="auto"/>
              <w:jc w:val="center"/>
              <w:rPr>
                <w:i/>
                <w:color w:val="auto"/>
              </w:rPr>
            </w:pPr>
            <w:r w:rsidRPr="00623402">
              <w:rPr>
                <w:i/>
                <w:color w:val="auto"/>
              </w:rPr>
              <w:t>15.0%</w:t>
            </w:r>
          </w:p>
        </w:tc>
        <w:tc>
          <w:tcPr>
            <w:tcW w:w="1164" w:type="pct"/>
          </w:tcPr>
          <w:p w14:paraId="103F27D7" w14:textId="77777777" w:rsidR="00360B04" w:rsidRPr="00623402" w:rsidRDefault="00360B04" w:rsidP="00F30846">
            <w:pPr>
              <w:pStyle w:val="Tabletext"/>
              <w:keepNext/>
              <w:spacing w:before="60" w:after="60" w:line="240" w:lineRule="auto"/>
              <w:jc w:val="center"/>
              <w:rPr>
                <w:i/>
                <w:color w:val="auto"/>
              </w:rPr>
            </w:pPr>
            <w:r w:rsidRPr="00623402">
              <w:rPr>
                <w:i/>
                <w:color w:val="auto"/>
              </w:rPr>
              <w:t>11.6%</w:t>
            </w:r>
          </w:p>
        </w:tc>
      </w:tr>
      <w:tr w:rsidR="00360B04" w:rsidRPr="0029339B" w14:paraId="6A667149" w14:textId="77777777" w:rsidTr="00EB0DC3">
        <w:tc>
          <w:tcPr>
            <w:tcW w:w="1377" w:type="pct"/>
          </w:tcPr>
          <w:p w14:paraId="215AD0EC" w14:textId="77777777" w:rsidR="00360B04" w:rsidRDefault="00360B04" w:rsidP="00F30846">
            <w:pPr>
              <w:pStyle w:val="Tabletext"/>
              <w:keepNext/>
              <w:spacing w:before="60" w:after="60" w:line="240" w:lineRule="auto"/>
              <w:jc w:val="right"/>
              <w:rPr>
                <w:i/>
              </w:rPr>
            </w:pPr>
            <w:r>
              <w:rPr>
                <w:i/>
              </w:rPr>
              <w:t>leukopenia</w:t>
            </w:r>
          </w:p>
        </w:tc>
        <w:tc>
          <w:tcPr>
            <w:tcW w:w="1235" w:type="pct"/>
          </w:tcPr>
          <w:p w14:paraId="340DACE6" w14:textId="77777777" w:rsidR="00360B04" w:rsidRPr="00623402" w:rsidRDefault="00360B04" w:rsidP="00F30846">
            <w:pPr>
              <w:pStyle w:val="Tabletext"/>
              <w:keepNext/>
              <w:tabs>
                <w:tab w:val="left" w:pos="1842"/>
              </w:tabs>
              <w:spacing w:before="60" w:after="60" w:line="240" w:lineRule="auto"/>
              <w:jc w:val="center"/>
              <w:rPr>
                <w:i/>
                <w:color w:val="auto"/>
              </w:rPr>
            </w:pPr>
            <w:r w:rsidRPr="00623402">
              <w:rPr>
                <w:i/>
                <w:color w:val="auto"/>
              </w:rPr>
              <w:t>15.1%</w:t>
            </w:r>
          </w:p>
        </w:tc>
        <w:tc>
          <w:tcPr>
            <w:tcW w:w="1224" w:type="pct"/>
          </w:tcPr>
          <w:p w14:paraId="0BAED21E" w14:textId="77777777" w:rsidR="00360B04" w:rsidRPr="00623402" w:rsidRDefault="00360B04" w:rsidP="00F30846">
            <w:pPr>
              <w:pStyle w:val="Tabletext"/>
              <w:keepNext/>
              <w:spacing w:before="60" w:after="60" w:line="240" w:lineRule="auto"/>
              <w:jc w:val="center"/>
              <w:rPr>
                <w:i/>
                <w:color w:val="auto"/>
              </w:rPr>
            </w:pPr>
            <w:r w:rsidRPr="00623402">
              <w:rPr>
                <w:i/>
                <w:color w:val="auto"/>
              </w:rPr>
              <w:t>12.0%</w:t>
            </w:r>
          </w:p>
        </w:tc>
        <w:tc>
          <w:tcPr>
            <w:tcW w:w="1164" w:type="pct"/>
          </w:tcPr>
          <w:p w14:paraId="4CBF8537" w14:textId="77777777" w:rsidR="00360B04" w:rsidRPr="00623402" w:rsidRDefault="00360B04" w:rsidP="00F30846">
            <w:pPr>
              <w:pStyle w:val="Tabletext"/>
              <w:keepNext/>
              <w:spacing w:before="60" w:after="60" w:line="240" w:lineRule="auto"/>
              <w:jc w:val="center"/>
              <w:rPr>
                <w:i/>
                <w:color w:val="auto"/>
              </w:rPr>
            </w:pPr>
            <w:r w:rsidRPr="00623402">
              <w:rPr>
                <w:i/>
                <w:color w:val="auto"/>
              </w:rPr>
              <w:t>0.5%</w:t>
            </w:r>
          </w:p>
        </w:tc>
      </w:tr>
      <w:tr w:rsidR="00360B04" w:rsidRPr="0029339B" w14:paraId="7594737F" w14:textId="77777777" w:rsidTr="00EB0DC3">
        <w:tc>
          <w:tcPr>
            <w:tcW w:w="1377" w:type="pct"/>
          </w:tcPr>
          <w:p w14:paraId="7714E358" w14:textId="7D20E2AC" w:rsidR="00360B04" w:rsidRPr="0029339B" w:rsidRDefault="00360B04" w:rsidP="00F30846">
            <w:pPr>
              <w:pStyle w:val="Tabletext"/>
              <w:keepNext/>
              <w:spacing w:before="60" w:after="60" w:line="240" w:lineRule="auto"/>
              <w:ind w:left="0" w:right="0"/>
              <w:rPr>
                <w:color w:val="9160CB" w:themeColor="accent5" w:themeTint="99"/>
              </w:rPr>
            </w:pPr>
            <w:r>
              <w:rPr>
                <w:lang w:eastAsia="ja-JP"/>
              </w:rPr>
              <w:t>Any CTCAE;</w:t>
            </w:r>
            <w:r>
              <w:rPr>
                <w:lang w:eastAsia="ja-JP"/>
              </w:rPr>
              <w:fldChar w:fldCharType="begin"/>
            </w:r>
            <w:r>
              <w:rPr>
                <w:lang w:eastAsia="ja-JP"/>
              </w:rPr>
              <w:instrText xml:space="preserve"> NOTEREF _Ref62818960 \f \h </w:instrText>
            </w:r>
            <w:r>
              <w:rPr>
                <w:lang w:eastAsia="ja-JP"/>
              </w:rPr>
            </w:r>
            <w:r>
              <w:rPr>
                <w:lang w:eastAsia="ja-JP"/>
              </w:rPr>
              <w:fldChar w:fldCharType="separate"/>
            </w:r>
            <w:r w:rsidR="00130E57" w:rsidRPr="00130E57">
              <w:rPr>
                <w:rStyle w:val="FootnoteReference"/>
              </w:rPr>
              <w:t>7</w:t>
            </w:r>
            <w:r>
              <w:rPr>
                <w:lang w:eastAsia="ja-JP"/>
              </w:rPr>
              <w:fldChar w:fldCharType="end"/>
            </w:r>
            <w:r>
              <w:rPr>
                <w:lang w:eastAsia="ja-JP"/>
              </w:rPr>
              <w:t xml:space="preserve"> </w:t>
            </w:r>
            <w:r w:rsidR="00F30846">
              <w:rPr>
                <w:lang w:eastAsia="ja-JP"/>
              </w:rPr>
              <w:br/>
            </w:r>
            <w:r>
              <w:rPr>
                <w:lang w:eastAsia="ja-JP"/>
              </w:rPr>
              <w:t xml:space="preserve">Grade 3 or 4 </w:t>
            </w:r>
          </w:p>
        </w:tc>
        <w:tc>
          <w:tcPr>
            <w:tcW w:w="1235" w:type="pct"/>
          </w:tcPr>
          <w:p w14:paraId="7762A166" w14:textId="77777777" w:rsidR="00360B04" w:rsidRPr="00623402" w:rsidRDefault="00360B04" w:rsidP="00F30846">
            <w:pPr>
              <w:pStyle w:val="Tabletext"/>
              <w:keepNext/>
              <w:tabs>
                <w:tab w:val="left" w:pos="1842"/>
              </w:tabs>
              <w:spacing w:before="60" w:after="60" w:line="240" w:lineRule="auto"/>
              <w:ind w:left="0" w:right="0"/>
              <w:jc w:val="center"/>
              <w:rPr>
                <w:color w:val="auto"/>
                <w:highlight w:val="yellow"/>
              </w:rPr>
            </w:pPr>
            <w:r w:rsidRPr="00623402">
              <w:rPr>
                <w:color w:val="auto"/>
                <w:lang w:eastAsia="ja-JP"/>
              </w:rPr>
              <w:t>163 (61.5%)</w:t>
            </w:r>
          </w:p>
        </w:tc>
        <w:tc>
          <w:tcPr>
            <w:tcW w:w="1224" w:type="pct"/>
          </w:tcPr>
          <w:p w14:paraId="1DD6BEC4" w14:textId="77777777" w:rsidR="00360B04" w:rsidRPr="00623402" w:rsidRDefault="00360B04" w:rsidP="00F30846">
            <w:pPr>
              <w:pStyle w:val="Tabletext"/>
              <w:keepNext/>
              <w:spacing w:before="60" w:after="60" w:line="240" w:lineRule="auto"/>
              <w:ind w:left="0" w:right="0"/>
              <w:jc w:val="center"/>
              <w:rPr>
                <w:color w:val="auto"/>
                <w:highlight w:val="yellow"/>
              </w:rPr>
            </w:pPr>
            <w:r w:rsidRPr="00623402">
              <w:rPr>
                <w:color w:val="auto"/>
                <w:lang w:eastAsia="ja-JP"/>
              </w:rPr>
              <w:t>166 (62.4%)</w:t>
            </w:r>
          </w:p>
        </w:tc>
        <w:tc>
          <w:tcPr>
            <w:tcW w:w="1164" w:type="pct"/>
          </w:tcPr>
          <w:p w14:paraId="526130A8" w14:textId="77777777" w:rsidR="00360B04" w:rsidRPr="00623402" w:rsidRDefault="00360B04" w:rsidP="00F30846">
            <w:pPr>
              <w:pStyle w:val="Tabletext"/>
              <w:keepNext/>
              <w:spacing w:before="60" w:after="60" w:line="240" w:lineRule="auto"/>
              <w:jc w:val="center"/>
              <w:rPr>
                <w:color w:val="auto"/>
              </w:rPr>
            </w:pPr>
            <w:r w:rsidRPr="00623402">
              <w:rPr>
                <w:color w:val="auto"/>
                <w:lang w:eastAsia="ja-JP"/>
              </w:rPr>
              <w:t>1,290 (42.9)</w:t>
            </w:r>
          </w:p>
        </w:tc>
      </w:tr>
      <w:tr w:rsidR="00360B04" w:rsidRPr="0029339B" w14:paraId="78578CB3" w14:textId="77777777" w:rsidTr="00EB0DC3">
        <w:trPr>
          <w:trHeight w:val="60"/>
        </w:trPr>
        <w:tc>
          <w:tcPr>
            <w:tcW w:w="3836" w:type="pct"/>
            <w:gridSpan w:val="3"/>
          </w:tcPr>
          <w:p w14:paraId="5B1FC080" w14:textId="77777777" w:rsidR="00360B04" w:rsidRPr="00623402" w:rsidRDefault="00360B04" w:rsidP="00F30846">
            <w:pPr>
              <w:pStyle w:val="Tabletext"/>
              <w:keepNext/>
              <w:spacing w:before="60" w:after="60" w:line="240" w:lineRule="auto"/>
              <w:ind w:left="0"/>
              <w:rPr>
                <w:b/>
                <w:color w:val="auto"/>
              </w:rPr>
            </w:pPr>
            <w:r>
              <w:rPr>
                <w:b/>
                <w:color w:val="auto"/>
              </w:rPr>
              <w:t xml:space="preserve">Most common ≥ Grade 3 AEs (≥ </w:t>
            </w:r>
            <w:r w:rsidRPr="00623402">
              <w:rPr>
                <w:b/>
                <w:color w:val="auto"/>
              </w:rPr>
              <w:t>10% in any arm):</w:t>
            </w:r>
          </w:p>
        </w:tc>
        <w:tc>
          <w:tcPr>
            <w:tcW w:w="1164" w:type="pct"/>
          </w:tcPr>
          <w:p w14:paraId="6C28E7F5" w14:textId="77777777" w:rsidR="00360B04" w:rsidRPr="00623402" w:rsidRDefault="00360B04" w:rsidP="00F30846">
            <w:pPr>
              <w:pStyle w:val="Tabletext"/>
              <w:keepNext/>
              <w:spacing w:before="60" w:after="60" w:line="240" w:lineRule="auto"/>
              <w:rPr>
                <w:color w:val="auto"/>
              </w:rPr>
            </w:pPr>
          </w:p>
        </w:tc>
      </w:tr>
      <w:tr w:rsidR="00360B04" w:rsidRPr="0029339B" w14:paraId="2F4F19DE" w14:textId="77777777" w:rsidTr="00EB0DC3">
        <w:tc>
          <w:tcPr>
            <w:tcW w:w="1377" w:type="pct"/>
          </w:tcPr>
          <w:p w14:paraId="51BDA20B" w14:textId="77777777" w:rsidR="00360B04" w:rsidRPr="00282A7E" w:rsidRDefault="00360B04" w:rsidP="00F30846">
            <w:pPr>
              <w:pStyle w:val="Tabletext"/>
              <w:keepNext/>
              <w:spacing w:before="60" w:after="60" w:line="240" w:lineRule="auto"/>
              <w:ind w:left="0" w:right="57"/>
              <w:jc w:val="right"/>
              <w:rPr>
                <w:i/>
                <w:color w:val="auto"/>
              </w:rPr>
            </w:pPr>
            <w:r w:rsidRPr="00282A7E">
              <w:rPr>
                <w:i/>
                <w:color w:val="auto"/>
              </w:rPr>
              <w:t>neutropenia</w:t>
            </w:r>
          </w:p>
        </w:tc>
        <w:tc>
          <w:tcPr>
            <w:tcW w:w="1235" w:type="pct"/>
          </w:tcPr>
          <w:p w14:paraId="72FE52F0" w14:textId="77777777" w:rsidR="00360B04" w:rsidRPr="00623402" w:rsidRDefault="00360B04" w:rsidP="00F30846">
            <w:pPr>
              <w:pStyle w:val="Tabletext"/>
              <w:keepNext/>
              <w:tabs>
                <w:tab w:val="left" w:pos="1842"/>
              </w:tabs>
              <w:spacing w:before="60" w:after="60" w:line="240" w:lineRule="auto"/>
              <w:jc w:val="center"/>
              <w:rPr>
                <w:i/>
                <w:color w:val="auto"/>
                <w:highlight w:val="yellow"/>
              </w:rPr>
            </w:pPr>
            <w:r w:rsidRPr="00623402">
              <w:rPr>
                <w:i/>
                <w:color w:val="auto"/>
              </w:rPr>
              <w:t>29.1%</w:t>
            </w:r>
          </w:p>
        </w:tc>
        <w:tc>
          <w:tcPr>
            <w:tcW w:w="1224" w:type="pct"/>
          </w:tcPr>
          <w:p w14:paraId="21C0C450" w14:textId="77777777" w:rsidR="00360B04" w:rsidRPr="00623402" w:rsidRDefault="00360B04" w:rsidP="00F30846">
            <w:pPr>
              <w:pStyle w:val="Tabletext"/>
              <w:keepNext/>
              <w:spacing w:before="60" w:after="60" w:line="240" w:lineRule="auto"/>
              <w:jc w:val="center"/>
              <w:rPr>
                <w:i/>
                <w:color w:val="auto"/>
                <w:highlight w:val="yellow"/>
              </w:rPr>
            </w:pPr>
            <w:r w:rsidRPr="00623402">
              <w:rPr>
                <w:i/>
                <w:color w:val="auto"/>
              </w:rPr>
              <w:t>39.1%</w:t>
            </w:r>
          </w:p>
        </w:tc>
        <w:tc>
          <w:tcPr>
            <w:tcW w:w="1164" w:type="pct"/>
          </w:tcPr>
          <w:p w14:paraId="7B38061A" w14:textId="77777777" w:rsidR="00360B04" w:rsidRPr="00623402" w:rsidRDefault="00360B04" w:rsidP="00F30846">
            <w:pPr>
              <w:pStyle w:val="Tabletext"/>
              <w:keepNext/>
              <w:spacing w:before="60" w:after="60" w:line="240" w:lineRule="auto"/>
              <w:jc w:val="center"/>
              <w:rPr>
                <w:i/>
                <w:color w:val="auto"/>
              </w:rPr>
            </w:pPr>
            <w:r w:rsidRPr="00623402">
              <w:rPr>
                <w:i/>
                <w:color w:val="auto"/>
              </w:rPr>
              <w:t>0.2%</w:t>
            </w:r>
          </w:p>
        </w:tc>
      </w:tr>
      <w:tr w:rsidR="00360B04" w:rsidRPr="0029339B" w14:paraId="433C6DA8" w14:textId="77777777" w:rsidTr="00EB0DC3">
        <w:tc>
          <w:tcPr>
            <w:tcW w:w="1377" w:type="pct"/>
          </w:tcPr>
          <w:p w14:paraId="08A02E65" w14:textId="77777777" w:rsidR="00360B04" w:rsidRPr="00F03EAD" w:rsidRDefault="00360B04" w:rsidP="00F30846">
            <w:pPr>
              <w:pStyle w:val="Tabletext"/>
              <w:keepNext/>
              <w:spacing w:before="60" w:after="60" w:line="240" w:lineRule="auto"/>
              <w:ind w:left="0" w:right="57"/>
              <w:jc w:val="right"/>
              <w:rPr>
                <w:i/>
                <w:color w:val="auto"/>
              </w:rPr>
            </w:pPr>
            <w:r w:rsidRPr="00F03EAD">
              <w:rPr>
                <w:i/>
                <w:color w:val="auto"/>
              </w:rPr>
              <w:t>anaemia</w:t>
            </w:r>
          </w:p>
        </w:tc>
        <w:tc>
          <w:tcPr>
            <w:tcW w:w="1235" w:type="pct"/>
          </w:tcPr>
          <w:p w14:paraId="04209CE1" w14:textId="77777777" w:rsidR="00360B04" w:rsidRPr="00623402" w:rsidRDefault="00360B04" w:rsidP="00F30846">
            <w:pPr>
              <w:pStyle w:val="Tabletext"/>
              <w:keepNext/>
              <w:tabs>
                <w:tab w:val="left" w:pos="1842"/>
              </w:tabs>
              <w:spacing w:before="60" w:after="60" w:line="240" w:lineRule="auto"/>
              <w:jc w:val="center"/>
              <w:rPr>
                <w:i/>
                <w:color w:val="auto"/>
                <w:highlight w:val="yellow"/>
              </w:rPr>
            </w:pPr>
            <w:r w:rsidRPr="00623402">
              <w:rPr>
                <w:i/>
                <w:color w:val="auto"/>
              </w:rPr>
              <w:t>9.1%</w:t>
            </w:r>
          </w:p>
        </w:tc>
        <w:tc>
          <w:tcPr>
            <w:tcW w:w="1224" w:type="pct"/>
          </w:tcPr>
          <w:p w14:paraId="722F2273" w14:textId="77777777" w:rsidR="00360B04" w:rsidRPr="00623402" w:rsidRDefault="00360B04" w:rsidP="00F30846">
            <w:pPr>
              <w:pStyle w:val="Tabletext"/>
              <w:keepNext/>
              <w:spacing w:before="60" w:after="60" w:line="240" w:lineRule="auto"/>
              <w:jc w:val="center"/>
              <w:rPr>
                <w:i/>
                <w:color w:val="auto"/>
                <w:highlight w:val="yellow"/>
              </w:rPr>
            </w:pPr>
            <w:r w:rsidRPr="00623402">
              <w:rPr>
                <w:i/>
                <w:color w:val="auto"/>
              </w:rPr>
              <w:t>18.1%</w:t>
            </w:r>
          </w:p>
        </w:tc>
        <w:tc>
          <w:tcPr>
            <w:tcW w:w="1164" w:type="pct"/>
          </w:tcPr>
          <w:p w14:paraId="15499742" w14:textId="77777777" w:rsidR="00360B04" w:rsidRPr="00623402" w:rsidRDefault="00360B04" w:rsidP="00F30846">
            <w:pPr>
              <w:pStyle w:val="Tabletext"/>
              <w:keepNext/>
              <w:spacing w:before="60" w:after="60" w:line="240" w:lineRule="auto"/>
              <w:jc w:val="center"/>
              <w:rPr>
                <w:i/>
                <w:color w:val="auto"/>
              </w:rPr>
            </w:pPr>
            <w:r w:rsidRPr="00623402">
              <w:rPr>
                <w:i/>
                <w:color w:val="auto"/>
              </w:rPr>
              <w:t>4.6%</w:t>
            </w:r>
          </w:p>
        </w:tc>
      </w:tr>
      <w:tr w:rsidR="00360B04" w:rsidRPr="0029339B" w14:paraId="27CE478E" w14:textId="77777777" w:rsidTr="00EB0DC3">
        <w:tc>
          <w:tcPr>
            <w:tcW w:w="1377" w:type="pct"/>
          </w:tcPr>
          <w:p w14:paraId="0047A618" w14:textId="77777777" w:rsidR="00360B04" w:rsidRPr="000C4DE9" w:rsidRDefault="00360B04" w:rsidP="00F30846">
            <w:pPr>
              <w:pStyle w:val="Tabletext"/>
              <w:keepNext/>
              <w:spacing w:before="60" w:after="60" w:line="240" w:lineRule="auto"/>
              <w:ind w:right="57"/>
              <w:jc w:val="right"/>
              <w:rPr>
                <w:i/>
                <w:color w:val="auto"/>
              </w:rPr>
            </w:pPr>
            <w:r w:rsidRPr="000C4DE9">
              <w:rPr>
                <w:i/>
                <w:color w:val="auto"/>
              </w:rPr>
              <w:t>thrombocytopenia</w:t>
            </w:r>
          </w:p>
        </w:tc>
        <w:tc>
          <w:tcPr>
            <w:tcW w:w="1235" w:type="pct"/>
          </w:tcPr>
          <w:p w14:paraId="57BB94F3" w14:textId="77777777" w:rsidR="00360B04" w:rsidRPr="00623402" w:rsidRDefault="00360B04" w:rsidP="00F30846">
            <w:pPr>
              <w:pStyle w:val="Tabletext"/>
              <w:keepNext/>
              <w:tabs>
                <w:tab w:val="left" w:pos="1842"/>
              </w:tabs>
              <w:spacing w:before="60" w:after="60" w:line="240" w:lineRule="auto"/>
              <w:jc w:val="center"/>
              <w:rPr>
                <w:i/>
                <w:color w:val="auto"/>
              </w:rPr>
            </w:pPr>
            <w:r w:rsidRPr="00623402">
              <w:rPr>
                <w:i/>
                <w:color w:val="auto"/>
              </w:rPr>
              <w:t>6.8%</w:t>
            </w:r>
          </w:p>
        </w:tc>
        <w:tc>
          <w:tcPr>
            <w:tcW w:w="1224" w:type="pct"/>
          </w:tcPr>
          <w:p w14:paraId="524E0AE4" w14:textId="77777777" w:rsidR="00360B04" w:rsidRPr="00623402" w:rsidRDefault="00360B04" w:rsidP="00F30846">
            <w:pPr>
              <w:pStyle w:val="Tabletext"/>
              <w:keepNext/>
              <w:spacing w:before="60" w:after="60" w:line="240" w:lineRule="auto"/>
              <w:jc w:val="center"/>
              <w:rPr>
                <w:i/>
                <w:color w:val="auto"/>
              </w:rPr>
            </w:pPr>
            <w:r w:rsidRPr="00623402">
              <w:rPr>
                <w:i/>
                <w:color w:val="auto"/>
              </w:rPr>
              <w:t>11.7%</w:t>
            </w:r>
          </w:p>
        </w:tc>
        <w:tc>
          <w:tcPr>
            <w:tcW w:w="1164" w:type="pct"/>
          </w:tcPr>
          <w:p w14:paraId="1704A22D" w14:textId="77777777" w:rsidR="00360B04" w:rsidRPr="00623402" w:rsidRDefault="00360B04" w:rsidP="00F30846">
            <w:pPr>
              <w:pStyle w:val="Tabletext"/>
              <w:keepNext/>
              <w:spacing w:before="60" w:after="60" w:line="240" w:lineRule="auto"/>
              <w:jc w:val="center"/>
              <w:rPr>
                <w:color w:val="auto"/>
              </w:rPr>
            </w:pPr>
            <w:r w:rsidRPr="00623402">
              <w:rPr>
                <w:color w:val="auto"/>
              </w:rPr>
              <w:t>0.4%</w:t>
            </w:r>
          </w:p>
        </w:tc>
      </w:tr>
      <w:tr w:rsidR="00360B04" w:rsidRPr="0029339B" w14:paraId="34AC35D4" w14:textId="77777777" w:rsidTr="00EB0DC3">
        <w:tc>
          <w:tcPr>
            <w:tcW w:w="1377" w:type="pct"/>
          </w:tcPr>
          <w:p w14:paraId="2F9BD6B2" w14:textId="77777777" w:rsidR="00360B04" w:rsidRDefault="00360B04" w:rsidP="00F30846">
            <w:pPr>
              <w:pStyle w:val="Tabletext"/>
              <w:keepNext/>
              <w:spacing w:before="60" w:after="60" w:line="240" w:lineRule="auto"/>
              <w:ind w:left="0"/>
              <w:jc w:val="right"/>
              <w:rPr>
                <w:lang w:eastAsia="ja-JP"/>
              </w:rPr>
            </w:pPr>
            <w:r>
              <w:rPr>
                <w:lang w:eastAsia="ja-JP"/>
              </w:rPr>
              <w:t>Study treatment discontinuation due to AE</w:t>
            </w:r>
          </w:p>
        </w:tc>
        <w:tc>
          <w:tcPr>
            <w:tcW w:w="1235" w:type="pct"/>
          </w:tcPr>
          <w:p w14:paraId="088848C7" w14:textId="77777777" w:rsidR="00360B04" w:rsidRPr="00623402" w:rsidRDefault="00360B04" w:rsidP="00F30846">
            <w:pPr>
              <w:pStyle w:val="Tabletext"/>
              <w:keepNext/>
              <w:tabs>
                <w:tab w:val="left" w:pos="1842"/>
              </w:tabs>
              <w:spacing w:before="60" w:after="60" w:line="240" w:lineRule="auto"/>
              <w:jc w:val="center"/>
              <w:rPr>
                <w:color w:val="auto"/>
                <w:lang w:eastAsia="ja-JP"/>
              </w:rPr>
            </w:pPr>
            <w:r w:rsidRPr="00623402">
              <w:rPr>
                <w:color w:val="auto"/>
                <w:lang w:eastAsia="ja-JP"/>
              </w:rPr>
              <w:t>25 (9.4%)</w:t>
            </w:r>
          </w:p>
        </w:tc>
        <w:tc>
          <w:tcPr>
            <w:tcW w:w="1224" w:type="pct"/>
          </w:tcPr>
          <w:p w14:paraId="6F5CB329" w14:textId="77777777" w:rsidR="00360B04" w:rsidRPr="00623402" w:rsidRDefault="00360B04" w:rsidP="00F30846">
            <w:pPr>
              <w:pStyle w:val="Tabletext"/>
              <w:keepNext/>
              <w:spacing w:before="60" w:after="60" w:line="240" w:lineRule="auto"/>
              <w:jc w:val="center"/>
              <w:rPr>
                <w:color w:val="auto"/>
                <w:lang w:eastAsia="ja-JP"/>
              </w:rPr>
            </w:pPr>
            <w:r w:rsidRPr="00623402">
              <w:rPr>
                <w:color w:val="auto"/>
                <w:lang w:eastAsia="ja-JP"/>
              </w:rPr>
              <w:t>25 (9.4%)</w:t>
            </w:r>
          </w:p>
        </w:tc>
        <w:tc>
          <w:tcPr>
            <w:tcW w:w="1164" w:type="pct"/>
          </w:tcPr>
          <w:p w14:paraId="525226ED" w14:textId="77777777" w:rsidR="00360B04" w:rsidRPr="00623402" w:rsidRDefault="00360B04" w:rsidP="00F30846">
            <w:pPr>
              <w:pStyle w:val="Tabletext"/>
              <w:keepNext/>
              <w:spacing w:before="60" w:after="60" w:line="240" w:lineRule="auto"/>
              <w:jc w:val="center"/>
              <w:rPr>
                <w:color w:val="auto"/>
                <w:lang w:eastAsia="ja-JP"/>
              </w:rPr>
            </w:pPr>
            <w:r w:rsidRPr="00623402">
              <w:rPr>
                <w:color w:val="auto"/>
                <w:lang w:eastAsia="ja-JP"/>
              </w:rPr>
              <w:t>282 (9.4)</w:t>
            </w:r>
          </w:p>
        </w:tc>
      </w:tr>
      <w:tr w:rsidR="00360B04" w:rsidRPr="0029339B" w14:paraId="32DF61D8" w14:textId="77777777" w:rsidTr="00EB0DC3">
        <w:tc>
          <w:tcPr>
            <w:tcW w:w="1377" w:type="pct"/>
          </w:tcPr>
          <w:p w14:paraId="4D99D6CA" w14:textId="77777777" w:rsidR="00360B04" w:rsidRDefault="00360B04" w:rsidP="00F30846">
            <w:pPr>
              <w:pStyle w:val="Tabletext"/>
              <w:keepNext/>
              <w:spacing w:before="60" w:after="60" w:line="240" w:lineRule="auto"/>
              <w:ind w:left="0"/>
              <w:jc w:val="right"/>
              <w:rPr>
                <w:lang w:eastAsia="ja-JP"/>
              </w:rPr>
            </w:pPr>
            <w:r>
              <w:rPr>
                <w:lang w:eastAsia="ja-JP"/>
              </w:rPr>
              <w:t xml:space="preserve">Study treatment dose delay or interruption due to AE </w:t>
            </w:r>
          </w:p>
        </w:tc>
        <w:tc>
          <w:tcPr>
            <w:tcW w:w="1235" w:type="pct"/>
          </w:tcPr>
          <w:p w14:paraId="21D1D5E2" w14:textId="77777777" w:rsidR="00360B04" w:rsidRPr="00623402" w:rsidRDefault="00360B04" w:rsidP="00F30846">
            <w:pPr>
              <w:pStyle w:val="Tabletext"/>
              <w:keepNext/>
              <w:tabs>
                <w:tab w:val="left" w:pos="1842"/>
              </w:tabs>
              <w:spacing w:before="60" w:after="60" w:line="240" w:lineRule="auto"/>
              <w:jc w:val="center"/>
              <w:rPr>
                <w:color w:val="auto"/>
                <w:lang w:eastAsia="ja-JP"/>
              </w:rPr>
            </w:pPr>
            <w:r w:rsidRPr="00623402">
              <w:rPr>
                <w:color w:val="auto"/>
                <w:lang w:eastAsia="ja-JP"/>
              </w:rPr>
              <w:t>124 (46.8%)</w:t>
            </w:r>
          </w:p>
        </w:tc>
        <w:tc>
          <w:tcPr>
            <w:tcW w:w="1224" w:type="pct"/>
          </w:tcPr>
          <w:p w14:paraId="0A06F20E" w14:textId="77777777" w:rsidR="00360B04" w:rsidRPr="00623402" w:rsidRDefault="00360B04" w:rsidP="00F30846">
            <w:pPr>
              <w:pStyle w:val="Tabletext"/>
              <w:keepNext/>
              <w:spacing w:before="60" w:after="60" w:line="240" w:lineRule="auto"/>
              <w:jc w:val="center"/>
              <w:rPr>
                <w:color w:val="auto"/>
                <w:lang w:eastAsia="ja-JP"/>
              </w:rPr>
            </w:pPr>
            <w:r w:rsidRPr="00623402">
              <w:rPr>
                <w:color w:val="auto"/>
                <w:lang w:eastAsia="ja-JP"/>
              </w:rPr>
              <w:t>124 (46.6%)</w:t>
            </w:r>
          </w:p>
        </w:tc>
        <w:tc>
          <w:tcPr>
            <w:tcW w:w="1164" w:type="pct"/>
          </w:tcPr>
          <w:p w14:paraId="4780CA58" w14:textId="77777777" w:rsidR="00360B04" w:rsidRPr="00623402" w:rsidRDefault="00360B04" w:rsidP="00F30846">
            <w:pPr>
              <w:pStyle w:val="Tabletext"/>
              <w:keepNext/>
              <w:spacing w:before="60" w:after="60" w:line="240" w:lineRule="auto"/>
              <w:jc w:val="center"/>
              <w:rPr>
                <w:color w:val="auto"/>
                <w:lang w:eastAsia="ja-JP"/>
              </w:rPr>
            </w:pPr>
            <w:r w:rsidRPr="00623402">
              <w:rPr>
                <w:color w:val="auto"/>
                <w:lang w:eastAsia="ja-JP"/>
              </w:rPr>
              <w:t>871 (29.0)</w:t>
            </w:r>
          </w:p>
        </w:tc>
      </w:tr>
      <w:tr w:rsidR="00360B04" w:rsidRPr="0029339B" w14:paraId="41F00516" w14:textId="77777777" w:rsidTr="00EB0DC3">
        <w:tc>
          <w:tcPr>
            <w:tcW w:w="1377" w:type="pct"/>
          </w:tcPr>
          <w:p w14:paraId="3EB96712" w14:textId="77777777" w:rsidR="00360B04" w:rsidRPr="00DC16B4" w:rsidRDefault="00360B04" w:rsidP="00F30846">
            <w:pPr>
              <w:pStyle w:val="Tabletext"/>
              <w:keepNext/>
              <w:spacing w:before="60" w:after="60" w:line="240" w:lineRule="auto"/>
              <w:jc w:val="right"/>
              <w:rPr>
                <w:vertAlign w:val="superscript"/>
                <w:lang w:eastAsia="ja-JP"/>
              </w:rPr>
            </w:pPr>
            <w:r>
              <w:rPr>
                <w:lang w:eastAsia="ja-JP"/>
              </w:rPr>
              <w:t xml:space="preserve">Any </w:t>
            </w:r>
            <w:proofErr w:type="spellStart"/>
            <w:r>
              <w:rPr>
                <w:lang w:eastAsia="ja-JP"/>
              </w:rPr>
              <w:t>ADR</w:t>
            </w:r>
            <w:r>
              <w:rPr>
                <w:vertAlign w:val="superscript"/>
                <w:lang w:eastAsia="ja-JP"/>
              </w:rPr>
              <w:t>a,b</w:t>
            </w:r>
            <w:proofErr w:type="spellEnd"/>
          </w:p>
        </w:tc>
        <w:tc>
          <w:tcPr>
            <w:tcW w:w="1235" w:type="pct"/>
          </w:tcPr>
          <w:p w14:paraId="69B401F1" w14:textId="77777777" w:rsidR="00360B04" w:rsidRPr="00623402" w:rsidRDefault="00360B04" w:rsidP="00F30846">
            <w:pPr>
              <w:pStyle w:val="Tabletext"/>
              <w:keepNext/>
              <w:tabs>
                <w:tab w:val="left" w:pos="1842"/>
              </w:tabs>
              <w:spacing w:before="60" w:after="60" w:line="240" w:lineRule="auto"/>
              <w:jc w:val="center"/>
              <w:rPr>
                <w:color w:val="auto"/>
                <w:lang w:eastAsia="ja-JP"/>
              </w:rPr>
            </w:pPr>
            <w:r w:rsidRPr="00623402">
              <w:rPr>
                <w:color w:val="auto"/>
                <w:lang w:eastAsia="ja-JP"/>
              </w:rPr>
              <w:t>89.4%</w:t>
            </w:r>
          </w:p>
        </w:tc>
        <w:tc>
          <w:tcPr>
            <w:tcW w:w="1224" w:type="pct"/>
          </w:tcPr>
          <w:p w14:paraId="39BB63AD" w14:textId="77777777" w:rsidR="00360B04" w:rsidRPr="00623402" w:rsidRDefault="00360B04" w:rsidP="00F30846">
            <w:pPr>
              <w:pStyle w:val="Tabletext"/>
              <w:keepNext/>
              <w:spacing w:before="60" w:after="60" w:line="240" w:lineRule="auto"/>
              <w:jc w:val="center"/>
              <w:rPr>
                <w:color w:val="auto"/>
                <w:lang w:eastAsia="ja-JP"/>
              </w:rPr>
            </w:pPr>
            <w:r w:rsidRPr="00623402">
              <w:rPr>
                <w:color w:val="auto"/>
                <w:lang w:eastAsia="ja-JP"/>
              </w:rPr>
              <w:t>90.2%</w:t>
            </w:r>
          </w:p>
        </w:tc>
        <w:tc>
          <w:tcPr>
            <w:tcW w:w="1164" w:type="pct"/>
          </w:tcPr>
          <w:p w14:paraId="64EBB79E" w14:textId="77777777" w:rsidR="00360B04" w:rsidRPr="00623402" w:rsidRDefault="00360B04" w:rsidP="00F30846">
            <w:pPr>
              <w:pStyle w:val="Tabletext"/>
              <w:keepNext/>
              <w:spacing w:before="60" w:after="60" w:line="240" w:lineRule="auto"/>
              <w:jc w:val="center"/>
              <w:rPr>
                <w:color w:val="auto"/>
                <w:lang w:eastAsia="ja-JP"/>
              </w:rPr>
            </w:pPr>
          </w:p>
        </w:tc>
      </w:tr>
      <w:tr w:rsidR="00360B04" w:rsidRPr="0029339B" w14:paraId="6BD6C1EB" w14:textId="77777777" w:rsidTr="00EB0DC3">
        <w:tc>
          <w:tcPr>
            <w:tcW w:w="1377" w:type="pct"/>
          </w:tcPr>
          <w:p w14:paraId="2FFFEAEB" w14:textId="77777777" w:rsidR="00360B04" w:rsidRDefault="00360B04" w:rsidP="00F30846">
            <w:pPr>
              <w:pStyle w:val="Tabletext"/>
              <w:keepNext/>
              <w:spacing w:before="60" w:after="60" w:line="240" w:lineRule="auto"/>
              <w:jc w:val="right"/>
              <w:rPr>
                <w:lang w:eastAsia="ja-JP"/>
              </w:rPr>
            </w:pPr>
            <w:r>
              <w:rPr>
                <w:lang w:eastAsia="ja-JP"/>
              </w:rPr>
              <w:t xml:space="preserve">Any CTCAE Grade </w:t>
            </w:r>
            <w:r w:rsidRPr="005B07B6">
              <w:rPr>
                <w:lang w:eastAsia="ja-JP"/>
              </w:rPr>
              <w:t>3 or 4</w:t>
            </w:r>
            <w:r>
              <w:rPr>
                <w:lang w:eastAsia="ja-JP"/>
              </w:rPr>
              <w:t xml:space="preserve"> ADR</w:t>
            </w:r>
          </w:p>
        </w:tc>
        <w:tc>
          <w:tcPr>
            <w:tcW w:w="1235" w:type="pct"/>
          </w:tcPr>
          <w:p w14:paraId="07E40F9E" w14:textId="77777777" w:rsidR="00360B04" w:rsidRPr="00623402" w:rsidRDefault="00360B04" w:rsidP="00F30846">
            <w:pPr>
              <w:pStyle w:val="Tabletext"/>
              <w:keepNext/>
              <w:tabs>
                <w:tab w:val="left" w:pos="1842"/>
              </w:tabs>
              <w:spacing w:before="60" w:after="60" w:line="240" w:lineRule="auto"/>
              <w:jc w:val="center"/>
              <w:rPr>
                <w:color w:val="auto"/>
                <w:lang w:eastAsia="ja-JP"/>
              </w:rPr>
            </w:pPr>
            <w:r w:rsidRPr="00623402">
              <w:rPr>
                <w:color w:val="auto"/>
                <w:lang w:eastAsia="ja-JP"/>
              </w:rPr>
              <w:t>45.7%</w:t>
            </w:r>
          </w:p>
        </w:tc>
        <w:tc>
          <w:tcPr>
            <w:tcW w:w="1224" w:type="pct"/>
          </w:tcPr>
          <w:p w14:paraId="5337D67F" w14:textId="77777777" w:rsidR="00360B04" w:rsidRPr="00623402" w:rsidRDefault="00360B04" w:rsidP="00F30846">
            <w:pPr>
              <w:pStyle w:val="Tabletext"/>
              <w:keepNext/>
              <w:spacing w:before="60" w:after="60" w:line="240" w:lineRule="auto"/>
              <w:jc w:val="center"/>
              <w:rPr>
                <w:color w:val="auto"/>
                <w:lang w:eastAsia="ja-JP"/>
              </w:rPr>
            </w:pPr>
            <w:r w:rsidRPr="00623402">
              <w:rPr>
                <w:color w:val="auto"/>
                <w:lang w:eastAsia="ja-JP"/>
              </w:rPr>
              <w:t>51.9%</w:t>
            </w:r>
          </w:p>
        </w:tc>
        <w:tc>
          <w:tcPr>
            <w:tcW w:w="1164" w:type="pct"/>
          </w:tcPr>
          <w:p w14:paraId="202CA586" w14:textId="77777777" w:rsidR="00360B04" w:rsidRPr="00623402" w:rsidRDefault="00360B04" w:rsidP="00F30846">
            <w:pPr>
              <w:pStyle w:val="Tabletext"/>
              <w:keepNext/>
              <w:spacing w:before="60" w:after="60" w:line="240" w:lineRule="auto"/>
              <w:jc w:val="center"/>
              <w:rPr>
                <w:color w:val="auto"/>
                <w:lang w:eastAsia="ja-JP"/>
              </w:rPr>
            </w:pPr>
          </w:p>
        </w:tc>
      </w:tr>
      <w:tr w:rsidR="00672615" w:rsidRPr="0029339B" w14:paraId="5AF1AA3F" w14:textId="77777777" w:rsidTr="00672615">
        <w:tc>
          <w:tcPr>
            <w:tcW w:w="5000" w:type="pct"/>
            <w:gridSpan w:val="4"/>
          </w:tcPr>
          <w:p w14:paraId="6F38390D" w14:textId="11C05C64" w:rsidR="00672615" w:rsidRPr="00EB0DC3" w:rsidRDefault="00672615" w:rsidP="00EB0DC3">
            <w:pPr>
              <w:pStyle w:val="Tabletext"/>
              <w:spacing w:before="60" w:after="60" w:line="240" w:lineRule="auto"/>
              <w:ind w:left="0"/>
              <w:rPr>
                <w:b/>
                <w:lang w:eastAsia="ja-JP"/>
              </w:rPr>
            </w:pPr>
            <w:r w:rsidRPr="00EB0DC3">
              <w:rPr>
                <w:b/>
                <w:lang w:eastAsia="ja-JP"/>
              </w:rPr>
              <w:t>Serious adverse events</w:t>
            </w:r>
            <w:r>
              <w:rPr>
                <w:b/>
                <w:lang w:eastAsia="ja-JP"/>
              </w:rPr>
              <w:t xml:space="preserve"> (SAE)</w:t>
            </w:r>
          </w:p>
        </w:tc>
      </w:tr>
      <w:tr w:rsidR="00672615" w:rsidRPr="0029339B" w14:paraId="2906045E" w14:textId="77777777" w:rsidTr="00906DBC">
        <w:tc>
          <w:tcPr>
            <w:tcW w:w="1377" w:type="pct"/>
          </w:tcPr>
          <w:p w14:paraId="2FCAB295" w14:textId="4AEBC0FE" w:rsidR="00672615" w:rsidRDefault="00672615" w:rsidP="00EB0DC3">
            <w:pPr>
              <w:pStyle w:val="Tabletext"/>
              <w:spacing w:before="60" w:after="60" w:line="240" w:lineRule="auto"/>
              <w:jc w:val="right"/>
              <w:rPr>
                <w:lang w:eastAsia="ja-JP"/>
              </w:rPr>
            </w:pPr>
            <w:r>
              <w:rPr>
                <w:lang w:eastAsia="ja-JP"/>
              </w:rPr>
              <w:t>Any SAE</w:t>
            </w:r>
          </w:p>
        </w:tc>
        <w:tc>
          <w:tcPr>
            <w:tcW w:w="1235" w:type="pct"/>
          </w:tcPr>
          <w:p w14:paraId="0E31BAC0" w14:textId="5157AA43" w:rsidR="00672615" w:rsidRPr="00623402" w:rsidRDefault="00672615" w:rsidP="00EB0DC3">
            <w:pPr>
              <w:pStyle w:val="Tabletext"/>
              <w:tabs>
                <w:tab w:val="left" w:pos="1842"/>
              </w:tabs>
              <w:spacing w:before="60" w:after="60" w:line="240" w:lineRule="auto"/>
              <w:jc w:val="center"/>
              <w:rPr>
                <w:lang w:eastAsia="ja-JP"/>
              </w:rPr>
            </w:pPr>
            <w:r w:rsidRPr="00623402">
              <w:rPr>
                <w:color w:val="auto"/>
                <w:lang w:eastAsia="ja-JP"/>
              </w:rPr>
              <w:t>82 (30.9%)</w:t>
            </w:r>
          </w:p>
        </w:tc>
        <w:tc>
          <w:tcPr>
            <w:tcW w:w="1224" w:type="pct"/>
          </w:tcPr>
          <w:p w14:paraId="24D60934" w14:textId="2B2BABF3" w:rsidR="00672615" w:rsidRPr="00623402" w:rsidRDefault="00672615" w:rsidP="00EB0DC3">
            <w:pPr>
              <w:pStyle w:val="Tabletext"/>
              <w:spacing w:before="60" w:after="60" w:line="240" w:lineRule="auto"/>
              <w:jc w:val="center"/>
              <w:rPr>
                <w:lang w:eastAsia="ja-JP"/>
              </w:rPr>
            </w:pPr>
            <w:r w:rsidRPr="00623402">
              <w:rPr>
                <w:color w:val="auto"/>
                <w:lang w:eastAsia="ja-JP"/>
              </w:rPr>
              <w:t>96 (36.1%)</w:t>
            </w:r>
          </w:p>
        </w:tc>
        <w:tc>
          <w:tcPr>
            <w:tcW w:w="1164" w:type="pct"/>
          </w:tcPr>
          <w:p w14:paraId="422BE53C" w14:textId="45705A6D" w:rsidR="00672615" w:rsidRPr="00623402" w:rsidRDefault="00672615" w:rsidP="00EB0DC3">
            <w:pPr>
              <w:pStyle w:val="Tabletext"/>
              <w:spacing w:before="60" w:after="60" w:line="240" w:lineRule="auto"/>
              <w:jc w:val="center"/>
              <w:rPr>
                <w:lang w:eastAsia="ja-JP"/>
              </w:rPr>
            </w:pPr>
            <w:r w:rsidRPr="00623402">
              <w:rPr>
                <w:color w:val="auto"/>
                <w:lang w:eastAsia="ja-JP"/>
              </w:rPr>
              <w:t>1,068 (35.5%)</w:t>
            </w:r>
          </w:p>
        </w:tc>
      </w:tr>
      <w:tr w:rsidR="00672615" w:rsidRPr="0029339B" w14:paraId="15DF758B" w14:textId="77777777" w:rsidTr="00672615">
        <w:tc>
          <w:tcPr>
            <w:tcW w:w="5000" w:type="pct"/>
            <w:gridSpan w:val="4"/>
          </w:tcPr>
          <w:p w14:paraId="0BC168D5" w14:textId="70A7245B" w:rsidR="00672615" w:rsidRPr="00623402" w:rsidRDefault="00672615" w:rsidP="00EB0DC3">
            <w:pPr>
              <w:pStyle w:val="Tabletext"/>
              <w:spacing w:before="60" w:after="60" w:line="240" w:lineRule="auto"/>
              <w:rPr>
                <w:lang w:eastAsia="ja-JP"/>
              </w:rPr>
            </w:pPr>
            <w:r w:rsidRPr="00623402">
              <w:rPr>
                <w:color w:val="auto"/>
              </w:rPr>
              <w:t>Most common SAEs (≥</w:t>
            </w:r>
            <w:r>
              <w:rPr>
                <w:color w:val="auto"/>
              </w:rPr>
              <w:t xml:space="preserve"> </w:t>
            </w:r>
            <w:r w:rsidRPr="00623402">
              <w:rPr>
                <w:color w:val="auto"/>
              </w:rPr>
              <w:t>2%):</w:t>
            </w:r>
          </w:p>
        </w:tc>
      </w:tr>
      <w:tr w:rsidR="00672615" w:rsidRPr="0029339B" w14:paraId="7081FDEF" w14:textId="77777777" w:rsidTr="00906DBC">
        <w:tc>
          <w:tcPr>
            <w:tcW w:w="1377" w:type="pct"/>
          </w:tcPr>
          <w:p w14:paraId="369DE586" w14:textId="65B98A1C" w:rsidR="00672615" w:rsidRDefault="00672615" w:rsidP="00EB0DC3">
            <w:pPr>
              <w:pStyle w:val="Tabletext"/>
              <w:spacing w:before="60" w:after="60" w:line="240" w:lineRule="auto"/>
              <w:jc w:val="right"/>
              <w:rPr>
                <w:lang w:eastAsia="ja-JP"/>
              </w:rPr>
            </w:pPr>
            <w:r>
              <w:rPr>
                <w:i/>
                <w:color w:val="auto"/>
              </w:rPr>
              <w:t>f</w:t>
            </w:r>
            <w:r w:rsidRPr="00DE0459">
              <w:rPr>
                <w:i/>
                <w:color w:val="auto"/>
              </w:rPr>
              <w:t>ebrile neutropenia</w:t>
            </w:r>
          </w:p>
        </w:tc>
        <w:tc>
          <w:tcPr>
            <w:tcW w:w="1235" w:type="pct"/>
          </w:tcPr>
          <w:p w14:paraId="627B1866" w14:textId="19F443AC" w:rsidR="00672615" w:rsidRPr="00623402" w:rsidRDefault="00672615" w:rsidP="00EB0DC3">
            <w:pPr>
              <w:pStyle w:val="Tabletext"/>
              <w:tabs>
                <w:tab w:val="left" w:pos="1842"/>
              </w:tabs>
              <w:spacing w:before="60" w:after="60" w:line="240" w:lineRule="auto"/>
              <w:jc w:val="center"/>
              <w:rPr>
                <w:lang w:eastAsia="ja-JP"/>
              </w:rPr>
            </w:pPr>
            <w:r w:rsidRPr="00DE0459">
              <w:rPr>
                <w:i/>
                <w:color w:val="auto"/>
              </w:rPr>
              <w:t>4.5%</w:t>
            </w:r>
          </w:p>
        </w:tc>
        <w:tc>
          <w:tcPr>
            <w:tcW w:w="1224" w:type="pct"/>
          </w:tcPr>
          <w:p w14:paraId="2763EF47" w14:textId="4AD4CC64" w:rsidR="00672615" w:rsidRPr="00623402" w:rsidRDefault="00672615" w:rsidP="00EB0DC3">
            <w:pPr>
              <w:pStyle w:val="Tabletext"/>
              <w:spacing w:before="60" w:after="60" w:line="240" w:lineRule="auto"/>
              <w:jc w:val="center"/>
              <w:rPr>
                <w:lang w:eastAsia="ja-JP"/>
              </w:rPr>
            </w:pPr>
            <w:r w:rsidRPr="00DE0459">
              <w:rPr>
                <w:i/>
                <w:color w:val="auto"/>
              </w:rPr>
              <w:t>4.5%</w:t>
            </w:r>
          </w:p>
        </w:tc>
        <w:tc>
          <w:tcPr>
            <w:tcW w:w="1164" w:type="pct"/>
          </w:tcPr>
          <w:p w14:paraId="3FDF31B0" w14:textId="77777777" w:rsidR="00672615" w:rsidRPr="00623402" w:rsidRDefault="00672615" w:rsidP="00EB0DC3">
            <w:pPr>
              <w:pStyle w:val="Tabletext"/>
              <w:spacing w:before="60" w:after="60" w:line="240" w:lineRule="auto"/>
              <w:jc w:val="center"/>
              <w:rPr>
                <w:lang w:eastAsia="ja-JP"/>
              </w:rPr>
            </w:pPr>
          </w:p>
        </w:tc>
      </w:tr>
      <w:tr w:rsidR="00672615" w:rsidRPr="0029339B" w14:paraId="7D124A26" w14:textId="77777777" w:rsidTr="00906DBC">
        <w:tc>
          <w:tcPr>
            <w:tcW w:w="1377" w:type="pct"/>
          </w:tcPr>
          <w:p w14:paraId="1D7303EF" w14:textId="3E097F3C" w:rsidR="00672615" w:rsidRDefault="00672615" w:rsidP="00EB0DC3">
            <w:pPr>
              <w:pStyle w:val="Tabletext"/>
              <w:spacing w:before="60" w:after="60" w:line="240" w:lineRule="auto"/>
              <w:jc w:val="right"/>
              <w:rPr>
                <w:lang w:eastAsia="ja-JP"/>
              </w:rPr>
            </w:pPr>
            <w:r w:rsidRPr="00DE0459">
              <w:rPr>
                <w:i/>
                <w:color w:val="auto"/>
              </w:rPr>
              <w:lastRenderedPageBreak/>
              <w:t>Anaemia</w:t>
            </w:r>
          </w:p>
        </w:tc>
        <w:tc>
          <w:tcPr>
            <w:tcW w:w="1235" w:type="pct"/>
          </w:tcPr>
          <w:p w14:paraId="606A9A8D" w14:textId="23F500B2" w:rsidR="00672615" w:rsidRPr="00623402" w:rsidRDefault="00672615" w:rsidP="00EB0DC3">
            <w:pPr>
              <w:pStyle w:val="Tabletext"/>
              <w:tabs>
                <w:tab w:val="left" w:pos="1842"/>
              </w:tabs>
              <w:spacing w:before="60" w:after="60" w:line="240" w:lineRule="auto"/>
              <w:jc w:val="center"/>
              <w:rPr>
                <w:lang w:eastAsia="ja-JP"/>
              </w:rPr>
            </w:pPr>
            <w:r w:rsidRPr="00DE0459">
              <w:rPr>
                <w:i/>
                <w:color w:val="auto"/>
              </w:rPr>
              <w:t>1.9%</w:t>
            </w:r>
          </w:p>
        </w:tc>
        <w:tc>
          <w:tcPr>
            <w:tcW w:w="1224" w:type="pct"/>
          </w:tcPr>
          <w:p w14:paraId="74B7EBEF" w14:textId="0928640A" w:rsidR="00672615" w:rsidRPr="00623402" w:rsidRDefault="00672615" w:rsidP="00EB0DC3">
            <w:pPr>
              <w:pStyle w:val="Tabletext"/>
              <w:spacing w:before="60" w:after="60" w:line="240" w:lineRule="auto"/>
              <w:jc w:val="center"/>
              <w:rPr>
                <w:lang w:eastAsia="ja-JP"/>
              </w:rPr>
            </w:pPr>
            <w:r w:rsidRPr="00DE0459">
              <w:rPr>
                <w:i/>
                <w:color w:val="auto"/>
              </w:rPr>
              <w:t>4.5%</w:t>
            </w:r>
          </w:p>
        </w:tc>
        <w:tc>
          <w:tcPr>
            <w:tcW w:w="1164" w:type="pct"/>
          </w:tcPr>
          <w:p w14:paraId="4EE3326C" w14:textId="77777777" w:rsidR="00672615" w:rsidRPr="00623402" w:rsidRDefault="00672615" w:rsidP="00EB0DC3">
            <w:pPr>
              <w:pStyle w:val="Tabletext"/>
              <w:spacing w:before="60" w:after="60" w:line="240" w:lineRule="auto"/>
              <w:jc w:val="center"/>
              <w:rPr>
                <w:lang w:eastAsia="ja-JP"/>
              </w:rPr>
            </w:pPr>
          </w:p>
        </w:tc>
      </w:tr>
      <w:tr w:rsidR="00672615" w:rsidRPr="0029339B" w14:paraId="0F176E44" w14:textId="77777777" w:rsidTr="00906DBC">
        <w:tc>
          <w:tcPr>
            <w:tcW w:w="1377" w:type="pct"/>
          </w:tcPr>
          <w:p w14:paraId="3B0EDC09" w14:textId="1738402E" w:rsidR="00672615" w:rsidRDefault="00672615" w:rsidP="00EB0DC3">
            <w:pPr>
              <w:pStyle w:val="Tabletext"/>
              <w:spacing w:before="60" w:after="60" w:line="240" w:lineRule="auto"/>
              <w:jc w:val="right"/>
              <w:rPr>
                <w:lang w:eastAsia="ja-JP"/>
              </w:rPr>
            </w:pPr>
            <w:r w:rsidRPr="006805D3">
              <w:rPr>
                <w:i/>
                <w:color w:val="auto"/>
              </w:rPr>
              <w:t>Pneumonia</w:t>
            </w:r>
          </w:p>
        </w:tc>
        <w:tc>
          <w:tcPr>
            <w:tcW w:w="1235" w:type="pct"/>
          </w:tcPr>
          <w:p w14:paraId="441C27A7" w14:textId="2AAC1F75" w:rsidR="00672615" w:rsidRPr="00623402" w:rsidRDefault="00672615" w:rsidP="00EB0DC3">
            <w:pPr>
              <w:pStyle w:val="Tabletext"/>
              <w:tabs>
                <w:tab w:val="left" w:pos="1842"/>
              </w:tabs>
              <w:spacing w:before="60" w:after="60" w:line="240" w:lineRule="auto"/>
              <w:jc w:val="center"/>
              <w:rPr>
                <w:lang w:eastAsia="ja-JP"/>
              </w:rPr>
            </w:pPr>
            <w:r w:rsidRPr="006805D3">
              <w:rPr>
                <w:i/>
                <w:color w:val="auto"/>
              </w:rPr>
              <w:t>2.3%</w:t>
            </w:r>
          </w:p>
        </w:tc>
        <w:tc>
          <w:tcPr>
            <w:tcW w:w="1224" w:type="pct"/>
          </w:tcPr>
          <w:p w14:paraId="0729F81B" w14:textId="283F86EC" w:rsidR="00672615" w:rsidRPr="00623402" w:rsidRDefault="00672615" w:rsidP="00EB0DC3">
            <w:pPr>
              <w:pStyle w:val="Tabletext"/>
              <w:spacing w:before="60" w:after="60" w:line="240" w:lineRule="auto"/>
              <w:jc w:val="center"/>
              <w:rPr>
                <w:lang w:eastAsia="ja-JP"/>
              </w:rPr>
            </w:pPr>
            <w:r w:rsidRPr="006805D3">
              <w:rPr>
                <w:i/>
                <w:color w:val="auto"/>
              </w:rPr>
              <w:t>3.4%</w:t>
            </w:r>
          </w:p>
        </w:tc>
        <w:tc>
          <w:tcPr>
            <w:tcW w:w="1164" w:type="pct"/>
          </w:tcPr>
          <w:p w14:paraId="701FCD64" w14:textId="77777777" w:rsidR="00672615" w:rsidRPr="00623402" w:rsidRDefault="00672615" w:rsidP="00EB0DC3">
            <w:pPr>
              <w:pStyle w:val="Tabletext"/>
              <w:spacing w:before="60" w:after="60" w:line="240" w:lineRule="auto"/>
              <w:jc w:val="center"/>
              <w:rPr>
                <w:lang w:eastAsia="ja-JP"/>
              </w:rPr>
            </w:pPr>
          </w:p>
        </w:tc>
      </w:tr>
      <w:tr w:rsidR="00672615" w:rsidRPr="0029339B" w14:paraId="31F55BFC" w14:textId="77777777" w:rsidTr="00906DBC">
        <w:tc>
          <w:tcPr>
            <w:tcW w:w="1377" w:type="pct"/>
          </w:tcPr>
          <w:p w14:paraId="2CE14410" w14:textId="291C05C9" w:rsidR="00672615" w:rsidRDefault="00672615" w:rsidP="00EB0DC3">
            <w:pPr>
              <w:pStyle w:val="Tabletext"/>
              <w:spacing w:before="60" w:after="60" w:line="240" w:lineRule="auto"/>
              <w:jc w:val="right"/>
              <w:rPr>
                <w:lang w:eastAsia="ja-JP"/>
              </w:rPr>
            </w:pPr>
            <w:r w:rsidRPr="00C308E1">
              <w:rPr>
                <w:i/>
                <w:color w:val="auto"/>
              </w:rPr>
              <w:t>Thrombocytopenia</w:t>
            </w:r>
          </w:p>
        </w:tc>
        <w:tc>
          <w:tcPr>
            <w:tcW w:w="1235" w:type="pct"/>
          </w:tcPr>
          <w:p w14:paraId="58FCEA0F" w14:textId="1DDB675C" w:rsidR="00672615" w:rsidRPr="00623402" w:rsidRDefault="00672615" w:rsidP="00EB0DC3">
            <w:pPr>
              <w:pStyle w:val="Tabletext"/>
              <w:tabs>
                <w:tab w:val="left" w:pos="1842"/>
              </w:tabs>
              <w:spacing w:before="60" w:after="60" w:line="240" w:lineRule="auto"/>
              <w:jc w:val="center"/>
              <w:rPr>
                <w:lang w:eastAsia="ja-JP"/>
              </w:rPr>
            </w:pPr>
            <w:r w:rsidRPr="00C308E1">
              <w:rPr>
                <w:i/>
                <w:color w:val="auto"/>
              </w:rPr>
              <w:t>0.4%</w:t>
            </w:r>
          </w:p>
        </w:tc>
        <w:tc>
          <w:tcPr>
            <w:tcW w:w="1224" w:type="pct"/>
          </w:tcPr>
          <w:p w14:paraId="79AC2FE4" w14:textId="05190400" w:rsidR="00672615" w:rsidRPr="00623402" w:rsidRDefault="00672615" w:rsidP="00EB0DC3">
            <w:pPr>
              <w:pStyle w:val="Tabletext"/>
              <w:spacing w:before="60" w:after="60" w:line="240" w:lineRule="auto"/>
              <w:jc w:val="center"/>
              <w:rPr>
                <w:lang w:eastAsia="ja-JP"/>
              </w:rPr>
            </w:pPr>
            <w:r w:rsidRPr="00C308E1">
              <w:rPr>
                <w:i/>
                <w:color w:val="auto"/>
              </w:rPr>
              <w:t>3.4%</w:t>
            </w:r>
          </w:p>
        </w:tc>
        <w:tc>
          <w:tcPr>
            <w:tcW w:w="1164" w:type="pct"/>
          </w:tcPr>
          <w:p w14:paraId="5DB633FD" w14:textId="77777777" w:rsidR="00672615" w:rsidRPr="00623402" w:rsidRDefault="00672615" w:rsidP="00EB0DC3">
            <w:pPr>
              <w:pStyle w:val="Tabletext"/>
              <w:spacing w:before="60" w:after="60" w:line="240" w:lineRule="auto"/>
              <w:jc w:val="center"/>
              <w:rPr>
                <w:lang w:eastAsia="ja-JP"/>
              </w:rPr>
            </w:pPr>
          </w:p>
        </w:tc>
      </w:tr>
      <w:tr w:rsidR="00672615" w:rsidRPr="0029339B" w14:paraId="6342B9C0" w14:textId="77777777" w:rsidTr="00906DBC">
        <w:tc>
          <w:tcPr>
            <w:tcW w:w="1377" w:type="pct"/>
          </w:tcPr>
          <w:p w14:paraId="279FA041" w14:textId="14134EF0" w:rsidR="00672615" w:rsidRDefault="00672615" w:rsidP="00EB0DC3">
            <w:pPr>
              <w:pStyle w:val="Tabletext"/>
              <w:spacing w:before="60" w:after="60" w:line="240" w:lineRule="auto"/>
              <w:jc w:val="right"/>
              <w:rPr>
                <w:lang w:eastAsia="ja-JP"/>
              </w:rPr>
            </w:pPr>
            <w:r w:rsidRPr="00F03EAD">
              <w:rPr>
                <w:i/>
                <w:color w:val="auto"/>
              </w:rPr>
              <w:t>Neutropenia</w:t>
            </w:r>
          </w:p>
        </w:tc>
        <w:tc>
          <w:tcPr>
            <w:tcW w:w="1235" w:type="pct"/>
          </w:tcPr>
          <w:p w14:paraId="31D3AEE9" w14:textId="45568B75" w:rsidR="00672615" w:rsidRPr="00623402" w:rsidRDefault="00672615" w:rsidP="00EB0DC3">
            <w:pPr>
              <w:pStyle w:val="Tabletext"/>
              <w:tabs>
                <w:tab w:val="left" w:pos="1842"/>
              </w:tabs>
              <w:spacing w:before="60" w:after="60" w:line="240" w:lineRule="auto"/>
              <w:jc w:val="center"/>
              <w:rPr>
                <w:lang w:eastAsia="ja-JP"/>
              </w:rPr>
            </w:pPr>
            <w:r w:rsidRPr="00F03EAD">
              <w:rPr>
                <w:i/>
                <w:color w:val="auto"/>
              </w:rPr>
              <w:t>0.8%</w:t>
            </w:r>
          </w:p>
        </w:tc>
        <w:tc>
          <w:tcPr>
            <w:tcW w:w="1224" w:type="pct"/>
          </w:tcPr>
          <w:p w14:paraId="20E9FD8F" w14:textId="2430EF22" w:rsidR="00672615" w:rsidRPr="00623402" w:rsidRDefault="00672615" w:rsidP="00EB0DC3">
            <w:pPr>
              <w:pStyle w:val="Tabletext"/>
              <w:spacing w:before="60" w:after="60" w:line="240" w:lineRule="auto"/>
              <w:jc w:val="center"/>
              <w:rPr>
                <w:lang w:eastAsia="ja-JP"/>
              </w:rPr>
            </w:pPr>
            <w:r w:rsidRPr="00F03EAD">
              <w:rPr>
                <w:i/>
                <w:color w:val="auto"/>
              </w:rPr>
              <w:t>2.6%</w:t>
            </w:r>
          </w:p>
        </w:tc>
        <w:tc>
          <w:tcPr>
            <w:tcW w:w="1164" w:type="pct"/>
          </w:tcPr>
          <w:p w14:paraId="4BB1136A" w14:textId="77777777" w:rsidR="00672615" w:rsidRPr="00623402" w:rsidRDefault="00672615" w:rsidP="00EB0DC3">
            <w:pPr>
              <w:pStyle w:val="Tabletext"/>
              <w:spacing w:before="60" w:after="60" w:line="240" w:lineRule="auto"/>
              <w:jc w:val="center"/>
              <w:rPr>
                <w:lang w:eastAsia="ja-JP"/>
              </w:rPr>
            </w:pPr>
          </w:p>
        </w:tc>
      </w:tr>
      <w:tr w:rsidR="00672615" w:rsidRPr="0029339B" w14:paraId="19489766" w14:textId="77777777" w:rsidTr="00672615">
        <w:tc>
          <w:tcPr>
            <w:tcW w:w="5000" w:type="pct"/>
            <w:gridSpan w:val="4"/>
          </w:tcPr>
          <w:p w14:paraId="45E264FA" w14:textId="1A69C8F3" w:rsidR="00672615" w:rsidRPr="00623402" w:rsidRDefault="00672615" w:rsidP="00EB0DC3">
            <w:pPr>
              <w:pStyle w:val="Tabletext"/>
              <w:spacing w:before="60" w:after="60" w:line="240" w:lineRule="auto"/>
              <w:ind w:left="0"/>
              <w:rPr>
                <w:lang w:eastAsia="ja-JP"/>
              </w:rPr>
            </w:pPr>
            <w:r w:rsidRPr="00623402">
              <w:rPr>
                <w:b/>
                <w:color w:val="auto"/>
              </w:rPr>
              <w:t>Deaths</w:t>
            </w:r>
          </w:p>
        </w:tc>
      </w:tr>
      <w:tr w:rsidR="00672615" w:rsidRPr="0029339B" w14:paraId="34380394" w14:textId="77777777" w:rsidTr="00906DBC">
        <w:tc>
          <w:tcPr>
            <w:tcW w:w="1377" w:type="pct"/>
          </w:tcPr>
          <w:p w14:paraId="000A6F30" w14:textId="674EDEB4" w:rsidR="00672615" w:rsidRDefault="00672615" w:rsidP="00EB0DC3">
            <w:pPr>
              <w:pStyle w:val="Tabletext"/>
              <w:spacing w:before="60" w:after="60" w:line="240" w:lineRule="auto"/>
              <w:jc w:val="right"/>
              <w:rPr>
                <w:lang w:eastAsia="ja-JP"/>
              </w:rPr>
            </w:pPr>
            <w:r w:rsidRPr="00514C44">
              <w:rPr>
                <w:i/>
                <w:color w:val="auto"/>
              </w:rPr>
              <w:t>Death in absence of progression</w:t>
            </w:r>
          </w:p>
        </w:tc>
        <w:tc>
          <w:tcPr>
            <w:tcW w:w="1235" w:type="pct"/>
          </w:tcPr>
          <w:p w14:paraId="2B5846AD" w14:textId="47080346" w:rsidR="00672615" w:rsidRPr="00623402" w:rsidRDefault="00672615" w:rsidP="00EB0DC3">
            <w:pPr>
              <w:pStyle w:val="Tabletext"/>
              <w:tabs>
                <w:tab w:val="left" w:pos="1842"/>
              </w:tabs>
              <w:spacing w:before="60" w:after="60" w:line="240" w:lineRule="auto"/>
              <w:jc w:val="center"/>
              <w:rPr>
                <w:lang w:eastAsia="ja-JP"/>
              </w:rPr>
            </w:pPr>
            <w:r w:rsidRPr="00514C44">
              <w:rPr>
                <w:i/>
                <w:color w:val="auto"/>
              </w:rPr>
              <w:t>12.7%</w:t>
            </w:r>
          </w:p>
        </w:tc>
        <w:tc>
          <w:tcPr>
            <w:tcW w:w="1224" w:type="pct"/>
          </w:tcPr>
          <w:p w14:paraId="749C2433" w14:textId="56D794E9" w:rsidR="00672615" w:rsidRPr="00623402" w:rsidRDefault="00672615" w:rsidP="00EB0DC3">
            <w:pPr>
              <w:pStyle w:val="Tabletext"/>
              <w:spacing w:before="60" w:after="60" w:line="240" w:lineRule="auto"/>
              <w:jc w:val="center"/>
              <w:rPr>
                <w:lang w:eastAsia="ja-JP"/>
              </w:rPr>
            </w:pPr>
            <w:r w:rsidRPr="00514C44">
              <w:rPr>
                <w:i/>
                <w:color w:val="auto"/>
              </w:rPr>
              <w:t>14.5%</w:t>
            </w:r>
          </w:p>
        </w:tc>
        <w:tc>
          <w:tcPr>
            <w:tcW w:w="1164" w:type="pct"/>
          </w:tcPr>
          <w:p w14:paraId="2525BFB3" w14:textId="7600E852" w:rsidR="00672615" w:rsidRPr="00623402" w:rsidRDefault="00672615" w:rsidP="00EB0DC3">
            <w:pPr>
              <w:pStyle w:val="Tabletext"/>
              <w:spacing w:before="60" w:after="60" w:line="240" w:lineRule="auto"/>
              <w:jc w:val="center"/>
              <w:rPr>
                <w:lang w:eastAsia="ja-JP"/>
              </w:rPr>
            </w:pPr>
          </w:p>
        </w:tc>
      </w:tr>
      <w:tr w:rsidR="00672615" w:rsidRPr="0029339B" w14:paraId="1F4C25B5" w14:textId="77777777" w:rsidTr="00906DBC">
        <w:tc>
          <w:tcPr>
            <w:tcW w:w="1377" w:type="pct"/>
          </w:tcPr>
          <w:p w14:paraId="1FC46A58" w14:textId="57C283B8" w:rsidR="00672615" w:rsidRDefault="00672615" w:rsidP="00EB0DC3">
            <w:pPr>
              <w:pStyle w:val="Tabletext"/>
              <w:spacing w:before="60" w:after="60" w:line="240" w:lineRule="auto"/>
              <w:jc w:val="right"/>
              <w:rPr>
                <w:lang w:eastAsia="ja-JP"/>
              </w:rPr>
            </w:pPr>
            <w:r w:rsidRPr="00514C44">
              <w:rPr>
                <w:i/>
                <w:color w:val="auto"/>
              </w:rPr>
              <w:t xml:space="preserve">Fatal AEs </w:t>
            </w:r>
          </w:p>
        </w:tc>
        <w:tc>
          <w:tcPr>
            <w:tcW w:w="1235" w:type="pct"/>
          </w:tcPr>
          <w:p w14:paraId="4D308297" w14:textId="55161A5B" w:rsidR="00672615" w:rsidRPr="00623402" w:rsidRDefault="00672615" w:rsidP="00EB0DC3">
            <w:pPr>
              <w:pStyle w:val="Tabletext"/>
              <w:tabs>
                <w:tab w:val="left" w:pos="1842"/>
              </w:tabs>
              <w:spacing w:before="60" w:after="60" w:line="240" w:lineRule="auto"/>
              <w:jc w:val="center"/>
              <w:rPr>
                <w:lang w:eastAsia="ja-JP"/>
              </w:rPr>
            </w:pPr>
            <w:r w:rsidRPr="00514C44">
              <w:rPr>
                <w:i/>
                <w:color w:val="auto"/>
              </w:rPr>
              <w:t>4.9%</w:t>
            </w:r>
          </w:p>
        </w:tc>
        <w:tc>
          <w:tcPr>
            <w:tcW w:w="1224" w:type="pct"/>
          </w:tcPr>
          <w:p w14:paraId="590EC5C7" w14:textId="6B8893C5" w:rsidR="00672615" w:rsidRPr="00623402" w:rsidRDefault="00672615" w:rsidP="00EB0DC3">
            <w:pPr>
              <w:pStyle w:val="Tabletext"/>
              <w:spacing w:before="60" w:after="60" w:line="240" w:lineRule="auto"/>
              <w:jc w:val="center"/>
              <w:rPr>
                <w:lang w:eastAsia="ja-JP"/>
              </w:rPr>
            </w:pPr>
            <w:r w:rsidRPr="00514C44">
              <w:rPr>
                <w:i/>
                <w:color w:val="auto"/>
              </w:rPr>
              <w:t>5.6%</w:t>
            </w:r>
          </w:p>
        </w:tc>
        <w:tc>
          <w:tcPr>
            <w:tcW w:w="1164" w:type="pct"/>
          </w:tcPr>
          <w:p w14:paraId="26C644DA" w14:textId="262DFB0F" w:rsidR="00672615" w:rsidRPr="00623402" w:rsidRDefault="00672615" w:rsidP="00EB0DC3">
            <w:pPr>
              <w:pStyle w:val="Tabletext"/>
              <w:spacing w:before="60" w:after="60" w:line="240" w:lineRule="auto"/>
              <w:jc w:val="center"/>
              <w:rPr>
                <w:lang w:eastAsia="ja-JP"/>
              </w:rPr>
            </w:pPr>
            <w:r>
              <w:rPr>
                <w:i/>
                <w:color w:val="auto"/>
              </w:rPr>
              <w:t>5.5%</w:t>
            </w:r>
            <w:r w:rsidRPr="00514C44">
              <w:rPr>
                <w:i/>
                <w:color w:val="auto"/>
              </w:rPr>
              <w:t xml:space="preserve"> </w:t>
            </w:r>
          </w:p>
        </w:tc>
      </w:tr>
      <w:tr w:rsidR="00672615" w:rsidRPr="0029339B" w14:paraId="183D31D1" w14:textId="77777777" w:rsidTr="00906DBC">
        <w:tc>
          <w:tcPr>
            <w:tcW w:w="1377" w:type="pct"/>
          </w:tcPr>
          <w:p w14:paraId="490BAABC" w14:textId="5C440C00" w:rsidR="00672615" w:rsidRDefault="00672615" w:rsidP="00672615">
            <w:pPr>
              <w:pStyle w:val="Tabletext"/>
              <w:spacing w:before="60" w:after="60" w:line="240" w:lineRule="auto"/>
              <w:jc w:val="right"/>
              <w:rPr>
                <w:lang w:eastAsia="ja-JP"/>
              </w:rPr>
            </w:pPr>
            <w:r w:rsidRPr="00514C44">
              <w:rPr>
                <w:i/>
                <w:color w:val="auto"/>
              </w:rPr>
              <w:t>Fatal ADRs</w:t>
            </w:r>
          </w:p>
        </w:tc>
        <w:tc>
          <w:tcPr>
            <w:tcW w:w="1235" w:type="pct"/>
          </w:tcPr>
          <w:p w14:paraId="5FA1DBEA" w14:textId="3881DA4C" w:rsidR="00672615" w:rsidRPr="00623402" w:rsidRDefault="00672615" w:rsidP="00672615">
            <w:pPr>
              <w:pStyle w:val="Tabletext"/>
              <w:tabs>
                <w:tab w:val="left" w:pos="1842"/>
              </w:tabs>
              <w:spacing w:before="60" w:after="60" w:line="240" w:lineRule="auto"/>
              <w:jc w:val="center"/>
              <w:rPr>
                <w:lang w:eastAsia="ja-JP"/>
              </w:rPr>
            </w:pPr>
            <w:r w:rsidRPr="00514C44">
              <w:rPr>
                <w:i/>
              </w:rPr>
              <w:t>1.9%</w:t>
            </w:r>
          </w:p>
        </w:tc>
        <w:tc>
          <w:tcPr>
            <w:tcW w:w="1224" w:type="pct"/>
          </w:tcPr>
          <w:p w14:paraId="5F7E963E" w14:textId="6DB82242" w:rsidR="00672615" w:rsidRPr="00623402" w:rsidRDefault="00672615" w:rsidP="00672615">
            <w:pPr>
              <w:pStyle w:val="Tabletext"/>
              <w:spacing w:before="60" w:after="60" w:line="240" w:lineRule="auto"/>
              <w:jc w:val="center"/>
              <w:rPr>
                <w:lang w:eastAsia="ja-JP"/>
              </w:rPr>
            </w:pPr>
            <w:r w:rsidRPr="00514C44">
              <w:rPr>
                <w:i/>
              </w:rPr>
              <w:t>0.8%</w:t>
            </w:r>
          </w:p>
        </w:tc>
        <w:tc>
          <w:tcPr>
            <w:tcW w:w="1164" w:type="pct"/>
          </w:tcPr>
          <w:p w14:paraId="1656BA7E" w14:textId="0E8DBE0C" w:rsidR="00672615" w:rsidRPr="00623402" w:rsidRDefault="00672615" w:rsidP="00672615">
            <w:pPr>
              <w:pStyle w:val="Tabletext"/>
              <w:spacing w:before="60" w:after="60" w:line="240" w:lineRule="auto"/>
              <w:jc w:val="center"/>
              <w:rPr>
                <w:lang w:eastAsia="ja-JP"/>
              </w:rPr>
            </w:pPr>
          </w:p>
        </w:tc>
      </w:tr>
    </w:tbl>
    <w:p w14:paraId="32600231" w14:textId="04982AD1" w:rsidR="006D3700" w:rsidRPr="00F30846" w:rsidRDefault="006D3700" w:rsidP="00360B04">
      <w:pPr>
        <w:pStyle w:val="TableTitle"/>
        <w:rPr>
          <w:b w:val="0"/>
          <w:sz w:val="19"/>
          <w:szCs w:val="19"/>
        </w:rPr>
      </w:pPr>
      <w:r w:rsidRPr="00F30846">
        <w:rPr>
          <w:b w:val="0"/>
          <w:sz w:val="19"/>
          <w:szCs w:val="19"/>
        </w:rPr>
        <w:t>AE = adverse event,</w:t>
      </w:r>
      <w:r w:rsidR="004A6012" w:rsidRPr="00F30846">
        <w:rPr>
          <w:b w:val="0"/>
          <w:sz w:val="19"/>
          <w:szCs w:val="19"/>
        </w:rPr>
        <w:t xml:space="preserve"> ADR = Adverse drug reaction,</w:t>
      </w:r>
      <w:r w:rsidRPr="00F30846">
        <w:rPr>
          <w:b w:val="0"/>
          <w:sz w:val="19"/>
          <w:szCs w:val="19"/>
        </w:rPr>
        <w:t xml:space="preserve"> TEAE = treatment-emergent adverse event, TRAE = treatment-related adverse event </w:t>
      </w:r>
    </w:p>
    <w:p w14:paraId="2840DB3B" w14:textId="77777777" w:rsidR="006D3700" w:rsidRDefault="006D3700" w:rsidP="006D3700">
      <w:pPr>
        <w:pStyle w:val="TableDescription"/>
      </w:pPr>
      <w:r>
        <w:t>a Neutropenia, anaemia, thrombocytopenia, leukopenia, alopecia, nausea, vomiting, constipation, fatigue, decreased appetite all very common</w:t>
      </w:r>
      <w:r w:rsidR="004A6012">
        <w:t xml:space="preserve"> in D plus</w:t>
      </w:r>
      <w:r>
        <w:t xml:space="preserve"> EP and EP groups; febrile neutropenia, pancytopenia, stomatitis, pneumonitis, hypothyroidism, abdominal pain, </w:t>
      </w:r>
      <w:r w:rsidR="004A6012">
        <w:t>a</w:t>
      </w:r>
      <w:r w:rsidR="004A6012" w:rsidRPr="004A6012">
        <w:t>spartate transaminase</w:t>
      </w:r>
      <w:r w:rsidR="004F239E">
        <w:t xml:space="preserve"> (AST)</w:t>
      </w:r>
      <w:r w:rsidR="004A6012">
        <w:t xml:space="preserve"> or </w:t>
      </w:r>
      <w:r w:rsidR="004A6012" w:rsidRPr="004A6012">
        <w:t>alanine aminotransferase</w:t>
      </w:r>
      <w:r w:rsidR="004F239E">
        <w:t xml:space="preserve"> (ALT)</w:t>
      </w:r>
      <w:r>
        <w:t xml:space="preserve"> increased, blood creatinine increased, dysuria, rash, pruritus, </w:t>
      </w:r>
      <w:r w:rsidR="004A6012">
        <w:t xml:space="preserve">pyrexia, peripheral oedema, </w:t>
      </w:r>
      <w:r w:rsidR="004A6012" w:rsidRPr="004A6012">
        <w:t>upper respiratory tract infection</w:t>
      </w:r>
      <w:r>
        <w:t>, pneumonia, dental and oral soft tissue infections, myalgia, infusion-related reaction common in both groups</w:t>
      </w:r>
    </w:p>
    <w:p w14:paraId="5B274092" w14:textId="77777777" w:rsidR="00B36BAD" w:rsidRDefault="004A6012" w:rsidP="006D3700">
      <w:pPr>
        <w:pStyle w:val="TableDescription"/>
      </w:pPr>
      <w:r>
        <w:t>b Cough very common in D plus</w:t>
      </w:r>
      <w:r w:rsidR="006D3700">
        <w:t xml:space="preserve"> EP group, common in EP group.</w:t>
      </w:r>
    </w:p>
    <w:p w14:paraId="0BE50E96" w14:textId="03198DCA" w:rsidR="006D3700" w:rsidRDefault="006D3700" w:rsidP="006D3700">
      <w:r>
        <w:t xml:space="preserve">The evaluator did not describe a clinical pattern for the fatal </w:t>
      </w:r>
      <w:r w:rsidR="00CF3EFF">
        <w:t>adverse events (</w:t>
      </w:r>
      <w:r>
        <w:t>AE</w:t>
      </w:r>
      <w:r w:rsidR="00CF3EFF">
        <w:t xml:space="preserve">) </w:t>
      </w:r>
      <w:r>
        <w:t xml:space="preserve">and </w:t>
      </w:r>
      <w:r w:rsidR="00CF3EFF">
        <w:t>adverse drug reactions (</w:t>
      </w:r>
      <w:r>
        <w:t>ADR</w:t>
      </w:r>
      <w:r w:rsidR="00CF3EFF">
        <w:t>)</w:t>
      </w:r>
      <w:r>
        <w:t xml:space="preserve">. Common </w:t>
      </w:r>
      <w:r w:rsidR="00CF3EFF">
        <w:t>serious adverse events (</w:t>
      </w:r>
      <w:r>
        <w:t>SAE and frequencies are listed in</w:t>
      </w:r>
      <w:r w:rsidR="00737937">
        <w:t xml:space="preserve"> </w:t>
      </w:r>
      <w:r w:rsidR="00737937">
        <w:fldChar w:fldCharType="begin"/>
      </w:r>
      <w:r w:rsidR="00737937">
        <w:instrText xml:space="preserve"> REF _Ref67306813 \h </w:instrText>
      </w:r>
      <w:r w:rsidR="00737937">
        <w:fldChar w:fldCharType="separate"/>
      </w:r>
      <w:r w:rsidR="00130E57" w:rsidRPr="00B36BAD">
        <w:t xml:space="preserve">Table </w:t>
      </w:r>
      <w:r w:rsidR="00130E57">
        <w:rPr>
          <w:noProof/>
        </w:rPr>
        <w:t>8</w:t>
      </w:r>
      <w:r w:rsidR="00737937">
        <w:fldChar w:fldCharType="end"/>
      </w:r>
      <w:r>
        <w:t xml:space="preserve">. </w:t>
      </w:r>
      <w:r w:rsidRPr="00AA056F">
        <w:t xml:space="preserve">Discontinuation due to AEs were not reported for more than 2% of any </w:t>
      </w:r>
      <w:r w:rsidR="00672615">
        <w:t>System O</w:t>
      </w:r>
      <w:r w:rsidRPr="00AA056F">
        <w:t xml:space="preserve">rgan </w:t>
      </w:r>
      <w:r w:rsidR="00672615">
        <w:t>C</w:t>
      </w:r>
      <w:r w:rsidRPr="00AA056F">
        <w:t>lass.</w:t>
      </w:r>
    </w:p>
    <w:p w14:paraId="6D6D5965" w14:textId="77777777" w:rsidR="006D3700" w:rsidRDefault="006D3700" w:rsidP="006D3700">
      <w:pPr>
        <w:pStyle w:val="Heading6"/>
      </w:pPr>
      <w:r>
        <w:t>Adverse events of special interest and otherwise of note</w:t>
      </w:r>
    </w:p>
    <w:p w14:paraId="170B6DC8" w14:textId="57A62EE8" w:rsidR="006D3700" w:rsidRDefault="004A6012" w:rsidP="006D3700">
      <w:r>
        <w:t xml:space="preserve">Events reported for D plus </w:t>
      </w:r>
      <w:r w:rsidR="006D3700">
        <w:t>EP, EP, and pooled monotherapy, respectively, occurred in 19.6%/2.6%/17.7%, with Grade 3 or 4 events in 4.5%/0.4</w:t>
      </w:r>
      <w:r>
        <w:t>%/3.9%, of which 2.3% in the D</w:t>
      </w:r>
      <w:r w:rsidR="00CF3EFF">
        <w:t> </w:t>
      </w:r>
      <w:r>
        <w:t>plus</w:t>
      </w:r>
      <w:r w:rsidR="006D3700">
        <w:t xml:space="preserve"> EP arm of the CASPIAN trial were fatal. Additional treatment required included corticosteroids for 9.4%/1.9/10.3, and high dose steroids 6.8/0.8/6.1. Endocrine therapies were required in 14.7/0.8/10.0%, and the majority of the </w:t>
      </w:r>
      <w:proofErr w:type="spellStart"/>
      <w:r w:rsidR="006D3700">
        <w:t>endocrinopathies</w:t>
      </w:r>
      <w:proofErr w:type="spellEnd"/>
      <w:r w:rsidR="006D3700">
        <w:t xml:space="preserve"> were thyroid disorders but mostly CTCAE</w:t>
      </w:r>
      <w:r>
        <w:t>;</w:t>
      </w:r>
      <w:r>
        <w:fldChar w:fldCharType="begin"/>
      </w:r>
      <w:r>
        <w:instrText xml:space="preserve"> NOTEREF _Ref62818960 \f \h </w:instrText>
      </w:r>
      <w:r>
        <w:fldChar w:fldCharType="separate"/>
      </w:r>
      <w:r w:rsidR="00130E57" w:rsidRPr="00130E57">
        <w:rPr>
          <w:rStyle w:val="FootnoteReference"/>
        </w:rPr>
        <w:t>7</w:t>
      </w:r>
      <w:r>
        <w:fldChar w:fldCharType="end"/>
      </w:r>
      <w:r w:rsidR="006D3700">
        <w:t xml:space="preserve"> Grade 1 or 2. Resolution of the events had occurred in 40-44% of the cases involving </w:t>
      </w:r>
      <w:proofErr w:type="spellStart"/>
      <w:r w:rsidR="006D3700">
        <w:t>durvalumab</w:t>
      </w:r>
      <w:proofErr w:type="spellEnd"/>
      <w:r w:rsidR="006D3700">
        <w:t xml:space="preserve"> at the time of reporting. </w:t>
      </w:r>
    </w:p>
    <w:p w14:paraId="2C7F4F53" w14:textId="77777777" w:rsidR="006D3700" w:rsidRDefault="006D3700" w:rsidP="006D3700">
      <w:r>
        <w:t xml:space="preserve">Specific events of note in the </w:t>
      </w:r>
      <w:r w:rsidR="00131855">
        <w:t>CASPIAN trial</w:t>
      </w:r>
      <w:r>
        <w:t xml:space="preserve"> were:</w:t>
      </w:r>
    </w:p>
    <w:p w14:paraId="2B12E970" w14:textId="5DFA78C3" w:rsidR="006D3700" w:rsidRDefault="006D3700" w:rsidP="006D3700">
      <w:pPr>
        <w:pStyle w:val="ListBullet"/>
      </w:pPr>
      <w:r>
        <w:t>Any grade imm</w:t>
      </w:r>
      <w:r w:rsidR="004A6012">
        <w:t>une mediated AEs (</w:t>
      </w:r>
      <w:proofErr w:type="spellStart"/>
      <w:r w:rsidR="004A6012">
        <w:t>imAEs</w:t>
      </w:r>
      <w:proofErr w:type="spellEnd"/>
      <w:r w:rsidR="004A6012">
        <w:t>) for D plus</w:t>
      </w:r>
      <w:r>
        <w:t xml:space="preserve"> EP </w:t>
      </w:r>
      <w:r w:rsidR="003E1D32">
        <w:t>versus</w:t>
      </w:r>
      <w:r>
        <w:t xml:space="preserve"> EP: pneumonitis (2.6% </w:t>
      </w:r>
      <w:r w:rsidR="003E1D32">
        <w:t>versus</w:t>
      </w:r>
      <w:r>
        <w:t xml:space="preserve"> 0.8%), hepatic events (2.6% </w:t>
      </w:r>
      <w:r w:rsidR="003E1D32">
        <w:t>versus</w:t>
      </w:r>
      <w:r>
        <w:t xml:space="preserve"> 0.0%), diarrhoea/colitis (1.5% </w:t>
      </w:r>
      <w:r w:rsidR="003E1D32">
        <w:t>versus</w:t>
      </w:r>
      <w:r w:rsidR="00CF3EFF">
        <w:t xml:space="preserve"> </w:t>
      </w:r>
      <w:r>
        <w:t xml:space="preserve">0.4%), hypothyroid (9.1% </w:t>
      </w:r>
      <w:r w:rsidR="003E1D32">
        <w:t>versus</w:t>
      </w:r>
      <w:r>
        <w:t xml:space="preserve"> 0.8%), hyperthyroid (5.3% </w:t>
      </w:r>
      <w:r w:rsidR="003E1D32">
        <w:t>versus</w:t>
      </w:r>
      <w:r>
        <w:t xml:space="preserve"> 0%) events, thyroiditis (1.5% </w:t>
      </w:r>
      <w:r w:rsidR="003E1D32">
        <w:t>versus</w:t>
      </w:r>
      <w:r>
        <w:t xml:space="preserve"> 0.0%), </w:t>
      </w:r>
      <w:r w:rsidR="00CF3EFF">
        <w:t>t</w:t>
      </w:r>
      <w:r>
        <w:t xml:space="preserve">ype 1 diabetes </w:t>
      </w:r>
      <w:r w:rsidR="00CF3EFF">
        <w:t xml:space="preserve">mellitus </w:t>
      </w:r>
      <w:r>
        <w:t xml:space="preserve">(1.5% </w:t>
      </w:r>
      <w:r w:rsidR="003E1D32">
        <w:t>versus</w:t>
      </w:r>
      <w:r>
        <w:t xml:space="preserve"> 0.0%), dermatitis (1.5% </w:t>
      </w:r>
      <w:r w:rsidR="003E1D32">
        <w:t>versus</w:t>
      </w:r>
      <w:r>
        <w:t xml:space="preserve"> 0.8%) </w:t>
      </w:r>
    </w:p>
    <w:p w14:paraId="0F922FB4" w14:textId="64C24B0F" w:rsidR="006D3700" w:rsidRDefault="006D3700" w:rsidP="006D3700">
      <w:pPr>
        <w:pStyle w:val="ListBullet"/>
      </w:pPr>
      <w:r>
        <w:t>CTCAE</w:t>
      </w:r>
      <w:r w:rsidR="00C31002">
        <w:t>;</w:t>
      </w:r>
      <w:r w:rsidR="00C31002">
        <w:fldChar w:fldCharType="begin"/>
      </w:r>
      <w:r w:rsidR="00C31002">
        <w:instrText xml:space="preserve"> NOTEREF _Ref62818960 \f \h </w:instrText>
      </w:r>
      <w:r w:rsidR="00C31002">
        <w:fldChar w:fldCharType="separate"/>
      </w:r>
      <w:r w:rsidR="00130E57" w:rsidRPr="00130E57">
        <w:rPr>
          <w:rStyle w:val="FootnoteReference"/>
        </w:rPr>
        <w:t>7</w:t>
      </w:r>
      <w:r w:rsidR="00C31002">
        <w:fldChar w:fldCharType="end"/>
      </w:r>
      <w:r w:rsidR="00C31002">
        <w:t xml:space="preserve"> Grade 3 or 4 </w:t>
      </w:r>
      <w:proofErr w:type="spellStart"/>
      <w:r w:rsidR="00C31002">
        <w:t>imAEs</w:t>
      </w:r>
      <w:proofErr w:type="spellEnd"/>
      <w:r w:rsidR="00C31002">
        <w:t xml:space="preserve"> for D plus</w:t>
      </w:r>
      <w:r>
        <w:t xml:space="preserve"> EP </w:t>
      </w:r>
      <w:r w:rsidR="003E1D32">
        <w:t>versus</w:t>
      </w:r>
      <w:r>
        <w:t xml:space="preserve"> EP: pneumonitis (0.8% </w:t>
      </w:r>
      <w:r w:rsidR="003E1D32">
        <w:t>versus</w:t>
      </w:r>
      <w:r>
        <w:t xml:space="preserve"> 0.4%), hepatic events (1.9% </w:t>
      </w:r>
      <w:r w:rsidR="003E1D32">
        <w:t>versus</w:t>
      </w:r>
      <w:r>
        <w:t xml:space="preserve"> 0.0%), diarrhoea/colitis (0.4% </w:t>
      </w:r>
      <w:r w:rsidR="003E1D32">
        <w:t>versus</w:t>
      </w:r>
      <w:r w:rsidR="00CF3EFF">
        <w:t xml:space="preserve"> </w:t>
      </w:r>
      <w:r>
        <w:t xml:space="preserve">0.0%), </w:t>
      </w:r>
      <w:r w:rsidR="00CF3EFF">
        <w:t>t</w:t>
      </w:r>
      <w:r>
        <w:t>ype</w:t>
      </w:r>
      <w:r w:rsidR="00CF3EFF">
        <w:t> </w:t>
      </w:r>
      <w:r>
        <w:t>1 diabetes</w:t>
      </w:r>
      <w:r w:rsidR="00CF3EFF">
        <w:t xml:space="preserve"> mellitus</w:t>
      </w:r>
      <w:r>
        <w:t xml:space="preserve"> (1.5% </w:t>
      </w:r>
      <w:r w:rsidR="003E1D32">
        <w:t>versus</w:t>
      </w:r>
      <w:r>
        <w:t xml:space="preserve"> 0.0%) </w:t>
      </w:r>
    </w:p>
    <w:p w14:paraId="763CC0D6" w14:textId="6FE24E0F" w:rsidR="006D3700" w:rsidRDefault="006D3700" w:rsidP="006D3700">
      <w:r>
        <w:lastRenderedPageBreak/>
        <w:t>Infusion reactions (group term) were reported in les</w:t>
      </w:r>
      <w:r w:rsidR="00C31002">
        <w:t>s than 2% of patients in the D plus</w:t>
      </w:r>
      <w:r>
        <w:t xml:space="preserve"> EP and EP alone groups; the majority were CTCAE</w:t>
      </w:r>
      <w:r w:rsidR="00C31002">
        <w:t>;</w:t>
      </w:r>
      <w:r w:rsidR="00C31002">
        <w:fldChar w:fldCharType="begin"/>
      </w:r>
      <w:r w:rsidR="00C31002">
        <w:instrText xml:space="preserve"> NOTEREF _Ref62818960 \f \h </w:instrText>
      </w:r>
      <w:r w:rsidR="00C31002">
        <w:fldChar w:fldCharType="separate"/>
      </w:r>
      <w:r w:rsidR="00130E57" w:rsidRPr="00130E57">
        <w:rPr>
          <w:rStyle w:val="FootnoteReference"/>
        </w:rPr>
        <w:t>7</w:t>
      </w:r>
      <w:r w:rsidR="00C31002">
        <w:fldChar w:fldCharType="end"/>
      </w:r>
      <w:r>
        <w:t xml:space="preserve"> Grade 1</w:t>
      </w:r>
      <w:r w:rsidR="00C31002">
        <w:t xml:space="preserve"> or 2, with 1 patient in the D plus</w:t>
      </w:r>
      <w:r>
        <w:t xml:space="preserve"> EP group experiencing a CTCAE</w:t>
      </w:r>
      <w:r w:rsidR="00C31002">
        <w:t>;</w:t>
      </w:r>
      <w:r w:rsidR="00C31002">
        <w:fldChar w:fldCharType="begin"/>
      </w:r>
      <w:r w:rsidR="00C31002">
        <w:instrText xml:space="preserve"> NOTEREF _Ref62818960 \f \h </w:instrText>
      </w:r>
      <w:r w:rsidR="00C31002">
        <w:fldChar w:fldCharType="separate"/>
      </w:r>
      <w:r w:rsidR="00130E57" w:rsidRPr="00130E57">
        <w:rPr>
          <w:rStyle w:val="FootnoteReference"/>
        </w:rPr>
        <w:t>7</w:t>
      </w:r>
      <w:r w:rsidR="00C31002">
        <w:fldChar w:fldCharType="end"/>
      </w:r>
      <w:r>
        <w:t xml:space="preserve"> Grade 3 event. None of the </w:t>
      </w:r>
      <w:r w:rsidR="00C31002">
        <w:t>a</w:t>
      </w:r>
      <w:r w:rsidR="00C31002" w:rsidRPr="001245CB">
        <w:t>dverse event</w:t>
      </w:r>
      <w:r w:rsidR="00CF3EFF">
        <w:t>s</w:t>
      </w:r>
      <w:r w:rsidR="00C31002" w:rsidRPr="001245CB">
        <w:t xml:space="preserve"> of special interest</w:t>
      </w:r>
      <w:r w:rsidR="00C31002">
        <w:t xml:space="preserve"> (</w:t>
      </w:r>
      <w:r>
        <w:t>AESI</w:t>
      </w:r>
      <w:r w:rsidR="00C31002">
        <w:t>)</w:t>
      </w:r>
      <w:r>
        <w:t xml:space="preserve"> of infusion related reactions led to discontinuation of study treatment and all events were resolved by the date of data cut-off. </w:t>
      </w:r>
    </w:p>
    <w:p w14:paraId="13BED7A4" w14:textId="32E226AF" w:rsidR="006D3700" w:rsidRDefault="006D3700" w:rsidP="006D3700">
      <w:r>
        <w:t xml:space="preserve">Pemphigoid occurred in 1.7% patients and was Grade 3 in 0.4% patients. This is a newly described </w:t>
      </w:r>
      <w:proofErr w:type="spellStart"/>
      <w:r w:rsidR="00CF3EFF">
        <w:t>im</w:t>
      </w:r>
      <w:r>
        <w:t>AE</w:t>
      </w:r>
      <w:proofErr w:type="spellEnd"/>
      <w:r>
        <w:t xml:space="preserve"> for </w:t>
      </w:r>
      <w:proofErr w:type="spellStart"/>
      <w:r>
        <w:t>durvalumab</w:t>
      </w:r>
      <w:proofErr w:type="spellEnd"/>
      <w:r>
        <w:t>. There were no events of myasthenia gravis or Guillain</w:t>
      </w:r>
      <w:r w:rsidR="00C31002">
        <w:t>-Barre syndrome, 0.8% in the D plus</w:t>
      </w:r>
      <w:r>
        <w:t xml:space="preserve"> EP group had arthritis.</w:t>
      </w:r>
    </w:p>
    <w:p w14:paraId="1B6378D6" w14:textId="77777777" w:rsidR="006D3700" w:rsidRDefault="006D3700" w:rsidP="006D3700">
      <w:r>
        <w:t xml:space="preserve">The median time to onset for immune </w:t>
      </w:r>
      <w:r w:rsidR="00C31002">
        <w:t>mediated events reported for D plus</w:t>
      </w:r>
      <w:r>
        <w:t xml:space="preserve"> EP varied with the affected organ and ranged from 28 days for immune mediated diarrhoea /colit</w:t>
      </w:r>
      <w:r w:rsidR="00C31002">
        <w:t>is to 191 days for pneumonitis.</w:t>
      </w:r>
    </w:p>
    <w:p w14:paraId="18509EA1" w14:textId="4D7AC597" w:rsidR="006D3700" w:rsidRDefault="006D3700" w:rsidP="006D3700">
      <w:r w:rsidRPr="006D3700">
        <w:rPr>
          <w:i/>
        </w:rPr>
        <w:t xml:space="preserve">Clinical </w:t>
      </w:r>
      <w:r w:rsidR="00CF3EFF">
        <w:rPr>
          <w:i/>
        </w:rPr>
        <w:t>c</w:t>
      </w:r>
      <w:r w:rsidRPr="006D3700">
        <w:rPr>
          <w:i/>
        </w:rPr>
        <w:t>hemistry</w:t>
      </w:r>
      <w:r w:rsidR="00CF3EFF">
        <w:t>: i</w:t>
      </w:r>
      <w:r>
        <w:t>n clinical chemistry parameters, shifts to CTCAE</w:t>
      </w:r>
      <w:r w:rsidR="004F239E">
        <w:t>;</w:t>
      </w:r>
      <w:r w:rsidR="004F239E">
        <w:fldChar w:fldCharType="begin"/>
      </w:r>
      <w:r w:rsidR="004F239E">
        <w:instrText xml:space="preserve"> NOTEREF _Ref62818960 \f \h </w:instrText>
      </w:r>
      <w:r w:rsidR="004F239E">
        <w:fldChar w:fldCharType="separate"/>
      </w:r>
      <w:r w:rsidR="00130E57" w:rsidRPr="00130E57">
        <w:rPr>
          <w:rStyle w:val="FootnoteReference"/>
        </w:rPr>
        <w:t>7</w:t>
      </w:r>
      <w:r w:rsidR="004F239E">
        <w:fldChar w:fldCharType="end"/>
      </w:r>
      <w:r>
        <w:t xml:space="preserve"> Grade 3 or 4 occu</w:t>
      </w:r>
      <w:r w:rsidR="004F239E">
        <w:t>rred in more patients in the D plus</w:t>
      </w:r>
      <w:r>
        <w:t xml:space="preserve"> EP group than the EP group for </w:t>
      </w:r>
      <w:r w:rsidR="00CF3EFF">
        <w:t xml:space="preserve">alanine aminotransferase </w:t>
      </w:r>
      <w:r>
        <w:t>(</w:t>
      </w:r>
      <w:r w:rsidR="00CF3EFF">
        <w:t xml:space="preserve">ALT; </w:t>
      </w:r>
      <w:r>
        <w:t xml:space="preserve">4.9% and 2.7%), </w:t>
      </w:r>
      <w:r w:rsidR="00CF3EFF">
        <w:t xml:space="preserve">aspartate aminotransferase </w:t>
      </w:r>
      <w:r>
        <w:t>(</w:t>
      </w:r>
      <w:r w:rsidR="00CF3EFF">
        <w:t xml:space="preserve">AST; </w:t>
      </w:r>
      <w:r>
        <w:t>4.6% and 1.2%), potassium low (6.1% and 3.8%), magnesium low (11.1% and 6.3%), creatinine (3.4% and 1.1%), and lipase (8.1% and 3.1%).</w:t>
      </w:r>
    </w:p>
    <w:p w14:paraId="70AABE4D" w14:textId="7325C080" w:rsidR="006D3700" w:rsidRDefault="006D3700" w:rsidP="006D3700">
      <w:r w:rsidRPr="006D3700">
        <w:rPr>
          <w:i/>
        </w:rPr>
        <w:t>Renal</w:t>
      </w:r>
      <w:r w:rsidR="00CF3EFF">
        <w:t>: a</w:t>
      </w:r>
      <w:r>
        <w:t>s reported in the study, patients developed severe renal impairment during the study. While on study treatment, 3.2%, 0.8%</w:t>
      </w:r>
      <w:r w:rsidR="004F239E">
        <w:t xml:space="preserve"> and 0.8% of patients in the D plus</w:t>
      </w:r>
      <w:r>
        <w:t xml:space="preserve"> EP g</w:t>
      </w:r>
      <w:r w:rsidR="00EF7972">
        <w:t>roup had shifts from normal at B</w:t>
      </w:r>
      <w:r>
        <w:t>aseline to moderate renal impairment, severe renal impairment and kidney failure, respectively. Corresponding proportions in the EP alone group were 2.8%, 0% and 0% of patients, respectively. Transient changes to renal function were also noted during the study.</w:t>
      </w:r>
    </w:p>
    <w:p w14:paraId="5A1D2AB7" w14:textId="43978692" w:rsidR="006D3700" w:rsidRDefault="006D3700" w:rsidP="006D3700">
      <w:r w:rsidRPr="006D3700">
        <w:rPr>
          <w:i/>
        </w:rPr>
        <w:t>Hepatotoxicity</w:t>
      </w:r>
      <w:r w:rsidR="00CF3EFF">
        <w:t>: e</w:t>
      </w:r>
      <w:r>
        <w:t>vents of liver function test e</w:t>
      </w:r>
      <w:r w:rsidR="004F239E">
        <w:t>levations were tabulated for D plus</w:t>
      </w:r>
      <w:r>
        <w:t xml:space="preserve"> EP and EP. Total case</w:t>
      </w:r>
      <w:r w:rsidR="004F239E">
        <w:t xml:space="preserve"> numbers were greater in the D plus</w:t>
      </w:r>
      <w:r>
        <w:t xml:space="preserve"> EP </w:t>
      </w:r>
      <w:r w:rsidR="003E1D32">
        <w:t>versus</w:t>
      </w:r>
      <w:r>
        <w:t xml:space="preserve"> EP only arms for AST elevation, ALT elevation, elevations of both and elevation of bilirubin. Potential </w:t>
      </w:r>
      <w:proofErr w:type="spellStart"/>
      <w:r>
        <w:t>Hy’s</w:t>
      </w:r>
      <w:proofErr w:type="spellEnd"/>
      <w:r>
        <w:t xml:space="preserve"> Law</w:t>
      </w:r>
      <w:r w:rsidR="00CF3EFF">
        <w:rPr>
          <w:rStyle w:val="FootnoteReference"/>
        </w:rPr>
        <w:footnoteReference w:id="13"/>
      </w:r>
      <w:r>
        <w:t xml:space="preserve"> cases were reported for 2.6%/0.4% but these were not confirmed. A similar proportion of potential </w:t>
      </w:r>
      <w:proofErr w:type="spellStart"/>
      <w:r>
        <w:t>Hy’s</w:t>
      </w:r>
      <w:proofErr w:type="spellEnd"/>
      <w:r>
        <w:t xml:space="preserve"> Law cases appeared in the pooled monotherapy data (1.9%).</w:t>
      </w:r>
    </w:p>
    <w:p w14:paraId="1602F58E" w14:textId="0679C67E" w:rsidR="006D3700" w:rsidRPr="006D3700" w:rsidRDefault="006D3700" w:rsidP="006D3700">
      <w:r w:rsidRPr="006D3700">
        <w:rPr>
          <w:i/>
        </w:rPr>
        <w:t>Immunogenicity</w:t>
      </w:r>
      <w:r w:rsidR="00CF3EFF">
        <w:t xml:space="preserve">: of </w:t>
      </w:r>
      <w:r>
        <w:t>the 201 patients with ADA ev</w:t>
      </w:r>
      <w:r w:rsidR="004F239E">
        <w:t>aluable results, 11 were ADA positive</w:t>
      </w:r>
      <w:r w:rsidR="00EF7972">
        <w:t>, all were positive at B</w:t>
      </w:r>
      <w:r>
        <w:t>aseline only, and none had neutralising antibodies. Among those patients there were no infusion reactions and no clear signal indicating a relationship to ADA. The incidence of hypersensitivity/anaphylactic reactions was low, r</w:t>
      </w:r>
      <w:r w:rsidR="004F239E">
        <w:t>eported in 3 patients in the D plus</w:t>
      </w:r>
      <w:r>
        <w:t xml:space="preserve"> EP group and 2 patients in the EP alone group.</w:t>
      </w:r>
    </w:p>
    <w:p w14:paraId="0A92F672" w14:textId="77777777" w:rsidR="008E7846" w:rsidRDefault="00386150" w:rsidP="007B6132">
      <w:pPr>
        <w:pStyle w:val="Heading3"/>
        <w:rPr>
          <w:lang w:eastAsia="en-AU"/>
        </w:rPr>
      </w:pPr>
      <w:bookmarkStart w:id="51" w:name="_Toc69718718"/>
      <w:r>
        <w:rPr>
          <w:lang w:eastAsia="en-AU"/>
        </w:rPr>
        <w:t>Risk m</w:t>
      </w:r>
      <w:r w:rsidR="008E7846">
        <w:rPr>
          <w:lang w:eastAsia="en-AU"/>
        </w:rPr>
        <w:t xml:space="preserve">anagement </w:t>
      </w:r>
      <w:r>
        <w:rPr>
          <w:lang w:eastAsia="en-AU"/>
        </w:rPr>
        <w:t>p</w:t>
      </w:r>
      <w:r w:rsidR="008E7846">
        <w:rPr>
          <w:lang w:eastAsia="en-AU"/>
        </w:rPr>
        <w:t>lan</w:t>
      </w:r>
      <w:bookmarkEnd w:id="40"/>
      <w:bookmarkEnd w:id="51"/>
    </w:p>
    <w:p w14:paraId="43052D2F" w14:textId="774E93B3" w:rsidR="00B06484" w:rsidRDefault="00F11FB0" w:rsidP="00B06484">
      <w:r>
        <w:t xml:space="preserve">The </w:t>
      </w:r>
      <w:r w:rsidR="007C6AFC">
        <w:t>risk management plan (</w:t>
      </w:r>
      <w:r>
        <w:t>RMP</w:t>
      </w:r>
      <w:r w:rsidR="007C6AFC">
        <w:t>)</w:t>
      </w:r>
      <w:r>
        <w:t xml:space="preserve"> evaluator has reviewed the I</w:t>
      </w:r>
      <w:r w:rsidR="007C6AFC">
        <w:t>mfinzi core RMP(</w:t>
      </w:r>
      <w:r>
        <w:t>v</w:t>
      </w:r>
      <w:r w:rsidR="00AB7EB3">
        <w:t>ersion 7.0 dated 2 April 2020; data lock point (DLP)</w:t>
      </w:r>
      <w:r>
        <w:t xml:space="preserve"> </w:t>
      </w:r>
      <w:r w:rsidR="00A70E9B">
        <w:t>26 April 2019) with Australian specific a</w:t>
      </w:r>
      <w:r w:rsidR="00AB7EB3">
        <w:t>nnex</w:t>
      </w:r>
      <w:r w:rsidR="007C6AFC">
        <w:t xml:space="preserve"> (ASA) version 8.0 (S</w:t>
      </w:r>
      <w:r w:rsidR="00AB7EB3">
        <w:t>uccession 2) dated 18 May 2020.</w:t>
      </w:r>
      <w:r w:rsidR="00B06484">
        <w:t xml:space="preserve"> It is noted that an EU RMP is available for Imfinzi. The sponsor noted that it is a requirement to provide the EU RMP to the TGA when an EU RMP is available. </w:t>
      </w:r>
    </w:p>
    <w:p w14:paraId="38A33FA3" w14:textId="5F3DAF8E" w:rsidR="00F11FB0" w:rsidRPr="00F11FB0" w:rsidRDefault="00F11FB0" w:rsidP="00F11FB0">
      <w:r>
        <w:t xml:space="preserve">The evaluator’s main concern was the sponsor’s proposal to </w:t>
      </w:r>
      <w:r w:rsidR="00AB7EB3">
        <w:t xml:space="preserve">discontinue the provision of a </w:t>
      </w:r>
      <w:r w:rsidR="00CF3EFF">
        <w:t>Patient A</w:t>
      </w:r>
      <w:r w:rsidR="00AB7EB3">
        <w:t xml:space="preserve">lert </w:t>
      </w:r>
      <w:r w:rsidR="00CF3EFF">
        <w:t>C</w:t>
      </w:r>
      <w:r>
        <w:t xml:space="preserve">ard </w:t>
      </w:r>
      <w:r w:rsidR="00CF3EFF">
        <w:t>for</w:t>
      </w:r>
      <w:r>
        <w:t xml:space="preserve"> health professionals to provide to patients. The sponsor has suggest</w:t>
      </w:r>
      <w:r w:rsidR="00AB7EB3">
        <w:t xml:space="preserve">ed that the information in the patient </w:t>
      </w:r>
      <w:r w:rsidR="007C6AFC">
        <w:t>alert card is available in the Consumer Medicines I</w:t>
      </w:r>
      <w:r w:rsidR="00AB7EB3">
        <w:t>nformation (CMI)</w:t>
      </w:r>
      <w:r>
        <w:t xml:space="preserve">, that the safety of </w:t>
      </w:r>
      <w:proofErr w:type="spellStart"/>
      <w:r>
        <w:t>durvalumab</w:t>
      </w:r>
      <w:proofErr w:type="spellEnd"/>
      <w:r>
        <w:t xml:space="preserve"> is now well established, and </w:t>
      </w:r>
      <w:r w:rsidR="00AB7EB3">
        <w:t xml:space="preserve">a </w:t>
      </w:r>
      <w:r w:rsidR="00AB7EB3">
        <w:lastRenderedPageBreak/>
        <w:t>patient alert c</w:t>
      </w:r>
      <w:r>
        <w:t>ard is not warrant</w:t>
      </w:r>
      <w:r w:rsidR="00AB7EB3">
        <w:t>ed. Aside from this issue, the c</w:t>
      </w:r>
      <w:r>
        <w:t xml:space="preserve">ore RMP and ASA were acceptable to the </w:t>
      </w:r>
      <w:r w:rsidR="007C6AFC">
        <w:t xml:space="preserve">RMP </w:t>
      </w:r>
      <w:r>
        <w:t>evaluator.</w:t>
      </w:r>
    </w:p>
    <w:p w14:paraId="69CD28B4" w14:textId="3D20373C" w:rsidR="007D53B6" w:rsidRDefault="007D53B6" w:rsidP="007D53B6">
      <w:r>
        <w:t>The summary of safety concerns and their associated risk monitoring and mitigation strat</w:t>
      </w:r>
      <w:r w:rsidR="00B06484">
        <w:t xml:space="preserve">egies are summarised in </w:t>
      </w:r>
      <w:r w:rsidR="00B06484">
        <w:fldChar w:fldCharType="begin"/>
      </w:r>
      <w:r w:rsidR="00B06484">
        <w:instrText xml:space="preserve"> REF _Ref62656790 \h </w:instrText>
      </w:r>
      <w:r w:rsidR="00B06484">
        <w:fldChar w:fldCharType="separate"/>
      </w:r>
      <w:r w:rsidR="00130E57" w:rsidRPr="00B06484">
        <w:t xml:space="preserve">Table </w:t>
      </w:r>
      <w:r w:rsidR="00130E57">
        <w:rPr>
          <w:noProof/>
        </w:rPr>
        <w:t>9</w:t>
      </w:r>
      <w:r w:rsidR="00B06484">
        <w:fldChar w:fldCharType="end"/>
      </w:r>
      <w:r>
        <w:t>.</w:t>
      </w:r>
      <w:r>
        <w:rPr>
          <w:rStyle w:val="FootnoteReference"/>
        </w:rPr>
        <w:footnoteReference w:id="14"/>
      </w:r>
    </w:p>
    <w:p w14:paraId="7E9F6F15" w14:textId="37419420" w:rsidR="00B06484" w:rsidRDefault="00B06484" w:rsidP="00B06484">
      <w:pPr>
        <w:pStyle w:val="TableTitle"/>
      </w:pPr>
      <w:bookmarkStart w:id="52" w:name="_Ref62656790"/>
      <w:r w:rsidRPr="00B06484">
        <w:t xml:space="preserve">Table </w:t>
      </w:r>
      <w:r>
        <w:fldChar w:fldCharType="begin"/>
      </w:r>
      <w:r>
        <w:instrText>SEQ Table \* ARABIC</w:instrText>
      </w:r>
      <w:r>
        <w:fldChar w:fldCharType="separate"/>
      </w:r>
      <w:r w:rsidR="00130E57">
        <w:rPr>
          <w:noProof/>
        </w:rPr>
        <w:t>9</w:t>
      </w:r>
      <w:r>
        <w:fldChar w:fldCharType="end"/>
      </w:r>
      <w:bookmarkEnd w:id="52"/>
      <w:r w:rsidR="007C6AFC">
        <w:t>: Summary</w:t>
      </w:r>
      <w:r>
        <w:t xml:space="preserve"> of safety concerns and their associated risk monitoring and mitigation strategies</w:t>
      </w:r>
    </w:p>
    <w:tbl>
      <w:tblPr>
        <w:tblStyle w:val="TableTGAblue"/>
        <w:tblW w:w="5258" w:type="pct"/>
        <w:tblLayout w:type="fixed"/>
        <w:tblLook w:val="04A0" w:firstRow="1" w:lastRow="0" w:firstColumn="1" w:lastColumn="0" w:noHBand="0" w:noVBand="1"/>
      </w:tblPr>
      <w:tblGrid>
        <w:gridCol w:w="1408"/>
        <w:gridCol w:w="2680"/>
        <w:gridCol w:w="1151"/>
        <w:gridCol w:w="1276"/>
        <w:gridCol w:w="1135"/>
        <w:gridCol w:w="1272"/>
      </w:tblGrid>
      <w:tr w:rsidR="00E8791D" w:rsidRPr="0011726C" w14:paraId="5F6A20D2" w14:textId="77777777" w:rsidTr="003E7B40">
        <w:trPr>
          <w:cnfStyle w:val="100000000000" w:firstRow="1" w:lastRow="0" w:firstColumn="0" w:lastColumn="0" w:oddVBand="0" w:evenVBand="0" w:oddHBand="0" w:evenHBand="0" w:firstRowFirstColumn="0" w:firstRowLastColumn="0" w:lastRowFirstColumn="0" w:lastRowLastColumn="0"/>
          <w:trHeight w:val="131"/>
        </w:trPr>
        <w:tc>
          <w:tcPr>
            <w:tcW w:w="2290" w:type="pct"/>
            <w:gridSpan w:val="2"/>
            <w:vMerge w:val="restart"/>
            <w:tcBorders>
              <w:top w:val="single" w:sz="8" w:space="0" w:color="auto"/>
              <w:left w:val="single" w:sz="8" w:space="0" w:color="auto"/>
              <w:bottom w:val="single" w:sz="8" w:space="0" w:color="auto"/>
              <w:right w:val="single" w:sz="8" w:space="0" w:color="auto"/>
            </w:tcBorders>
          </w:tcPr>
          <w:p w14:paraId="7BC3E6E9" w14:textId="77777777" w:rsidR="00E8791D" w:rsidRPr="004F1C07" w:rsidRDefault="00E8791D" w:rsidP="00BB4F1B">
            <w:pPr>
              <w:pStyle w:val="Tabletext"/>
              <w:ind w:left="0"/>
              <w:rPr>
                <w:b w:val="0"/>
              </w:rPr>
            </w:pPr>
            <w:r w:rsidRPr="004F1C07">
              <w:t>Summary of safety concerns</w:t>
            </w:r>
          </w:p>
        </w:tc>
        <w:tc>
          <w:tcPr>
            <w:tcW w:w="1359" w:type="pct"/>
            <w:gridSpan w:val="2"/>
            <w:tcBorders>
              <w:top w:val="single" w:sz="8" w:space="0" w:color="auto"/>
              <w:left w:val="single" w:sz="8" w:space="0" w:color="auto"/>
              <w:bottom w:val="single" w:sz="8" w:space="0" w:color="auto"/>
              <w:right w:val="single" w:sz="8" w:space="0" w:color="auto"/>
            </w:tcBorders>
          </w:tcPr>
          <w:p w14:paraId="257E66A4" w14:textId="77777777" w:rsidR="00E8791D" w:rsidRPr="0011726C" w:rsidRDefault="00E8791D" w:rsidP="00BB4F1B">
            <w:pPr>
              <w:pStyle w:val="Tabletext"/>
              <w:ind w:left="0"/>
              <w:rPr>
                <w:b w:val="0"/>
                <w:sz w:val="18"/>
              </w:rPr>
            </w:pPr>
            <w:r w:rsidRPr="0011726C">
              <w:rPr>
                <w:sz w:val="18"/>
              </w:rPr>
              <w:t>Pharmacovigilance</w:t>
            </w:r>
          </w:p>
        </w:tc>
        <w:tc>
          <w:tcPr>
            <w:tcW w:w="1351" w:type="pct"/>
            <w:gridSpan w:val="2"/>
            <w:tcBorders>
              <w:top w:val="single" w:sz="8" w:space="0" w:color="auto"/>
              <w:left w:val="single" w:sz="8" w:space="0" w:color="auto"/>
              <w:bottom w:val="single" w:sz="8" w:space="0" w:color="auto"/>
              <w:right w:val="single" w:sz="8" w:space="0" w:color="auto"/>
            </w:tcBorders>
          </w:tcPr>
          <w:p w14:paraId="7D346DED" w14:textId="77777777" w:rsidR="00E8791D" w:rsidRPr="0011726C" w:rsidRDefault="00E8791D" w:rsidP="00BB4F1B">
            <w:pPr>
              <w:pStyle w:val="Tabletext"/>
              <w:ind w:left="0"/>
              <w:rPr>
                <w:b w:val="0"/>
                <w:sz w:val="18"/>
              </w:rPr>
            </w:pPr>
            <w:r w:rsidRPr="0011726C">
              <w:rPr>
                <w:sz w:val="18"/>
              </w:rPr>
              <w:t>Risk Minimisation</w:t>
            </w:r>
          </w:p>
        </w:tc>
      </w:tr>
      <w:tr w:rsidR="00E8791D" w:rsidRPr="004F1C07" w14:paraId="14279F56" w14:textId="77777777" w:rsidTr="003E7B40">
        <w:trPr>
          <w:trHeight w:val="150"/>
        </w:trPr>
        <w:tc>
          <w:tcPr>
            <w:tcW w:w="2290" w:type="pct"/>
            <w:gridSpan w:val="2"/>
            <w:vMerge/>
            <w:tcBorders>
              <w:top w:val="single" w:sz="8" w:space="0" w:color="auto"/>
              <w:left w:val="single" w:sz="8" w:space="0" w:color="auto"/>
              <w:bottom w:val="single" w:sz="8" w:space="0" w:color="auto"/>
              <w:right w:val="single" w:sz="8" w:space="0" w:color="auto"/>
            </w:tcBorders>
          </w:tcPr>
          <w:p w14:paraId="1024510A" w14:textId="77777777" w:rsidR="00E8791D" w:rsidRPr="004F1C07" w:rsidRDefault="00E8791D" w:rsidP="00CB2329">
            <w:pPr>
              <w:pStyle w:val="Tabletext"/>
              <w:rPr>
                <w:b/>
              </w:rPr>
            </w:pPr>
          </w:p>
        </w:tc>
        <w:tc>
          <w:tcPr>
            <w:tcW w:w="645" w:type="pct"/>
            <w:tcBorders>
              <w:top w:val="single" w:sz="8" w:space="0" w:color="auto"/>
              <w:left w:val="single" w:sz="8" w:space="0" w:color="auto"/>
              <w:bottom w:val="single" w:sz="8" w:space="0" w:color="auto"/>
              <w:right w:val="single" w:sz="8" w:space="0" w:color="auto"/>
            </w:tcBorders>
            <w:shd w:val="clear" w:color="auto" w:fill="006DA7"/>
          </w:tcPr>
          <w:p w14:paraId="5C45A14E" w14:textId="77777777" w:rsidR="00E8791D" w:rsidRPr="00EB0DC3" w:rsidRDefault="00E8791D" w:rsidP="00B06484">
            <w:pPr>
              <w:pStyle w:val="Tabletext"/>
              <w:ind w:left="0"/>
              <w:rPr>
                <w:b/>
                <w:color w:val="FFFFFF" w:themeColor="background1"/>
                <w:sz w:val="18"/>
              </w:rPr>
            </w:pPr>
            <w:r w:rsidRPr="00EB0DC3">
              <w:rPr>
                <w:b/>
                <w:color w:val="FFFFFF" w:themeColor="background1"/>
                <w:sz w:val="18"/>
              </w:rPr>
              <w:t>Routine</w:t>
            </w:r>
          </w:p>
        </w:tc>
        <w:tc>
          <w:tcPr>
            <w:tcW w:w="715" w:type="pct"/>
            <w:tcBorders>
              <w:top w:val="single" w:sz="8" w:space="0" w:color="auto"/>
              <w:left w:val="single" w:sz="8" w:space="0" w:color="auto"/>
              <w:bottom w:val="single" w:sz="8" w:space="0" w:color="auto"/>
              <w:right w:val="single" w:sz="8" w:space="0" w:color="auto"/>
            </w:tcBorders>
            <w:shd w:val="clear" w:color="auto" w:fill="006DA7"/>
          </w:tcPr>
          <w:p w14:paraId="764A21C6" w14:textId="77777777" w:rsidR="00E8791D" w:rsidRPr="00EB0DC3" w:rsidRDefault="00E8791D" w:rsidP="00B06484">
            <w:pPr>
              <w:pStyle w:val="Tabletext"/>
              <w:ind w:left="0"/>
              <w:rPr>
                <w:b/>
                <w:color w:val="FFFFFF" w:themeColor="background1"/>
                <w:sz w:val="18"/>
              </w:rPr>
            </w:pPr>
            <w:r w:rsidRPr="00EB0DC3">
              <w:rPr>
                <w:b/>
                <w:color w:val="FFFFFF" w:themeColor="background1"/>
                <w:sz w:val="18"/>
              </w:rPr>
              <w:t>Additional</w:t>
            </w:r>
          </w:p>
        </w:tc>
        <w:tc>
          <w:tcPr>
            <w:tcW w:w="636" w:type="pct"/>
            <w:tcBorders>
              <w:top w:val="single" w:sz="8" w:space="0" w:color="auto"/>
              <w:left w:val="single" w:sz="8" w:space="0" w:color="auto"/>
              <w:bottom w:val="single" w:sz="8" w:space="0" w:color="auto"/>
              <w:right w:val="single" w:sz="8" w:space="0" w:color="auto"/>
            </w:tcBorders>
            <w:shd w:val="clear" w:color="auto" w:fill="006DA7"/>
          </w:tcPr>
          <w:p w14:paraId="14FE8D1D" w14:textId="77777777" w:rsidR="00E8791D" w:rsidRPr="00EB0DC3" w:rsidRDefault="00E8791D" w:rsidP="00B06484">
            <w:pPr>
              <w:pStyle w:val="Tabletext"/>
              <w:ind w:left="0"/>
              <w:rPr>
                <w:b/>
                <w:color w:val="FFFFFF" w:themeColor="background1"/>
                <w:sz w:val="18"/>
              </w:rPr>
            </w:pPr>
            <w:r w:rsidRPr="00EB0DC3">
              <w:rPr>
                <w:b/>
                <w:color w:val="FFFFFF" w:themeColor="background1"/>
                <w:sz w:val="18"/>
              </w:rPr>
              <w:t>Routine</w:t>
            </w:r>
          </w:p>
        </w:tc>
        <w:tc>
          <w:tcPr>
            <w:tcW w:w="715" w:type="pct"/>
            <w:tcBorders>
              <w:top w:val="single" w:sz="8" w:space="0" w:color="auto"/>
              <w:left w:val="single" w:sz="8" w:space="0" w:color="auto"/>
              <w:bottom w:val="single" w:sz="8" w:space="0" w:color="auto"/>
              <w:right w:val="single" w:sz="8" w:space="0" w:color="auto"/>
            </w:tcBorders>
            <w:shd w:val="clear" w:color="auto" w:fill="006DA7"/>
          </w:tcPr>
          <w:p w14:paraId="04783F78" w14:textId="77777777" w:rsidR="00E8791D" w:rsidRPr="00EB0DC3" w:rsidRDefault="00E8791D" w:rsidP="00B06484">
            <w:pPr>
              <w:pStyle w:val="Tabletext"/>
              <w:ind w:left="0"/>
              <w:rPr>
                <w:b/>
                <w:color w:val="FFFFFF" w:themeColor="background1"/>
                <w:sz w:val="18"/>
              </w:rPr>
            </w:pPr>
            <w:r w:rsidRPr="00EB0DC3">
              <w:rPr>
                <w:b/>
                <w:color w:val="FFFFFF" w:themeColor="background1"/>
                <w:sz w:val="18"/>
              </w:rPr>
              <w:t>Additional</w:t>
            </w:r>
          </w:p>
        </w:tc>
      </w:tr>
      <w:tr w:rsidR="00B06484" w:rsidRPr="004F1C07" w14:paraId="0B65968E" w14:textId="77777777" w:rsidTr="003E7B40">
        <w:trPr>
          <w:trHeight w:val="137"/>
        </w:trPr>
        <w:tc>
          <w:tcPr>
            <w:tcW w:w="789" w:type="pct"/>
            <w:vMerge w:val="restart"/>
            <w:tcBorders>
              <w:top w:val="nil"/>
            </w:tcBorders>
          </w:tcPr>
          <w:p w14:paraId="4F185752" w14:textId="77777777" w:rsidR="00B06484" w:rsidRPr="00680101" w:rsidRDefault="00B06484" w:rsidP="00B06484">
            <w:pPr>
              <w:pStyle w:val="Tabletext"/>
              <w:ind w:left="0"/>
              <w:rPr>
                <w:b/>
              </w:rPr>
            </w:pPr>
            <w:r w:rsidRPr="00680101">
              <w:rPr>
                <w:b/>
              </w:rPr>
              <w:t>Important identified risks</w:t>
            </w:r>
          </w:p>
        </w:tc>
        <w:tc>
          <w:tcPr>
            <w:tcW w:w="1502" w:type="pct"/>
            <w:tcBorders>
              <w:top w:val="nil"/>
            </w:tcBorders>
          </w:tcPr>
          <w:p w14:paraId="73DABDA7" w14:textId="77777777" w:rsidR="00B06484" w:rsidRPr="004F1C07" w:rsidRDefault="00B06484" w:rsidP="00E8791D">
            <w:pPr>
              <w:pStyle w:val="Tabletext"/>
              <w:ind w:left="0"/>
            </w:pPr>
            <w:r>
              <w:t xml:space="preserve">Immune-mediated pneumonitis </w:t>
            </w:r>
          </w:p>
        </w:tc>
        <w:tc>
          <w:tcPr>
            <w:tcW w:w="645" w:type="pct"/>
            <w:tcBorders>
              <w:top w:val="nil"/>
            </w:tcBorders>
          </w:tcPr>
          <w:p w14:paraId="29AA99D8" w14:textId="77777777" w:rsidR="00B06484" w:rsidRPr="00C23199" w:rsidRDefault="00B06484" w:rsidP="00CB2329">
            <w:pPr>
              <w:pStyle w:val="Tabletext"/>
              <w:jc w:val="center"/>
            </w:pPr>
            <w:r w:rsidRPr="00C23199">
              <w:rPr>
                <w:rFonts w:ascii="Wingdings" w:eastAsia="Wingdings" w:hAnsi="Wingdings" w:cs="Wingdings"/>
              </w:rPr>
              <w:t></w:t>
            </w:r>
            <w:r w:rsidRPr="00C23199">
              <w:rPr>
                <w:rFonts w:asciiTheme="majorHAnsi" w:hAnsiTheme="majorHAnsi"/>
                <w:szCs w:val="20"/>
                <w:vertAlign w:val="superscript"/>
              </w:rPr>
              <w:t>¶</w:t>
            </w:r>
          </w:p>
        </w:tc>
        <w:tc>
          <w:tcPr>
            <w:tcW w:w="715" w:type="pct"/>
            <w:tcBorders>
              <w:top w:val="nil"/>
            </w:tcBorders>
          </w:tcPr>
          <w:p w14:paraId="10DCB5C9" w14:textId="77777777" w:rsidR="00B06484" w:rsidRPr="00C23199" w:rsidRDefault="00B06484" w:rsidP="00CB2329">
            <w:pPr>
              <w:pStyle w:val="Tabletext"/>
              <w:jc w:val="center"/>
            </w:pPr>
            <w:r w:rsidRPr="00C23199">
              <w:t>–</w:t>
            </w:r>
          </w:p>
        </w:tc>
        <w:tc>
          <w:tcPr>
            <w:tcW w:w="636" w:type="pct"/>
            <w:tcBorders>
              <w:top w:val="nil"/>
            </w:tcBorders>
          </w:tcPr>
          <w:p w14:paraId="7E3689FA" w14:textId="77777777" w:rsidR="00B06484" w:rsidRPr="00C23199" w:rsidRDefault="00B06484" w:rsidP="00CB2329">
            <w:pPr>
              <w:pStyle w:val="Tabletext"/>
              <w:jc w:val="center"/>
            </w:pPr>
            <w:r w:rsidRPr="00C23199">
              <w:rPr>
                <w:rFonts w:ascii="Wingdings" w:eastAsia="Wingdings" w:hAnsi="Wingdings" w:cs="Wingdings"/>
              </w:rPr>
              <w:t></w:t>
            </w:r>
          </w:p>
        </w:tc>
        <w:tc>
          <w:tcPr>
            <w:tcW w:w="715" w:type="pct"/>
            <w:tcBorders>
              <w:top w:val="nil"/>
            </w:tcBorders>
          </w:tcPr>
          <w:p w14:paraId="0D58313D" w14:textId="77777777" w:rsidR="00B06484" w:rsidRPr="00C23199" w:rsidRDefault="00B06484" w:rsidP="00CB2329">
            <w:pPr>
              <w:pStyle w:val="Tabletext"/>
              <w:jc w:val="center"/>
            </w:pPr>
            <w:r w:rsidRPr="00C23199">
              <w:rPr>
                <w:rFonts w:ascii="Wingdings" w:eastAsia="Wingdings" w:hAnsi="Wingdings" w:cs="Wingdings"/>
              </w:rPr>
              <w:t></w:t>
            </w:r>
            <w:r w:rsidRPr="00C23199">
              <w:rPr>
                <w:rFonts w:asciiTheme="majorHAnsi" w:hAnsiTheme="majorHAnsi"/>
                <w:szCs w:val="20"/>
                <w:vertAlign w:val="superscript"/>
              </w:rPr>
              <w:t>†</w:t>
            </w:r>
          </w:p>
        </w:tc>
      </w:tr>
      <w:tr w:rsidR="00B06484" w:rsidRPr="004F1C07" w14:paraId="7411FE3B" w14:textId="77777777" w:rsidTr="003E7B40">
        <w:trPr>
          <w:trHeight w:val="94"/>
        </w:trPr>
        <w:tc>
          <w:tcPr>
            <w:tcW w:w="789" w:type="pct"/>
            <w:vMerge/>
          </w:tcPr>
          <w:p w14:paraId="534D6B33" w14:textId="77777777" w:rsidR="00B06484" w:rsidRPr="00680101" w:rsidRDefault="00B06484" w:rsidP="00CB2329">
            <w:pPr>
              <w:pStyle w:val="Tabletext"/>
              <w:rPr>
                <w:b/>
              </w:rPr>
            </w:pPr>
          </w:p>
        </w:tc>
        <w:tc>
          <w:tcPr>
            <w:tcW w:w="1502" w:type="pct"/>
          </w:tcPr>
          <w:p w14:paraId="5C166469" w14:textId="77777777" w:rsidR="00B06484" w:rsidRPr="004F1C07" w:rsidRDefault="00B06484" w:rsidP="00E8791D">
            <w:pPr>
              <w:pStyle w:val="Tabletext"/>
              <w:ind w:left="0"/>
            </w:pPr>
            <w:r>
              <w:t>Immune-mediated hepatitis</w:t>
            </w:r>
          </w:p>
        </w:tc>
        <w:tc>
          <w:tcPr>
            <w:tcW w:w="645" w:type="pct"/>
          </w:tcPr>
          <w:p w14:paraId="6216E4A9" w14:textId="77777777" w:rsidR="00B06484" w:rsidRPr="00C23199" w:rsidRDefault="00B06484" w:rsidP="00CB2329">
            <w:pPr>
              <w:pStyle w:val="Tabletext"/>
              <w:jc w:val="center"/>
            </w:pPr>
            <w:r w:rsidRPr="00C23199">
              <w:rPr>
                <w:rFonts w:ascii="Wingdings" w:eastAsia="Wingdings" w:hAnsi="Wingdings" w:cs="Wingdings"/>
              </w:rPr>
              <w:t></w:t>
            </w:r>
            <w:r w:rsidRPr="00C23199">
              <w:rPr>
                <w:rFonts w:asciiTheme="majorHAnsi" w:hAnsiTheme="majorHAnsi"/>
                <w:szCs w:val="20"/>
                <w:vertAlign w:val="superscript"/>
              </w:rPr>
              <w:t>¶</w:t>
            </w:r>
          </w:p>
        </w:tc>
        <w:tc>
          <w:tcPr>
            <w:tcW w:w="715" w:type="pct"/>
          </w:tcPr>
          <w:p w14:paraId="234F2367" w14:textId="77777777" w:rsidR="00B06484" w:rsidRPr="00C23199" w:rsidRDefault="00B06484" w:rsidP="00CB2329">
            <w:pPr>
              <w:pStyle w:val="Tabletext"/>
              <w:jc w:val="center"/>
            </w:pPr>
            <w:r w:rsidRPr="00C23199">
              <w:t>–</w:t>
            </w:r>
          </w:p>
        </w:tc>
        <w:tc>
          <w:tcPr>
            <w:tcW w:w="636" w:type="pct"/>
          </w:tcPr>
          <w:p w14:paraId="2E0DF17F" w14:textId="77777777" w:rsidR="00B06484" w:rsidRPr="00C23199" w:rsidRDefault="00B06484" w:rsidP="00CB2329">
            <w:pPr>
              <w:pStyle w:val="Tabletext"/>
              <w:jc w:val="center"/>
            </w:pPr>
            <w:r w:rsidRPr="00C23199">
              <w:rPr>
                <w:rFonts w:ascii="Wingdings" w:eastAsia="Wingdings" w:hAnsi="Wingdings" w:cs="Wingdings"/>
              </w:rPr>
              <w:t></w:t>
            </w:r>
          </w:p>
        </w:tc>
        <w:tc>
          <w:tcPr>
            <w:tcW w:w="715" w:type="pct"/>
          </w:tcPr>
          <w:p w14:paraId="67F66F20" w14:textId="77777777" w:rsidR="00B06484" w:rsidRPr="00C23199" w:rsidRDefault="00B06484" w:rsidP="00CB2329">
            <w:pPr>
              <w:pStyle w:val="Tabletext"/>
              <w:jc w:val="center"/>
            </w:pPr>
            <w:r w:rsidRPr="00C23199">
              <w:rPr>
                <w:rFonts w:ascii="Wingdings" w:eastAsia="Wingdings" w:hAnsi="Wingdings" w:cs="Wingdings"/>
              </w:rPr>
              <w:t></w:t>
            </w:r>
            <w:r w:rsidRPr="00C23199">
              <w:rPr>
                <w:rFonts w:asciiTheme="majorHAnsi" w:hAnsiTheme="majorHAnsi"/>
                <w:szCs w:val="20"/>
                <w:vertAlign w:val="superscript"/>
              </w:rPr>
              <w:t>†</w:t>
            </w:r>
          </w:p>
        </w:tc>
      </w:tr>
      <w:tr w:rsidR="00B06484" w:rsidRPr="004F1C07" w14:paraId="1A11F17B" w14:textId="77777777" w:rsidTr="003E7B40">
        <w:trPr>
          <w:trHeight w:val="94"/>
        </w:trPr>
        <w:tc>
          <w:tcPr>
            <w:tcW w:w="789" w:type="pct"/>
            <w:vMerge/>
          </w:tcPr>
          <w:p w14:paraId="715314F1" w14:textId="77777777" w:rsidR="00B06484" w:rsidRPr="00680101" w:rsidRDefault="00B06484" w:rsidP="00CB2329">
            <w:pPr>
              <w:pStyle w:val="Tabletext"/>
              <w:rPr>
                <w:b/>
              </w:rPr>
            </w:pPr>
          </w:p>
        </w:tc>
        <w:tc>
          <w:tcPr>
            <w:tcW w:w="1502" w:type="pct"/>
          </w:tcPr>
          <w:p w14:paraId="1B5756F7" w14:textId="77777777" w:rsidR="00B06484" w:rsidRPr="004F1C07" w:rsidRDefault="00B06484" w:rsidP="00E8791D">
            <w:pPr>
              <w:pStyle w:val="Tabletext"/>
              <w:ind w:left="0"/>
            </w:pPr>
            <w:r>
              <w:t>Immune-mediated colitis or diarrhoea</w:t>
            </w:r>
          </w:p>
        </w:tc>
        <w:tc>
          <w:tcPr>
            <w:tcW w:w="645" w:type="pct"/>
          </w:tcPr>
          <w:p w14:paraId="00B00D7D" w14:textId="77777777" w:rsidR="00B06484" w:rsidRPr="00C23199" w:rsidRDefault="00B06484" w:rsidP="00CB2329">
            <w:pPr>
              <w:pStyle w:val="Tabletext"/>
              <w:jc w:val="center"/>
            </w:pPr>
            <w:r w:rsidRPr="00C23199">
              <w:rPr>
                <w:rFonts w:ascii="Wingdings" w:eastAsia="Wingdings" w:hAnsi="Wingdings" w:cs="Wingdings"/>
              </w:rPr>
              <w:t></w:t>
            </w:r>
            <w:r w:rsidRPr="00C23199">
              <w:rPr>
                <w:rFonts w:asciiTheme="majorHAnsi" w:hAnsiTheme="majorHAnsi"/>
                <w:szCs w:val="20"/>
                <w:vertAlign w:val="superscript"/>
              </w:rPr>
              <w:t>¶</w:t>
            </w:r>
          </w:p>
        </w:tc>
        <w:tc>
          <w:tcPr>
            <w:tcW w:w="715" w:type="pct"/>
          </w:tcPr>
          <w:p w14:paraId="7D021A05" w14:textId="77777777" w:rsidR="00B06484" w:rsidRPr="00C23199" w:rsidRDefault="00B06484" w:rsidP="00CB2329">
            <w:pPr>
              <w:pStyle w:val="Tabletext"/>
              <w:jc w:val="center"/>
            </w:pPr>
            <w:r w:rsidRPr="00C23199">
              <w:t>–</w:t>
            </w:r>
          </w:p>
        </w:tc>
        <w:tc>
          <w:tcPr>
            <w:tcW w:w="636" w:type="pct"/>
          </w:tcPr>
          <w:p w14:paraId="54AD3910" w14:textId="77777777" w:rsidR="00B06484" w:rsidRPr="00C23199" w:rsidRDefault="00B06484" w:rsidP="00CB2329">
            <w:pPr>
              <w:pStyle w:val="Tabletext"/>
              <w:jc w:val="center"/>
            </w:pPr>
            <w:r w:rsidRPr="00C23199">
              <w:rPr>
                <w:rFonts w:ascii="Wingdings" w:eastAsia="Wingdings" w:hAnsi="Wingdings" w:cs="Wingdings"/>
              </w:rPr>
              <w:t></w:t>
            </w:r>
          </w:p>
        </w:tc>
        <w:tc>
          <w:tcPr>
            <w:tcW w:w="715" w:type="pct"/>
          </w:tcPr>
          <w:p w14:paraId="1472FAF3" w14:textId="77777777" w:rsidR="00B06484" w:rsidRPr="00C23199" w:rsidRDefault="00B06484" w:rsidP="00CB2329">
            <w:pPr>
              <w:pStyle w:val="Tabletext"/>
              <w:jc w:val="center"/>
            </w:pPr>
            <w:r w:rsidRPr="00C23199">
              <w:rPr>
                <w:rFonts w:ascii="Wingdings" w:eastAsia="Wingdings" w:hAnsi="Wingdings" w:cs="Wingdings"/>
              </w:rPr>
              <w:t></w:t>
            </w:r>
            <w:r w:rsidRPr="00C23199">
              <w:rPr>
                <w:rFonts w:asciiTheme="majorHAnsi" w:hAnsiTheme="majorHAnsi"/>
                <w:szCs w:val="20"/>
                <w:vertAlign w:val="superscript"/>
              </w:rPr>
              <w:t>†</w:t>
            </w:r>
          </w:p>
        </w:tc>
      </w:tr>
      <w:tr w:rsidR="00B06484" w:rsidRPr="004F1C07" w14:paraId="0E4DF079" w14:textId="77777777" w:rsidTr="003E7B40">
        <w:trPr>
          <w:trHeight w:val="94"/>
        </w:trPr>
        <w:tc>
          <w:tcPr>
            <w:tcW w:w="789" w:type="pct"/>
            <w:vMerge/>
          </w:tcPr>
          <w:p w14:paraId="3D69ADD0" w14:textId="77777777" w:rsidR="00B06484" w:rsidRPr="00680101" w:rsidRDefault="00B06484" w:rsidP="00CB2329">
            <w:pPr>
              <w:pStyle w:val="Tabletext"/>
              <w:rPr>
                <w:b/>
              </w:rPr>
            </w:pPr>
          </w:p>
        </w:tc>
        <w:tc>
          <w:tcPr>
            <w:tcW w:w="1502" w:type="pct"/>
          </w:tcPr>
          <w:p w14:paraId="1A3DCBE6" w14:textId="77777777" w:rsidR="00B06484" w:rsidRPr="00B92319" w:rsidRDefault="00B06484" w:rsidP="00E8791D">
            <w:pPr>
              <w:pStyle w:val="Tabletext"/>
              <w:ind w:left="0"/>
            </w:pPr>
            <w:r>
              <w:t>Immune-mediated hypothyroidism</w:t>
            </w:r>
          </w:p>
        </w:tc>
        <w:tc>
          <w:tcPr>
            <w:tcW w:w="645" w:type="pct"/>
          </w:tcPr>
          <w:p w14:paraId="4FC3E708" w14:textId="77777777" w:rsidR="00B06484" w:rsidRPr="00C23199" w:rsidRDefault="00B06484" w:rsidP="00CB2329">
            <w:pPr>
              <w:pStyle w:val="Tabletext"/>
              <w:jc w:val="center"/>
            </w:pPr>
            <w:r w:rsidRPr="00C23199">
              <w:rPr>
                <w:rFonts w:ascii="Wingdings" w:eastAsia="Wingdings" w:hAnsi="Wingdings" w:cs="Wingdings"/>
              </w:rPr>
              <w:t></w:t>
            </w:r>
            <w:r w:rsidRPr="00C23199">
              <w:rPr>
                <w:rFonts w:asciiTheme="majorHAnsi" w:hAnsiTheme="majorHAnsi"/>
                <w:szCs w:val="20"/>
                <w:vertAlign w:val="superscript"/>
              </w:rPr>
              <w:t>¶</w:t>
            </w:r>
          </w:p>
        </w:tc>
        <w:tc>
          <w:tcPr>
            <w:tcW w:w="715" w:type="pct"/>
          </w:tcPr>
          <w:p w14:paraId="29830BC1" w14:textId="77777777" w:rsidR="00B06484" w:rsidRPr="00C23199" w:rsidRDefault="00B06484" w:rsidP="00CB2329">
            <w:pPr>
              <w:pStyle w:val="Tabletext"/>
              <w:jc w:val="center"/>
            </w:pPr>
            <w:r w:rsidRPr="00C23199">
              <w:t>–</w:t>
            </w:r>
          </w:p>
        </w:tc>
        <w:tc>
          <w:tcPr>
            <w:tcW w:w="636" w:type="pct"/>
          </w:tcPr>
          <w:p w14:paraId="2366A988" w14:textId="77777777" w:rsidR="00B06484" w:rsidRPr="00C23199" w:rsidRDefault="00B06484" w:rsidP="00CB2329">
            <w:pPr>
              <w:pStyle w:val="Tabletext"/>
              <w:jc w:val="center"/>
            </w:pPr>
            <w:r w:rsidRPr="00C23199">
              <w:rPr>
                <w:rFonts w:ascii="Wingdings" w:eastAsia="Wingdings" w:hAnsi="Wingdings" w:cs="Wingdings"/>
              </w:rPr>
              <w:t></w:t>
            </w:r>
          </w:p>
        </w:tc>
        <w:tc>
          <w:tcPr>
            <w:tcW w:w="715" w:type="pct"/>
          </w:tcPr>
          <w:p w14:paraId="348285A6" w14:textId="77777777" w:rsidR="00B06484" w:rsidRPr="00C23199" w:rsidRDefault="00B06484" w:rsidP="00CB2329">
            <w:pPr>
              <w:pStyle w:val="Tabletext"/>
              <w:jc w:val="center"/>
            </w:pPr>
            <w:r w:rsidRPr="00C23199">
              <w:rPr>
                <w:rFonts w:ascii="Wingdings" w:eastAsia="Wingdings" w:hAnsi="Wingdings" w:cs="Wingdings"/>
              </w:rPr>
              <w:t></w:t>
            </w:r>
            <w:r w:rsidRPr="00C23199">
              <w:rPr>
                <w:rFonts w:asciiTheme="majorHAnsi" w:hAnsiTheme="majorHAnsi"/>
                <w:szCs w:val="20"/>
                <w:vertAlign w:val="superscript"/>
              </w:rPr>
              <w:t>†</w:t>
            </w:r>
          </w:p>
        </w:tc>
      </w:tr>
      <w:tr w:rsidR="00B06484" w:rsidRPr="004F1C07" w14:paraId="27C45394" w14:textId="77777777" w:rsidTr="003E7B40">
        <w:trPr>
          <w:trHeight w:val="94"/>
        </w:trPr>
        <w:tc>
          <w:tcPr>
            <w:tcW w:w="789" w:type="pct"/>
            <w:vMerge/>
          </w:tcPr>
          <w:p w14:paraId="5F0F0A27" w14:textId="77777777" w:rsidR="00B06484" w:rsidRPr="00680101" w:rsidRDefault="00B06484" w:rsidP="00CB2329">
            <w:pPr>
              <w:pStyle w:val="Tabletext"/>
              <w:rPr>
                <w:b/>
              </w:rPr>
            </w:pPr>
          </w:p>
        </w:tc>
        <w:tc>
          <w:tcPr>
            <w:tcW w:w="1502" w:type="pct"/>
          </w:tcPr>
          <w:p w14:paraId="5F055CD9" w14:textId="77777777" w:rsidR="00B06484" w:rsidRPr="00B92319" w:rsidRDefault="00B06484" w:rsidP="00E8791D">
            <w:pPr>
              <w:pStyle w:val="Tabletext"/>
              <w:ind w:left="0"/>
            </w:pPr>
            <w:r>
              <w:t>Immune-mediated hyperthyroidism</w:t>
            </w:r>
          </w:p>
        </w:tc>
        <w:tc>
          <w:tcPr>
            <w:tcW w:w="645" w:type="pct"/>
          </w:tcPr>
          <w:p w14:paraId="6BC7D323" w14:textId="77777777" w:rsidR="00B06484" w:rsidRPr="00C23199" w:rsidRDefault="00B06484" w:rsidP="00CB2329">
            <w:pPr>
              <w:pStyle w:val="Tabletext"/>
              <w:jc w:val="center"/>
            </w:pPr>
            <w:r w:rsidRPr="00C23199">
              <w:rPr>
                <w:rFonts w:ascii="Wingdings" w:eastAsia="Wingdings" w:hAnsi="Wingdings" w:cs="Wingdings"/>
              </w:rPr>
              <w:t></w:t>
            </w:r>
            <w:r w:rsidRPr="00C23199">
              <w:rPr>
                <w:rFonts w:asciiTheme="majorHAnsi" w:hAnsiTheme="majorHAnsi"/>
                <w:szCs w:val="20"/>
                <w:vertAlign w:val="superscript"/>
              </w:rPr>
              <w:t>¶</w:t>
            </w:r>
          </w:p>
        </w:tc>
        <w:tc>
          <w:tcPr>
            <w:tcW w:w="715" w:type="pct"/>
          </w:tcPr>
          <w:p w14:paraId="6BFBCB8A" w14:textId="77777777" w:rsidR="00B06484" w:rsidRPr="00C23199" w:rsidRDefault="00B06484" w:rsidP="00CB2329">
            <w:pPr>
              <w:pStyle w:val="Tabletext"/>
              <w:jc w:val="center"/>
            </w:pPr>
            <w:r w:rsidRPr="00C23199">
              <w:t>–</w:t>
            </w:r>
          </w:p>
        </w:tc>
        <w:tc>
          <w:tcPr>
            <w:tcW w:w="636" w:type="pct"/>
          </w:tcPr>
          <w:p w14:paraId="35BC67A4" w14:textId="77777777" w:rsidR="00B06484" w:rsidRPr="00C23199" w:rsidRDefault="00B06484" w:rsidP="00CB2329">
            <w:pPr>
              <w:pStyle w:val="Tabletext"/>
              <w:jc w:val="center"/>
            </w:pPr>
            <w:r w:rsidRPr="00C23199">
              <w:rPr>
                <w:rFonts w:ascii="Wingdings" w:eastAsia="Wingdings" w:hAnsi="Wingdings" w:cs="Wingdings"/>
              </w:rPr>
              <w:t></w:t>
            </w:r>
          </w:p>
        </w:tc>
        <w:tc>
          <w:tcPr>
            <w:tcW w:w="715" w:type="pct"/>
          </w:tcPr>
          <w:p w14:paraId="17E0D7D2" w14:textId="77777777" w:rsidR="00B06484" w:rsidRPr="00C23199" w:rsidRDefault="00B06484" w:rsidP="00CB2329">
            <w:pPr>
              <w:pStyle w:val="Tabletext"/>
              <w:jc w:val="center"/>
            </w:pPr>
            <w:r w:rsidRPr="00C23199">
              <w:rPr>
                <w:rFonts w:ascii="Wingdings" w:eastAsia="Wingdings" w:hAnsi="Wingdings" w:cs="Wingdings"/>
              </w:rPr>
              <w:t></w:t>
            </w:r>
            <w:r w:rsidRPr="00C23199">
              <w:rPr>
                <w:rFonts w:asciiTheme="majorHAnsi" w:hAnsiTheme="majorHAnsi"/>
                <w:szCs w:val="20"/>
                <w:vertAlign w:val="superscript"/>
              </w:rPr>
              <w:t>†</w:t>
            </w:r>
          </w:p>
        </w:tc>
      </w:tr>
      <w:tr w:rsidR="00B06484" w:rsidRPr="004F1C07" w14:paraId="1858F956" w14:textId="77777777" w:rsidTr="003E7B40">
        <w:trPr>
          <w:trHeight w:val="94"/>
        </w:trPr>
        <w:tc>
          <w:tcPr>
            <w:tcW w:w="789" w:type="pct"/>
            <w:vMerge/>
          </w:tcPr>
          <w:p w14:paraId="31C728C3" w14:textId="77777777" w:rsidR="00B06484" w:rsidRPr="00680101" w:rsidRDefault="00B06484" w:rsidP="00CB2329">
            <w:pPr>
              <w:pStyle w:val="Tabletext"/>
              <w:rPr>
                <w:b/>
              </w:rPr>
            </w:pPr>
          </w:p>
        </w:tc>
        <w:tc>
          <w:tcPr>
            <w:tcW w:w="1502" w:type="pct"/>
          </w:tcPr>
          <w:p w14:paraId="40738C11" w14:textId="77777777" w:rsidR="00B06484" w:rsidRPr="00205CEE" w:rsidRDefault="00B06484" w:rsidP="00E8791D">
            <w:pPr>
              <w:pStyle w:val="Tabletext"/>
              <w:ind w:left="0"/>
            </w:pPr>
            <w:r w:rsidRPr="00205CEE">
              <w:t>Immune-mediated thyroiditis</w:t>
            </w:r>
          </w:p>
        </w:tc>
        <w:tc>
          <w:tcPr>
            <w:tcW w:w="645" w:type="pct"/>
          </w:tcPr>
          <w:p w14:paraId="2BD1501A" w14:textId="77777777" w:rsidR="00B06484" w:rsidRPr="00C23199" w:rsidRDefault="00B06484" w:rsidP="00CB2329">
            <w:pPr>
              <w:pStyle w:val="Tabletext"/>
              <w:jc w:val="center"/>
            </w:pPr>
            <w:r w:rsidRPr="00C23199">
              <w:rPr>
                <w:rFonts w:ascii="Wingdings" w:eastAsia="Wingdings" w:hAnsi="Wingdings" w:cs="Wingdings"/>
              </w:rPr>
              <w:t></w:t>
            </w:r>
            <w:r w:rsidRPr="00C23199">
              <w:rPr>
                <w:rFonts w:asciiTheme="majorHAnsi" w:hAnsiTheme="majorHAnsi"/>
                <w:szCs w:val="20"/>
                <w:vertAlign w:val="superscript"/>
              </w:rPr>
              <w:t>¶</w:t>
            </w:r>
          </w:p>
        </w:tc>
        <w:tc>
          <w:tcPr>
            <w:tcW w:w="715" w:type="pct"/>
          </w:tcPr>
          <w:p w14:paraId="17FACCD1" w14:textId="77777777" w:rsidR="00B06484" w:rsidRPr="00C23199" w:rsidRDefault="00B06484" w:rsidP="00CB2329">
            <w:pPr>
              <w:pStyle w:val="Tabletext"/>
              <w:jc w:val="center"/>
            </w:pPr>
            <w:r w:rsidRPr="00C23199">
              <w:t>–</w:t>
            </w:r>
          </w:p>
        </w:tc>
        <w:tc>
          <w:tcPr>
            <w:tcW w:w="636" w:type="pct"/>
          </w:tcPr>
          <w:p w14:paraId="0B901976" w14:textId="77777777" w:rsidR="00B06484" w:rsidRPr="00C23199" w:rsidRDefault="00B06484" w:rsidP="00CB2329">
            <w:pPr>
              <w:pStyle w:val="Tabletext"/>
              <w:jc w:val="center"/>
            </w:pPr>
            <w:r w:rsidRPr="00C23199">
              <w:rPr>
                <w:rFonts w:ascii="Wingdings" w:eastAsia="Wingdings" w:hAnsi="Wingdings" w:cs="Wingdings"/>
              </w:rPr>
              <w:t></w:t>
            </w:r>
          </w:p>
        </w:tc>
        <w:tc>
          <w:tcPr>
            <w:tcW w:w="715" w:type="pct"/>
          </w:tcPr>
          <w:p w14:paraId="322D8BCD" w14:textId="77777777" w:rsidR="00B06484" w:rsidRPr="00C23199" w:rsidRDefault="00B06484" w:rsidP="00CB2329">
            <w:pPr>
              <w:pStyle w:val="Tabletext"/>
              <w:jc w:val="center"/>
            </w:pPr>
            <w:r w:rsidRPr="00C23199">
              <w:rPr>
                <w:rFonts w:ascii="Wingdings" w:eastAsia="Wingdings" w:hAnsi="Wingdings" w:cs="Wingdings"/>
              </w:rPr>
              <w:t></w:t>
            </w:r>
            <w:r w:rsidRPr="00C23199">
              <w:rPr>
                <w:rFonts w:asciiTheme="majorHAnsi" w:hAnsiTheme="majorHAnsi"/>
                <w:szCs w:val="20"/>
                <w:vertAlign w:val="superscript"/>
              </w:rPr>
              <w:t>†</w:t>
            </w:r>
          </w:p>
        </w:tc>
      </w:tr>
      <w:tr w:rsidR="00B06484" w:rsidRPr="004F1C07" w14:paraId="79FE2192" w14:textId="77777777" w:rsidTr="003E7B40">
        <w:trPr>
          <w:trHeight w:val="94"/>
        </w:trPr>
        <w:tc>
          <w:tcPr>
            <w:tcW w:w="789" w:type="pct"/>
            <w:vMerge/>
          </w:tcPr>
          <w:p w14:paraId="2862251F" w14:textId="77777777" w:rsidR="00B06484" w:rsidRPr="00680101" w:rsidRDefault="00B06484" w:rsidP="00CB2329">
            <w:pPr>
              <w:pStyle w:val="Tabletext"/>
              <w:rPr>
                <w:b/>
              </w:rPr>
            </w:pPr>
          </w:p>
        </w:tc>
        <w:tc>
          <w:tcPr>
            <w:tcW w:w="1502" w:type="pct"/>
          </w:tcPr>
          <w:p w14:paraId="5836D7AC" w14:textId="77777777" w:rsidR="00B06484" w:rsidRPr="00B92319" w:rsidRDefault="00B06484" w:rsidP="00E8791D">
            <w:pPr>
              <w:pStyle w:val="Tabletext"/>
              <w:ind w:left="0"/>
            </w:pPr>
            <w:r>
              <w:t>Immune-mediated adrenal insufficiency</w:t>
            </w:r>
          </w:p>
        </w:tc>
        <w:tc>
          <w:tcPr>
            <w:tcW w:w="645" w:type="pct"/>
          </w:tcPr>
          <w:p w14:paraId="4AFCD147" w14:textId="77777777" w:rsidR="00B06484" w:rsidRPr="00C23199" w:rsidRDefault="00B06484" w:rsidP="00CB2329">
            <w:pPr>
              <w:pStyle w:val="Tabletext"/>
              <w:jc w:val="center"/>
            </w:pPr>
            <w:r w:rsidRPr="00C23199">
              <w:rPr>
                <w:rFonts w:ascii="Wingdings" w:eastAsia="Wingdings" w:hAnsi="Wingdings" w:cs="Wingdings"/>
              </w:rPr>
              <w:t></w:t>
            </w:r>
            <w:r w:rsidRPr="00C23199">
              <w:rPr>
                <w:rFonts w:asciiTheme="majorHAnsi" w:hAnsiTheme="majorHAnsi"/>
                <w:szCs w:val="20"/>
                <w:vertAlign w:val="superscript"/>
              </w:rPr>
              <w:t>¶</w:t>
            </w:r>
          </w:p>
        </w:tc>
        <w:tc>
          <w:tcPr>
            <w:tcW w:w="715" w:type="pct"/>
          </w:tcPr>
          <w:p w14:paraId="5FF56AEE" w14:textId="77777777" w:rsidR="00B06484" w:rsidRPr="00C23199" w:rsidRDefault="00B06484" w:rsidP="00CB2329">
            <w:pPr>
              <w:pStyle w:val="Tabletext"/>
              <w:jc w:val="center"/>
            </w:pPr>
            <w:r w:rsidRPr="00C23199">
              <w:t>–</w:t>
            </w:r>
          </w:p>
        </w:tc>
        <w:tc>
          <w:tcPr>
            <w:tcW w:w="636" w:type="pct"/>
          </w:tcPr>
          <w:p w14:paraId="65141A01" w14:textId="77777777" w:rsidR="00B06484" w:rsidRPr="00C23199" w:rsidRDefault="00B06484" w:rsidP="00CB2329">
            <w:pPr>
              <w:pStyle w:val="Tabletext"/>
              <w:jc w:val="center"/>
            </w:pPr>
            <w:r w:rsidRPr="00C23199">
              <w:rPr>
                <w:rFonts w:ascii="Wingdings" w:eastAsia="Wingdings" w:hAnsi="Wingdings" w:cs="Wingdings"/>
              </w:rPr>
              <w:t></w:t>
            </w:r>
          </w:p>
        </w:tc>
        <w:tc>
          <w:tcPr>
            <w:tcW w:w="715" w:type="pct"/>
          </w:tcPr>
          <w:p w14:paraId="4F3687A2" w14:textId="77777777" w:rsidR="00B06484" w:rsidRPr="00C23199" w:rsidRDefault="00B06484" w:rsidP="00CB2329">
            <w:pPr>
              <w:pStyle w:val="Tabletext"/>
              <w:jc w:val="center"/>
            </w:pPr>
            <w:r w:rsidRPr="00C23199">
              <w:rPr>
                <w:rFonts w:ascii="Wingdings" w:eastAsia="Wingdings" w:hAnsi="Wingdings" w:cs="Wingdings"/>
              </w:rPr>
              <w:t></w:t>
            </w:r>
            <w:r w:rsidRPr="00C23199">
              <w:rPr>
                <w:rFonts w:asciiTheme="majorHAnsi" w:hAnsiTheme="majorHAnsi"/>
                <w:szCs w:val="20"/>
                <w:vertAlign w:val="superscript"/>
              </w:rPr>
              <w:t>†</w:t>
            </w:r>
          </w:p>
        </w:tc>
      </w:tr>
      <w:tr w:rsidR="00B06484" w:rsidRPr="004F1C07" w14:paraId="2FE7744A" w14:textId="77777777" w:rsidTr="003E7B40">
        <w:trPr>
          <w:trHeight w:val="94"/>
        </w:trPr>
        <w:tc>
          <w:tcPr>
            <w:tcW w:w="789" w:type="pct"/>
            <w:vMerge/>
          </w:tcPr>
          <w:p w14:paraId="255AE86F" w14:textId="77777777" w:rsidR="00B06484" w:rsidRPr="00680101" w:rsidRDefault="00B06484" w:rsidP="00CB2329">
            <w:pPr>
              <w:pStyle w:val="Tabletext"/>
              <w:rPr>
                <w:b/>
              </w:rPr>
            </w:pPr>
          </w:p>
        </w:tc>
        <w:tc>
          <w:tcPr>
            <w:tcW w:w="1502" w:type="pct"/>
          </w:tcPr>
          <w:p w14:paraId="2B93B0AF" w14:textId="77777777" w:rsidR="00B06484" w:rsidRDefault="00B06484" w:rsidP="00E8791D">
            <w:pPr>
              <w:pStyle w:val="Tabletext"/>
              <w:ind w:left="0"/>
            </w:pPr>
            <w:r>
              <w:t xml:space="preserve">Immune-mediated </w:t>
            </w:r>
            <w:proofErr w:type="spellStart"/>
            <w:r>
              <w:t>hypophysitis</w:t>
            </w:r>
            <w:proofErr w:type="spellEnd"/>
            <w:r>
              <w:t xml:space="preserve"> or hypopituitarism</w:t>
            </w:r>
          </w:p>
        </w:tc>
        <w:tc>
          <w:tcPr>
            <w:tcW w:w="645" w:type="pct"/>
          </w:tcPr>
          <w:p w14:paraId="5BEDF28E" w14:textId="77777777" w:rsidR="00B06484" w:rsidRPr="00C23199" w:rsidRDefault="00B06484" w:rsidP="00CB2329">
            <w:pPr>
              <w:pStyle w:val="Tabletext"/>
              <w:jc w:val="center"/>
            </w:pPr>
            <w:r w:rsidRPr="00C23199">
              <w:rPr>
                <w:rFonts w:ascii="Wingdings" w:eastAsia="Wingdings" w:hAnsi="Wingdings" w:cs="Wingdings"/>
              </w:rPr>
              <w:t></w:t>
            </w:r>
            <w:r w:rsidRPr="00C23199">
              <w:rPr>
                <w:rFonts w:asciiTheme="majorHAnsi" w:hAnsiTheme="majorHAnsi"/>
                <w:szCs w:val="20"/>
                <w:vertAlign w:val="superscript"/>
              </w:rPr>
              <w:t>¶</w:t>
            </w:r>
          </w:p>
        </w:tc>
        <w:tc>
          <w:tcPr>
            <w:tcW w:w="715" w:type="pct"/>
          </w:tcPr>
          <w:p w14:paraId="527F0847" w14:textId="77777777" w:rsidR="00B06484" w:rsidRPr="00C23199" w:rsidRDefault="00B06484" w:rsidP="00CB2329">
            <w:pPr>
              <w:pStyle w:val="Tabletext"/>
              <w:jc w:val="center"/>
            </w:pPr>
            <w:r w:rsidRPr="00C23199">
              <w:t>–</w:t>
            </w:r>
          </w:p>
        </w:tc>
        <w:tc>
          <w:tcPr>
            <w:tcW w:w="636" w:type="pct"/>
          </w:tcPr>
          <w:p w14:paraId="6E6D6BB3" w14:textId="77777777" w:rsidR="00B06484" w:rsidRPr="00C23199" w:rsidRDefault="00B06484" w:rsidP="00CB2329">
            <w:pPr>
              <w:pStyle w:val="Tabletext"/>
              <w:jc w:val="center"/>
            </w:pPr>
            <w:r w:rsidRPr="00C23199">
              <w:rPr>
                <w:rFonts w:ascii="Wingdings" w:eastAsia="Wingdings" w:hAnsi="Wingdings" w:cs="Wingdings"/>
              </w:rPr>
              <w:t></w:t>
            </w:r>
          </w:p>
        </w:tc>
        <w:tc>
          <w:tcPr>
            <w:tcW w:w="715" w:type="pct"/>
          </w:tcPr>
          <w:p w14:paraId="76C99F0C" w14:textId="77777777" w:rsidR="00B06484" w:rsidRPr="00C23199" w:rsidRDefault="00B06484" w:rsidP="00CB2329">
            <w:pPr>
              <w:pStyle w:val="Tabletext"/>
              <w:jc w:val="center"/>
            </w:pPr>
            <w:r w:rsidRPr="00C23199">
              <w:rPr>
                <w:rFonts w:ascii="Wingdings" w:eastAsia="Wingdings" w:hAnsi="Wingdings" w:cs="Wingdings"/>
              </w:rPr>
              <w:t></w:t>
            </w:r>
            <w:r w:rsidRPr="00C23199">
              <w:rPr>
                <w:rFonts w:asciiTheme="majorHAnsi" w:hAnsiTheme="majorHAnsi"/>
                <w:szCs w:val="20"/>
                <w:vertAlign w:val="superscript"/>
              </w:rPr>
              <w:t>†</w:t>
            </w:r>
          </w:p>
        </w:tc>
      </w:tr>
      <w:tr w:rsidR="00B06484" w:rsidRPr="004F1C07" w14:paraId="56074483" w14:textId="77777777" w:rsidTr="003E7B40">
        <w:trPr>
          <w:trHeight w:val="94"/>
        </w:trPr>
        <w:tc>
          <w:tcPr>
            <w:tcW w:w="789" w:type="pct"/>
            <w:vMerge/>
          </w:tcPr>
          <w:p w14:paraId="5D650822" w14:textId="77777777" w:rsidR="00B06484" w:rsidRPr="00680101" w:rsidRDefault="00B06484" w:rsidP="00CB2329">
            <w:pPr>
              <w:pStyle w:val="Tabletext"/>
              <w:rPr>
                <w:b/>
              </w:rPr>
            </w:pPr>
          </w:p>
        </w:tc>
        <w:tc>
          <w:tcPr>
            <w:tcW w:w="1502" w:type="pct"/>
          </w:tcPr>
          <w:p w14:paraId="07F5E49C" w14:textId="77777777" w:rsidR="00B06484" w:rsidRDefault="00B06484" w:rsidP="00E8791D">
            <w:pPr>
              <w:pStyle w:val="Tabletext"/>
              <w:ind w:left="0"/>
            </w:pPr>
            <w:r>
              <w:t>Immune-mediated type 1 diabetes mellitus</w:t>
            </w:r>
          </w:p>
        </w:tc>
        <w:tc>
          <w:tcPr>
            <w:tcW w:w="645" w:type="pct"/>
          </w:tcPr>
          <w:p w14:paraId="7F4FE97E" w14:textId="77777777" w:rsidR="00B06484" w:rsidRPr="00C23199" w:rsidRDefault="00B06484" w:rsidP="00CB2329">
            <w:pPr>
              <w:pStyle w:val="Tabletext"/>
              <w:jc w:val="center"/>
            </w:pPr>
            <w:r w:rsidRPr="00C23199">
              <w:rPr>
                <w:rFonts w:ascii="Wingdings" w:eastAsia="Wingdings" w:hAnsi="Wingdings" w:cs="Wingdings"/>
              </w:rPr>
              <w:t></w:t>
            </w:r>
            <w:r w:rsidRPr="00C23199">
              <w:rPr>
                <w:rFonts w:asciiTheme="majorHAnsi" w:hAnsiTheme="majorHAnsi"/>
                <w:szCs w:val="20"/>
                <w:vertAlign w:val="superscript"/>
              </w:rPr>
              <w:t>¶</w:t>
            </w:r>
          </w:p>
        </w:tc>
        <w:tc>
          <w:tcPr>
            <w:tcW w:w="715" w:type="pct"/>
          </w:tcPr>
          <w:p w14:paraId="37BD8926" w14:textId="77777777" w:rsidR="00B06484" w:rsidRPr="00C23199" w:rsidRDefault="00B06484" w:rsidP="00CB2329">
            <w:pPr>
              <w:pStyle w:val="Tabletext"/>
              <w:jc w:val="center"/>
            </w:pPr>
            <w:r w:rsidRPr="00C23199">
              <w:t>–</w:t>
            </w:r>
          </w:p>
        </w:tc>
        <w:tc>
          <w:tcPr>
            <w:tcW w:w="636" w:type="pct"/>
          </w:tcPr>
          <w:p w14:paraId="7D4352BD" w14:textId="77777777" w:rsidR="00B06484" w:rsidRPr="00C23199" w:rsidRDefault="00B06484" w:rsidP="00CB2329">
            <w:pPr>
              <w:pStyle w:val="Tabletext"/>
              <w:jc w:val="center"/>
            </w:pPr>
            <w:r w:rsidRPr="00C23199">
              <w:rPr>
                <w:rFonts w:ascii="Wingdings" w:eastAsia="Wingdings" w:hAnsi="Wingdings" w:cs="Wingdings"/>
              </w:rPr>
              <w:t></w:t>
            </w:r>
          </w:p>
        </w:tc>
        <w:tc>
          <w:tcPr>
            <w:tcW w:w="715" w:type="pct"/>
          </w:tcPr>
          <w:p w14:paraId="1ACA17FF" w14:textId="77777777" w:rsidR="00B06484" w:rsidRPr="00C23199" w:rsidRDefault="00B06484" w:rsidP="00CB2329">
            <w:pPr>
              <w:pStyle w:val="Tabletext"/>
              <w:jc w:val="center"/>
            </w:pPr>
            <w:r w:rsidRPr="00C23199">
              <w:rPr>
                <w:rFonts w:ascii="Wingdings" w:eastAsia="Wingdings" w:hAnsi="Wingdings" w:cs="Wingdings"/>
              </w:rPr>
              <w:t></w:t>
            </w:r>
            <w:r w:rsidRPr="00C23199">
              <w:rPr>
                <w:rFonts w:asciiTheme="majorHAnsi" w:hAnsiTheme="majorHAnsi"/>
                <w:szCs w:val="20"/>
                <w:vertAlign w:val="superscript"/>
              </w:rPr>
              <w:t>†</w:t>
            </w:r>
          </w:p>
        </w:tc>
      </w:tr>
      <w:tr w:rsidR="00B06484" w:rsidRPr="004F1C07" w14:paraId="7A15D5BB" w14:textId="77777777" w:rsidTr="003E7B40">
        <w:trPr>
          <w:trHeight w:val="94"/>
        </w:trPr>
        <w:tc>
          <w:tcPr>
            <w:tcW w:w="789" w:type="pct"/>
            <w:vMerge/>
          </w:tcPr>
          <w:p w14:paraId="6FDC3C3D" w14:textId="77777777" w:rsidR="00B06484" w:rsidRPr="00680101" w:rsidRDefault="00B06484" w:rsidP="00CB2329">
            <w:pPr>
              <w:pStyle w:val="Tabletext"/>
              <w:rPr>
                <w:b/>
              </w:rPr>
            </w:pPr>
          </w:p>
        </w:tc>
        <w:tc>
          <w:tcPr>
            <w:tcW w:w="1502" w:type="pct"/>
          </w:tcPr>
          <w:p w14:paraId="6EFFEA84" w14:textId="77777777" w:rsidR="00B06484" w:rsidRDefault="00B06484" w:rsidP="00E8791D">
            <w:pPr>
              <w:pStyle w:val="Tabletext"/>
              <w:ind w:left="0"/>
            </w:pPr>
            <w:r>
              <w:t>Immune-mediated nephritis</w:t>
            </w:r>
          </w:p>
        </w:tc>
        <w:tc>
          <w:tcPr>
            <w:tcW w:w="645" w:type="pct"/>
          </w:tcPr>
          <w:p w14:paraId="6AD4BB9E" w14:textId="77777777" w:rsidR="00B06484" w:rsidRPr="00C23199" w:rsidRDefault="00B06484" w:rsidP="00CB2329">
            <w:pPr>
              <w:pStyle w:val="Tabletext"/>
              <w:jc w:val="center"/>
            </w:pPr>
            <w:r w:rsidRPr="00C23199">
              <w:rPr>
                <w:rFonts w:ascii="Wingdings" w:eastAsia="Wingdings" w:hAnsi="Wingdings" w:cs="Wingdings"/>
              </w:rPr>
              <w:t></w:t>
            </w:r>
            <w:r w:rsidRPr="00C23199">
              <w:rPr>
                <w:rFonts w:asciiTheme="majorHAnsi" w:hAnsiTheme="majorHAnsi"/>
                <w:szCs w:val="20"/>
                <w:vertAlign w:val="superscript"/>
              </w:rPr>
              <w:t>¶</w:t>
            </w:r>
          </w:p>
        </w:tc>
        <w:tc>
          <w:tcPr>
            <w:tcW w:w="715" w:type="pct"/>
          </w:tcPr>
          <w:p w14:paraId="7E2E8B5D" w14:textId="77777777" w:rsidR="00B06484" w:rsidRPr="00C23199" w:rsidRDefault="00B06484" w:rsidP="00CB2329">
            <w:pPr>
              <w:pStyle w:val="Tabletext"/>
              <w:jc w:val="center"/>
            </w:pPr>
            <w:r w:rsidRPr="00C23199">
              <w:t>–</w:t>
            </w:r>
          </w:p>
        </w:tc>
        <w:tc>
          <w:tcPr>
            <w:tcW w:w="636" w:type="pct"/>
          </w:tcPr>
          <w:p w14:paraId="5AA56F70" w14:textId="77777777" w:rsidR="00B06484" w:rsidRPr="00C23199" w:rsidRDefault="00B06484" w:rsidP="00CB2329">
            <w:pPr>
              <w:pStyle w:val="Tabletext"/>
              <w:jc w:val="center"/>
            </w:pPr>
            <w:r w:rsidRPr="00C23199">
              <w:rPr>
                <w:rFonts w:ascii="Wingdings" w:eastAsia="Wingdings" w:hAnsi="Wingdings" w:cs="Wingdings"/>
              </w:rPr>
              <w:t></w:t>
            </w:r>
          </w:p>
        </w:tc>
        <w:tc>
          <w:tcPr>
            <w:tcW w:w="715" w:type="pct"/>
          </w:tcPr>
          <w:p w14:paraId="17B0F0E2" w14:textId="77777777" w:rsidR="00B06484" w:rsidRPr="00C23199" w:rsidRDefault="00B06484" w:rsidP="00CB2329">
            <w:pPr>
              <w:pStyle w:val="Tabletext"/>
              <w:jc w:val="center"/>
            </w:pPr>
            <w:r w:rsidRPr="00C23199">
              <w:rPr>
                <w:rFonts w:ascii="Wingdings" w:eastAsia="Wingdings" w:hAnsi="Wingdings" w:cs="Wingdings"/>
              </w:rPr>
              <w:t></w:t>
            </w:r>
            <w:r w:rsidRPr="00C23199">
              <w:rPr>
                <w:rFonts w:asciiTheme="majorHAnsi" w:hAnsiTheme="majorHAnsi"/>
                <w:szCs w:val="20"/>
                <w:vertAlign w:val="superscript"/>
              </w:rPr>
              <w:t>†</w:t>
            </w:r>
          </w:p>
        </w:tc>
      </w:tr>
      <w:tr w:rsidR="00B06484" w:rsidRPr="004F1C07" w14:paraId="40ED522C" w14:textId="77777777" w:rsidTr="003E7B40">
        <w:trPr>
          <w:trHeight w:val="94"/>
        </w:trPr>
        <w:tc>
          <w:tcPr>
            <w:tcW w:w="789" w:type="pct"/>
            <w:vMerge/>
          </w:tcPr>
          <w:p w14:paraId="32B559A6" w14:textId="77777777" w:rsidR="00B06484" w:rsidRPr="00680101" w:rsidRDefault="00B06484" w:rsidP="00CB2329">
            <w:pPr>
              <w:pStyle w:val="Tabletext"/>
              <w:rPr>
                <w:b/>
              </w:rPr>
            </w:pPr>
          </w:p>
        </w:tc>
        <w:tc>
          <w:tcPr>
            <w:tcW w:w="1502" w:type="pct"/>
          </w:tcPr>
          <w:p w14:paraId="723D12BD" w14:textId="77777777" w:rsidR="00B06484" w:rsidRDefault="00B06484" w:rsidP="00E8791D">
            <w:pPr>
              <w:pStyle w:val="Tabletext"/>
              <w:ind w:left="0"/>
            </w:pPr>
            <w:r>
              <w:t xml:space="preserve">Immune-mediated rash or dermatitis </w:t>
            </w:r>
            <w:r w:rsidRPr="00205CEE">
              <w:t>including pemphigoid</w:t>
            </w:r>
          </w:p>
        </w:tc>
        <w:tc>
          <w:tcPr>
            <w:tcW w:w="645" w:type="pct"/>
          </w:tcPr>
          <w:p w14:paraId="2C04C9E8" w14:textId="77777777" w:rsidR="00B06484" w:rsidRPr="00C23199" w:rsidRDefault="00B06484" w:rsidP="00CB2329">
            <w:pPr>
              <w:pStyle w:val="Tabletext"/>
              <w:jc w:val="center"/>
            </w:pPr>
            <w:r w:rsidRPr="00C23199">
              <w:rPr>
                <w:rFonts w:ascii="Wingdings" w:eastAsia="Wingdings" w:hAnsi="Wingdings" w:cs="Wingdings"/>
              </w:rPr>
              <w:t></w:t>
            </w:r>
            <w:r w:rsidRPr="00C23199">
              <w:rPr>
                <w:rFonts w:asciiTheme="majorHAnsi" w:hAnsiTheme="majorHAnsi"/>
                <w:szCs w:val="20"/>
                <w:vertAlign w:val="superscript"/>
              </w:rPr>
              <w:t>¶</w:t>
            </w:r>
          </w:p>
        </w:tc>
        <w:tc>
          <w:tcPr>
            <w:tcW w:w="715" w:type="pct"/>
          </w:tcPr>
          <w:p w14:paraId="4EC29CD3" w14:textId="77777777" w:rsidR="00B06484" w:rsidRPr="00C23199" w:rsidRDefault="00B06484" w:rsidP="00CB2329">
            <w:pPr>
              <w:pStyle w:val="Tabletext"/>
              <w:jc w:val="center"/>
            </w:pPr>
            <w:r w:rsidRPr="00C23199">
              <w:t>–</w:t>
            </w:r>
          </w:p>
        </w:tc>
        <w:tc>
          <w:tcPr>
            <w:tcW w:w="636" w:type="pct"/>
          </w:tcPr>
          <w:p w14:paraId="1B0738CD" w14:textId="77777777" w:rsidR="00B06484" w:rsidRPr="00C23199" w:rsidRDefault="00B06484" w:rsidP="00CB2329">
            <w:pPr>
              <w:pStyle w:val="Tabletext"/>
              <w:jc w:val="center"/>
            </w:pPr>
            <w:r w:rsidRPr="00C23199">
              <w:rPr>
                <w:rFonts w:ascii="Wingdings" w:eastAsia="Wingdings" w:hAnsi="Wingdings" w:cs="Wingdings"/>
              </w:rPr>
              <w:t></w:t>
            </w:r>
          </w:p>
        </w:tc>
        <w:tc>
          <w:tcPr>
            <w:tcW w:w="715" w:type="pct"/>
          </w:tcPr>
          <w:p w14:paraId="7F1AC465" w14:textId="77777777" w:rsidR="00B06484" w:rsidRPr="00C23199" w:rsidRDefault="00B06484" w:rsidP="00CB2329">
            <w:pPr>
              <w:pStyle w:val="Tabletext"/>
              <w:jc w:val="center"/>
            </w:pPr>
            <w:r w:rsidRPr="00C23199">
              <w:rPr>
                <w:rFonts w:ascii="Wingdings" w:eastAsia="Wingdings" w:hAnsi="Wingdings" w:cs="Wingdings"/>
              </w:rPr>
              <w:t></w:t>
            </w:r>
            <w:r w:rsidRPr="00C23199">
              <w:rPr>
                <w:rFonts w:asciiTheme="majorHAnsi" w:hAnsiTheme="majorHAnsi"/>
                <w:szCs w:val="20"/>
                <w:vertAlign w:val="superscript"/>
              </w:rPr>
              <w:t>†</w:t>
            </w:r>
          </w:p>
        </w:tc>
      </w:tr>
      <w:tr w:rsidR="00B06484" w:rsidRPr="004F1C07" w14:paraId="1F1F19C7" w14:textId="77777777" w:rsidTr="003E7B40">
        <w:trPr>
          <w:trHeight w:val="94"/>
        </w:trPr>
        <w:tc>
          <w:tcPr>
            <w:tcW w:w="789" w:type="pct"/>
            <w:vMerge/>
          </w:tcPr>
          <w:p w14:paraId="6B764902" w14:textId="77777777" w:rsidR="00B06484" w:rsidRPr="00680101" w:rsidRDefault="00B06484" w:rsidP="00CB2329">
            <w:pPr>
              <w:pStyle w:val="Tabletext"/>
              <w:rPr>
                <w:b/>
              </w:rPr>
            </w:pPr>
          </w:p>
        </w:tc>
        <w:tc>
          <w:tcPr>
            <w:tcW w:w="1502" w:type="pct"/>
          </w:tcPr>
          <w:p w14:paraId="33DBC890" w14:textId="77777777" w:rsidR="00B06484" w:rsidRDefault="00B06484" w:rsidP="00E8791D">
            <w:pPr>
              <w:pStyle w:val="Tabletext"/>
              <w:ind w:left="0"/>
            </w:pPr>
            <w:r>
              <w:t>Immune-mediated myocarditis</w:t>
            </w:r>
          </w:p>
        </w:tc>
        <w:tc>
          <w:tcPr>
            <w:tcW w:w="645" w:type="pct"/>
          </w:tcPr>
          <w:p w14:paraId="11AA1974" w14:textId="77777777" w:rsidR="00B06484" w:rsidRPr="00C23199" w:rsidRDefault="00B06484" w:rsidP="00CB2329">
            <w:pPr>
              <w:pStyle w:val="Tabletext"/>
              <w:jc w:val="center"/>
            </w:pPr>
            <w:r w:rsidRPr="00C23199">
              <w:rPr>
                <w:rFonts w:ascii="Wingdings" w:eastAsia="Wingdings" w:hAnsi="Wingdings" w:cs="Wingdings"/>
              </w:rPr>
              <w:t></w:t>
            </w:r>
            <w:r w:rsidRPr="00C23199">
              <w:rPr>
                <w:rFonts w:asciiTheme="majorHAnsi" w:hAnsiTheme="majorHAnsi"/>
                <w:szCs w:val="20"/>
                <w:vertAlign w:val="superscript"/>
              </w:rPr>
              <w:t>¶</w:t>
            </w:r>
          </w:p>
        </w:tc>
        <w:tc>
          <w:tcPr>
            <w:tcW w:w="715" w:type="pct"/>
          </w:tcPr>
          <w:p w14:paraId="459F2226" w14:textId="77777777" w:rsidR="00B06484" w:rsidRPr="00C23199" w:rsidRDefault="00B06484" w:rsidP="00CB2329">
            <w:pPr>
              <w:pStyle w:val="Tabletext"/>
              <w:jc w:val="center"/>
            </w:pPr>
            <w:r w:rsidRPr="00C23199">
              <w:t>–</w:t>
            </w:r>
          </w:p>
        </w:tc>
        <w:tc>
          <w:tcPr>
            <w:tcW w:w="636" w:type="pct"/>
          </w:tcPr>
          <w:p w14:paraId="04EDEFB0" w14:textId="77777777" w:rsidR="00B06484" w:rsidRPr="00C23199" w:rsidRDefault="00B06484" w:rsidP="00CB2329">
            <w:pPr>
              <w:pStyle w:val="Tabletext"/>
              <w:jc w:val="center"/>
            </w:pPr>
            <w:r w:rsidRPr="00C23199">
              <w:rPr>
                <w:rFonts w:ascii="Wingdings" w:eastAsia="Wingdings" w:hAnsi="Wingdings" w:cs="Wingdings"/>
              </w:rPr>
              <w:t></w:t>
            </w:r>
          </w:p>
        </w:tc>
        <w:tc>
          <w:tcPr>
            <w:tcW w:w="715" w:type="pct"/>
          </w:tcPr>
          <w:p w14:paraId="3710EB49" w14:textId="77777777" w:rsidR="00B06484" w:rsidRPr="00C23199" w:rsidRDefault="00B06484" w:rsidP="00CB2329">
            <w:pPr>
              <w:pStyle w:val="Tabletext"/>
              <w:jc w:val="center"/>
            </w:pPr>
            <w:r w:rsidRPr="00C23199">
              <w:rPr>
                <w:rFonts w:ascii="Wingdings" w:eastAsia="Wingdings" w:hAnsi="Wingdings" w:cs="Wingdings"/>
              </w:rPr>
              <w:t></w:t>
            </w:r>
            <w:r w:rsidRPr="00C23199">
              <w:rPr>
                <w:rFonts w:asciiTheme="majorHAnsi" w:hAnsiTheme="majorHAnsi"/>
                <w:szCs w:val="20"/>
                <w:vertAlign w:val="superscript"/>
              </w:rPr>
              <w:t>†</w:t>
            </w:r>
          </w:p>
        </w:tc>
      </w:tr>
      <w:tr w:rsidR="00B06484" w:rsidRPr="004F1C07" w14:paraId="75F7EE3E" w14:textId="77777777" w:rsidTr="003E7B40">
        <w:trPr>
          <w:trHeight w:val="94"/>
        </w:trPr>
        <w:tc>
          <w:tcPr>
            <w:tcW w:w="789" w:type="pct"/>
            <w:vMerge/>
          </w:tcPr>
          <w:p w14:paraId="072C9AFF" w14:textId="77777777" w:rsidR="00B06484" w:rsidRPr="00680101" w:rsidRDefault="00B06484" w:rsidP="00CB2329">
            <w:pPr>
              <w:pStyle w:val="Tabletext"/>
              <w:rPr>
                <w:b/>
              </w:rPr>
            </w:pPr>
          </w:p>
        </w:tc>
        <w:tc>
          <w:tcPr>
            <w:tcW w:w="1502" w:type="pct"/>
          </w:tcPr>
          <w:p w14:paraId="5542E8D9" w14:textId="77777777" w:rsidR="00B06484" w:rsidRDefault="00B06484" w:rsidP="00E8791D">
            <w:pPr>
              <w:pStyle w:val="Tabletext"/>
              <w:ind w:left="0"/>
            </w:pPr>
            <w:r>
              <w:t>Immune-mediated myositis/</w:t>
            </w:r>
            <w:proofErr w:type="spellStart"/>
            <w:r>
              <w:t>polymyositis</w:t>
            </w:r>
            <w:proofErr w:type="spellEnd"/>
          </w:p>
        </w:tc>
        <w:tc>
          <w:tcPr>
            <w:tcW w:w="645" w:type="pct"/>
          </w:tcPr>
          <w:p w14:paraId="02EBC03A" w14:textId="77777777" w:rsidR="00B06484" w:rsidRPr="00C23199" w:rsidRDefault="00B06484" w:rsidP="00CB2329">
            <w:pPr>
              <w:pStyle w:val="Tabletext"/>
              <w:jc w:val="center"/>
            </w:pPr>
            <w:r w:rsidRPr="00C23199">
              <w:rPr>
                <w:rFonts w:ascii="Wingdings" w:eastAsia="Wingdings" w:hAnsi="Wingdings" w:cs="Wingdings"/>
              </w:rPr>
              <w:t></w:t>
            </w:r>
            <w:r w:rsidRPr="00C23199">
              <w:rPr>
                <w:rFonts w:asciiTheme="majorHAnsi" w:hAnsiTheme="majorHAnsi"/>
                <w:szCs w:val="20"/>
                <w:vertAlign w:val="superscript"/>
              </w:rPr>
              <w:t>¶</w:t>
            </w:r>
          </w:p>
        </w:tc>
        <w:tc>
          <w:tcPr>
            <w:tcW w:w="715" w:type="pct"/>
          </w:tcPr>
          <w:p w14:paraId="293A1A0F" w14:textId="77777777" w:rsidR="00B06484" w:rsidRPr="00C23199" w:rsidRDefault="00B06484" w:rsidP="00CB2329">
            <w:pPr>
              <w:pStyle w:val="Tabletext"/>
              <w:jc w:val="center"/>
            </w:pPr>
            <w:r w:rsidRPr="00C23199">
              <w:t>–</w:t>
            </w:r>
          </w:p>
        </w:tc>
        <w:tc>
          <w:tcPr>
            <w:tcW w:w="636" w:type="pct"/>
          </w:tcPr>
          <w:p w14:paraId="350672A4" w14:textId="77777777" w:rsidR="00B06484" w:rsidRPr="00C23199" w:rsidRDefault="00B06484" w:rsidP="00CB2329">
            <w:pPr>
              <w:pStyle w:val="Tabletext"/>
              <w:jc w:val="center"/>
            </w:pPr>
            <w:r w:rsidRPr="00C23199">
              <w:rPr>
                <w:rFonts w:ascii="Wingdings" w:eastAsia="Wingdings" w:hAnsi="Wingdings" w:cs="Wingdings"/>
              </w:rPr>
              <w:t></w:t>
            </w:r>
          </w:p>
        </w:tc>
        <w:tc>
          <w:tcPr>
            <w:tcW w:w="715" w:type="pct"/>
          </w:tcPr>
          <w:p w14:paraId="5368C91B" w14:textId="77777777" w:rsidR="00B06484" w:rsidRPr="00C23199" w:rsidRDefault="00B06484" w:rsidP="00CB2329">
            <w:pPr>
              <w:pStyle w:val="Tabletext"/>
              <w:jc w:val="center"/>
            </w:pPr>
            <w:r w:rsidRPr="00C23199">
              <w:rPr>
                <w:rFonts w:ascii="Wingdings" w:eastAsia="Wingdings" w:hAnsi="Wingdings" w:cs="Wingdings"/>
              </w:rPr>
              <w:t></w:t>
            </w:r>
            <w:r w:rsidRPr="00C23199">
              <w:rPr>
                <w:rFonts w:asciiTheme="majorHAnsi" w:hAnsiTheme="majorHAnsi"/>
                <w:szCs w:val="20"/>
                <w:vertAlign w:val="superscript"/>
              </w:rPr>
              <w:t>†</w:t>
            </w:r>
          </w:p>
        </w:tc>
      </w:tr>
      <w:tr w:rsidR="00B06484" w:rsidRPr="004F1C07" w14:paraId="1C054504" w14:textId="77777777" w:rsidTr="003E7B40">
        <w:trPr>
          <w:trHeight w:val="94"/>
        </w:trPr>
        <w:tc>
          <w:tcPr>
            <w:tcW w:w="789" w:type="pct"/>
            <w:vMerge/>
          </w:tcPr>
          <w:p w14:paraId="437BADC5" w14:textId="77777777" w:rsidR="00B06484" w:rsidRPr="00680101" w:rsidRDefault="00B06484" w:rsidP="00CB2329">
            <w:pPr>
              <w:pStyle w:val="Tabletext"/>
              <w:rPr>
                <w:b/>
              </w:rPr>
            </w:pPr>
          </w:p>
        </w:tc>
        <w:tc>
          <w:tcPr>
            <w:tcW w:w="1502" w:type="pct"/>
          </w:tcPr>
          <w:p w14:paraId="7AC6321C" w14:textId="77777777" w:rsidR="00B06484" w:rsidRPr="00205CEE" w:rsidRDefault="00B06484" w:rsidP="00E8791D">
            <w:pPr>
              <w:pStyle w:val="Tabletext"/>
              <w:ind w:left="0"/>
            </w:pPr>
            <w:r w:rsidRPr="00205CEE">
              <w:t>Immune-mediated myasthenia gravis</w:t>
            </w:r>
          </w:p>
        </w:tc>
        <w:tc>
          <w:tcPr>
            <w:tcW w:w="645" w:type="pct"/>
          </w:tcPr>
          <w:p w14:paraId="207D4A52" w14:textId="77777777" w:rsidR="00B06484" w:rsidRPr="00C23199" w:rsidRDefault="00B06484" w:rsidP="00CB2329">
            <w:pPr>
              <w:pStyle w:val="Tabletext"/>
              <w:jc w:val="center"/>
            </w:pPr>
            <w:r w:rsidRPr="00C23199">
              <w:rPr>
                <w:rFonts w:ascii="Wingdings" w:eastAsia="Wingdings" w:hAnsi="Wingdings" w:cs="Wingdings"/>
              </w:rPr>
              <w:t></w:t>
            </w:r>
            <w:r w:rsidRPr="00C23199">
              <w:rPr>
                <w:rFonts w:asciiTheme="majorHAnsi" w:hAnsiTheme="majorHAnsi"/>
                <w:szCs w:val="20"/>
                <w:vertAlign w:val="superscript"/>
              </w:rPr>
              <w:t>¶</w:t>
            </w:r>
          </w:p>
        </w:tc>
        <w:tc>
          <w:tcPr>
            <w:tcW w:w="715" w:type="pct"/>
          </w:tcPr>
          <w:p w14:paraId="0198DFDE" w14:textId="77777777" w:rsidR="00B06484" w:rsidRPr="00C23199" w:rsidRDefault="00B06484" w:rsidP="00CB2329">
            <w:pPr>
              <w:pStyle w:val="Tabletext"/>
              <w:jc w:val="center"/>
            </w:pPr>
            <w:r w:rsidRPr="00C23199">
              <w:t>–</w:t>
            </w:r>
          </w:p>
        </w:tc>
        <w:tc>
          <w:tcPr>
            <w:tcW w:w="636" w:type="pct"/>
          </w:tcPr>
          <w:p w14:paraId="60D10457" w14:textId="77777777" w:rsidR="00B06484" w:rsidRPr="00C23199" w:rsidRDefault="00B06484" w:rsidP="00CB2329">
            <w:pPr>
              <w:pStyle w:val="Tabletext"/>
              <w:jc w:val="center"/>
            </w:pPr>
            <w:r w:rsidRPr="00C23199">
              <w:rPr>
                <w:rFonts w:ascii="Wingdings" w:eastAsia="Wingdings" w:hAnsi="Wingdings" w:cs="Wingdings"/>
              </w:rPr>
              <w:t></w:t>
            </w:r>
          </w:p>
        </w:tc>
        <w:tc>
          <w:tcPr>
            <w:tcW w:w="715" w:type="pct"/>
          </w:tcPr>
          <w:p w14:paraId="4DA05C64" w14:textId="77777777" w:rsidR="00B06484" w:rsidRPr="00C23199" w:rsidRDefault="00B06484" w:rsidP="00CB2329">
            <w:pPr>
              <w:pStyle w:val="Tabletext"/>
              <w:jc w:val="center"/>
            </w:pPr>
            <w:r w:rsidRPr="00C23199">
              <w:t>–</w:t>
            </w:r>
          </w:p>
        </w:tc>
      </w:tr>
      <w:tr w:rsidR="00B06484" w:rsidRPr="004F1C07" w14:paraId="629D8B02" w14:textId="77777777" w:rsidTr="003E7B40">
        <w:trPr>
          <w:trHeight w:val="187"/>
        </w:trPr>
        <w:tc>
          <w:tcPr>
            <w:tcW w:w="789" w:type="pct"/>
            <w:vMerge/>
          </w:tcPr>
          <w:p w14:paraId="11357862" w14:textId="77777777" w:rsidR="00B06484" w:rsidRPr="00680101" w:rsidRDefault="00B06484" w:rsidP="00CB2329">
            <w:pPr>
              <w:pStyle w:val="Tabletext"/>
              <w:rPr>
                <w:b/>
              </w:rPr>
            </w:pPr>
          </w:p>
        </w:tc>
        <w:tc>
          <w:tcPr>
            <w:tcW w:w="1502" w:type="pct"/>
          </w:tcPr>
          <w:p w14:paraId="4B57F77B" w14:textId="77777777" w:rsidR="00B06484" w:rsidRPr="004F1C07" w:rsidRDefault="00B06484" w:rsidP="00E8791D">
            <w:pPr>
              <w:pStyle w:val="Tabletext"/>
              <w:ind w:left="0"/>
            </w:pPr>
            <w:r w:rsidRPr="00B92319">
              <w:t>Infusion-related reaction</w:t>
            </w:r>
          </w:p>
        </w:tc>
        <w:tc>
          <w:tcPr>
            <w:tcW w:w="645" w:type="pct"/>
          </w:tcPr>
          <w:p w14:paraId="08BE0626" w14:textId="77777777" w:rsidR="00B06484" w:rsidRPr="00C23199" w:rsidRDefault="00B06484" w:rsidP="00CB2329">
            <w:pPr>
              <w:pStyle w:val="Tabletext"/>
              <w:jc w:val="center"/>
            </w:pPr>
            <w:r w:rsidRPr="00C23199">
              <w:rPr>
                <w:rFonts w:ascii="Wingdings" w:eastAsia="Wingdings" w:hAnsi="Wingdings" w:cs="Wingdings"/>
              </w:rPr>
              <w:t></w:t>
            </w:r>
          </w:p>
        </w:tc>
        <w:tc>
          <w:tcPr>
            <w:tcW w:w="715" w:type="pct"/>
          </w:tcPr>
          <w:p w14:paraId="7CFE98D2" w14:textId="77777777" w:rsidR="00B06484" w:rsidRPr="00C23199" w:rsidRDefault="00B06484" w:rsidP="00CB2329">
            <w:pPr>
              <w:pStyle w:val="Tabletext"/>
              <w:jc w:val="center"/>
            </w:pPr>
          </w:p>
        </w:tc>
        <w:tc>
          <w:tcPr>
            <w:tcW w:w="636" w:type="pct"/>
          </w:tcPr>
          <w:p w14:paraId="4E39B942" w14:textId="77777777" w:rsidR="00B06484" w:rsidRPr="00C23199" w:rsidRDefault="00B06484" w:rsidP="00CB2329">
            <w:pPr>
              <w:pStyle w:val="Tabletext"/>
              <w:jc w:val="center"/>
            </w:pPr>
            <w:r w:rsidRPr="00C23199">
              <w:rPr>
                <w:rFonts w:ascii="Wingdings" w:eastAsia="Wingdings" w:hAnsi="Wingdings" w:cs="Wingdings"/>
              </w:rPr>
              <w:t></w:t>
            </w:r>
          </w:p>
        </w:tc>
        <w:tc>
          <w:tcPr>
            <w:tcW w:w="715" w:type="pct"/>
          </w:tcPr>
          <w:p w14:paraId="1784F451" w14:textId="77777777" w:rsidR="00B06484" w:rsidRPr="00C23199" w:rsidRDefault="00B06484" w:rsidP="00CB2329">
            <w:pPr>
              <w:pStyle w:val="Tabletext"/>
              <w:jc w:val="center"/>
            </w:pPr>
            <w:r w:rsidRPr="00C23199">
              <w:rPr>
                <w:rFonts w:ascii="Wingdings" w:eastAsia="Wingdings" w:hAnsi="Wingdings" w:cs="Wingdings"/>
              </w:rPr>
              <w:t></w:t>
            </w:r>
            <w:r w:rsidRPr="00C23199">
              <w:rPr>
                <w:rFonts w:asciiTheme="majorHAnsi" w:hAnsiTheme="majorHAnsi"/>
                <w:szCs w:val="20"/>
                <w:vertAlign w:val="superscript"/>
              </w:rPr>
              <w:t>†</w:t>
            </w:r>
          </w:p>
        </w:tc>
      </w:tr>
      <w:tr w:rsidR="00B06484" w:rsidRPr="004F1C07" w14:paraId="0672C5D3" w14:textId="77777777" w:rsidTr="003E7B40">
        <w:trPr>
          <w:trHeight w:val="159"/>
        </w:trPr>
        <w:tc>
          <w:tcPr>
            <w:tcW w:w="789" w:type="pct"/>
            <w:vMerge w:val="restart"/>
          </w:tcPr>
          <w:p w14:paraId="50EAC5C9" w14:textId="77777777" w:rsidR="00B06484" w:rsidRPr="00680101" w:rsidRDefault="00B06484" w:rsidP="00E8791D">
            <w:pPr>
              <w:pStyle w:val="Tabletext"/>
              <w:ind w:left="0"/>
              <w:rPr>
                <w:b/>
              </w:rPr>
            </w:pPr>
            <w:r w:rsidRPr="00680101">
              <w:rPr>
                <w:b/>
              </w:rPr>
              <w:t>Important potential risks</w:t>
            </w:r>
          </w:p>
        </w:tc>
        <w:tc>
          <w:tcPr>
            <w:tcW w:w="1502" w:type="pct"/>
          </w:tcPr>
          <w:p w14:paraId="59B285BC" w14:textId="77777777" w:rsidR="00B06484" w:rsidRPr="004F1C07" w:rsidRDefault="00B06484" w:rsidP="00E8791D">
            <w:pPr>
              <w:pStyle w:val="Tabletext"/>
              <w:ind w:left="0"/>
            </w:pPr>
            <w:r w:rsidRPr="00C8151A">
              <w:t>Immune-mediated pancreatitis</w:t>
            </w:r>
          </w:p>
        </w:tc>
        <w:tc>
          <w:tcPr>
            <w:tcW w:w="645" w:type="pct"/>
          </w:tcPr>
          <w:p w14:paraId="30C175B5" w14:textId="77777777" w:rsidR="00B06484" w:rsidRPr="00C23199" w:rsidRDefault="00B06484" w:rsidP="00CB2329">
            <w:pPr>
              <w:pStyle w:val="Tabletext"/>
              <w:jc w:val="center"/>
            </w:pPr>
            <w:r w:rsidRPr="00C23199">
              <w:rPr>
                <w:rFonts w:ascii="Wingdings" w:eastAsia="Wingdings" w:hAnsi="Wingdings" w:cs="Wingdings"/>
              </w:rPr>
              <w:t></w:t>
            </w:r>
            <w:r w:rsidRPr="00C23199">
              <w:rPr>
                <w:rFonts w:asciiTheme="majorHAnsi" w:hAnsiTheme="majorHAnsi"/>
                <w:szCs w:val="20"/>
                <w:vertAlign w:val="superscript"/>
              </w:rPr>
              <w:t>¶</w:t>
            </w:r>
          </w:p>
        </w:tc>
        <w:tc>
          <w:tcPr>
            <w:tcW w:w="715" w:type="pct"/>
          </w:tcPr>
          <w:p w14:paraId="08CD76A0" w14:textId="77777777" w:rsidR="00B06484" w:rsidRPr="00C23199" w:rsidRDefault="00B06484" w:rsidP="00CB2329">
            <w:pPr>
              <w:pStyle w:val="Tabletext"/>
              <w:jc w:val="center"/>
            </w:pPr>
            <w:r w:rsidRPr="00C23199">
              <w:t>–</w:t>
            </w:r>
          </w:p>
        </w:tc>
        <w:tc>
          <w:tcPr>
            <w:tcW w:w="636" w:type="pct"/>
          </w:tcPr>
          <w:p w14:paraId="4D4C91BF" w14:textId="77777777" w:rsidR="00B06484" w:rsidRPr="00C23199" w:rsidRDefault="00B06484" w:rsidP="00CB2329">
            <w:pPr>
              <w:pStyle w:val="Tabletext"/>
              <w:jc w:val="center"/>
            </w:pPr>
            <w:r w:rsidRPr="00C23199">
              <w:rPr>
                <w:rFonts w:ascii="Wingdings" w:eastAsia="Wingdings" w:hAnsi="Wingdings" w:cs="Wingdings"/>
              </w:rPr>
              <w:t></w:t>
            </w:r>
          </w:p>
        </w:tc>
        <w:tc>
          <w:tcPr>
            <w:tcW w:w="715" w:type="pct"/>
          </w:tcPr>
          <w:p w14:paraId="0D801A04" w14:textId="77777777" w:rsidR="00B06484" w:rsidRPr="00C23199" w:rsidRDefault="00B06484" w:rsidP="00CB2329">
            <w:pPr>
              <w:pStyle w:val="Tabletext"/>
              <w:jc w:val="center"/>
            </w:pPr>
            <w:r w:rsidRPr="00C23199">
              <w:t>–</w:t>
            </w:r>
          </w:p>
        </w:tc>
      </w:tr>
      <w:tr w:rsidR="00B06484" w:rsidRPr="004F1C07" w14:paraId="5F884539" w14:textId="77777777" w:rsidTr="003E7B40">
        <w:trPr>
          <w:trHeight w:val="122"/>
        </w:trPr>
        <w:tc>
          <w:tcPr>
            <w:tcW w:w="789" w:type="pct"/>
            <w:vMerge/>
          </w:tcPr>
          <w:p w14:paraId="7C1BF63B" w14:textId="77777777" w:rsidR="00B06484" w:rsidRPr="00680101" w:rsidRDefault="00B06484" w:rsidP="00CB2329">
            <w:pPr>
              <w:pStyle w:val="Tabletext"/>
              <w:rPr>
                <w:b/>
              </w:rPr>
            </w:pPr>
          </w:p>
        </w:tc>
        <w:tc>
          <w:tcPr>
            <w:tcW w:w="1502" w:type="pct"/>
          </w:tcPr>
          <w:p w14:paraId="57C239AE" w14:textId="77777777" w:rsidR="00B06484" w:rsidRPr="004F1C07" w:rsidRDefault="00B06484" w:rsidP="00E8791D">
            <w:pPr>
              <w:pStyle w:val="Tabletext"/>
              <w:ind w:left="0"/>
            </w:pPr>
            <w:r>
              <w:t xml:space="preserve">Other rare potential immune-mediated adverse </w:t>
            </w:r>
            <w:r w:rsidRPr="0055324D">
              <w:t xml:space="preserve">reactions </w:t>
            </w:r>
            <w:r>
              <w:t>(</w:t>
            </w:r>
            <w:r w:rsidRPr="0055324D">
              <w:t>including immune-related neuropathies</w:t>
            </w:r>
            <w:r>
              <w:t xml:space="preserve">) </w:t>
            </w:r>
            <w:r w:rsidRPr="00E8791D">
              <w:t xml:space="preserve">(ASA only)) </w:t>
            </w:r>
            <w:r w:rsidRPr="0055324D">
              <w:t xml:space="preserve">(Guillain-Barre) and </w:t>
            </w:r>
            <w:r>
              <w:t>(</w:t>
            </w:r>
            <w:r w:rsidRPr="0055324D">
              <w:t xml:space="preserve">ocular inflammatory </w:t>
            </w:r>
            <w:r w:rsidRPr="00E8791D">
              <w:t>toxicity (ASA only))</w:t>
            </w:r>
          </w:p>
        </w:tc>
        <w:tc>
          <w:tcPr>
            <w:tcW w:w="645" w:type="pct"/>
          </w:tcPr>
          <w:p w14:paraId="512BB8FA" w14:textId="77777777" w:rsidR="00B06484" w:rsidRPr="00C23199" w:rsidRDefault="00B06484" w:rsidP="00CB2329">
            <w:pPr>
              <w:pStyle w:val="Tabletext"/>
              <w:jc w:val="center"/>
            </w:pPr>
            <w:r w:rsidRPr="00C23199">
              <w:rPr>
                <w:rFonts w:ascii="Wingdings" w:eastAsia="Wingdings" w:hAnsi="Wingdings" w:cs="Wingdings"/>
              </w:rPr>
              <w:t></w:t>
            </w:r>
          </w:p>
        </w:tc>
        <w:tc>
          <w:tcPr>
            <w:tcW w:w="715" w:type="pct"/>
          </w:tcPr>
          <w:p w14:paraId="156436D3" w14:textId="77777777" w:rsidR="00B06484" w:rsidRPr="00C23199" w:rsidRDefault="00B06484" w:rsidP="00CB2329">
            <w:pPr>
              <w:pStyle w:val="Tabletext"/>
              <w:jc w:val="center"/>
            </w:pPr>
            <w:r w:rsidRPr="00C23199">
              <w:t>–</w:t>
            </w:r>
          </w:p>
        </w:tc>
        <w:tc>
          <w:tcPr>
            <w:tcW w:w="636" w:type="pct"/>
          </w:tcPr>
          <w:p w14:paraId="4097F4A0" w14:textId="77777777" w:rsidR="00B06484" w:rsidRPr="00C23199" w:rsidRDefault="00B06484" w:rsidP="00CB2329">
            <w:pPr>
              <w:pStyle w:val="Tabletext"/>
              <w:jc w:val="center"/>
            </w:pPr>
            <w:r w:rsidRPr="00C23199">
              <w:rPr>
                <w:rFonts w:ascii="Wingdings" w:eastAsia="Wingdings" w:hAnsi="Wingdings" w:cs="Wingdings"/>
              </w:rPr>
              <w:t></w:t>
            </w:r>
          </w:p>
        </w:tc>
        <w:tc>
          <w:tcPr>
            <w:tcW w:w="715" w:type="pct"/>
          </w:tcPr>
          <w:p w14:paraId="20906BE7" w14:textId="77777777" w:rsidR="00B06484" w:rsidRPr="00C23199" w:rsidRDefault="00B06484" w:rsidP="00CB2329">
            <w:pPr>
              <w:pStyle w:val="Tabletext"/>
              <w:jc w:val="center"/>
            </w:pPr>
            <w:r w:rsidRPr="00C23199">
              <w:t>–</w:t>
            </w:r>
          </w:p>
        </w:tc>
      </w:tr>
      <w:tr w:rsidR="00B06484" w:rsidRPr="004F1C07" w14:paraId="19911964" w14:textId="77777777" w:rsidTr="003E7B40">
        <w:trPr>
          <w:trHeight w:val="112"/>
        </w:trPr>
        <w:tc>
          <w:tcPr>
            <w:tcW w:w="789" w:type="pct"/>
            <w:vMerge/>
          </w:tcPr>
          <w:p w14:paraId="09D4806A" w14:textId="77777777" w:rsidR="00B06484" w:rsidRPr="00680101" w:rsidRDefault="00B06484" w:rsidP="00CB2329">
            <w:pPr>
              <w:pStyle w:val="Tabletext"/>
              <w:rPr>
                <w:b/>
              </w:rPr>
            </w:pPr>
          </w:p>
        </w:tc>
        <w:tc>
          <w:tcPr>
            <w:tcW w:w="1502" w:type="pct"/>
          </w:tcPr>
          <w:p w14:paraId="384F1AC8" w14:textId="77777777" w:rsidR="00B06484" w:rsidRPr="00205CEE" w:rsidRDefault="00B06484" w:rsidP="00E8791D">
            <w:pPr>
              <w:pStyle w:val="Tabletext"/>
              <w:ind w:left="0"/>
            </w:pPr>
            <w:r w:rsidRPr="00205CEE">
              <w:t xml:space="preserve">Delayed onset of </w:t>
            </w:r>
            <w:proofErr w:type="spellStart"/>
            <w:r w:rsidRPr="00205CEE">
              <w:t>durvalumab</w:t>
            </w:r>
            <w:proofErr w:type="spellEnd"/>
            <w:r w:rsidRPr="00205CEE">
              <w:t xml:space="preserve"> effect and comparative early survival detriment, applicable to the second line urothelial carcinoma post platinum indication only</w:t>
            </w:r>
            <w:r w:rsidRPr="00E8791D">
              <w:t xml:space="preserve"> (ASA only)</w:t>
            </w:r>
          </w:p>
        </w:tc>
        <w:tc>
          <w:tcPr>
            <w:tcW w:w="645" w:type="pct"/>
          </w:tcPr>
          <w:p w14:paraId="4DC32DF1" w14:textId="77777777" w:rsidR="00B06484" w:rsidRPr="00C23199" w:rsidRDefault="00B06484" w:rsidP="00CB2329">
            <w:pPr>
              <w:pStyle w:val="Tabletext"/>
              <w:jc w:val="center"/>
            </w:pPr>
            <w:r w:rsidRPr="00C23199">
              <w:rPr>
                <w:rFonts w:ascii="Wingdings" w:eastAsia="Wingdings" w:hAnsi="Wingdings" w:cs="Wingdings"/>
              </w:rPr>
              <w:t></w:t>
            </w:r>
            <w:r w:rsidRPr="00C23199">
              <w:rPr>
                <w:rFonts w:asciiTheme="majorHAnsi" w:hAnsiTheme="majorHAnsi"/>
                <w:szCs w:val="20"/>
                <w:vertAlign w:val="superscript"/>
              </w:rPr>
              <w:t>ǁ</w:t>
            </w:r>
          </w:p>
        </w:tc>
        <w:tc>
          <w:tcPr>
            <w:tcW w:w="715" w:type="pct"/>
          </w:tcPr>
          <w:p w14:paraId="53C654BC" w14:textId="77777777" w:rsidR="00B06484" w:rsidRPr="00C23199" w:rsidRDefault="00B06484" w:rsidP="00CB2329">
            <w:pPr>
              <w:pStyle w:val="Tabletext"/>
              <w:jc w:val="center"/>
            </w:pPr>
            <w:r w:rsidRPr="00C23199">
              <w:t>–</w:t>
            </w:r>
          </w:p>
        </w:tc>
        <w:tc>
          <w:tcPr>
            <w:tcW w:w="636" w:type="pct"/>
          </w:tcPr>
          <w:p w14:paraId="7AAD967F" w14:textId="77777777" w:rsidR="00B06484" w:rsidRPr="00C23199" w:rsidRDefault="00B06484" w:rsidP="00CB2329">
            <w:pPr>
              <w:pStyle w:val="Tabletext"/>
              <w:jc w:val="center"/>
            </w:pPr>
            <w:r w:rsidRPr="00C23199">
              <w:rPr>
                <w:rFonts w:ascii="Wingdings" w:eastAsia="Wingdings" w:hAnsi="Wingdings" w:cs="Wingdings"/>
              </w:rPr>
              <w:t></w:t>
            </w:r>
          </w:p>
        </w:tc>
        <w:tc>
          <w:tcPr>
            <w:tcW w:w="715" w:type="pct"/>
          </w:tcPr>
          <w:p w14:paraId="70737D0C" w14:textId="77777777" w:rsidR="00B06484" w:rsidRPr="00C23199" w:rsidRDefault="00B06484" w:rsidP="00CB2329">
            <w:pPr>
              <w:pStyle w:val="Tabletext"/>
              <w:jc w:val="center"/>
            </w:pPr>
            <w:r w:rsidRPr="00C23199">
              <w:t>–</w:t>
            </w:r>
          </w:p>
        </w:tc>
      </w:tr>
    </w:tbl>
    <w:p w14:paraId="17866C63" w14:textId="77777777" w:rsidR="00461E18" w:rsidRPr="00461E18" w:rsidRDefault="00461E18" w:rsidP="00461E18">
      <w:pPr>
        <w:pStyle w:val="TableDescription"/>
      </w:pPr>
      <w:bookmarkStart w:id="53" w:name="_Toc247691531"/>
      <w:bookmarkStart w:id="54" w:name="_Toc314842515"/>
      <w:bookmarkStart w:id="55" w:name="_Toc196046505"/>
      <w:bookmarkStart w:id="56" w:name="_Toc196046949"/>
      <w:r w:rsidRPr="00461E18">
        <w:t xml:space="preserve">ǁ Phase 3 study (D419BC00001, DANUBE) </w:t>
      </w:r>
    </w:p>
    <w:p w14:paraId="1AF8DC4C" w14:textId="7A91C70B" w:rsidR="00461E18" w:rsidRPr="00461E18" w:rsidRDefault="00461E18" w:rsidP="00461E18">
      <w:pPr>
        <w:pStyle w:val="TableDescription"/>
      </w:pPr>
      <w:r w:rsidRPr="00461E18">
        <w:t>Adverse event follow-up form for adverse reactions immune-mediated adverse reaction (</w:t>
      </w:r>
      <w:proofErr w:type="spellStart"/>
      <w:r w:rsidRPr="00461E18">
        <w:t>imAR</w:t>
      </w:r>
      <w:proofErr w:type="spellEnd"/>
      <w:r w:rsidRPr="00461E18">
        <w:t>)</w:t>
      </w:r>
    </w:p>
    <w:p w14:paraId="796801A2" w14:textId="58280A47" w:rsidR="00461E18" w:rsidRPr="00461E18" w:rsidRDefault="00461E18" w:rsidP="00461E18">
      <w:pPr>
        <w:pStyle w:val="TableDescription"/>
      </w:pPr>
      <w:r w:rsidRPr="00461E18">
        <w:t>† HCP educational materials</w:t>
      </w:r>
    </w:p>
    <w:p w14:paraId="6E87D7AF" w14:textId="295D3FDE" w:rsidR="008E7846" w:rsidRDefault="00AA0ED0" w:rsidP="008E7846">
      <w:pPr>
        <w:pStyle w:val="Heading3"/>
      </w:pPr>
      <w:bookmarkStart w:id="57" w:name="_Toc69718719"/>
      <w:r>
        <w:t>Risk-benefit a</w:t>
      </w:r>
      <w:r w:rsidR="008E7846">
        <w:t>nalysis</w:t>
      </w:r>
      <w:bookmarkEnd w:id="53"/>
      <w:bookmarkEnd w:id="54"/>
      <w:bookmarkEnd w:id="57"/>
    </w:p>
    <w:p w14:paraId="6C6A43EA" w14:textId="77777777" w:rsidR="00456765" w:rsidRDefault="007D53B6" w:rsidP="00B06484">
      <w:pPr>
        <w:pStyle w:val="Heading4"/>
      </w:pPr>
      <w:r>
        <w:t>Delegate’s considerations</w:t>
      </w:r>
    </w:p>
    <w:p w14:paraId="43BC6537" w14:textId="77777777" w:rsidR="00B06484" w:rsidRDefault="00B06484" w:rsidP="00B06484">
      <w:r>
        <w:t xml:space="preserve">In this submission the sponsor seeks an extension of the indications of </w:t>
      </w:r>
      <w:proofErr w:type="spellStart"/>
      <w:r>
        <w:t>durvalumab</w:t>
      </w:r>
      <w:proofErr w:type="spellEnd"/>
      <w:r>
        <w:t xml:space="preserve"> to include use in combination with etoposide and either carboplatin or cisp</w:t>
      </w:r>
      <w:r w:rsidR="007C6AFC">
        <w:t>latin in patients with ES-SCLC.</w:t>
      </w:r>
    </w:p>
    <w:p w14:paraId="2D83B68A" w14:textId="05995D32" w:rsidR="00B06484" w:rsidRDefault="00B06484" w:rsidP="00B06484">
      <w:r>
        <w:t xml:space="preserve">The submission is supported by the </w:t>
      </w:r>
      <w:r w:rsidR="00131855">
        <w:t>CASPIAN trial</w:t>
      </w:r>
      <w:r>
        <w:t xml:space="preserve">, an open-label, multicentre, multinational, parallel group study of three regimens, two of which are relevant to the submission (Arms 2 and 3 of the </w:t>
      </w:r>
      <w:r w:rsidR="00131855">
        <w:t>CASPIAN trial</w:t>
      </w:r>
      <w:r>
        <w:t xml:space="preserve">. The study compared </w:t>
      </w:r>
      <w:proofErr w:type="spellStart"/>
      <w:r>
        <w:t>durvalumab</w:t>
      </w:r>
      <w:proofErr w:type="spellEnd"/>
      <w:r>
        <w:t xml:space="preserve"> and etoposide plus a platinum therapy (mostly carboplatin) with etoposide and platinum as first-line treatment in ES-SCLC. Patients needed to be fit enough to receive the etoposide and platinum chemotherapy backbone regimen. ECOG </w:t>
      </w:r>
      <w:r w:rsidR="00231C0C">
        <w:t xml:space="preserve">performance </w:t>
      </w:r>
      <w:r>
        <w:t xml:space="preserve">status was 0 or 1, but patients with asymptomatic or brain metastases were eligible. The participants, with </w:t>
      </w:r>
      <w:r>
        <w:lastRenderedPageBreak/>
        <w:t xml:space="preserve">mean age 63, mostly male, mostly white and mostly former or current smokers, are reasonably representative of the current Australian </w:t>
      </w:r>
      <w:r w:rsidR="00C06D01">
        <w:t>population of ES-SCLC patients.</w:t>
      </w:r>
    </w:p>
    <w:p w14:paraId="30FE9185" w14:textId="77777777" w:rsidR="00B06484" w:rsidRDefault="00B06484" w:rsidP="00B06484">
      <w:r>
        <w:t xml:space="preserve">The chemotherapy backbone treatments in the two arms were not identical: the </w:t>
      </w:r>
      <w:proofErr w:type="spellStart"/>
      <w:r>
        <w:t>durvalumab</w:t>
      </w:r>
      <w:proofErr w:type="spellEnd"/>
      <w:r>
        <w:t xml:space="preserve"> arm received 4 cycles and the comparator arm 6 cycles, based on tolerability, and a little over half the EP group received all 6 cycles. This aspect of design adds complexity to the clinical interpretation of the results, and the generalisability to the Australian context. Although guidelines generally recommend 4 to 6 cycles of EP thera</w:t>
      </w:r>
      <w:r w:rsidR="00C06D01">
        <w:t>py, there is some variability.</w:t>
      </w:r>
    </w:p>
    <w:p w14:paraId="31215670" w14:textId="33A4793F" w:rsidR="00B06484" w:rsidRDefault="00B06484" w:rsidP="00B06484">
      <w:r>
        <w:t xml:space="preserve">Because of the different EP regimens in Arms 2 and 3 of the </w:t>
      </w:r>
      <w:r w:rsidR="00C06D01">
        <w:t>trial</w:t>
      </w:r>
      <w:r>
        <w:t xml:space="preserve"> the comparison does not lend itself to an assessment of the contribution of </w:t>
      </w:r>
      <w:proofErr w:type="spellStart"/>
      <w:r>
        <w:t>durvalumab</w:t>
      </w:r>
      <w:proofErr w:type="spellEnd"/>
      <w:r>
        <w:t xml:space="preserve"> to the efficacy and/or toxic</w:t>
      </w:r>
      <w:r w:rsidR="00C06D01">
        <w:t>ity over and above EP in the D plus</w:t>
      </w:r>
      <w:r>
        <w:t xml:space="preserve"> EP regimen, and does add some uncertainty about the relative contributions of each of the components to the</w:t>
      </w:r>
      <w:r w:rsidR="00C06D01">
        <w:t xml:space="preserve"> outcome. One could consider D plus</w:t>
      </w:r>
      <w:r>
        <w:t xml:space="preserve"> 4 cycles of EP </w:t>
      </w:r>
      <w:r w:rsidR="003E1D32">
        <w:t>versus</w:t>
      </w:r>
      <w:r>
        <w:t xml:space="preserve"> 6 cycles of EP as in the same way one might compare Drug A with Drug B in another study, rather than considering </w:t>
      </w:r>
      <w:proofErr w:type="spellStart"/>
      <w:r>
        <w:t>durvalumab</w:t>
      </w:r>
      <w:proofErr w:type="spellEnd"/>
      <w:r>
        <w:t xml:space="preserve"> as an add-on therapy to EP. This is acceptable</w:t>
      </w:r>
      <w:r w:rsidR="00C06D01">
        <w:t xml:space="preserve"> but whether patients in the D plus</w:t>
      </w:r>
      <w:r>
        <w:t xml:space="preserve"> EP or EP arms would have benefited or been disadvantaged by their allocated number of cycles of EP is unknown. The approach of using 4 cycles of EP with an immunomodulator for ES-SCLC was accepted for atezolizumab to support its indication in first-line ES-SCLC. The alignment of endpoints with the I</w:t>
      </w:r>
      <w:r w:rsidR="0097493A">
        <w:t>Mpower133 study in atezolizumab;</w:t>
      </w:r>
      <w:r w:rsidR="0097493A">
        <w:rPr>
          <w:rStyle w:val="FootnoteReference"/>
        </w:rPr>
        <w:footnoteReference w:id="15"/>
      </w:r>
      <w:r w:rsidR="0097493A">
        <w:t xml:space="preserve"> </w:t>
      </w:r>
      <w:r>
        <w:t>at protocol amendment 3 is also noted.</w:t>
      </w:r>
    </w:p>
    <w:p w14:paraId="66FDC63A" w14:textId="6B551C65" w:rsidR="00B06484" w:rsidRDefault="00B06484" w:rsidP="00B06484">
      <w:r>
        <w:t>The open-label nature of the study adds complexity in the interpretation of the outcomes. The potential for bias adds some uncertainty to the investigator reported outcomes because of the open-label nature of the study. The key secondary endpoint of PFS was investigator assessed, although sensitivity analyses that adjusted for some forms of bias were consis</w:t>
      </w:r>
      <w:r w:rsidR="00C06D01">
        <w:t>tent with the main analysis. D plus</w:t>
      </w:r>
      <w:r>
        <w:t xml:space="preserve"> EP and EP alone showed similar PFS at the time-point of the initial interim analysis. While the proportional hazard o</w:t>
      </w:r>
      <w:r w:rsidR="00C06D01">
        <w:t>f a PFS event is less in the D plus</w:t>
      </w:r>
      <w:r>
        <w:t xml:space="preserve"> EP group (HR 0.78 (95% CI 0.65, 0.94)), the median PFS and PFS at 6</w:t>
      </w:r>
      <w:r w:rsidR="00231C0C">
        <w:t> </w:t>
      </w:r>
      <w:r>
        <w:t>months are similar between t</w:t>
      </w:r>
      <w:r w:rsidR="00C06D01">
        <w:t xml:space="preserve">he groups. At the 12 month time </w:t>
      </w:r>
      <w:r>
        <w:t>point the small number of patients remaining in the EP group limit the utility of the comparison. The ORR is also an investigator a</w:t>
      </w:r>
      <w:r w:rsidR="00C06D01">
        <w:t>ssessed outcome, and favours D plus</w:t>
      </w:r>
      <w:r>
        <w:t xml:space="preserve"> EP in both complete and partial response, and is consistent with the direction of the OS data. The median duration of response is similar in both groups but the proportion of patients remaining in the response (low numbers of patients contributing notwithstanding) </w:t>
      </w:r>
      <w:r w:rsidR="00C06D01">
        <w:t>is greater at 12 and 15</w:t>
      </w:r>
      <w:r w:rsidR="00231C0C">
        <w:t> </w:t>
      </w:r>
      <w:r w:rsidR="00C06D01">
        <w:t>months.</w:t>
      </w:r>
    </w:p>
    <w:p w14:paraId="30AA7A1C" w14:textId="77777777" w:rsidR="00B06484" w:rsidRDefault="00B06484" w:rsidP="00B06484">
      <w:r>
        <w:t>The primary endpoint of overall survival is robust and in terms of percentage of patients with events, and proportional hazards for the even</w:t>
      </w:r>
      <w:r w:rsidR="00C06D01">
        <w:t>t, OS was favourable for the D plus</w:t>
      </w:r>
      <w:r>
        <w:t xml:space="preserve"> EP combination. The proportion of survivors wa</w:t>
      </w:r>
      <w:r w:rsidR="00C06D01">
        <w:t>s numerically greater in the D plus</w:t>
      </w:r>
      <w:r>
        <w:t xml:space="preserve"> EP group at 12 months and 18 mon</w:t>
      </w:r>
      <w:r w:rsidR="00C06D01">
        <w:t>ths. The median OS gain from D plus</w:t>
      </w:r>
      <w:r>
        <w:t xml:space="preserve"> EP over EP was 2.7 months or 2.4 months, depending on the data cut date and this would appear modest. Whether this benefit is clinically meaningful is uncertain and the </w:t>
      </w:r>
      <w:r w:rsidR="00C06D01" w:rsidRPr="00460036">
        <w:t>Advisory Committee on Medicines</w:t>
      </w:r>
      <w:r w:rsidR="00C06D01">
        <w:t xml:space="preserve"> (</w:t>
      </w:r>
      <w:r>
        <w:t>ACM</w:t>
      </w:r>
      <w:r w:rsidR="00C06D01">
        <w:t>)</w:t>
      </w:r>
      <w:r>
        <w:t xml:space="preserve"> is requested to comment. It is recognised that patients with ES-SCLC present with advanced disease and </w:t>
      </w:r>
      <w:r w:rsidR="00C06D01">
        <w:t>the outlook is generally poor.</w:t>
      </w:r>
    </w:p>
    <w:p w14:paraId="171B5240" w14:textId="77777777" w:rsidR="00B06484" w:rsidRDefault="00C06D01" w:rsidP="00B06484">
      <w:r>
        <w:t>The safety of the D plus</w:t>
      </w:r>
      <w:r w:rsidR="00B06484">
        <w:t xml:space="preserve"> EP was compared to EP and to a pooled safety set comprising data from the use of </w:t>
      </w:r>
      <w:proofErr w:type="spellStart"/>
      <w:r w:rsidR="00B06484">
        <w:t>durvalumab</w:t>
      </w:r>
      <w:proofErr w:type="spellEnd"/>
      <w:r w:rsidR="00B06484">
        <w:t xml:space="preserve"> as monotherapy. The limitations of the comparative safety information include the differences in exposure to EP in both proportion and duration of exposure between the two groups. The difference in exposure to chemotherapy is a likely contributor to the greater frequency of haematological adverse events of gr</w:t>
      </w:r>
      <w:r>
        <w:t>eater severity in the EP group.</w:t>
      </w:r>
    </w:p>
    <w:p w14:paraId="0E2F1F12" w14:textId="3B2F40E2" w:rsidR="00B06484" w:rsidRDefault="00B06484" w:rsidP="00B06484">
      <w:r>
        <w:lastRenderedPageBreak/>
        <w:t xml:space="preserve">The safety profile of </w:t>
      </w:r>
      <w:proofErr w:type="spellStart"/>
      <w:r>
        <w:t>durvalumab</w:t>
      </w:r>
      <w:proofErr w:type="spellEnd"/>
      <w:r>
        <w:t xml:space="preserve"> was consistent with its established profile and with other members of the PD1/PD-L1 class, and in many instances the adverse effects are manageable. As expected immune mediated adverse ev</w:t>
      </w:r>
      <w:r w:rsidR="00C06D01">
        <w:t>ents were more common in the D</w:t>
      </w:r>
      <w:r w:rsidR="00231C0C">
        <w:t> </w:t>
      </w:r>
      <w:r w:rsidR="00C06D01">
        <w:t>plus</w:t>
      </w:r>
      <w:r>
        <w:t xml:space="preserve"> EP arm, driven by thyroid </w:t>
      </w:r>
      <w:proofErr w:type="spellStart"/>
      <w:r>
        <w:t>endocrinopathies</w:t>
      </w:r>
      <w:proofErr w:type="spellEnd"/>
      <w:r>
        <w:t>, and many events were Grade 1 to 2. Nevertheless</w:t>
      </w:r>
      <w:r w:rsidR="00231C0C">
        <w:t>,</w:t>
      </w:r>
      <w:r>
        <w:t xml:space="preserve"> there was a greater use of corticosteroids (9.4% </w:t>
      </w:r>
      <w:r w:rsidR="003E1D32">
        <w:t>versus</w:t>
      </w:r>
      <w:r>
        <w:t xml:space="preserve"> 1.9%) and endocrine therapies (14.7% </w:t>
      </w:r>
      <w:r w:rsidR="003E1D32">
        <w:t>versus</w:t>
      </w:r>
      <w:r w:rsidR="00C06D01">
        <w:t xml:space="preserve"> 0.8%) in the D plus</w:t>
      </w:r>
      <w:r>
        <w:t xml:space="preserve"> EP </w:t>
      </w:r>
      <w:r w:rsidR="003E1D32">
        <w:t>versus</w:t>
      </w:r>
      <w:r>
        <w:t xml:space="preserve"> EP arms. Immune mediated events are clinically relevant and an important factor in the benefit risk considerations of </w:t>
      </w:r>
      <w:proofErr w:type="spellStart"/>
      <w:r>
        <w:t>durvalumab</w:t>
      </w:r>
      <w:proofErr w:type="spellEnd"/>
      <w:r>
        <w:t xml:space="preserve"> for this indication for the population and for the clinician deciding therapy to recommend to the individual patient.</w:t>
      </w:r>
    </w:p>
    <w:p w14:paraId="40C7A365" w14:textId="77777777" w:rsidR="00B06484" w:rsidRDefault="00B06484" w:rsidP="00B06484">
      <w:r>
        <w:t xml:space="preserve">Immunogenicity was low, no neutralising antibodies were detected and there was no apparent pattern of adverse events in the small proportion of patients with baseline </w:t>
      </w:r>
      <w:proofErr w:type="spellStart"/>
      <w:r>
        <w:t>durvalumab</w:t>
      </w:r>
      <w:proofErr w:type="spellEnd"/>
      <w:r>
        <w:t xml:space="preserve"> antidrug-antibodies. This is considered a benefit for </w:t>
      </w:r>
      <w:proofErr w:type="spellStart"/>
      <w:r>
        <w:t>durvalumab</w:t>
      </w:r>
      <w:proofErr w:type="spellEnd"/>
      <w:r>
        <w:t>.</w:t>
      </w:r>
    </w:p>
    <w:p w14:paraId="45D439D3" w14:textId="77777777" w:rsidR="00B06484" w:rsidRDefault="00B06484" w:rsidP="00B06484">
      <w:r>
        <w:t xml:space="preserve">Regarding the dosing, an acceptable justification, support from the non-clinical evaluation, the </w:t>
      </w:r>
      <w:proofErr w:type="spellStart"/>
      <w:r>
        <w:t>pharmacometrics</w:t>
      </w:r>
      <w:proofErr w:type="spellEnd"/>
      <w:r>
        <w:t xml:space="preserve"> and direct evidence from the </w:t>
      </w:r>
      <w:r w:rsidR="00131855">
        <w:t>CASPIAN trial</w:t>
      </w:r>
      <w:r>
        <w:t xml:space="preserve"> support the fixed-dosing regimen of 1500 mg Q3W for this indication in patients with a body weight of &gt; 30 kg. The quality evaluator considered the potential for increased exposure to impurities and proposal accepta</w:t>
      </w:r>
      <w:r w:rsidR="00DA13AE">
        <w:t>ble from a quality perspective.</w:t>
      </w:r>
    </w:p>
    <w:p w14:paraId="79BB2F36" w14:textId="77777777" w:rsidR="00B06484" w:rsidRDefault="00B06484" w:rsidP="00B06484">
      <w:r>
        <w:t xml:space="preserve">An outstanding matter for the RMP evaluator is the matter of the Patient Alert Card that includes a listed safety profile of </w:t>
      </w:r>
      <w:proofErr w:type="spellStart"/>
      <w:r>
        <w:t>durvalumab</w:t>
      </w:r>
      <w:proofErr w:type="spellEnd"/>
      <w:r>
        <w:t xml:space="preserve">. The sponsor proposes routine risk minimisation activities for </w:t>
      </w:r>
      <w:proofErr w:type="spellStart"/>
      <w:r>
        <w:t>durvalumab</w:t>
      </w:r>
      <w:proofErr w:type="spellEnd"/>
      <w:r>
        <w:t xml:space="preserve"> without the provision of a Patient Alert Card. As the sponsor makes the P</w:t>
      </w:r>
      <w:r w:rsidR="00DA13AE">
        <w:t>atient Alert Card available to health p</w:t>
      </w:r>
      <w:r>
        <w:t>rofessionals who may or may not choose to provide the card to the patient its effectiveness as a risk minimisation measure is difficult to ascertain. Similar information is available in the CMI, and is also likely to be available through patient information provided through treatment centres. These patients are seen as a minimum monthly for their treatment after the induction phase. As there are a variety of approaches to a Patient Alert Card between and within product classes, the function and portability of the cards, uncertainty about access and therefore the effectiveness, the view of the ACM is sought.</w:t>
      </w:r>
    </w:p>
    <w:p w14:paraId="1D0F2979" w14:textId="1ED8F10D" w:rsidR="00B06484" w:rsidRDefault="00B06484" w:rsidP="00B06484">
      <w:r>
        <w:t xml:space="preserve">The main concerns regarding the </w:t>
      </w:r>
      <w:r w:rsidR="00131855">
        <w:t>CASPIAN trial</w:t>
      </w:r>
      <w:r>
        <w:t xml:space="preserve"> are the open-label study design and the uncertainty about progression-free survi</w:t>
      </w:r>
      <w:r w:rsidR="00DA13AE">
        <w:t>val. The reduced risk in the D plus</w:t>
      </w:r>
      <w:r>
        <w:t xml:space="preserve"> EP group from the proportional hazards model is noted but in terms of time gained for the patients for this measure of efficacy the evidence is less clear in early to medium term treatment. Survival but with disease progression in patients who would otherwise die early of rapidly progressive disease may be an explanation, as many the delayed onset of effect typically seen with </w:t>
      </w:r>
      <w:r w:rsidR="00DA13AE">
        <w:t>p</w:t>
      </w:r>
      <w:r w:rsidR="00DA13AE" w:rsidRPr="00DA13AE">
        <w:t>rogrammed cell death protein 1</w:t>
      </w:r>
      <w:r w:rsidR="00DA13AE">
        <w:t xml:space="preserve"> (</w:t>
      </w:r>
      <w:r>
        <w:t>PD</w:t>
      </w:r>
      <w:r w:rsidR="00231C0C">
        <w:t>-</w:t>
      </w:r>
      <w:r>
        <w:t>1</w:t>
      </w:r>
      <w:r w:rsidR="00DA13AE">
        <w:t>)</w:t>
      </w:r>
      <w:r>
        <w:t xml:space="preserve">/PD-L1 inhibitors. </w:t>
      </w:r>
      <w:r w:rsidR="00231C0C">
        <w:t xml:space="preserve">The </w:t>
      </w:r>
      <w:r>
        <w:t xml:space="preserve">ORR and its components albeit investigator assessed, are in the direction of the </w:t>
      </w:r>
      <w:r w:rsidR="00DA13AE">
        <w:t>median overall survival (</w:t>
      </w:r>
      <w:proofErr w:type="spellStart"/>
      <w:r>
        <w:t>mOS</w:t>
      </w:r>
      <w:proofErr w:type="spellEnd"/>
      <w:r w:rsidR="00DA13AE">
        <w:t>)</w:t>
      </w:r>
      <w:r>
        <w:t xml:space="preserve"> results. The </w:t>
      </w:r>
      <w:proofErr w:type="spellStart"/>
      <w:r>
        <w:t>mOS</w:t>
      </w:r>
      <w:proofErr w:type="spellEnd"/>
      <w:r>
        <w:t xml:space="preserve"> results themselves are modest but for a disease generally diagnosed late, potentially clinically meaningful. The ACM is requested to comment. A broader range of tox</w:t>
      </w:r>
      <w:r w:rsidR="00DA13AE">
        <w:t>icities can result from the D plus</w:t>
      </w:r>
      <w:r>
        <w:t xml:space="preserve"> EP combination than EP alone. Many were less severe than seen with a longer course of EP, but the greater use of corticosteroids and endocrine therapies indicates the requirement for active management of these conditions. Although rare,</w:t>
      </w:r>
      <w:r w:rsidR="00DA13AE">
        <w:t xml:space="preserve"> not all toxicities from the D plus</w:t>
      </w:r>
      <w:r>
        <w:t xml:space="preserve"> EP combination or EP alone are reversible or self-limiting. As noted above the low level of immunogenicity for </w:t>
      </w:r>
      <w:proofErr w:type="spellStart"/>
      <w:r>
        <w:t>durvalumab</w:t>
      </w:r>
      <w:proofErr w:type="spellEnd"/>
      <w:r>
        <w:t xml:space="preserve"> is considered beneficial. At this time, but subject to advice and comment from the ACM, the considera</w:t>
      </w:r>
      <w:r w:rsidR="00DA13AE">
        <w:t>tions weigh in favour of the D plus</w:t>
      </w:r>
      <w:r>
        <w:t xml:space="preserve"> EP combination for the requested indication and dosing regimen.</w:t>
      </w:r>
    </w:p>
    <w:p w14:paraId="69B6CE5D" w14:textId="03A43620" w:rsidR="001C7EDC" w:rsidRDefault="001C7EDC" w:rsidP="001C7EDC">
      <w:pPr>
        <w:pStyle w:val="Heading5"/>
      </w:pPr>
      <w:r>
        <w:t xml:space="preserve">Proposed conditions of </w:t>
      </w:r>
      <w:r w:rsidR="00231C0C">
        <w:t>r</w:t>
      </w:r>
      <w:r>
        <w:t>egistration</w:t>
      </w:r>
    </w:p>
    <w:p w14:paraId="2517A399" w14:textId="77777777" w:rsidR="001C7EDC" w:rsidRDefault="001C7EDC" w:rsidP="001C7EDC">
      <w:r>
        <w:t>If the submission is approved, the Delegate proposed to impose the following conditions of registration, provided below. The sponsor is invited to provide comment:</w:t>
      </w:r>
    </w:p>
    <w:p w14:paraId="16EBE7F2" w14:textId="6A5488A7" w:rsidR="001C7EDC" w:rsidRDefault="00DA13AE" w:rsidP="001C7EDC">
      <w:pPr>
        <w:pStyle w:val="ListBullet"/>
      </w:pPr>
      <w:r>
        <w:t>The Imfinzi core RMP</w:t>
      </w:r>
      <w:r w:rsidR="001C7EDC">
        <w:t xml:space="preserve"> version 7.0 (date 2 April 2020; DLP 26 April 2019) with </w:t>
      </w:r>
      <w:r w:rsidR="004225DF">
        <w:t>ASA</w:t>
      </w:r>
      <w:r w:rsidR="00231C0C">
        <w:t> </w:t>
      </w:r>
      <w:r w:rsidR="004225DF">
        <w:t>version 8.0 (S</w:t>
      </w:r>
      <w:r w:rsidR="001C7EDC">
        <w:t xml:space="preserve">uccession 2) (date 18 May 2020), included with submission </w:t>
      </w:r>
      <w:r w:rsidR="001C7EDC">
        <w:lastRenderedPageBreak/>
        <w:t>PM</w:t>
      </w:r>
      <w:r w:rsidR="00231C0C">
        <w:noBreakHyphen/>
      </w:r>
      <w:r w:rsidR="001C7EDC">
        <w:t>2019-04661-1-4, and any subsequent revisions, as agreed with the TGA will be implemented in Australia.</w:t>
      </w:r>
    </w:p>
    <w:p w14:paraId="732DEDB4" w14:textId="77777777" w:rsidR="001C7EDC" w:rsidRPr="00456765" w:rsidRDefault="001C7EDC" w:rsidP="001C7EDC">
      <w:pPr>
        <w:pStyle w:val="ListBullet"/>
      </w:pPr>
      <w:r>
        <w:t xml:space="preserve">Provide the TGA with the final clinical study report for the </w:t>
      </w:r>
      <w:r w:rsidR="00131855">
        <w:t>CASPIAN trial</w:t>
      </w:r>
      <w:r>
        <w:t>.</w:t>
      </w:r>
    </w:p>
    <w:p w14:paraId="4404F479" w14:textId="77777777" w:rsidR="007D53B6" w:rsidRDefault="007D53B6" w:rsidP="007D53B6">
      <w:pPr>
        <w:pStyle w:val="Heading4"/>
      </w:pPr>
      <w:r>
        <w:t xml:space="preserve">Questions for </w:t>
      </w:r>
      <w:r w:rsidR="00744121">
        <w:t xml:space="preserve">the </w:t>
      </w:r>
      <w:r>
        <w:t>sponsor</w:t>
      </w:r>
    </w:p>
    <w:p w14:paraId="0D2396F5" w14:textId="77777777" w:rsidR="00744121" w:rsidRDefault="00744121" w:rsidP="00744121">
      <w:r>
        <w:t>The sponsor provided the following response to questions from the Delegate.</w:t>
      </w:r>
    </w:p>
    <w:p w14:paraId="2962F60B" w14:textId="77777777" w:rsidR="001C7EDC" w:rsidRPr="006D4FC0" w:rsidRDefault="001C7EDC" w:rsidP="001C7EDC">
      <w:pPr>
        <w:pStyle w:val="Numberbullet0"/>
        <w:rPr>
          <w:b/>
          <w:i/>
        </w:rPr>
      </w:pPr>
      <w:r w:rsidRPr="006D4FC0">
        <w:rPr>
          <w:b/>
          <w:i/>
        </w:rPr>
        <w:t>Please provide the rationale for including dosing for patients of less than 30 kg weight in the Imfinzi PI for ES-SCLC when a) the safety and efficacy in paediatric patients has not been established and b) there are no data from patients of ≤</w:t>
      </w:r>
      <w:r w:rsidR="00CB2329" w:rsidRPr="006D4FC0">
        <w:rPr>
          <w:b/>
          <w:i/>
        </w:rPr>
        <w:t xml:space="preserve"> </w:t>
      </w:r>
      <w:r w:rsidRPr="006D4FC0">
        <w:rPr>
          <w:b/>
          <w:i/>
        </w:rPr>
        <w:t>30</w:t>
      </w:r>
      <w:r w:rsidR="00CB2329" w:rsidRPr="006D4FC0">
        <w:rPr>
          <w:b/>
          <w:i/>
        </w:rPr>
        <w:t xml:space="preserve"> </w:t>
      </w:r>
      <w:r w:rsidRPr="006D4FC0">
        <w:rPr>
          <w:b/>
          <w:i/>
        </w:rPr>
        <w:t>kg weight in the dossier for this submission.</w:t>
      </w:r>
    </w:p>
    <w:p w14:paraId="5485D0F2" w14:textId="5AA048B8" w:rsidR="00CB2329" w:rsidRDefault="00CB2329" w:rsidP="00CB2329">
      <w:r>
        <w:t xml:space="preserve">The sponsor notes that the ES-SCLC indication proposed is not for paediatric patients. Additionally, the sponsor acknowledges that there were no patients of </w:t>
      </w:r>
      <w:r w:rsidR="00806413">
        <w:t>≤</w:t>
      </w:r>
      <w:r>
        <w:t xml:space="preserve"> 30 kg weight enrolled in the </w:t>
      </w:r>
      <w:r w:rsidR="00131855">
        <w:t>CASPIAN trial</w:t>
      </w:r>
      <w:r>
        <w:t>. However, the sponsor wishes to provide providers with information regarding weight-based dosing for patients of ≤ 30 kg weight, as the 1500 mg fixed dose would not be appropriate for these patients. The rationale for weight-based dosing in patients ≤ 30 kg weight is provided below.</w:t>
      </w:r>
    </w:p>
    <w:p w14:paraId="2CADC2A9" w14:textId="480B4B81" w:rsidR="00CB2329" w:rsidRDefault="00CB2329" w:rsidP="00CB2329">
      <w:r>
        <w:t>The fixed dose of 1500 mg was not recommended for patients with body weight of 30 kg or less to avoid over-exposure in patients with extremely low body weight and comply with the USP recom</w:t>
      </w:r>
      <w:r w:rsidR="00EF119C">
        <w:t>mended endotoxin limit of 5.0 endotoxin</w:t>
      </w:r>
      <w:r w:rsidR="000810EB">
        <w:t xml:space="preserve"> unit</w:t>
      </w:r>
      <w:r w:rsidR="00EF119C">
        <w:t>/</w:t>
      </w:r>
      <w:r>
        <w:t>kg body weight/hour</w:t>
      </w:r>
      <w:r w:rsidR="00EF119C">
        <w:t xml:space="preserve">. Based on the </w:t>
      </w:r>
      <w:r w:rsidR="00231C0C">
        <w:t>US</w:t>
      </w:r>
      <w:r w:rsidR="00EF119C">
        <w:t xml:space="preserve"> </w:t>
      </w:r>
      <w:r w:rsidR="00EF119C" w:rsidRPr="00EF119C">
        <w:t>Food and Drug Administration</w:t>
      </w:r>
      <w:r>
        <w:t xml:space="preserve"> agreed </w:t>
      </w:r>
      <w:proofErr w:type="spellStart"/>
      <w:r>
        <w:t>durvalumab</w:t>
      </w:r>
      <w:proofErr w:type="spellEnd"/>
      <w:r>
        <w:t xml:space="preserve"> endotoxin specification o</w:t>
      </w:r>
      <w:r w:rsidR="00EF119C">
        <w:t>f less than or equal to 0.090 endotoxin</w:t>
      </w:r>
      <w:r w:rsidR="000810EB">
        <w:t xml:space="preserve"> unit</w:t>
      </w:r>
      <w:r>
        <w:t xml:space="preserve">/mg protein, a body weight cut-off of 30 kg was chosen to ensure that the USP criteria was met in the worst-case scenario (1500 mg </w:t>
      </w:r>
      <w:proofErr w:type="spellStart"/>
      <w:r>
        <w:t>durvalu</w:t>
      </w:r>
      <w:r w:rsidR="00806413">
        <w:t>mab</w:t>
      </w:r>
      <w:proofErr w:type="spellEnd"/>
      <w:r w:rsidR="00806413">
        <w:t xml:space="preserve"> dose/30 kg patient × 0.09 endotoxin unit/mg × 1hr = 4.5 endotoxin unit</w:t>
      </w:r>
      <w:r>
        <w:t>/kg per hour). This lower body weight cut-off of 30 kg was implemented for a</w:t>
      </w:r>
      <w:r w:rsidR="00806413">
        <w:t xml:space="preserve">ll the </w:t>
      </w:r>
      <w:proofErr w:type="spellStart"/>
      <w:r w:rsidR="00806413">
        <w:t>durvalumab</w:t>
      </w:r>
      <w:proofErr w:type="spellEnd"/>
      <w:r w:rsidR="00806413">
        <w:t xml:space="preserve"> studies utilis</w:t>
      </w:r>
      <w:r>
        <w:t xml:space="preserve">ing 1500 </w:t>
      </w:r>
      <w:r w:rsidR="00806413">
        <w:t>mg fixed dose including CASPIAN trial.</w:t>
      </w:r>
    </w:p>
    <w:p w14:paraId="211192B5" w14:textId="022491FB" w:rsidR="00CB2329" w:rsidRDefault="00CB2329" w:rsidP="00CB2329">
      <w:r>
        <w:t xml:space="preserve">For patients with body weight of 30 kg or below, the recommended dosage is a body weight based dosing regimen of 20 mg/kg </w:t>
      </w:r>
      <w:proofErr w:type="spellStart"/>
      <w:r>
        <w:t>durvalumab</w:t>
      </w:r>
      <w:proofErr w:type="spellEnd"/>
      <w:r>
        <w:t xml:space="preserve"> Q3W IV for 4 doses in combination with EP, followed by 20 mg/kg Q4W IV </w:t>
      </w:r>
      <w:proofErr w:type="spellStart"/>
      <w:r>
        <w:t>durvalumab</w:t>
      </w:r>
      <w:proofErr w:type="spellEnd"/>
      <w:r>
        <w:t xml:space="preserve"> monotherapy thereafter. The dose of 20 mg/kg is recommended as it is equivalent to 1500 mg in an average 75 kg patient and predicted to have similar exposure as 1500 mg </w:t>
      </w:r>
      <w:proofErr w:type="spellStart"/>
      <w:r>
        <w:t>durvalumab</w:t>
      </w:r>
      <w:proofErr w:type="spellEnd"/>
      <w:r>
        <w:t xml:space="preserve">. This regimen of 20 mg/kg Q4W </w:t>
      </w:r>
      <w:proofErr w:type="spellStart"/>
      <w:r>
        <w:t>durvalumab</w:t>
      </w:r>
      <w:proofErr w:type="spellEnd"/>
      <w:r>
        <w:t xml:space="preserve"> as a monotherapy had been used across multiple studies including a Phase I trial across different tumour types (Study 1108</w:t>
      </w:r>
      <w:r w:rsidR="002A5C9F">
        <w:t xml:space="preserve"> in sponsor submitted dossier</w:t>
      </w:r>
      <w:r>
        <w:t>) and a Phase III trial in NSCLC (MYSTIC</w:t>
      </w:r>
      <w:r w:rsidR="00806413">
        <w:t xml:space="preserve"> trial</w:t>
      </w:r>
      <w:r>
        <w:t>) and showed complete target suppression (measured by soluble PD-L1) and manageable safety profiles.</w:t>
      </w:r>
    </w:p>
    <w:p w14:paraId="3A35DDE8" w14:textId="77777777" w:rsidR="00CB2329" w:rsidRDefault="00CB2329" w:rsidP="00CB2329">
      <w:r>
        <w:t xml:space="preserve">Given that all patients in the </w:t>
      </w:r>
      <w:r w:rsidR="00131855">
        <w:t>CASPIAN trial</w:t>
      </w:r>
      <w:r>
        <w:t xml:space="preserve"> had a body weight of over 30 kg, no clinical data are available regarding safety and efficacy in patients weighing 30 kg or below. Hence, PK simulations were used to compare the predicted exposure in patients weighing 30 kg or below (dosage: 20 mg/kg) versus those over 30 kg (dosage: 1500 mg) to evaluate the impact of low body weight on efficacy and safety outcomes.</w:t>
      </w:r>
    </w:p>
    <w:p w14:paraId="3F8ED0F1" w14:textId="19370093" w:rsidR="00CB2329" w:rsidRDefault="00CB2329" w:rsidP="00CB2329">
      <w:r>
        <w:t xml:space="preserve">Using the </w:t>
      </w:r>
      <w:proofErr w:type="spellStart"/>
      <w:r>
        <w:t>durvalumab</w:t>
      </w:r>
      <w:proofErr w:type="spellEnd"/>
      <w:r>
        <w:t xml:space="preserve"> </w:t>
      </w:r>
      <w:r w:rsidR="00806413">
        <w:t>population PK (</w:t>
      </w:r>
      <w:r>
        <w:t>PopPK</w:t>
      </w:r>
      <w:r w:rsidR="00806413">
        <w:t>)</w:t>
      </w:r>
      <w:r>
        <w:t xml:space="preserve"> model that incorporated the data from the </w:t>
      </w:r>
      <w:r w:rsidR="00131855">
        <w:t>CASPIAN trial</w:t>
      </w:r>
      <w:r>
        <w:t xml:space="preserve">, simulations were performed to predict </w:t>
      </w:r>
      <w:proofErr w:type="spellStart"/>
      <w:r>
        <w:t>durvalumab</w:t>
      </w:r>
      <w:proofErr w:type="spellEnd"/>
      <w:r>
        <w:t xml:space="preserve"> exposure (</w:t>
      </w:r>
      <w:proofErr w:type="spellStart"/>
      <w:r>
        <w:t>AUC</w:t>
      </w:r>
      <w:r w:rsidRPr="00806413">
        <w:rPr>
          <w:vertAlign w:val="subscript"/>
        </w:rPr>
        <w:t>ss</w:t>
      </w:r>
      <w:proofErr w:type="spellEnd"/>
      <w:r w:rsidR="00806413">
        <w:t xml:space="preserve">, </w:t>
      </w:r>
      <w:proofErr w:type="spellStart"/>
      <w:r>
        <w:t>C</w:t>
      </w:r>
      <w:r w:rsidRPr="00806413">
        <w:rPr>
          <w:vertAlign w:val="subscript"/>
        </w:rPr>
        <w:t>min,ss</w:t>
      </w:r>
      <w:proofErr w:type="spellEnd"/>
      <w:r>
        <w:t>) for 20 mg/kg Q3W or Q4W for body weight of 30 or 20 kg, which was compared to the simulated exposure (based on post hoc PK parameters) across the body weight quartiles in CASPIAN</w:t>
      </w:r>
      <w:r w:rsidR="00806413">
        <w:t xml:space="preserve"> trial</w:t>
      </w:r>
      <w:r>
        <w:t xml:space="preserve"> at the fixed dose of 1500 mg Q3W or Q4W, respectively (</w:t>
      </w:r>
      <w:r w:rsidR="00231C0C">
        <w:t>see F</w:t>
      </w:r>
      <w:r>
        <w:t xml:space="preserve">igure </w:t>
      </w:r>
      <w:r w:rsidR="00231C0C">
        <w:t>2, below</w:t>
      </w:r>
      <w:r>
        <w:t xml:space="preserve">). The results showed that the predicted </w:t>
      </w:r>
      <w:proofErr w:type="spellStart"/>
      <w:r>
        <w:t>AUC</w:t>
      </w:r>
      <w:r w:rsidRPr="00806413">
        <w:rPr>
          <w:vertAlign w:val="subscript"/>
        </w:rPr>
        <w:t>ss</w:t>
      </w:r>
      <w:proofErr w:type="spellEnd"/>
      <w:r>
        <w:t xml:space="preserve"> and </w:t>
      </w:r>
      <w:proofErr w:type="spellStart"/>
      <w:r>
        <w:t>C</w:t>
      </w:r>
      <w:r w:rsidRPr="00806413">
        <w:rPr>
          <w:vertAlign w:val="subscript"/>
        </w:rPr>
        <w:t>min,ss</w:t>
      </w:r>
      <w:proofErr w:type="spellEnd"/>
      <w:r w:rsidRPr="00806413">
        <w:rPr>
          <w:vertAlign w:val="subscript"/>
        </w:rPr>
        <w:t xml:space="preserve"> </w:t>
      </w:r>
      <w:r>
        <w:t>for 30 kg or 20 kg body weight are generally lower compared with those in CASPIAN</w:t>
      </w:r>
      <w:r w:rsidR="00806413">
        <w:t xml:space="preserve"> trial</w:t>
      </w:r>
      <w:r>
        <w:t xml:space="preserve"> across the body weight quartiles. Therefore, there is no expected safety concern for dosing patients with body weight of 30 kg or below at 20 mg/kg.</w:t>
      </w:r>
    </w:p>
    <w:p w14:paraId="64F28836" w14:textId="6E1DBE53" w:rsidR="00CB2329" w:rsidRDefault="00CB2329" w:rsidP="00CB2329">
      <w:r>
        <w:t>In CASPIAN</w:t>
      </w:r>
      <w:r w:rsidR="00806413">
        <w:t xml:space="preserve"> trial</w:t>
      </w:r>
      <w:r>
        <w:t xml:space="preserve">, no clinically meaningful relationship between exposure and efficacy (OS and PFS) was observed, and the efficacy results were similar across body weight quartiles. </w:t>
      </w:r>
      <w:r>
        <w:lastRenderedPageBreak/>
        <w:t xml:space="preserve">The median predicted exposure for patients weighing 30 kg and 20 kg following 20 mg/kg Q3W or Q4W dosing were only modestly lower (up to 28% and 41% for </w:t>
      </w:r>
      <w:proofErr w:type="spellStart"/>
      <w:r>
        <w:t>AUC</w:t>
      </w:r>
      <w:r w:rsidRPr="00806413">
        <w:rPr>
          <w:vertAlign w:val="subscript"/>
        </w:rPr>
        <w:t>ss</w:t>
      </w:r>
      <w:proofErr w:type="spellEnd"/>
      <w:r>
        <w:t xml:space="preserve">, and 24% and 36% for </w:t>
      </w:r>
      <w:proofErr w:type="spellStart"/>
      <w:r>
        <w:t>C</w:t>
      </w:r>
      <w:r w:rsidRPr="00806413">
        <w:rPr>
          <w:vertAlign w:val="subscript"/>
        </w:rPr>
        <w:t>min,ss</w:t>
      </w:r>
      <w:proofErr w:type="spellEnd"/>
      <w:r>
        <w:t xml:space="preserve"> for 30 kg and 20 kg, respectively) compared to those from CASPIAN </w:t>
      </w:r>
      <w:r w:rsidR="00806413">
        <w:t xml:space="preserve">trial </w:t>
      </w:r>
      <w:r>
        <w:t>at the highest body weight quartile, with partially overlapping individual exposure ranges (</w:t>
      </w:r>
      <w:r w:rsidR="00231C0C">
        <w:t xml:space="preserve">see </w:t>
      </w:r>
      <w:r>
        <w:t xml:space="preserve">Figure </w:t>
      </w:r>
      <w:r w:rsidR="00231C0C">
        <w:t>2, below</w:t>
      </w:r>
      <w:r>
        <w:t>).</w:t>
      </w:r>
    </w:p>
    <w:p w14:paraId="47607794" w14:textId="61AA6B81" w:rsidR="001C7EDC" w:rsidRDefault="00CB2329" w:rsidP="00CB2329">
      <w:r>
        <w:t xml:space="preserve">Furthermore, following 20 mg/kg Q3W or Q4W dosing, 96 to 98% and 97 to 99% of patients weighing 30 and 20 kg, respectively, would maintain </w:t>
      </w:r>
      <w:proofErr w:type="spellStart"/>
      <w:r>
        <w:t>C</w:t>
      </w:r>
      <w:r w:rsidRPr="00806413">
        <w:rPr>
          <w:vertAlign w:val="subscript"/>
        </w:rPr>
        <w:t>min,ss</w:t>
      </w:r>
      <w:proofErr w:type="spellEnd"/>
      <w:r w:rsidRPr="00806413">
        <w:rPr>
          <w:vertAlign w:val="subscript"/>
        </w:rPr>
        <w:t xml:space="preserve"> </w:t>
      </w:r>
      <w:r w:rsidR="00806413">
        <w:t>above 50 µ</w:t>
      </w:r>
      <w:r>
        <w:t xml:space="preserve">g/mL, the target </w:t>
      </w:r>
      <w:proofErr w:type="spellStart"/>
      <w:r>
        <w:t>durvalumab</w:t>
      </w:r>
      <w:proofErr w:type="spellEnd"/>
      <w:r>
        <w:t xml:space="preserve"> trough concentration for complete target suppression based on nonclinical and clinical data. Given these findings, the modest decrease of exposure in 30</w:t>
      </w:r>
      <w:r w:rsidR="00231C0C">
        <w:t> kg</w:t>
      </w:r>
      <w:r>
        <w:t xml:space="preserve"> and 20</w:t>
      </w:r>
      <w:r w:rsidR="00231C0C">
        <w:t xml:space="preserve"> </w:t>
      </w:r>
      <w:r>
        <w:t>kg patients is not expected to result in any clinically meaningful impact on efficacy outcomes.</w:t>
      </w:r>
    </w:p>
    <w:p w14:paraId="5AD83B2F" w14:textId="5CAC4E05" w:rsidR="00CB2329" w:rsidRDefault="00CB2329" w:rsidP="00DD6402">
      <w:pPr>
        <w:pStyle w:val="FigureTitle"/>
      </w:pPr>
      <w:r w:rsidRPr="00DD6402">
        <w:t xml:space="preserve">Figure </w:t>
      </w:r>
      <w:r>
        <w:fldChar w:fldCharType="begin"/>
      </w:r>
      <w:r>
        <w:instrText>SEQ Figure \* ARABIC</w:instrText>
      </w:r>
      <w:r>
        <w:fldChar w:fldCharType="separate"/>
      </w:r>
      <w:r w:rsidR="00130E57">
        <w:rPr>
          <w:noProof/>
        </w:rPr>
        <w:t>3</w:t>
      </w:r>
      <w:r>
        <w:fldChar w:fldCharType="end"/>
      </w:r>
      <w:r>
        <w:t>: Durvalumab exposure (</w:t>
      </w:r>
      <w:proofErr w:type="spellStart"/>
      <w:r>
        <w:t>AUC</w:t>
      </w:r>
      <w:r w:rsidRPr="00DD6402">
        <w:rPr>
          <w:vertAlign w:val="subscript"/>
        </w:rPr>
        <w:t>ss</w:t>
      </w:r>
      <w:proofErr w:type="spellEnd"/>
      <w:r>
        <w:t xml:space="preserve">, </w:t>
      </w:r>
      <w:proofErr w:type="spellStart"/>
      <w:r>
        <w:t>C</w:t>
      </w:r>
      <w:r w:rsidRPr="00DD6402">
        <w:rPr>
          <w:vertAlign w:val="subscript"/>
        </w:rPr>
        <w:t>min,ss</w:t>
      </w:r>
      <w:proofErr w:type="spellEnd"/>
      <w:r>
        <w:t>) simulations for 20 mg/kg Q3W or 20</w:t>
      </w:r>
      <w:r w:rsidR="00231C0C">
        <w:t> </w:t>
      </w:r>
      <w:r>
        <w:t xml:space="preserve">mg/kg Q4W dosage </w:t>
      </w:r>
      <w:r w:rsidR="00DD6402">
        <w:t>and administration</w:t>
      </w:r>
    </w:p>
    <w:p w14:paraId="346372C9" w14:textId="77777777" w:rsidR="00DD6402" w:rsidRDefault="00DD6402" w:rsidP="003E7B40">
      <w:r>
        <w:rPr>
          <w:noProof/>
          <w:lang w:eastAsia="en-AU"/>
        </w:rPr>
        <w:drawing>
          <wp:inline distT="0" distB="0" distL="0" distR="0" wp14:anchorId="55E024E6" wp14:editId="3395B2C1">
            <wp:extent cx="5400040" cy="4053840"/>
            <wp:effectExtent l="0" t="0" r="0" b="3810"/>
            <wp:docPr id="1" name="Picture 1" descr="Durvalumab exposure (AUCss, Cmin,ss) simulations for 20 mg/kg Q3W or 20 mg/kg Q4W dosage and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3">
                      <a:extLst>
                        <a:ext uri="{28A0092B-C50C-407E-A947-70E740481C1C}">
                          <a14:useLocalDpi xmlns:a14="http://schemas.microsoft.com/office/drawing/2010/main" val="0"/>
                        </a:ext>
                      </a:extLst>
                    </a:blip>
                    <a:stretch>
                      <a:fillRect/>
                    </a:stretch>
                  </pic:blipFill>
                  <pic:spPr>
                    <a:xfrm>
                      <a:off x="0" y="0"/>
                      <a:ext cx="5400040" cy="4053840"/>
                    </a:xfrm>
                    <a:prstGeom prst="rect">
                      <a:avLst/>
                    </a:prstGeom>
                  </pic:spPr>
                </pic:pic>
              </a:graphicData>
            </a:graphic>
          </wp:inline>
        </w:drawing>
      </w:r>
    </w:p>
    <w:p w14:paraId="66375465" w14:textId="77777777" w:rsidR="00DD6402" w:rsidRDefault="00DD6402" w:rsidP="003E7B40">
      <w:pPr>
        <w:pStyle w:val="FigureDescription"/>
      </w:pPr>
      <w:proofErr w:type="spellStart"/>
      <w:r>
        <w:t>AUC</w:t>
      </w:r>
      <w:r w:rsidRPr="00DD6402">
        <w:rPr>
          <w:vertAlign w:val="subscript"/>
        </w:rPr>
        <w:t>ss</w:t>
      </w:r>
      <w:proofErr w:type="spellEnd"/>
      <w:r>
        <w:t xml:space="preserve"> area under the concentration-time curve over one dosing interval at steady state; </w:t>
      </w:r>
      <w:proofErr w:type="spellStart"/>
      <w:r>
        <w:t>C</w:t>
      </w:r>
      <w:r w:rsidRPr="00DD6402">
        <w:rPr>
          <w:vertAlign w:val="subscript"/>
        </w:rPr>
        <w:t>min,ss</w:t>
      </w:r>
      <w:proofErr w:type="spellEnd"/>
      <w:r>
        <w:t xml:space="preserve"> trough concentration at steady state. Steady state is defined as week 12 (end of the 4th dosing cycle) for Q3W regimens and week 52 for Q4W regimens. The median is represented by the horizontal line in the middle of each box. The top and bottom ends of the box plot represent the 25th and 75th percentile (the lower and upper quartiles, respectively). The bars extending from the ends of the box to the outermost data represent 1.5 × (the upper or lower interquartile range). The circles represent outliers outside of the 1.5 × (the upper or lower interquartile range).</w:t>
      </w:r>
    </w:p>
    <w:p w14:paraId="73AD9C8D" w14:textId="12511A5E" w:rsidR="00DD6402" w:rsidRPr="00CB2329" w:rsidRDefault="00DD6402" w:rsidP="00DD6402">
      <w:r>
        <w:t>Taken together, based on the predicted exposure, clinical results and exposure-response relationships in CASPIAN</w:t>
      </w:r>
      <w:r w:rsidR="00B41251">
        <w:t xml:space="preserve"> trial</w:t>
      </w:r>
      <w:r>
        <w:t xml:space="preserve">, the dose of 20 mg/kg </w:t>
      </w:r>
      <w:proofErr w:type="spellStart"/>
      <w:r>
        <w:t>durvalumab</w:t>
      </w:r>
      <w:proofErr w:type="spellEnd"/>
      <w:r>
        <w:t xml:space="preserve"> IV Q3W for 4 doses in combination with EP followed by 20 mg/kg IV Q4W </w:t>
      </w:r>
      <w:proofErr w:type="spellStart"/>
      <w:r>
        <w:t>durvalumab</w:t>
      </w:r>
      <w:proofErr w:type="spellEnd"/>
      <w:r>
        <w:t xml:space="preserve"> monotherapy is considered an appropriate dose regimen as </w:t>
      </w:r>
      <w:r w:rsidR="00B615CA">
        <w:t>first line</w:t>
      </w:r>
      <w:r>
        <w:t xml:space="preserve"> treatment for patients with ES SCLC with body weight less or equal to 30 kg.</w:t>
      </w:r>
    </w:p>
    <w:p w14:paraId="665BC2B5" w14:textId="77777777" w:rsidR="001C7EDC" w:rsidRPr="006D4FC0" w:rsidRDefault="001C7EDC" w:rsidP="001C7EDC">
      <w:pPr>
        <w:pStyle w:val="Numberbullet0"/>
        <w:rPr>
          <w:b/>
          <w:i/>
        </w:rPr>
      </w:pPr>
      <w:r w:rsidRPr="006D4FC0">
        <w:rPr>
          <w:b/>
          <w:i/>
        </w:rPr>
        <w:t>Please point to the sections/analyses in the dossier that support the new statement in Section 4.4 of the Imfinzi PI that relates to the elderly.</w:t>
      </w:r>
    </w:p>
    <w:p w14:paraId="694992C3" w14:textId="6EC98131" w:rsidR="00DD6402" w:rsidRPr="001C7EDC" w:rsidRDefault="00DD6402" w:rsidP="00DD6402">
      <w:r>
        <w:lastRenderedPageBreak/>
        <w:t>The statement is supported by the summary of clinical safety and t</w:t>
      </w:r>
      <w:r w:rsidR="00B41251">
        <w:t>he summary of clinical efficacy submitted by sponsor.</w:t>
      </w:r>
    </w:p>
    <w:p w14:paraId="46902A17" w14:textId="3709779A" w:rsidR="008E7846" w:rsidRDefault="008E7846" w:rsidP="007D53B6">
      <w:pPr>
        <w:pStyle w:val="Heading4"/>
      </w:pPr>
      <w:r>
        <w:t xml:space="preserve">Advisory </w:t>
      </w:r>
      <w:r w:rsidR="003E7B40">
        <w:t>c</w:t>
      </w:r>
      <w:r>
        <w:t xml:space="preserve">ommittee </w:t>
      </w:r>
      <w:r w:rsidR="007D53B6">
        <w:t>c</w:t>
      </w:r>
      <w:r>
        <w:t>onsiderations</w:t>
      </w:r>
      <w:r w:rsidR="00456765">
        <w:rPr>
          <w:rStyle w:val="FootnoteReference"/>
        </w:rPr>
        <w:footnoteReference w:id="16"/>
      </w:r>
    </w:p>
    <w:p w14:paraId="23AB99BC" w14:textId="77777777" w:rsidR="00744121" w:rsidRDefault="00744121" w:rsidP="00744121">
      <w:pPr>
        <w:rPr>
          <w:bCs/>
        </w:rPr>
      </w:pPr>
      <w:bookmarkStart w:id="58" w:name="_Toc247691532"/>
      <w:bookmarkStart w:id="59" w:name="_Toc314842516"/>
      <w:bookmarkEnd w:id="31"/>
      <w:bookmarkEnd w:id="55"/>
      <w:bookmarkEnd w:id="56"/>
      <w:r w:rsidRPr="00456765">
        <w:rPr>
          <w:bCs/>
        </w:rPr>
        <w:t>The Advisory Committee on Medicines (ACM), having considered the evaluations and the Delegate’s overview, as well as the sponsor’s response to these documents, advised the following</w:t>
      </w:r>
      <w:r>
        <w:rPr>
          <w:bCs/>
        </w:rPr>
        <w:t>.</w:t>
      </w:r>
    </w:p>
    <w:p w14:paraId="093591EC" w14:textId="3DB21ECD" w:rsidR="00744121" w:rsidRDefault="00744121" w:rsidP="00744121">
      <w:pPr>
        <w:pStyle w:val="Heading5"/>
      </w:pPr>
      <w:r>
        <w:t xml:space="preserve">Specific advice to the </w:t>
      </w:r>
      <w:r w:rsidR="003E7B40">
        <w:t>d</w:t>
      </w:r>
      <w:r>
        <w:t>elegate</w:t>
      </w:r>
    </w:p>
    <w:p w14:paraId="16BC51CE" w14:textId="7C09934D" w:rsidR="00271D11" w:rsidRDefault="00271D11" w:rsidP="00271D11">
      <w:r>
        <w:t>The ACM advised the following in response to the Delegate’s specific request for ad</w:t>
      </w:r>
      <w:r w:rsidR="001F029A">
        <w:t>vice:</w:t>
      </w:r>
    </w:p>
    <w:p w14:paraId="519B1258" w14:textId="474EF35C" w:rsidR="00271D11" w:rsidRPr="006D4FC0" w:rsidRDefault="00271D11" w:rsidP="00271D11">
      <w:pPr>
        <w:pStyle w:val="Numberbullet0"/>
        <w:numPr>
          <w:ilvl w:val="0"/>
          <w:numId w:val="38"/>
        </w:numPr>
        <w:rPr>
          <w:b/>
          <w:i/>
        </w:rPr>
      </w:pPr>
      <w:r w:rsidRPr="006D4FC0">
        <w:rPr>
          <w:b/>
          <w:i/>
        </w:rPr>
        <w:t xml:space="preserve">The backbone chemotherapy differed between the two arms of the main study supporting the requested indication, the </w:t>
      </w:r>
      <w:r w:rsidR="00131855" w:rsidRPr="006D4FC0">
        <w:rPr>
          <w:b/>
          <w:i/>
        </w:rPr>
        <w:t>CASPIAN trial</w:t>
      </w:r>
      <w:r w:rsidRPr="006D4FC0">
        <w:rPr>
          <w:b/>
          <w:i/>
        </w:rPr>
        <w:t xml:space="preserve">. Four cycles of etoposide and platinum therapy (carboplatin or cisplatin, EP) were used in the </w:t>
      </w:r>
      <w:proofErr w:type="spellStart"/>
      <w:r w:rsidRPr="006D4FC0">
        <w:rPr>
          <w:b/>
          <w:i/>
        </w:rPr>
        <w:t>durvalumab</w:t>
      </w:r>
      <w:proofErr w:type="spellEnd"/>
      <w:r w:rsidRPr="006D4FC0">
        <w:rPr>
          <w:b/>
          <w:i/>
        </w:rPr>
        <w:t xml:space="preserve"> plus etoposide</w:t>
      </w:r>
      <w:r w:rsidR="001F029A" w:rsidRPr="006D4FC0">
        <w:rPr>
          <w:b/>
          <w:i/>
        </w:rPr>
        <w:t xml:space="preserve"> platinum (D plus</w:t>
      </w:r>
      <w:r w:rsidRPr="006D4FC0">
        <w:rPr>
          <w:b/>
          <w:i/>
        </w:rPr>
        <w:t xml:space="preserve"> EP) arm of the </w:t>
      </w:r>
      <w:r w:rsidR="00131855" w:rsidRPr="006D4FC0">
        <w:rPr>
          <w:b/>
          <w:i/>
        </w:rPr>
        <w:t>CASPIAN trial</w:t>
      </w:r>
      <w:r w:rsidRPr="006D4FC0">
        <w:rPr>
          <w:b/>
          <w:i/>
        </w:rPr>
        <w:t xml:space="preserve"> whereas the EP arm could have up to 6 cycles. Please comment on the generalisability of the chemotherapy component of treatment in this study to the Australian context.</w:t>
      </w:r>
    </w:p>
    <w:p w14:paraId="451B90E3" w14:textId="1F414AFB" w:rsidR="00271D11" w:rsidRDefault="00271D11" w:rsidP="00271D11">
      <w:r w:rsidRPr="00853C64">
        <w:t>The ACM</w:t>
      </w:r>
      <w:r>
        <w:t xml:space="preserve"> noted that 4 cycles of carboplatin/etoposide is standard of care in Australia as per the </w:t>
      </w:r>
      <w:proofErr w:type="spellStart"/>
      <w:r w:rsidRPr="007F18F3">
        <w:t>eVIQ</w:t>
      </w:r>
      <w:proofErr w:type="spellEnd"/>
      <w:r w:rsidRPr="007F18F3">
        <w:t xml:space="preserve"> and CA Clinical Guidelines.</w:t>
      </w:r>
      <w:r w:rsidR="00EB0DC3">
        <w:fldChar w:fldCharType="begin"/>
      </w:r>
      <w:r w:rsidR="00EB0DC3">
        <w:instrText xml:space="preserve"> NOTEREF _Ref67304069 \f \h </w:instrText>
      </w:r>
      <w:r w:rsidR="00EB0DC3">
        <w:fldChar w:fldCharType="separate"/>
      </w:r>
      <w:r w:rsidR="00130E57" w:rsidRPr="00130E57">
        <w:rPr>
          <w:rStyle w:val="FootnoteReference"/>
        </w:rPr>
        <w:t>4</w:t>
      </w:r>
      <w:r w:rsidR="00EB0DC3">
        <w:fldChar w:fldCharType="end"/>
      </w:r>
      <w:r w:rsidRPr="007F18F3">
        <w:t xml:space="preserve"> The</w:t>
      </w:r>
      <w:r>
        <w:t xml:space="preserve"> committee stated that dose variation seen in study are consistent with different studies and represents standards in multiple countries.</w:t>
      </w:r>
    </w:p>
    <w:p w14:paraId="4D9222EA" w14:textId="77777777" w:rsidR="00271D11" w:rsidRDefault="00271D11" w:rsidP="00271D11">
      <w:r>
        <w:t xml:space="preserve">The OS of standard arm is consistent with other published literature, especially from the </w:t>
      </w:r>
      <w:proofErr w:type="spellStart"/>
      <w:r>
        <w:t>IMpower</w:t>
      </w:r>
      <w:proofErr w:type="spellEnd"/>
      <w:r>
        <w:t xml:space="preserve"> 133 trial that was conducted using another PD-L1 inhibitor, atezolizumab.</w:t>
      </w:r>
    </w:p>
    <w:p w14:paraId="7A524BA9" w14:textId="77777777" w:rsidR="00271D11" w:rsidRPr="006D4FC0" w:rsidRDefault="00271D11" w:rsidP="00271D11">
      <w:pPr>
        <w:pStyle w:val="Numberbullet0"/>
        <w:rPr>
          <w:b/>
          <w:i/>
        </w:rPr>
      </w:pPr>
      <w:r w:rsidRPr="006D4FC0">
        <w:rPr>
          <w:b/>
          <w:i/>
        </w:rPr>
        <w:t>Please comment on the clinical meaningfulness of the data that are presented in support of the requested indication.</w:t>
      </w:r>
    </w:p>
    <w:p w14:paraId="422D9EBC" w14:textId="77777777" w:rsidR="00271D11" w:rsidRDefault="00271D11" w:rsidP="00271D11">
      <w:r>
        <w:t>The ACM agreed that the survival improved with no major toxicity issues and that there was prolonged duration of disease control however noted that the durability of efficacy outcomes are yet to be fully established.</w:t>
      </w:r>
    </w:p>
    <w:p w14:paraId="6B2F7460" w14:textId="77777777" w:rsidR="00271D11" w:rsidRDefault="00271D11" w:rsidP="00271D11">
      <w:r>
        <w:t xml:space="preserve">The ACM advised that the evidence supporting </w:t>
      </w:r>
      <w:proofErr w:type="spellStart"/>
      <w:r>
        <w:t>durvalumab</w:t>
      </w:r>
      <w:proofErr w:type="spellEnd"/>
      <w:r>
        <w:t xml:space="preserve"> is sufficient, and noted that this is consistent with the level of evidence for another product Tecentriq (atezolizumab), which has previously been approved for the same indication.</w:t>
      </w:r>
    </w:p>
    <w:p w14:paraId="16907E2A" w14:textId="77777777" w:rsidR="00271D11" w:rsidRPr="006D4FC0" w:rsidRDefault="00271D11" w:rsidP="00271D11">
      <w:pPr>
        <w:pStyle w:val="Numberbullet0"/>
        <w:rPr>
          <w:b/>
          <w:i/>
        </w:rPr>
      </w:pPr>
      <w:r w:rsidRPr="006D4FC0">
        <w:rPr>
          <w:b/>
          <w:i/>
        </w:rPr>
        <w:t xml:space="preserve">The RMP evaluator favoured the availability of a Patient Alert Card. The sponsor has provided a rationale for discontinuing this post-marketing measure. Noting the setting in which </w:t>
      </w:r>
      <w:proofErr w:type="spellStart"/>
      <w:r w:rsidRPr="006D4FC0">
        <w:rPr>
          <w:b/>
          <w:i/>
        </w:rPr>
        <w:t>durvalumab</w:t>
      </w:r>
      <w:proofErr w:type="spellEnd"/>
      <w:r w:rsidRPr="006D4FC0">
        <w:rPr>
          <w:b/>
          <w:i/>
        </w:rPr>
        <w:t xml:space="preserve"> is prescribed can the committee comment on the utility of the sponsor’s patient alert card? Is the sponsor’s stated justification for omitting a patient alert card in this setting acceptable?</w:t>
      </w:r>
    </w:p>
    <w:p w14:paraId="4044CB54" w14:textId="77777777" w:rsidR="00271D11" w:rsidRDefault="00271D11" w:rsidP="00271D11">
      <w:r>
        <w:t xml:space="preserve">The ACM noted that the sponsor has suggested that the information in the Patient Alert Card is available in the CMI, that the safety of </w:t>
      </w:r>
      <w:proofErr w:type="spellStart"/>
      <w:r>
        <w:t>durvalumab</w:t>
      </w:r>
      <w:proofErr w:type="spellEnd"/>
      <w:r>
        <w:t xml:space="preserve"> is now well established, and a Patient Alert Card is not warranted. However, the committee indicated the need for the Patient Alert Card as it is clear and contains individual treatment specifics, directs health professionals to clinical decision tools and does not depend on access to other record systems. The committee further highlighted that the differences in treatment approach for </w:t>
      </w:r>
      <w:r>
        <w:lastRenderedPageBreak/>
        <w:t xml:space="preserve">adverse effects of immunotherapy </w:t>
      </w:r>
      <w:r w:rsidR="003E1D32">
        <w:t>versus</w:t>
      </w:r>
      <w:r>
        <w:t xml:space="preserve"> chemotherapy is not yet optimally socialised in the clinical community, and the need remains for treatment advice that is presented on the alert card.</w:t>
      </w:r>
    </w:p>
    <w:p w14:paraId="2A392697" w14:textId="77777777" w:rsidR="00271D11" w:rsidRDefault="00271D11" w:rsidP="00271D11">
      <w:r>
        <w:t>The ACM noted that the patient may not receive a CMI, the CMI is not patient specific and does not assist with clinical decision making. It was further noted that the patient is less likely to carry a CMI than alert card.</w:t>
      </w:r>
    </w:p>
    <w:p w14:paraId="6D8A36DC" w14:textId="77777777" w:rsidR="00271D11" w:rsidRDefault="00271D11" w:rsidP="00271D11">
      <w:r>
        <w:t>The ACM went on to discuss the possibility of supporting the expansion of this tool.</w:t>
      </w:r>
    </w:p>
    <w:p w14:paraId="6A67851D" w14:textId="77777777" w:rsidR="00744121" w:rsidRDefault="00744121" w:rsidP="00744121">
      <w:pPr>
        <w:pStyle w:val="Heading5"/>
      </w:pPr>
      <w:r>
        <w:t>Conclusion</w:t>
      </w:r>
    </w:p>
    <w:p w14:paraId="206A98A8" w14:textId="77777777" w:rsidR="00271D11" w:rsidRDefault="00271D11" w:rsidP="00271D11">
      <w:r>
        <w:t>The ACM considered this product to have an overall positive benefit-risk profile for the indication:</w:t>
      </w:r>
    </w:p>
    <w:p w14:paraId="346F26D2" w14:textId="77777777" w:rsidR="00271D11" w:rsidRPr="00271D11" w:rsidRDefault="00271D11" w:rsidP="00271D11">
      <w:pPr>
        <w:ind w:left="720"/>
        <w:rPr>
          <w:i/>
        </w:rPr>
      </w:pPr>
      <w:r w:rsidRPr="00271D11">
        <w:rPr>
          <w:i/>
        </w:rPr>
        <w:t>Durvalumab in combination with etoposide and either carboplatin or cisplatin (D + EP) is indicated for the first line treatment of patients with Extensive-Stage Small Cell Lung Cancer (ES-SCLC)</w:t>
      </w:r>
    </w:p>
    <w:p w14:paraId="27310C33" w14:textId="77777777" w:rsidR="008E7846" w:rsidRPr="002E238E" w:rsidRDefault="008E7846" w:rsidP="008E7846">
      <w:pPr>
        <w:pStyle w:val="Heading3"/>
      </w:pPr>
      <w:bookmarkStart w:id="60" w:name="_Toc69718720"/>
      <w:r>
        <w:t>Outcome</w:t>
      </w:r>
      <w:bookmarkEnd w:id="58"/>
      <w:bookmarkEnd w:id="59"/>
      <w:bookmarkEnd w:id="60"/>
    </w:p>
    <w:p w14:paraId="1FADC610" w14:textId="77777777" w:rsidR="007D53B6" w:rsidRDefault="00744121" w:rsidP="00744121">
      <w:bookmarkStart w:id="61" w:name="_Toc247691533"/>
      <w:bookmarkStart w:id="62" w:name="_Toc314842517"/>
      <w:r>
        <w:t xml:space="preserve">Based on a review of quality, safety and efficacy, the TGA approved the registration of </w:t>
      </w:r>
      <w:r w:rsidR="008B01BC">
        <w:t>Imfinzi</w:t>
      </w:r>
      <w:r w:rsidRPr="00250271">
        <w:t xml:space="preserve"> (</w:t>
      </w:r>
      <w:proofErr w:type="spellStart"/>
      <w:r w:rsidR="008B01BC">
        <w:t>durvalumab</w:t>
      </w:r>
      <w:proofErr w:type="spellEnd"/>
      <w:r w:rsidR="008B01BC">
        <w:t xml:space="preserve">) </w:t>
      </w:r>
      <w:r w:rsidR="008B01BC">
        <w:rPr>
          <w:rFonts w:asciiTheme="minorHAnsi" w:hAnsiTheme="minorHAnsi"/>
        </w:rPr>
        <w:t>50 mg/</w:t>
      </w:r>
      <w:r w:rsidR="008B01BC" w:rsidRPr="00E66C1E">
        <w:rPr>
          <w:rFonts w:asciiTheme="minorHAnsi" w:hAnsiTheme="minorHAnsi"/>
        </w:rPr>
        <w:t>mL</w:t>
      </w:r>
      <w:r w:rsidR="008B01BC">
        <w:t>, concentrated solution for infusion, vial</w:t>
      </w:r>
      <w:r>
        <w:t>, indicated for the foll</w:t>
      </w:r>
      <w:r w:rsidR="00C12F70">
        <w:t>owing extension of indications:</w:t>
      </w:r>
    </w:p>
    <w:p w14:paraId="68941CDE" w14:textId="77777777" w:rsidR="00C12F70" w:rsidRPr="00C12F70" w:rsidRDefault="00C12F70" w:rsidP="00C12F70">
      <w:pPr>
        <w:ind w:left="720"/>
        <w:rPr>
          <w:b/>
          <w:i/>
        </w:rPr>
      </w:pPr>
      <w:r w:rsidRPr="00C12F70">
        <w:rPr>
          <w:b/>
          <w:i/>
        </w:rPr>
        <w:t>Small cell lung cancer (SCLC)</w:t>
      </w:r>
    </w:p>
    <w:p w14:paraId="15244E50" w14:textId="77777777" w:rsidR="00C12F70" w:rsidRPr="00C12F70" w:rsidRDefault="00C12F70" w:rsidP="00C12F70">
      <w:pPr>
        <w:ind w:left="720"/>
        <w:rPr>
          <w:rFonts w:ascii="Cambria-Italic" w:hAnsi="Cambria-Italic" w:cs="Cambria-Italic"/>
          <w:i/>
        </w:rPr>
      </w:pPr>
      <w:r w:rsidRPr="00C12F70">
        <w:rPr>
          <w:rFonts w:ascii="Cambria-Italic" w:hAnsi="Cambria-Italic" w:cs="Cambria-Italic"/>
          <w:i/>
        </w:rPr>
        <w:t>Imfinzi (</w:t>
      </w:r>
      <w:proofErr w:type="spellStart"/>
      <w:r w:rsidRPr="00C12F70">
        <w:rPr>
          <w:rFonts w:ascii="Cambria-Italic" w:hAnsi="Cambria-Italic" w:cs="Cambria-Italic"/>
          <w:i/>
        </w:rPr>
        <w:t>durvalumab</w:t>
      </w:r>
      <w:proofErr w:type="spellEnd"/>
      <w:r w:rsidRPr="00C12F70">
        <w:rPr>
          <w:rFonts w:ascii="Cambria-Italic" w:hAnsi="Cambria-Italic" w:cs="Cambria-Italic"/>
          <w:i/>
        </w:rPr>
        <w:t>) in combination with etoposide and either carboplatin or cisplatin is indicated for the first-line treatment of patients with extensive-stage small cell lung cancer (ESSCLC)</w:t>
      </w:r>
      <w:r w:rsidRPr="00C12F70">
        <w:rPr>
          <w:i/>
        </w:rPr>
        <w:t xml:space="preserve"> </w:t>
      </w:r>
    </w:p>
    <w:p w14:paraId="2CDD087D" w14:textId="77777777" w:rsidR="007D53B6" w:rsidRDefault="007D53B6" w:rsidP="007D53B6">
      <w:r>
        <w:t>As such, the full indications at this time were:</w:t>
      </w:r>
    </w:p>
    <w:p w14:paraId="369B6A71" w14:textId="77777777" w:rsidR="00C12F70" w:rsidRPr="00C12F70" w:rsidRDefault="00C12F70" w:rsidP="00C12F70">
      <w:pPr>
        <w:ind w:left="720"/>
        <w:rPr>
          <w:b/>
          <w:i/>
        </w:rPr>
      </w:pPr>
      <w:r w:rsidRPr="00C12F70">
        <w:rPr>
          <w:b/>
          <w:i/>
        </w:rPr>
        <w:t>Urothelial carcinoma</w:t>
      </w:r>
    </w:p>
    <w:p w14:paraId="034F5263" w14:textId="77777777" w:rsidR="00C12F70" w:rsidRPr="00C12F70" w:rsidRDefault="00C12F70" w:rsidP="00C12F70">
      <w:pPr>
        <w:ind w:left="720"/>
        <w:rPr>
          <w:i/>
        </w:rPr>
      </w:pPr>
      <w:r w:rsidRPr="00C12F70">
        <w:rPr>
          <w:rFonts w:ascii="Cambria-Italic" w:hAnsi="Cambria-Italic" w:cs="Cambria-Italic"/>
          <w:i/>
        </w:rPr>
        <w:t>Imfinzi (</w:t>
      </w:r>
      <w:proofErr w:type="spellStart"/>
      <w:r w:rsidRPr="00C12F70">
        <w:rPr>
          <w:rFonts w:ascii="Cambria-Italic" w:hAnsi="Cambria-Italic" w:cs="Cambria-Italic"/>
          <w:i/>
        </w:rPr>
        <w:t>durvalumab</w:t>
      </w:r>
      <w:proofErr w:type="spellEnd"/>
      <w:r w:rsidRPr="00C12F70">
        <w:rPr>
          <w:rFonts w:ascii="Cambria-Italic" w:hAnsi="Cambria-Italic" w:cs="Cambria-Italic"/>
          <w:i/>
        </w:rPr>
        <w:t>)</w:t>
      </w:r>
      <w:r w:rsidRPr="00C12F70">
        <w:rPr>
          <w:i/>
        </w:rPr>
        <w:t xml:space="preserve"> is indicated for the treatment of patients with locally advanced or metastatic urothelial carcinoma who:</w:t>
      </w:r>
    </w:p>
    <w:p w14:paraId="15185192" w14:textId="77777777" w:rsidR="00C12F70" w:rsidRPr="00C12F70" w:rsidRDefault="00C12F70" w:rsidP="00C12F70">
      <w:pPr>
        <w:pStyle w:val="ListBullet"/>
        <w:ind w:left="1080"/>
        <w:rPr>
          <w:i/>
        </w:rPr>
      </w:pPr>
      <w:r w:rsidRPr="00C12F70">
        <w:rPr>
          <w:i/>
        </w:rPr>
        <w:t>have disease progression during or following platinum-containing chemotherapy.</w:t>
      </w:r>
    </w:p>
    <w:p w14:paraId="60FE0AF5" w14:textId="77777777" w:rsidR="00C12F70" w:rsidRPr="00C12F70" w:rsidRDefault="00C12F70" w:rsidP="00C12F70">
      <w:pPr>
        <w:pStyle w:val="ListBullet"/>
        <w:ind w:left="1080"/>
        <w:rPr>
          <w:i/>
        </w:rPr>
      </w:pPr>
      <w:r w:rsidRPr="00C12F70">
        <w:rPr>
          <w:i/>
        </w:rPr>
        <w:t xml:space="preserve">have disease progression within 12 months of </w:t>
      </w:r>
      <w:proofErr w:type="spellStart"/>
      <w:r w:rsidRPr="00C12F70">
        <w:rPr>
          <w:i/>
        </w:rPr>
        <w:t>neoadjuvant</w:t>
      </w:r>
      <w:proofErr w:type="spellEnd"/>
      <w:r w:rsidRPr="00C12F70">
        <w:rPr>
          <w:i/>
        </w:rPr>
        <w:t xml:space="preserve"> or adjuvant treatment with platinum-containing chemotherapy.</w:t>
      </w:r>
    </w:p>
    <w:p w14:paraId="0CF73D56" w14:textId="77777777" w:rsidR="00C12F70" w:rsidRPr="00C12F70" w:rsidRDefault="00C12F70" w:rsidP="00C12F70">
      <w:pPr>
        <w:ind w:left="720"/>
        <w:rPr>
          <w:i/>
        </w:rPr>
      </w:pPr>
      <w:r w:rsidRPr="00C12F70">
        <w:rPr>
          <w:i/>
        </w:rPr>
        <w:t>This indication is approved based on objective response rate and duration of response in a single arm study. An improvement in survival or disease-related symptoms has not been established.</w:t>
      </w:r>
    </w:p>
    <w:p w14:paraId="03F8C80A" w14:textId="77777777" w:rsidR="00C12F70" w:rsidRPr="00C12F70" w:rsidRDefault="00C12F70" w:rsidP="00C12F70">
      <w:pPr>
        <w:ind w:left="720"/>
        <w:rPr>
          <w:b/>
          <w:i/>
        </w:rPr>
      </w:pPr>
      <w:r w:rsidRPr="00C12F70">
        <w:rPr>
          <w:b/>
          <w:i/>
        </w:rPr>
        <w:t>Locally advanced non-small cell lung cancer (NSCLC)</w:t>
      </w:r>
    </w:p>
    <w:p w14:paraId="7A1ED928" w14:textId="77777777" w:rsidR="00C12F70" w:rsidRPr="00C12F70" w:rsidRDefault="00C12F70" w:rsidP="00C12F70">
      <w:pPr>
        <w:ind w:left="720"/>
        <w:rPr>
          <w:i/>
        </w:rPr>
      </w:pPr>
      <w:r w:rsidRPr="00C12F70">
        <w:rPr>
          <w:rFonts w:ascii="Cambria-Italic" w:hAnsi="Cambria-Italic" w:cs="Cambria-Italic"/>
          <w:i/>
        </w:rPr>
        <w:t>Imfinzi (</w:t>
      </w:r>
      <w:proofErr w:type="spellStart"/>
      <w:r w:rsidRPr="00C12F70">
        <w:rPr>
          <w:rFonts w:ascii="Cambria-Italic" w:hAnsi="Cambria-Italic" w:cs="Cambria-Italic"/>
          <w:i/>
        </w:rPr>
        <w:t>durvalumab</w:t>
      </w:r>
      <w:proofErr w:type="spellEnd"/>
      <w:r w:rsidRPr="00C12F70">
        <w:rPr>
          <w:rFonts w:ascii="Cambria-Italic" w:hAnsi="Cambria-Italic" w:cs="Cambria-Italic"/>
          <w:i/>
        </w:rPr>
        <w:t>)</w:t>
      </w:r>
      <w:r w:rsidRPr="00C12F70">
        <w:rPr>
          <w:i/>
        </w:rPr>
        <w:t xml:space="preserve"> is indicated for the treatment of patients with locally advanced, unresectable NSCLC whose disease has not progressed following platinum-based </w:t>
      </w:r>
      <w:proofErr w:type="spellStart"/>
      <w:r w:rsidRPr="00C12F70">
        <w:rPr>
          <w:i/>
        </w:rPr>
        <w:t>chemoradiation</w:t>
      </w:r>
      <w:proofErr w:type="spellEnd"/>
      <w:r w:rsidRPr="00C12F70">
        <w:rPr>
          <w:i/>
        </w:rPr>
        <w:t xml:space="preserve"> therapy.</w:t>
      </w:r>
    </w:p>
    <w:p w14:paraId="0C7DD636" w14:textId="77777777" w:rsidR="00C12F70" w:rsidRPr="00C12F70" w:rsidRDefault="00C12F70" w:rsidP="00C12F70">
      <w:pPr>
        <w:ind w:left="720"/>
        <w:rPr>
          <w:b/>
          <w:i/>
        </w:rPr>
      </w:pPr>
      <w:r w:rsidRPr="00C12F70">
        <w:rPr>
          <w:b/>
          <w:i/>
        </w:rPr>
        <w:t>Small cell lung cancer (SCLC)</w:t>
      </w:r>
    </w:p>
    <w:p w14:paraId="528F80B3" w14:textId="77777777" w:rsidR="00C12F70" w:rsidRPr="00C12F70" w:rsidRDefault="00C12F70" w:rsidP="00C12F70">
      <w:pPr>
        <w:ind w:left="720"/>
        <w:rPr>
          <w:i/>
        </w:rPr>
      </w:pPr>
      <w:r w:rsidRPr="00C12F70">
        <w:rPr>
          <w:rFonts w:ascii="Cambria-Italic" w:hAnsi="Cambria-Italic" w:cs="Cambria-Italic"/>
          <w:i/>
        </w:rPr>
        <w:t>Imfinzi (</w:t>
      </w:r>
      <w:proofErr w:type="spellStart"/>
      <w:r w:rsidRPr="00C12F70">
        <w:rPr>
          <w:rFonts w:ascii="Cambria-Italic" w:hAnsi="Cambria-Italic" w:cs="Cambria-Italic"/>
          <w:i/>
        </w:rPr>
        <w:t>durvalumab</w:t>
      </w:r>
      <w:proofErr w:type="spellEnd"/>
      <w:r w:rsidRPr="00C12F70">
        <w:rPr>
          <w:rFonts w:ascii="Cambria-Italic" w:hAnsi="Cambria-Italic" w:cs="Cambria-Italic"/>
          <w:i/>
        </w:rPr>
        <w:t>)</w:t>
      </w:r>
      <w:r w:rsidRPr="00C12F70">
        <w:rPr>
          <w:i/>
        </w:rPr>
        <w:t xml:space="preserve"> in combination with etoposide and either carboplatin or cisplatin is indicated for the first-line treatment of patients with extensive-stage small cell lung cancer (ESSCLC).</w:t>
      </w:r>
    </w:p>
    <w:p w14:paraId="66493DE0" w14:textId="77777777" w:rsidR="00D23139" w:rsidRPr="00D23139" w:rsidRDefault="00D23139" w:rsidP="00D23139">
      <w:pPr>
        <w:pStyle w:val="Heading4"/>
      </w:pPr>
      <w:r w:rsidRPr="00D23139">
        <w:lastRenderedPageBreak/>
        <w:t>Specific conditions of registration applying to these goods</w:t>
      </w:r>
    </w:p>
    <w:p w14:paraId="22D794F7" w14:textId="77777777" w:rsidR="003B341B" w:rsidRDefault="003B341B" w:rsidP="003B341B">
      <w:pPr>
        <w:pStyle w:val="ListBullet"/>
      </w:pPr>
      <w:r>
        <w:t>The Imfinzi core RMP version 7.0 (date 2 April 2020; DLP 26 April 2019) with ASA version 8.0 (Succession 2) (date 18 May 2020), included with submission PM-2019-04661-1-4, and any subsequent revisions, as agreed with the TGA will be implemented in Australia.</w:t>
      </w:r>
    </w:p>
    <w:p w14:paraId="437A925C" w14:textId="77777777" w:rsidR="003B341B" w:rsidRDefault="003B341B" w:rsidP="003B341B">
      <w:pPr>
        <w:pStyle w:val="ListBullet"/>
      </w:pPr>
      <w:r>
        <w:rPr>
          <w:rFonts w:eastAsiaTheme="minorHAnsi" w:cs="Cambria"/>
        </w:rPr>
        <w:t xml:space="preserve">Sponsor to provide the TGA with the final clinical study report for the </w:t>
      </w:r>
      <w:r w:rsidR="00131855">
        <w:rPr>
          <w:rFonts w:eastAsiaTheme="minorHAnsi" w:cs="Cambria"/>
        </w:rPr>
        <w:t>CASPIAN trial</w:t>
      </w:r>
      <w:r>
        <w:rPr>
          <w:rFonts w:ascii="Cambria-Italic" w:eastAsiaTheme="minorHAnsi" w:hAnsi="Cambria-Italic" w:cs="Cambria-Italic"/>
          <w:i/>
          <w:iCs/>
          <w:sz w:val="23"/>
          <w:szCs w:val="23"/>
        </w:rPr>
        <w:t>.</w:t>
      </w:r>
    </w:p>
    <w:p w14:paraId="504DA9F7" w14:textId="77777777" w:rsidR="008E7846" w:rsidRDefault="00A80B5B" w:rsidP="00D23139">
      <w:pPr>
        <w:pStyle w:val="Heading2"/>
      </w:pPr>
      <w:bookmarkStart w:id="63" w:name="_Toc69718721"/>
      <w:r>
        <w:t xml:space="preserve">Attachment 1. </w:t>
      </w:r>
      <w:r w:rsidR="008E7846">
        <w:t xml:space="preserve">Product </w:t>
      </w:r>
      <w:r w:rsidR="00AA0ED0">
        <w:t>I</w:t>
      </w:r>
      <w:r w:rsidR="008E7846">
        <w:t>nformation</w:t>
      </w:r>
      <w:bookmarkEnd w:id="61"/>
      <w:bookmarkEnd w:id="62"/>
      <w:bookmarkEnd w:id="63"/>
    </w:p>
    <w:p w14:paraId="4E7E3AB4" w14:textId="77777777" w:rsidR="00C80137" w:rsidRDefault="006136D7" w:rsidP="00C80137">
      <w:pPr>
        <w:rPr>
          <w:color w:val="000000"/>
          <w:lang w:eastAsia="en-AU"/>
        </w:rPr>
      </w:pPr>
      <w:r w:rsidRPr="002B3624">
        <w:t xml:space="preserve">The </w:t>
      </w:r>
      <w:r>
        <w:t>PI</w:t>
      </w:r>
      <w:r w:rsidRPr="002B3624">
        <w:t xml:space="preserve"> for </w:t>
      </w:r>
      <w:r w:rsidR="003B341B">
        <w:t xml:space="preserve">Imfinzi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r w:rsidR="006D3700" w:rsidRPr="007C6B9B">
        <w:t xml:space="preserve"> </w:t>
      </w:r>
      <w:r w:rsidR="003B341B">
        <w:t>&gt;.</w:t>
      </w:r>
    </w:p>
    <w:p w14:paraId="5B9EDA4A" w14:textId="77777777" w:rsidR="00744121" w:rsidRDefault="008E7846" w:rsidP="00092ED4">
      <w:pPr>
        <w:autoSpaceDE w:val="0"/>
        <w:autoSpaceDN w:val="0"/>
        <w:adjustRightInd w:val="0"/>
        <w:spacing w:after="0"/>
        <w:rPr>
          <w:lang w:eastAsia="ja-JP"/>
        </w:rPr>
      </w:pPr>
      <w:r w:rsidRPr="00C80137">
        <w:rPr>
          <w:b/>
        </w:rPr>
        <w:br w:type="page"/>
      </w:r>
    </w:p>
    <w:p w14:paraId="78292CFC" w14:textId="77777777" w:rsidR="00C80137" w:rsidRPr="001D043B" w:rsidRDefault="00C80137" w:rsidP="003A7F6C">
      <w:pPr>
        <w:pStyle w:val="TableTitle"/>
        <w:sectPr w:rsidR="00C80137" w:rsidRPr="001D043B" w:rsidSect="0078080E">
          <w:headerReference w:type="even" r:id="rId24"/>
          <w:headerReference w:type="default" r:id="rId25"/>
          <w:headerReference w:type="first" r:id="rId26"/>
          <w:footerReference w:type="first" r:id="rId27"/>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1579103A" w14:textId="77777777" w:rsidTr="00A05FA4">
        <w:trPr>
          <w:trHeight w:hRule="exact" w:val="704"/>
        </w:trPr>
        <w:tc>
          <w:tcPr>
            <w:tcW w:w="9175" w:type="dxa"/>
          </w:tcPr>
          <w:p w14:paraId="5EAFB329" w14:textId="77777777" w:rsidR="001C32CD" w:rsidRPr="00487162" w:rsidRDefault="001C32CD" w:rsidP="00A05FA4">
            <w:pPr>
              <w:pStyle w:val="TGASignoff"/>
            </w:pPr>
            <w:r w:rsidRPr="00487162">
              <w:lastRenderedPageBreak/>
              <w:t>Therapeutic Goods Administration</w:t>
            </w:r>
          </w:p>
        </w:tc>
      </w:tr>
      <w:tr w:rsidR="001C32CD" w:rsidRPr="004C239D" w14:paraId="2EE668D8" w14:textId="77777777" w:rsidTr="00A05FA4">
        <w:trPr>
          <w:trHeight w:val="1221"/>
        </w:trPr>
        <w:tc>
          <w:tcPr>
            <w:tcW w:w="9175" w:type="dxa"/>
            <w:tcMar>
              <w:top w:w="28" w:type="dxa"/>
            </w:tcMar>
          </w:tcPr>
          <w:p w14:paraId="60703CDD" w14:textId="77777777" w:rsidR="001C32CD" w:rsidRPr="00487162" w:rsidRDefault="001C32CD" w:rsidP="00A05FA4">
            <w:pPr>
              <w:pStyle w:val="Address"/>
            </w:pPr>
            <w:r w:rsidRPr="00487162">
              <w:t>PO Box 100 Woden ACT 2606 Australia</w:t>
            </w:r>
          </w:p>
          <w:p w14:paraId="4CDBC22D" w14:textId="0998D291" w:rsidR="001C32CD" w:rsidRPr="00487162" w:rsidRDefault="001C32CD" w:rsidP="00A05FA4">
            <w:pPr>
              <w:pStyle w:val="Address"/>
            </w:pPr>
            <w:r w:rsidRPr="00487162">
              <w:t xml:space="preserve">Email: </w:t>
            </w:r>
            <w:hyperlink r:id="rId28" w:history="1">
              <w:r w:rsidRPr="004C239D">
                <w:rPr>
                  <w:rStyle w:val="Hyperlink"/>
                </w:rPr>
                <w:t>info@tga.gov.au</w:t>
              </w:r>
            </w:hyperlink>
            <w:r w:rsidRPr="00487162">
              <w:t xml:space="preserve">  Phone: 1800 020 653  Fax: 02 6232 8605</w:t>
            </w:r>
          </w:p>
          <w:p w14:paraId="25B514A9" w14:textId="46D2B8AD" w:rsidR="001C32CD" w:rsidRPr="004C239D" w:rsidRDefault="0083053B" w:rsidP="00A05FA4">
            <w:pPr>
              <w:pStyle w:val="Address"/>
              <w:spacing w:line="260" w:lineRule="atLeast"/>
              <w:rPr>
                <w:b/>
                <w:color w:val="0000FF"/>
                <w:u w:val="single"/>
              </w:rPr>
            </w:pPr>
            <w:hyperlink r:id="rId29" w:history="1">
              <w:r w:rsidR="007C6B9B" w:rsidRPr="007C6B9B">
                <w:rPr>
                  <w:rStyle w:val="Hyperlink"/>
                  <w:b/>
                </w:rPr>
                <w:t>https://www.tga.gov.au</w:t>
              </w:r>
            </w:hyperlink>
          </w:p>
        </w:tc>
      </w:tr>
    </w:tbl>
    <w:p w14:paraId="5850EAF4" w14:textId="77777777" w:rsidR="00774E1D" w:rsidRPr="008A5E0B" w:rsidRDefault="00774E1D" w:rsidP="004C239D"/>
    <w:sectPr w:rsidR="00774E1D" w:rsidRPr="008A5E0B" w:rsidSect="0078080E">
      <w:headerReference w:type="even" r:id="rId30"/>
      <w:headerReference w:type="default" r:id="rId31"/>
      <w:footerReference w:type="default" r:id="rId32"/>
      <w:headerReference w:type="first" r:id="rId33"/>
      <w:footerReference w:type="first" r:id="rId34"/>
      <w:pgSz w:w="11906" w:h="16838" w:code="9"/>
      <w:pgMar w:top="13467" w:right="1701" w:bottom="426" w:left="1701" w:header="907"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FDED881" w16cex:dateUtc="2021-02-11T09:38:00Z"/>
  <w16cex:commentExtensible w16cex:durableId="04E82820" w16cex:dateUtc="2021-02-11T09:54:00Z"/>
  <w16cex:commentExtensible w16cex:durableId="23CFB6CD" w16cex:dateUtc="2021-02-11T09:54:00Z"/>
  <w16cex:commentExtensible w16cex:durableId="347EF26E" w16cex:dateUtc="2021-02-11T10:00:00Z"/>
  <w16cex:commentExtensible w16cex:durableId="23CFB742" w16cex:dateUtc="2021-02-11T10:00:00Z"/>
  <w16cex:commentExtensible w16cex:durableId="69B52E45" w16cex:dateUtc="2021-02-11T11:04:00Z"/>
  <w16cex:commentExtensible w16cex:durableId="23D4ED2F" w16cex:dateUtc="2021-02-11T11:04:00Z"/>
  <w16cex:commentExtensible w16cex:durableId="2FC88F4E" w16cex:dateUtc="2021-02-11T10:45:00Z"/>
  <w16cex:commentExtensible w16cex:durableId="38F9BA1B" w16cex:dateUtc="2021-02-11T14:10:00Z"/>
  <w16cex:commentExtensible w16cex:durableId="23D4ED1D" w16cex:dateUtc="2021-02-11T10:45:00Z"/>
  <w16cex:commentExtensible w16cex:durableId="54EE3A47" w16cex:dateUtc="2021-02-11T10:46:00Z"/>
  <w16cex:commentExtensible w16cex:durableId="23D4ED52" w16cex:dateUtc="2021-02-11T10:46:00Z"/>
  <w16cex:commentExtensible w16cex:durableId="28B453D5" w16cex:dateUtc="2021-02-11T11:10:00Z"/>
  <w16cex:commentExtensible w16cex:durableId="67E0C48A" w16cex:dateUtc="2021-02-11T11:19:00Z"/>
  <w16cex:commentExtensible w16cex:durableId="56115930" w16cex:dateUtc="2021-02-11T11:33:00Z"/>
  <w16cex:commentExtensible w16cex:durableId="49567A77" w16cex:dateUtc="2021-02-11T14:06:00Z"/>
  <w16cex:commentExtensible w16cex:durableId="7B4EFF2A" w16cex:dateUtc="2021-02-11T11:36:00Z"/>
  <w16cex:commentExtensible w16cex:durableId="23D4EE26" w16cex:dateUtc="2021-02-11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1BC616" w16cid:durableId="23D518DC"/>
  <w16cid:commentId w16cid:paraId="5034A4C7" w16cid:durableId="23E208A6"/>
  <w16cid:commentId w16cid:paraId="70C30058" w16cid:durableId="23D518FB"/>
  <w16cid:commentId w16cid:paraId="19F8BF8F" w16cid:durableId="23E208A8"/>
  <w16cid:commentId w16cid:paraId="416267E2" w16cid:durableId="23D4F43E"/>
  <w16cid:commentId w16cid:paraId="2BFD384C" w16cid:durableId="23E208AA"/>
  <w16cid:commentId w16cid:paraId="657AC97F" w16cid:durableId="23E208AB"/>
  <w16cid:commentId w16cid:paraId="5238CF7D" w16cid:durableId="23E354DC"/>
  <w16cid:commentId w16cid:paraId="03E3F0DA" w16cid:durableId="23E90506"/>
  <w16cid:commentId w16cid:paraId="2E8D58C9" w16cid:durableId="23D561B1"/>
  <w16cid:commentId w16cid:paraId="6ADFFB88" w16cid:durableId="23E208AD"/>
  <w16cid:commentId w16cid:paraId="56F7EF06" w16cid:durableId="23E208AE"/>
  <w16cid:commentId w16cid:paraId="3A03FF0C" w16cid:durableId="23E3550F"/>
  <w16cid:commentId w16cid:paraId="1C85CE9B" w16cid:durableId="23E208AF"/>
  <w16cid:commentId w16cid:paraId="0A10E4D9" w16cid:durableId="23E35521"/>
  <w16cid:commentId w16cid:paraId="1E923421" w16cid:durableId="23D56D4C"/>
  <w16cid:commentId w16cid:paraId="6460451D" w16cid:durableId="23E208B1"/>
  <w16cid:commentId w16cid:paraId="2BE82906" w16cid:durableId="23E208B2"/>
  <w16cid:commentId w16cid:paraId="6592DC89" w16cid:durableId="23E35527"/>
  <w16cid:commentId w16cid:paraId="671DFC6F" w16cid:durableId="23E91585"/>
  <w16cid:commentId w16cid:paraId="0588E34F" w16cid:durableId="23E913BB"/>
  <w16cid:commentId w16cid:paraId="0AF490C1" w16cid:durableId="23D506C2"/>
  <w16cid:commentId w16cid:paraId="65828D1D" w16cid:durableId="23E208B4"/>
  <w16cid:commentId w16cid:paraId="706D89D4" w16cid:durableId="23D53123"/>
  <w16cid:commentId w16cid:paraId="3C9B8BB6" w16cid:durableId="23E208B6"/>
  <w16cid:commentId w16cid:paraId="619CB888" w16cid:durableId="23E35549"/>
  <w16cid:commentId w16cid:paraId="1FC600D9" w16cid:durableId="23E90516"/>
  <w16cid:commentId w16cid:paraId="312BE7AB" w16cid:durableId="23E9D44D"/>
  <w16cid:commentId w16cid:paraId="4B6A9C38" w16cid:durableId="23E20AB4"/>
  <w16cid:commentId w16cid:paraId="7B68C490" w16cid:durableId="23E90518"/>
  <w16cid:commentId w16cid:paraId="7E85D5AD" w16cid:durableId="23E9D50B"/>
  <w16cid:commentId w16cid:paraId="00D7AD92" w16cid:durableId="23E91547"/>
  <w16cid:commentId w16cid:paraId="498778A6" w16cid:durableId="23E9137D"/>
  <w16cid:commentId w16cid:paraId="48E16486" w16cid:durableId="23E208B7"/>
  <w16cid:commentId w16cid:paraId="058C374A" w16cid:durableId="23E208B8"/>
  <w16cid:commentId w16cid:paraId="7C83FA3F" w16cid:durableId="23E355C2"/>
  <w16cid:commentId w16cid:paraId="46A940D2" w16cid:durableId="23E9051C"/>
  <w16cid:commentId w16cid:paraId="454C7F8A" w16cid:durableId="23E9D528"/>
  <w16cid:commentId w16cid:paraId="76A29820" w16cid:durableId="23D53279"/>
  <w16cid:commentId w16cid:paraId="10CA0257" w16cid:durableId="23E208BA"/>
  <w16cid:commentId w16cid:paraId="0AB035E8" w16cid:durableId="23D532FE"/>
  <w16cid:commentId w16cid:paraId="414A4B17" w16cid:durableId="23E208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6A3A2" w14:textId="77777777" w:rsidR="00D31C4A" w:rsidRDefault="00D31C4A" w:rsidP="00C40A36">
      <w:pPr>
        <w:spacing w:after="0"/>
      </w:pPr>
      <w:r>
        <w:separator/>
      </w:r>
    </w:p>
  </w:endnote>
  <w:endnote w:type="continuationSeparator" w:id="0">
    <w:p w14:paraId="23EBA976" w14:textId="77777777" w:rsidR="00D31C4A" w:rsidRDefault="00D31C4A" w:rsidP="00C40A36">
      <w:pPr>
        <w:spacing w:after="0"/>
      </w:pPr>
      <w:r>
        <w:continuationSeparator/>
      </w:r>
    </w:p>
  </w:endnote>
  <w:endnote w:type="continuationNotice" w:id="1">
    <w:p w14:paraId="4164CB25" w14:textId="77777777" w:rsidR="00D31C4A" w:rsidRDefault="00D31C4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MingLiU">
    <w:altName w:val="細明體"/>
    <w:panose1 w:val="02020509000000000000"/>
    <w:charset w:val="88"/>
    <w:family w:val="modern"/>
    <w:pitch w:val="fixed"/>
    <w:sig w:usb0="A00002FF" w:usb1="2A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mbria-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EF2C4" w14:textId="77777777" w:rsidR="00D31C4A" w:rsidRDefault="00D31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D31C4A" w:rsidRPr="00487162" w14:paraId="27FEC6C8" w14:textId="77777777" w:rsidTr="00DB750B">
      <w:trPr>
        <w:trHeight w:val="269"/>
      </w:trPr>
      <w:tc>
        <w:tcPr>
          <w:tcW w:w="7371" w:type="dxa"/>
          <w:tcMar>
            <w:top w:w="142" w:type="dxa"/>
            <w:bottom w:w="0" w:type="dxa"/>
          </w:tcMar>
        </w:tcPr>
        <w:p w14:paraId="46E6EC89" w14:textId="7E67F9C5" w:rsidR="00D31C4A" w:rsidRPr="00487162" w:rsidRDefault="00D31C4A" w:rsidP="00396123">
          <w:pPr>
            <w:pStyle w:val="Footer"/>
          </w:pPr>
          <w:r w:rsidRPr="00487162">
            <w:t>AusPA</w:t>
          </w:r>
          <w:r>
            <w:t xml:space="preserve">R - Imfinzi – </w:t>
          </w:r>
          <w:proofErr w:type="spellStart"/>
          <w:r>
            <w:t>durvalumab</w:t>
          </w:r>
          <w:proofErr w:type="spellEnd"/>
          <w:r w:rsidRPr="00460036">
            <w:t xml:space="preserve"> </w:t>
          </w:r>
          <w:r>
            <w:t>– AstraZeneca Pty Ltd PM-2019-04661-1-4</w:t>
          </w:r>
          <w:r>
            <w:br/>
            <w:t>FINAL 22 March 2021</w:t>
          </w:r>
        </w:p>
      </w:tc>
      <w:tc>
        <w:tcPr>
          <w:tcW w:w="1490" w:type="dxa"/>
          <w:tcMar>
            <w:top w:w="142" w:type="dxa"/>
            <w:bottom w:w="0" w:type="dxa"/>
          </w:tcMar>
        </w:tcPr>
        <w:p w14:paraId="240D2986" w14:textId="29D9E846" w:rsidR="00D31C4A" w:rsidRPr="00487162" w:rsidRDefault="00D31C4A" w:rsidP="00DB750B">
          <w:pPr>
            <w:pStyle w:val="Footer"/>
            <w:jc w:val="right"/>
          </w:pPr>
          <w:r w:rsidRPr="00487162">
            <w:t xml:space="preserve">Page </w:t>
          </w:r>
          <w:r>
            <w:fldChar w:fldCharType="begin"/>
          </w:r>
          <w:r>
            <w:instrText xml:space="preserve"> PAGE  \* Arabic </w:instrText>
          </w:r>
          <w:r>
            <w:fldChar w:fldCharType="separate"/>
          </w:r>
          <w:r w:rsidR="0083053B">
            <w:rPr>
              <w:noProof/>
            </w:rPr>
            <w:t>21</w:t>
          </w:r>
          <w:r>
            <w:fldChar w:fldCharType="end"/>
          </w:r>
          <w:r w:rsidRPr="00487162">
            <w:t xml:space="preserve"> of </w:t>
          </w:r>
          <w:r>
            <w:fldChar w:fldCharType="begin"/>
          </w:r>
          <w:r>
            <w:instrText>NUMPAGES  \* Arabic</w:instrText>
          </w:r>
          <w:r>
            <w:fldChar w:fldCharType="separate"/>
          </w:r>
          <w:r w:rsidR="0083053B">
            <w:rPr>
              <w:noProof/>
            </w:rPr>
            <w:t>36</w:t>
          </w:r>
          <w:r>
            <w:fldChar w:fldCharType="end"/>
          </w:r>
        </w:p>
      </w:tc>
    </w:tr>
  </w:tbl>
  <w:p w14:paraId="741CBCF9" w14:textId="77777777" w:rsidR="00D31C4A" w:rsidRDefault="00D31C4A"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72012" w14:textId="77777777" w:rsidR="00D31C4A" w:rsidRDefault="00D31C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D31C4A" w:rsidRPr="00487162" w14:paraId="5F631267" w14:textId="77777777" w:rsidTr="00E45619">
      <w:trPr>
        <w:trHeight w:val="269"/>
      </w:trPr>
      <w:tc>
        <w:tcPr>
          <w:tcW w:w="4519" w:type="dxa"/>
          <w:tcBorders>
            <w:top w:val="single" w:sz="4" w:space="0" w:color="auto"/>
          </w:tcBorders>
          <w:tcMar>
            <w:top w:w="142" w:type="dxa"/>
            <w:bottom w:w="0" w:type="dxa"/>
          </w:tcMar>
        </w:tcPr>
        <w:p w14:paraId="65D13DB4" w14:textId="77777777" w:rsidR="00D31C4A" w:rsidRPr="00487162" w:rsidRDefault="00D31C4A" w:rsidP="00FE1DEE">
          <w:pPr>
            <w:pStyle w:val="Footer"/>
          </w:pPr>
          <w:r w:rsidRPr="00487162">
            <w:t>Document title, Part #, Section # - Section title</w:t>
          </w:r>
        </w:p>
        <w:p w14:paraId="27390034" w14:textId="77777777" w:rsidR="00D31C4A" w:rsidRPr="00487162" w:rsidRDefault="00D31C4A" w:rsidP="00FE1DEE">
          <w:pPr>
            <w:pStyle w:val="Footer"/>
          </w:pPr>
          <w:r w:rsidRPr="00487162">
            <w:t>V1.0 October 2010</w:t>
          </w:r>
        </w:p>
      </w:tc>
      <w:tc>
        <w:tcPr>
          <w:tcW w:w="4342" w:type="dxa"/>
          <w:tcBorders>
            <w:top w:val="single" w:sz="4" w:space="0" w:color="auto"/>
          </w:tcBorders>
          <w:tcMar>
            <w:top w:w="142" w:type="dxa"/>
            <w:bottom w:w="0" w:type="dxa"/>
          </w:tcMar>
        </w:tcPr>
        <w:p w14:paraId="50C98E40" w14:textId="77777777" w:rsidR="00D31C4A" w:rsidRPr="00487162" w:rsidRDefault="00D31C4A"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NUMPAGES</w:instrText>
          </w:r>
          <w:r>
            <w:fldChar w:fldCharType="separate"/>
          </w:r>
          <w:r>
            <w:rPr>
              <w:noProof/>
            </w:rPr>
            <w:t>3</w:t>
          </w:r>
          <w:r>
            <w:fldChar w:fldCharType="end"/>
          </w:r>
        </w:p>
      </w:tc>
    </w:tr>
  </w:tbl>
  <w:p w14:paraId="76C5DB7F" w14:textId="77777777" w:rsidR="00D31C4A" w:rsidRDefault="00D31C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BAE77" w14:textId="77777777" w:rsidR="00D31C4A" w:rsidRPr="001C32CD" w:rsidRDefault="00D31C4A"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D31C4A" w14:paraId="7EFF825A" w14:textId="77777777" w:rsidTr="0010601F">
      <w:trPr>
        <w:trHeight w:val="108"/>
      </w:trPr>
      <w:tc>
        <w:tcPr>
          <w:tcW w:w="8875" w:type="dxa"/>
          <w:gridSpan w:val="2"/>
          <w:tcBorders>
            <w:bottom w:val="single" w:sz="4" w:space="0" w:color="auto"/>
          </w:tcBorders>
          <w:tcMar>
            <w:right w:w="284" w:type="dxa"/>
          </w:tcMar>
        </w:tcPr>
        <w:p w14:paraId="28C9AC61" w14:textId="77777777" w:rsidR="00D31C4A" w:rsidRDefault="00D31C4A" w:rsidP="006E08B3">
          <w:pPr>
            <w:pStyle w:val="Heading3"/>
          </w:pPr>
          <w:r>
            <w:t>Copyright</w:t>
          </w:r>
        </w:p>
        <w:p w14:paraId="5BE6CA8C" w14:textId="77777777" w:rsidR="00D31C4A" w:rsidRDefault="00D31C4A" w:rsidP="006E08B3">
          <w:r>
            <w:rPr>
              <w:rFonts w:cs="Arial"/>
            </w:rPr>
            <w:t>©</w:t>
          </w:r>
          <w:r>
            <w:t xml:space="preserve"> Commonwealth of Australia [add year]</w:t>
          </w:r>
        </w:p>
        <w:p w14:paraId="3FF53760" w14:textId="77777777" w:rsidR="00D31C4A" w:rsidRDefault="00D31C4A" w:rsidP="006E08B3"/>
        <w:p w14:paraId="3D5A2189" w14:textId="77777777" w:rsidR="00D31C4A" w:rsidRDefault="00D31C4A"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45C55F6F" w14:textId="77777777" w:rsidR="00D31C4A" w:rsidRDefault="00D31C4A" w:rsidP="006E08B3"/>
        <w:p w14:paraId="3FEAF6EC" w14:textId="77777777" w:rsidR="00D31C4A" w:rsidRDefault="00D31C4A" w:rsidP="006E08B3">
          <w:pPr>
            <w:pStyle w:val="Heading3"/>
          </w:pPr>
          <w:r>
            <w:t>Confidentiality</w:t>
          </w:r>
        </w:p>
        <w:p w14:paraId="340F8E28" w14:textId="77777777" w:rsidR="00D31C4A" w:rsidRDefault="00D31C4A"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53CD66E0" w14:textId="77777777" w:rsidR="00D31C4A" w:rsidRDefault="00D31C4A" w:rsidP="006E08B3"/>
        <w:p w14:paraId="09F0911F" w14:textId="77777777" w:rsidR="00D31C4A" w:rsidRDefault="00D31C4A" w:rsidP="006E08B3">
          <w:r>
            <w:t>For submission made by individuals, all personal details, other than your name, will be removed from your submission before it is published on the TGA’s Internet site.</w:t>
          </w:r>
        </w:p>
        <w:p w14:paraId="6CFBFB65" w14:textId="77777777" w:rsidR="00D31C4A" w:rsidRDefault="00D31C4A" w:rsidP="006E08B3"/>
        <w:p w14:paraId="19E8472E" w14:textId="77777777" w:rsidR="00D31C4A" w:rsidRDefault="00D31C4A"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D31C4A" w14:paraId="2FA7662C" w14:textId="77777777" w:rsidTr="0010601F">
      <w:trPr>
        <w:trHeight w:val="417"/>
      </w:trPr>
      <w:tc>
        <w:tcPr>
          <w:tcW w:w="4519" w:type="dxa"/>
          <w:tcBorders>
            <w:top w:val="single" w:sz="4" w:space="0" w:color="auto"/>
          </w:tcBorders>
          <w:tcMar>
            <w:top w:w="142" w:type="dxa"/>
            <w:bottom w:w="0" w:type="dxa"/>
          </w:tcMar>
        </w:tcPr>
        <w:p w14:paraId="2B38C450" w14:textId="77777777" w:rsidR="00D31C4A" w:rsidRDefault="00D31C4A" w:rsidP="006E08B3">
          <w:r>
            <w:t>Document title, Part #, Section # - Section title</w:t>
          </w:r>
        </w:p>
        <w:p w14:paraId="3BCFF03A" w14:textId="77777777" w:rsidR="00D31C4A" w:rsidRDefault="00D31C4A" w:rsidP="006E08B3">
          <w:r>
            <w:t>V1.0 October 2010</w:t>
          </w:r>
        </w:p>
      </w:tc>
      <w:tc>
        <w:tcPr>
          <w:tcW w:w="4356" w:type="dxa"/>
          <w:tcBorders>
            <w:top w:val="single" w:sz="4" w:space="0" w:color="auto"/>
          </w:tcBorders>
          <w:tcMar>
            <w:top w:w="142" w:type="dxa"/>
            <w:bottom w:w="0" w:type="dxa"/>
          </w:tcMar>
        </w:tcPr>
        <w:p w14:paraId="333FBFA2" w14:textId="77777777" w:rsidR="00D31C4A" w:rsidRDefault="00D31C4A"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NUMPAGES  \* Arabic</w:instrText>
          </w:r>
          <w:r>
            <w:fldChar w:fldCharType="separate"/>
          </w:r>
          <w:r>
            <w:rPr>
              <w:noProof/>
            </w:rPr>
            <w:t>3</w:t>
          </w:r>
          <w:r>
            <w:fldChar w:fldCharType="end"/>
          </w:r>
          <w:r>
            <w:t xml:space="preserve">  </w:t>
          </w:r>
        </w:p>
      </w:tc>
    </w:tr>
  </w:tbl>
  <w:p w14:paraId="440761ED" w14:textId="77777777" w:rsidR="00D31C4A" w:rsidRDefault="00D31C4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3022A" w14:textId="77777777" w:rsidR="00D31C4A" w:rsidRDefault="00D31C4A" w:rsidP="00C40A36">
      <w:pPr>
        <w:spacing w:after="0"/>
      </w:pPr>
      <w:r>
        <w:separator/>
      </w:r>
    </w:p>
  </w:footnote>
  <w:footnote w:type="continuationSeparator" w:id="0">
    <w:p w14:paraId="562F27FC" w14:textId="77777777" w:rsidR="00D31C4A" w:rsidRDefault="00D31C4A" w:rsidP="00C40A36">
      <w:pPr>
        <w:spacing w:after="0"/>
      </w:pPr>
      <w:r>
        <w:continuationSeparator/>
      </w:r>
    </w:p>
  </w:footnote>
  <w:footnote w:type="continuationNotice" w:id="1">
    <w:p w14:paraId="14D6A18B" w14:textId="77777777" w:rsidR="00D31C4A" w:rsidRDefault="00D31C4A">
      <w:pPr>
        <w:spacing w:before="0" w:after="0" w:line="240" w:lineRule="auto"/>
      </w:pPr>
    </w:p>
  </w:footnote>
  <w:footnote w:id="2">
    <w:p w14:paraId="7611428B" w14:textId="77777777" w:rsidR="00D31C4A" w:rsidRDefault="00D31C4A">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3">
    <w:p w14:paraId="0F32C689" w14:textId="4C16A80C" w:rsidR="00D31C4A" w:rsidRDefault="00D31C4A">
      <w:pPr>
        <w:pStyle w:val="FootnoteText"/>
      </w:pPr>
      <w:r>
        <w:rPr>
          <w:rStyle w:val="FootnoteReference"/>
        </w:rPr>
        <w:footnoteRef/>
      </w:r>
      <w:r>
        <w:t xml:space="preserve"> </w:t>
      </w:r>
      <w:proofErr w:type="spellStart"/>
      <w:r>
        <w:t>Slotman</w:t>
      </w:r>
      <w:proofErr w:type="spellEnd"/>
      <w:r>
        <w:t xml:space="preserve"> et al., </w:t>
      </w:r>
      <w:r w:rsidRPr="00C11AE8">
        <w:t>Use of thoracic radiotherapy for extensive s</w:t>
      </w:r>
      <w:r>
        <w:t>tage small-cell lung cancer: a Phase III</w:t>
      </w:r>
      <w:r w:rsidRPr="00C11AE8">
        <w:t xml:space="preserve"> randomised controlled trial</w:t>
      </w:r>
      <w:r>
        <w:t xml:space="preserve">. </w:t>
      </w:r>
      <w:r w:rsidRPr="00F6552D">
        <w:rPr>
          <w:i/>
        </w:rPr>
        <w:t>The Lancet</w:t>
      </w:r>
      <w:r>
        <w:t>, 2015;</w:t>
      </w:r>
      <w:r w:rsidRPr="00F6552D">
        <w:t xml:space="preserve"> 385(9962):36-42</w:t>
      </w:r>
      <w:r>
        <w:t>.</w:t>
      </w:r>
    </w:p>
  </w:footnote>
  <w:footnote w:id="4">
    <w:p w14:paraId="29F728F2" w14:textId="77777777" w:rsidR="00D31C4A" w:rsidRDefault="00D31C4A">
      <w:pPr>
        <w:pStyle w:val="FootnoteText"/>
      </w:pPr>
      <w:r>
        <w:rPr>
          <w:rStyle w:val="FootnoteReference"/>
        </w:rPr>
        <w:footnoteRef/>
      </w:r>
      <w:r>
        <w:t xml:space="preserve"> </w:t>
      </w:r>
      <w:proofErr w:type="spellStart"/>
      <w:r>
        <w:t>Reck</w:t>
      </w:r>
      <w:proofErr w:type="spellEnd"/>
      <w:r>
        <w:t xml:space="preserve"> et al., Phase III randomized trial of ipilimumab plus etoposide and platinum versus placebo plus etoposide and platinum in extensive-stage small-cell lung c</w:t>
      </w:r>
      <w:r w:rsidRPr="00F6552D">
        <w:t>ancer</w:t>
      </w:r>
      <w:r>
        <w:t xml:space="preserve">. </w:t>
      </w:r>
      <w:r w:rsidRPr="002107EA">
        <w:rPr>
          <w:i/>
        </w:rPr>
        <w:t>Journal of Clinical Oncology</w:t>
      </w:r>
      <w:r>
        <w:t xml:space="preserve">, 2016; </w:t>
      </w:r>
      <w:r w:rsidRPr="002107EA">
        <w:t>34:31, 3740-3748</w:t>
      </w:r>
      <w:r>
        <w:t>.</w:t>
      </w:r>
    </w:p>
  </w:footnote>
  <w:footnote w:id="5">
    <w:p w14:paraId="2F3641AB" w14:textId="52AD1F97" w:rsidR="00D31C4A" w:rsidRPr="00EB0DC3" w:rsidRDefault="00D31C4A">
      <w:pPr>
        <w:pStyle w:val="FootnoteText"/>
      </w:pPr>
      <w:r>
        <w:rPr>
          <w:rStyle w:val="FootnoteReference"/>
        </w:rPr>
        <w:footnoteRef/>
      </w:r>
      <w:r>
        <w:t xml:space="preserve"> </w:t>
      </w:r>
      <w:proofErr w:type="spellStart"/>
      <w:r w:rsidRPr="00FF3F22">
        <w:rPr>
          <w:b/>
        </w:rPr>
        <w:t>eviQ</w:t>
      </w:r>
      <w:proofErr w:type="spellEnd"/>
      <w:r>
        <w:t xml:space="preserve"> is an Australian g</w:t>
      </w:r>
      <w:r w:rsidRPr="007F18F3">
        <w:t xml:space="preserve">overnment, freely available online resource of cancer treatment protocols developed by multidisciplinary teams of cancer specialists. With a goal to improve patient outcomes and reduce treatment variation, </w:t>
      </w:r>
      <w:proofErr w:type="spellStart"/>
      <w:r w:rsidRPr="007F18F3">
        <w:t>eviQ</w:t>
      </w:r>
      <w:proofErr w:type="spellEnd"/>
      <w:r w:rsidRPr="007F18F3">
        <w:t xml:space="preserve"> provides evidence-based information to support health professionals in the delivery of cancer treatments available at the time tre</w:t>
      </w:r>
      <w:r>
        <w:t>atment decisions are being made, it is accessible via www.eviq.org.au.</w:t>
      </w:r>
    </w:p>
  </w:footnote>
  <w:footnote w:id="6">
    <w:p w14:paraId="7E7885E3" w14:textId="618271D4" w:rsidR="00D31C4A" w:rsidRPr="00EB0DC3" w:rsidRDefault="00D31C4A">
      <w:pPr>
        <w:pStyle w:val="FootnoteText"/>
        <w:rPr>
          <w:lang w:val="en-US"/>
        </w:rPr>
      </w:pPr>
      <w:r>
        <w:rPr>
          <w:rStyle w:val="FootnoteReference"/>
        </w:rPr>
        <w:footnoteRef/>
      </w:r>
      <w:r>
        <w:t xml:space="preserve"> </w:t>
      </w:r>
      <w:r>
        <w:rPr>
          <w:lang w:val="en-US"/>
        </w:rPr>
        <w:t xml:space="preserve">The National Comprehensive Cancer Network (NCCN) is a not for profit </w:t>
      </w:r>
      <w:proofErr w:type="spellStart"/>
      <w:r>
        <w:rPr>
          <w:lang w:val="en-US"/>
        </w:rPr>
        <w:t>organisation</w:t>
      </w:r>
      <w:proofErr w:type="spellEnd"/>
      <w:r>
        <w:rPr>
          <w:lang w:val="en-US"/>
        </w:rPr>
        <w:t xml:space="preserve"> in the United States comprised of over 30 cancer </w:t>
      </w:r>
      <w:proofErr w:type="spellStart"/>
      <w:r>
        <w:rPr>
          <w:lang w:val="en-US"/>
        </w:rPr>
        <w:t>centres</w:t>
      </w:r>
      <w:proofErr w:type="spellEnd"/>
      <w:r>
        <w:rPr>
          <w:lang w:val="en-US"/>
        </w:rPr>
        <w:t xml:space="preserve"> that work together to </w:t>
      </w:r>
      <w:r w:rsidRPr="00A340D7">
        <w:rPr>
          <w:lang w:val="en-US"/>
        </w:rPr>
        <w:t xml:space="preserve">develop a comprehensive set of </w:t>
      </w:r>
      <w:r>
        <w:rPr>
          <w:lang w:val="en-US"/>
        </w:rPr>
        <w:t xml:space="preserve">evidence-based </w:t>
      </w:r>
      <w:r w:rsidRPr="00A340D7">
        <w:rPr>
          <w:lang w:val="en-US"/>
        </w:rPr>
        <w:t xml:space="preserve">diagnostic, treatment, and supportive </w:t>
      </w:r>
      <w:r>
        <w:rPr>
          <w:lang w:val="en-US"/>
        </w:rPr>
        <w:t xml:space="preserve">cancer </w:t>
      </w:r>
      <w:r w:rsidRPr="00A340D7">
        <w:rPr>
          <w:lang w:val="en-US"/>
        </w:rPr>
        <w:t>care guidelines</w:t>
      </w:r>
      <w:r>
        <w:rPr>
          <w:lang w:val="en-US"/>
        </w:rPr>
        <w:t>.</w:t>
      </w:r>
    </w:p>
  </w:footnote>
  <w:footnote w:id="7">
    <w:p w14:paraId="09EAA814" w14:textId="77777777" w:rsidR="00D31C4A" w:rsidRDefault="00D31C4A">
      <w:pPr>
        <w:pStyle w:val="FootnoteText"/>
      </w:pPr>
      <w:r>
        <w:rPr>
          <w:rStyle w:val="FootnoteReference"/>
        </w:rPr>
        <w:footnoteRef/>
      </w:r>
      <w:r>
        <w:t xml:space="preserve"> </w:t>
      </w:r>
      <w:r w:rsidRPr="0006021A">
        <w:rPr>
          <w:rFonts w:asciiTheme="minorHAnsi" w:hAnsiTheme="minorHAnsi"/>
          <w:b/>
        </w:rPr>
        <w:t>EMA/CHMP/205/95/Rev.4</w:t>
      </w:r>
      <w:r>
        <w:rPr>
          <w:rFonts w:asciiTheme="minorHAnsi" w:hAnsiTheme="minorHAnsi"/>
        </w:rPr>
        <w:t xml:space="preserve">: </w:t>
      </w:r>
      <w:r w:rsidRPr="00551516">
        <w:rPr>
          <w:rFonts w:asciiTheme="minorHAnsi" w:hAnsiTheme="minorHAnsi"/>
        </w:rPr>
        <w:t>EU Guideline on the evaluation of antic</w:t>
      </w:r>
      <w:r>
        <w:rPr>
          <w:rFonts w:asciiTheme="minorHAnsi" w:hAnsiTheme="minorHAnsi"/>
        </w:rPr>
        <w:t>ancer medicinal products in man.</w:t>
      </w:r>
    </w:p>
  </w:footnote>
  <w:footnote w:id="8">
    <w:p w14:paraId="0A3ECAC8" w14:textId="77777777" w:rsidR="00D31C4A" w:rsidRDefault="00D31C4A">
      <w:pPr>
        <w:pStyle w:val="FootnoteText"/>
      </w:pPr>
      <w:r>
        <w:rPr>
          <w:rStyle w:val="FootnoteReference"/>
        </w:rPr>
        <w:footnoteRef/>
      </w:r>
      <w:r>
        <w:t xml:space="preserve"> </w:t>
      </w:r>
      <w:r w:rsidRPr="00FF3F22">
        <w:rPr>
          <w:b/>
        </w:rPr>
        <w:t xml:space="preserve">Common Terminology Criteria for Adverse Events </w:t>
      </w:r>
      <w:r w:rsidRPr="00BB3757">
        <w:t>(</w:t>
      </w:r>
      <w:r w:rsidRPr="00FF3F22">
        <w:rPr>
          <w:b/>
        </w:rPr>
        <w:t>CTCAE</w:t>
      </w:r>
      <w:r w:rsidRPr="00BB3757">
        <w:t>) is a standardised classification of side effects used in assessing drugs for cancer therapy, in particular. Specific conditions and symptoms may have values or descriptive comment for each level</w:t>
      </w:r>
      <w:r>
        <w:t xml:space="preserve">, but the general guideline is </w:t>
      </w:r>
      <w:r w:rsidRPr="00BB3757">
        <w:t>1 – Mild, 2 – Moderate, 3 – Severe, 4 - Life threatening, 5 - Death.</w:t>
      </w:r>
    </w:p>
  </w:footnote>
  <w:footnote w:id="9">
    <w:p w14:paraId="25F60105" w14:textId="77777777" w:rsidR="00D31C4A" w:rsidRDefault="00D31C4A">
      <w:pPr>
        <w:pStyle w:val="FootnoteText"/>
      </w:pPr>
      <w:r>
        <w:rPr>
          <w:rStyle w:val="FootnoteReference"/>
        </w:rPr>
        <w:footnoteRef/>
      </w:r>
      <w:r>
        <w:t xml:space="preserve"> </w:t>
      </w:r>
      <w:r w:rsidRPr="00EA1B9C">
        <w:rPr>
          <w:b/>
        </w:rPr>
        <w:t>American Joint Committee on Cancer Stage</w:t>
      </w:r>
      <w:r>
        <w:t xml:space="preserve">. </w:t>
      </w:r>
      <w:r w:rsidRPr="00EA1B9C">
        <w:t xml:space="preserve">A system to describe the amount and spread of cancer in a patient’s body, using TNM. T describes the size of the </w:t>
      </w:r>
      <w:proofErr w:type="spellStart"/>
      <w:r w:rsidRPr="00EA1B9C">
        <w:t>tumor</w:t>
      </w:r>
      <w:proofErr w:type="spellEnd"/>
      <w:r w:rsidRPr="00EA1B9C">
        <w:t xml:space="preserve"> and any spread of cancer into nearby tissue; N describes spread of cancer to nearby lymph nodes; and M describes metastasis (spread of cancer to other parts of the body). This system was created and is updated by the American Joint Committee on Cancer (AJCC) and the International Union Against Cancer (UICC). The AJCC staging system is used to</w:t>
      </w:r>
      <w:r>
        <w:t xml:space="preserve"> describe most types of cancer.</w:t>
      </w:r>
    </w:p>
  </w:footnote>
  <w:footnote w:id="10">
    <w:p w14:paraId="6991F6A7" w14:textId="77777777" w:rsidR="00D31C4A" w:rsidRDefault="00D31C4A" w:rsidP="0057184C">
      <w:pPr>
        <w:pStyle w:val="FootnoteText"/>
      </w:pPr>
      <w:r>
        <w:rPr>
          <w:rStyle w:val="FootnoteReference"/>
        </w:rPr>
        <w:footnoteRef/>
      </w:r>
      <w:r>
        <w:t xml:space="preserve"> </w:t>
      </w:r>
      <w:r w:rsidRPr="0057184C">
        <w:rPr>
          <w:b/>
        </w:rPr>
        <w:t>ECOG Performance Status</w:t>
      </w:r>
      <w:r>
        <w:t xml:space="preserve">: The Eastern Cooperative Oncology Group (ECOG) has developed criteria used by doctors and researchers to assess how a patient's disease is progressing, assess how the disease affects the daily living abilities of the patient, and determine appropriate treatment and prognosis. The following are used: </w:t>
      </w:r>
    </w:p>
    <w:p w14:paraId="1FB05CB5" w14:textId="77777777" w:rsidR="00D31C4A" w:rsidRDefault="00D31C4A" w:rsidP="0057184C">
      <w:pPr>
        <w:pStyle w:val="FootnoteText"/>
      </w:pPr>
      <w:r>
        <w:t>0 - Fully active, able to carry on all pre-disease performance without restriction</w:t>
      </w:r>
    </w:p>
    <w:p w14:paraId="4BE13EC8" w14:textId="77777777" w:rsidR="00D31C4A" w:rsidRDefault="00D31C4A" w:rsidP="0057184C">
      <w:pPr>
        <w:pStyle w:val="FootnoteText"/>
      </w:pPr>
      <w:r>
        <w:t>1- Restricted in physically strenuous activity but ambulatory and able to carry out work of a light or sedentary nature, e.g., light house work, office work</w:t>
      </w:r>
    </w:p>
    <w:p w14:paraId="1B324CE2" w14:textId="77777777" w:rsidR="00D31C4A" w:rsidRDefault="00D31C4A" w:rsidP="0057184C">
      <w:pPr>
        <w:pStyle w:val="FootnoteText"/>
      </w:pPr>
      <w:r>
        <w:t xml:space="preserve">2 - Ambulatory and capable of all </w:t>
      </w:r>
      <w:proofErr w:type="spellStart"/>
      <w:r>
        <w:t>selfcare</w:t>
      </w:r>
      <w:proofErr w:type="spellEnd"/>
      <w:r>
        <w:t xml:space="preserve"> but unable to carry out any work activities. Up and about more than 50% of waking hours</w:t>
      </w:r>
    </w:p>
    <w:p w14:paraId="73BC45DA" w14:textId="77777777" w:rsidR="00D31C4A" w:rsidRDefault="00D31C4A" w:rsidP="0057184C">
      <w:pPr>
        <w:pStyle w:val="FootnoteText"/>
      </w:pPr>
      <w:r>
        <w:t xml:space="preserve">3 - Capable of only limited </w:t>
      </w:r>
      <w:proofErr w:type="spellStart"/>
      <w:r>
        <w:t>selfcare</w:t>
      </w:r>
      <w:proofErr w:type="spellEnd"/>
      <w:r>
        <w:t>, confined to bed or chair more than 50% of waking hours</w:t>
      </w:r>
    </w:p>
    <w:p w14:paraId="18D0AE8A" w14:textId="77777777" w:rsidR="00D31C4A" w:rsidRDefault="00D31C4A" w:rsidP="0057184C">
      <w:pPr>
        <w:pStyle w:val="FootnoteText"/>
      </w:pPr>
      <w:r>
        <w:t xml:space="preserve">4 - Completely disabled. Cannot carry on any </w:t>
      </w:r>
      <w:proofErr w:type="spellStart"/>
      <w:r>
        <w:t>selfcare</w:t>
      </w:r>
      <w:proofErr w:type="spellEnd"/>
      <w:r>
        <w:t>. Totally confined to bed or chair</w:t>
      </w:r>
    </w:p>
    <w:p w14:paraId="18C49ECE" w14:textId="77777777" w:rsidR="00D31C4A" w:rsidRDefault="00D31C4A" w:rsidP="0057184C">
      <w:pPr>
        <w:pStyle w:val="FootnoteText"/>
      </w:pPr>
      <w:r>
        <w:t>5 – Dead</w:t>
      </w:r>
    </w:p>
  </w:footnote>
  <w:footnote w:id="11">
    <w:p w14:paraId="4A0D00EE" w14:textId="77777777" w:rsidR="00D31C4A" w:rsidRDefault="00D31C4A" w:rsidP="0039386E">
      <w:pPr>
        <w:pStyle w:val="FootnoteText"/>
      </w:pPr>
      <w:r>
        <w:rPr>
          <w:rStyle w:val="FootnoteReference"/>
        </w:rPr>
        <w:footnoteRef/>
      </w:r>
      <w:r>
        <w:t xml:space="preserve"> </w:t>
      </w:r>
      <w:r w:rsidRPr="000C14F2">
        <w:rPr>
          <w:b/>
        </w:rPr>
        <w:t>The Response Evaluation Criteria In Solid Tumours</w:t>
      </w:r>
      <w:r w:rsidRPr="0057184C">
        <w:t> (RECIST) is a voluntary international standard with unified and easily applicable criteria to define when a patient's tumour has improved ('respond'), stayed the same ('stabilise'), or worsened ('progress') during treatment. The criteria were published in February 2000 by an international collaboration including the European Organisation for Research and Treatment of Cancer (EORTC), National Cancer Institute (NCI) of the United States, and the National Cancer Institute of Canada Clinical Trials Group. Today, the majority of clinical trials evaluating cancer treatments for objective response in solid tumours use RECIST. These criteria were developed and published in February 2000, and subsequently updated in 2009.</w:t>
      </w:r>
    </w:p>
  </w:footnote>
  <w:footnote w:id="12">
    <w:p w14:paraId="4D561C0C" w14:textId="66A17CB6" w:rsidR="00D31C4A" w:rsidRDefault="00D31C4A">
      <w:pPr>
        <w:pStyle w:val="FootnoteText"/>
      </w:pPr>
      <w:r>
        <w:rPr>
          <w:rStyle w:val="FootnoteReference"/>
        </w:rPr>
        <w:footnoteRef/>
      </w:r>
      <w:r>
        <w:t xml:space="preserve"> </w:t>
      </w:r>
      <w:r w:rsidRPr="00323358">
        <w:t>The table shows the details of the amended SAP. Both the original and the amended SAP were taken into consideration by the Delegate in reaching the decision. Original SAP details submitted by sponsor are listed below</w:t>
      </w:r>
      <w:r>
        <w:t>:</w:t>
      </w:r>
    </w:p>
    <w:p w14:paraId="16015A45" w14:textId="7842D80D" w:rsidR="00D31C4A" w:rsidRDefault="00D31C4A">
      <w:pPr>
        <w:pStyle w:val="FootnoteText"/>
      </w:pPr>
      <w:r w:rsidRPr="00E140DA">
        <w:t>Multiplicity</w:t>
      </w:r>
      <w:r w:rsidRPr="0002171A">
        <w:t xml:space="preserve">: Multiple testing procedure with alpha recycling, 5% </w:t>
      </w:r>
      <w:r w:rsidRPr="00E140DA">
        <w:t xml:space="preserve">2-sided </w:t>
      </w:r>
      <w:r w:rsidRPr="0002171A">
        <w:t xml:space="preserve">alpha overall, 4% alpha allocated for </w:t>
      </w:r>
      <w:r>
        <w:t xml:space="preserve">OS </w:t>
      </w:r>
      <w:r w:rsidRPr="0002171A">
        <w:t xml:space="preserve">testing of D plus EP versus EP. Lan </w:t>
      </w:r>
      <w:proofErr w:type="spellStart"/>
      <w:r w:rsidRPr="0002171A">
        <w:t>DeMets</w:t>
      </w:r>
      <w:proofErr w:type="spellEnd"/>
      <w:r w:rsidRPr="0002171A">
        <w:t xml:space="preserve"> spending function use to account for multiplicity introduced by interim analysis for superiority, alpha applied at interim and </w:t>
      </w:r>
      <w:r>
        <w:t xml:space="preserve">final </w:t>
      </w:r>
      <w:r w:rsidRPr="0002171A">
        <w:t xml:space="preserve">time points for OS testing family and PFS testing family: </w:t>
      </w:r>
      <w:r w:rsidRPr="006B12F5">
        <w:t xml:space="preserve">4% 2-sided alpha for </w:t>
      </w:r>
      <w:r w:rsidRPr="0002171A">
        <w:t xml:space="preserve">OS </w:t>
      </w:r>
      <w:r w:rsidRPr="00FD6865">
        <w:t>(D plus EP* versus EP</w:t>
      </w:r>
      <w:r w:rsidRPr="00E140DA">
        <w:t>), and 1% 2-sided alpha for OS (Combo plus EP versus EP)</w:t>
      </w:r>
      <w:r w:rsidRPr="0002171A">
        <w:t xml:space="preserve">, then </w:t>
      </w:r>
      <w:r>
        <w:t xml:space="preserve">(if both </w:t>
      </w:r>
      <w:r w:rsidRPr="0002171A">
        <w:t xml:space="preserve">OS </w:t>
      </w:r>
      <w:r w:rsidRPr="00E140DA">
        <w:t>tests were statistically significant</w:t>
      </w:r>
      <w:r w:rsidRPr="0002171A">
        <w:t xml:space="preserve"> (Combo plus EP versus EP), </w:t>
      </w:r>
      <w:r>
        <w:t xml:space="preserve">then </w:t>
      </w:r>
      <w:r w:rsidRPr="00CF455E">
        <w:t xml:space="preserve">(if both OS tests were statistically significant) </w:t>
      </w:r>
      <w:r w:rsidRPr="0002171A">
        <w:t xml:space="preserve">PFS </w:t>
      </w:r>
      <w:r>
        <w:t>(</w:t>
      </w:r>
      <w:r w:rsidRPr="0002171A">
        <w:t>D plus EP versus EP</w:t>
      </w:r>
      <w:r>
        <w:t>), then</w:t>
      </w:r>
      <w:r w:rsidRPr="00E140DA">
        <w:t xml:space="preserve"> (if preceding tests were statistically significant)</w:t>
      </w:r>
      <w:r>
        <w:t xml:space="preserve"> PFS (</w:t>
      </w:r>
      <w:r w:rsidRPr="0002171A">
        <w:t>Combo plus EP* versus EP</w:t>
      </w:r>
      <w:r>
        <w:t>).</w:t>
      </w:r>
    </w:p>
  </w:footnote>
  <w:footnote w:id="13">
    <w:p w14:paraId="32305ECA" w14:textId="4B1E5E2F" w:rsidR="00D31C4A" w:rsidRPr="00FF3F22" w:rsidRDefault="00D31C4A">
      <w:pPr>
        <w:pStyle w:val="FootnoteText"/>
        <w:rPr>
          <w:lang w:val="en-US"/>
        </w:rPr>
      </w:pPr>
      <w:r>
        <w:rPr>
          <w:rStyle w:val="FootnoteReference"/>
        </w:rPr>
        <w:footnoteRef/>
      </w:r>
      <w:r>
        <w:t xml:space="preserve"> </w:t>
      </w:r>
      <w:proofErr w:type="spellStart"/>
      <w:r w:rsidRPr="00FF3F22">
        <w:rPr>
          <w:b/>
        </w:rPr>
        <w:t>Hy’s</w:t>
      </w:r>
      <w:proofErr w:type="spellEnd"/>
      <w:r w:rsidRPr="00FF3F22">
        <w:rPr>
          <w:b/>
        </w:rPr>
        <w:t xml:space="preserve"> Law</w:t>
      </w:r>
      <w:r w:rsidRPr="00CF3EFF">
        <w:t xml:space="preserve">: Evidence of hepatocellular injury with a rise in alanine aminotransferase (ALT) and/or aspartate aminotransferase (AST) &gt; 3 x the upper limit of normal (ULN) and total bilirubin &gt; 2 x ULN, and no other reason to explain rise in aminotransferases and total bilirubin. </w:t>
      </w:r>
      <w:proofErr w:type="spellStart"/>
      <w:r w:rsidRPr="00CF3EFF">
        <w:t>Hy's</w:t>
      </w:r>
      <w:proofErr w:type="spellEnd"/>
      <w:r w:rsidRPr="00CF3EFF">
        <w:t xml:space="preserve"> law is a rule of thumb that a patient is at high risk of a fatal drug-induced liver injury if given a medication that causes hepatocellular injury with jaundice.</w:t>
      </w:r>
    </w:p>
  </w:footnote>
  <w:footnote w:id="14">
    <w:p w14:paraId="6FE977DC" w14:textId="77777777" w:rsidR="00D31C4A" w:rsidRDefault="00D31C4A" w:rsidP="007D53B6">
      <w:pPr>
        <w:pStyle w:val="FootnoteText"/>
      </w:pPr>
      <w:r>
        <w:rPr>
          <w:rStyle w:val="FootnoteReference"/>
        </w:rPr>
        <w:footnoteRef/>
      </w:r>
      <w:r>
        <w:t xml:space="preserve"> </w:t>
      </w:r>
      <w:r w:rsidRPr="007D53B6">
        <w:rPr>
          <w:i/>
        </w:rPr>
        <w:t xml:space="preserve">Routine risk minimisation </w:t>
      </w:r>
      <w:r>
        <w:t>activities may be limited to ensuring that suitable warnings are included in the product information or by careful use of labelling and packaging.</w:t>
      </w:r>
    </w:p>
    <w:p w14:paraId="6AA8251C" w14:textId="77777777" w:rsidR="00D31C4A" w:rsidRDefault="00D31C4A" w:rsidP="007D53B6">
      <w:pPr>
        <w:pStyle w:val="FootnoteText"/>
      </w:pPr>
      <w:r w:rsidRPr="007D53B6">
        <w:rPr>
          <w:i/>
        </w:rPr>
        <w:t>Routine pharmacovigilance</w:t>
      </w:r>
      <w:r>
        <w:t xml:space="preserve"> practices involve the following activities:</w:t>
      </w:r>
    </w:p>
    <w:p w14:paraId="4FA49C7B" w14:textId="77777777" w:rsidR="00D31C4A" w:rsidRDefault="00D31C4A" w:rsidP="007D53B6">
      <w:pPr>
        <w:pStyle w:val="FootnoteText"/>
        <w:numPr>
          <w:ilvl w:val="0"/>
          <w:numId w:val="32"/>
        </w:numPr>
        <w:ind w:left="284" w:hanging="284"/>
      </w:pPr>
      <w:r>
        <w:t>All suspected adverse reactions that are reported to the personnel of the company are collected and collated in an accessible manner;</w:t>
      </w:r>
    </w:p>
    <w:p w14:paraId="7913F771" w14:textId="77777777" w:rsidR="00D31C4A" w:rsidRDefault="00D31C4A" w:rsidP="007D53B6">
      <w:pPr>
        <w:pStyle w:val="FootnoteText"/>
        <w:numPr>
          <w:ilvl w:val="0"/>
          <w:numId w:val="32"/>
        </w:numPr>
        <w:ind w:left="284" w:hanging="284"/>
      </w:pPr>
      <w:r>
        <w:t>Reporting to regulatory authorities;</w:t>
      </w:r>
    </w:p>
    <w:p w14:paraId="0E08A550" w14:textId="77777777" w:rsidR="00D31C4A" w:rsidRDefault="00D31C4A" w:rsidP="007D53B6">
      <w:pPr>
        <w:pStyle w:val="FootnoteText"/>
        <w:numPr>
          <w:ilvl w:val="0"/>
          <w:numId w:val="32"/>
        </w:numPr>
        <w:ind w:left="284" w:hanging="284"/>
      </w:pPr>
      <w:r>
        <w:t>Continuous monitoring of the safety profiles of approved products including signal detection and updating of labelling;</w:t>
      </w:r>
    </w:p>
    <w:p w14:paraId="7CBA99E4" w14:textId="77777777" w:rsidR="00D31C4A" w:rsidRDefault="00D31C4A" w:rsidP="007D53B6">
      <w:pPr>
        <w:pStyle w:val="FootnoteText"/>
        <w:numPr>
          <w:ilvl w:val="0"/>
          <w:numId w:val="32"/>
        </w:numPr>
        <w:ind w:left="284" w:hanging="284"/>
      </w:pPr>
      <w:r>
        <w:t>Submission of PSURs;</w:t>
      </w:r>
    </w:p>
    <w:p w14:paraId="1DAECA00" w14:textId="77777777" w:rsidR="00D31C4A" w:rsidRDefault="00D31C4A" w:rsidP="007D53B6">
      <w:pPr>
        <w:pStyle w:val="FootnoteText"/>
        <w:numPr>
          <w:ilvl w:val="0"/>
          <w:numId w:val="32"/>
        </w:numPr>
        <w:ind w:left="284" w:hanging="284"/>
      </w:pPr>
      <w:r>
        <w:t>Meeting other local regulatory agency requirements.</w:t>
      </w:r>
    </w:p>
  </w:footnote>
  <w:footnote w:id="15">
    <w:p w14:paraId="47CC3E74" w14:textId="72C47639" w:rsidR="00D31C4A" w:rsidRPr="00A96923" w:rsidRDefault="00D31C4A" w:rsidP="00A96923">
      <w:pPr>
        <w:pStyle w:val="FootnoteText"/>
      </w:pPr>
      <w:r w:rsidRPr="00A96923">
        <w:rPr>
          <w:rStyle w:val="FootnoteReference"/>
        </w:rPr>
        <w:footnoteRef/>
      </w:r>
      <w:r w:rsidRPr="00A96923">
        <w:rPr>
          <w:vertAlign w:val="superscript"/>
        </w:rPr>
        <w:t xml:space="preserve"> </w:t>
      </w:r>
      <w:r w:rsidRPr="00A96923">
        <w:t xml:space="preserve">Horn, L et al. First-Line Atezolizumab plus Chemotherapy in Extensive-Stage Small-Cell Lung Cancer, N </w:t>
      </w:r>
      <w:proofErr w:type="spellStart"/>
      <w:r w:rsidRPr="00A96923">
        <w:t>Eng</w:t>
      </w:r>
      <w:proofErr w:type="spellEnd"/>
      <w:r w:rsidRPr="00A96923">
        <w:t xml:space="preserve"> J Med, 2018; 379; 2220-2229.</w:t>
      </w:r>
    </w:p>
  </w:footnote>
  <w:footnote w:id="16">
    <w:p w14:paraId="55881360" w14:textId="77777777" w:rsidR="00D31C4A" w:rsidRDefault="00D31C4A"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605C3E9D" w14:textId="77777777" w:rsidR="00D31C4A" w:rsidRPr="00456765" w:rsidRDefault="00D31C4A"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9E8EC" w14:textId="77777777" w:rsidR="00D31C4A" w:rsidRDefault="00D31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485E7" w14:textId="77777777" w:rsidR="00D31C4A" w:rsidRDefault="00D31C4A"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902CE" w14:textId="77777777" w:rsidR="00D31C4A" w:rsidRDefault="00D31C4A">
    <w:pPr>
      <w:rPr>
        <w:noProof/>
        <w:lang w:eastAsia="en-AU"/>
      </w:rPr>
    </w:pPr>
    <w:r w:rsidRPr="00347824">
      <w:rPr>
        <w:noProof/>
        <w:lang w:eastAsia="en-AU"/>
      </w:rPr>
      <w:drawing>
        <wp:anchor distT="0" distB="0" distL="114300" distR="114300" simplePos="0" relativeHeight="251658240" behindDoc="1" locked="0" layoutInCell="1" allowOverlap="1" wp14:anchorId="3B50CF55" wp14:editId="262EB198">
          <wp:simplePos x="0" y="0"/>
          <wp:positionH relativeFrom="column">
            <wp:posOffset>-1089660</wp:posOffset>
          </wp:positionH>
          <wp:positionV relativeFrom="paragraph">
            <wp:posOffset>-585470</wp:posOffset>
          </wp:positionV>
          <wp:extent cx="7572375" cy="10706100"/>
          <wp:effectExtent l="19050" t="0" r="0" b="0"/>
          <wp:wrapNone/>
          <wp:docPr id="6"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12CD5C6D" w14:textId="2B92DBCB" w:rsidR="00D31C4A" w:rsidRDefault="00D31C4A"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F762E" w14:textId="77777777" w:rsidR="00D31C4A" w:rsidRDefault="00D31C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8AC58" w14:textId="77777777" w:rsidR="00D31C4A" w:rsidRDefault="00D31C4A">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DF446" w14:textId="77777777" w:rsidR="00D31C4A" w:rsidRDefault="00D31C4A">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EA5AA" w14:textId="77777777" w:rsidR="00D31C4A" w:rsidRDefault="00D31C4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1E052" w14:textId="77777777" w:rsidR="00D31C4A" w:rsidRDefault="00D31C4A"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2BD6D" w14:textId="77777777" w:rsidR="00D31C4A" w:rsidRDefault="00D31C4A" w:rsidP="006E08B3">
    <w:r>
      <w:t>Therapeutic Goods Administration</w:t>
    </w:r>
  </w:p>
  <w:p w14:paraId="52BA0E02" w14:textId="77777777" w:rsidR="00D31C4A" w:rsidRDefault="00D31C4A"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multilevel"/>
    <w:tmpl w:val="B8320B0A"/>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8F13E9"/>
    <w:multiLevelType w:val="multilevel"/>
    <w:tmpl w:val="D09CA504"/>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1F250F"/>
    <w:multiLevelType w:val="hybridMultilevel"/>
    <w:tmpl w:val="E7DA5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914314"/>
    <w:multiLevelType w:val="hybridMultilevel"/>
    <w:tmpl w:val="A87626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9D5389"/>
    <w:multiLevelType w:val="hybridMultilevel"/>
    <w:tmpl w:val="68C028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E345A41"/>
    <w:multiLevelType w:val="hybridMultilevel"/>
    <w:tmpl w:val="53FA0B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36519D1"/>
    <w:multiLevelType w:val="hybridMultilevel"/>
    <w:tmpl w:val="52D62D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61E7868"/>
    <w:multiLevelType w:val="hybridMultilevel"/>
    <w:tmpl w:val="1A4078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CA3131F"/>
    <w:multiLevelType w:val="hybridMultilevel"/>
    <w:tmpl w:val="6EA87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5"/>
  </w:num>
  <w:num w:numId="17">
    <w:abstractNumId w:val="5"/>
  </w:num>
  <w:num w:numId="18">
    <w:abstractNumId w:val="5"/>
  </w:num>
  <w:num w:numId="19">
    <w:abstractNumId w:val="7"/>
  </w:num>
  <w:num w:numId="20">
    <w:abstractNumId w:val="7"/>
  </w:num>
  <w:num w:numId="21">
    <w:abstractNumId w:val="7"/>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3"/>
  </w:num>
  <w:num w:numId="28">
    <w:abstractNumId w:val="18"/>
  </w:num>
  <w:num w:numId="29">
    <w:abstractNumId w:val="6"/>
  </w:num>
  <w:num w:numId="30">
    <w:abstractNumId w:val="8"/>
  </w:num>
  <w:num w:numId="31">
    <w:abstractNumId w:val="4"/>
  </w:num>
  <w:num w:numId="32">
    <w:abstractNumId w:val="14"/>
  </w:num>
  <w:num w:numId="33">
    <w:abstractNumId w:val="10"/>
  </w:num>
  <w:num w:numId="34">
    <w:abstractNumId w:val="16"/>
  </w:num>
  <w:num w:numId="35">
    <w:abstractNumId w:val="12"/>
  </w:num>
  <w:num w:numId="36">
    <w:abstractNumId w:val="11"/>
  </w:num>
  <w:num w:numId="37">
    <w:abstractNumId w:val="15"/>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4D"/>
    <w:rsid w:val="000004E2"/>
    <w:rsid w:val="00000D63"/>
    <w:rsid w:val="00002031"/>
    <w:rsid w:val="00004315"/>
    <w:rsid w:val="00004734"/>
    <w:rsid w:val="00006B22"/>
    <w:rsid w:val="00006FAB"/>
    <w:rsid w:val="0000749F"/>
    <w:rsid w:val="000075E6"/>
    <w:rsid w:val="0001276A"/>
    <w:rsid w:val="00016C1B"/>
    <w:rsid w:val="0002171A"/>
    <w:rsid w:val="000246AE"/>
    <w:rsid w:val="00025C67"/>
    <w:rsid w:val="0003367D"/>
    <w:rsid w:val="000374AA"/>
    <w:rsid w:val="00040A2F"/>
    <w:rsid w:val="00044772"/>
    <w:rsid w:val="0004541C"/>
    <w:rsid w:val="0005559E"/>
    <w:rsid w:val="00057FBF"/>
    <w:rsid w:val="0006021A"/>
    <w:rsid w:val="000604D6"/>
    <w:rsid w:val="000734D8"/>
    <w:rsid w:val="00077209"/>
    <w:rsid w:val="00077775"/>
    <w:rsid w:val="000810EB"/>
    <w:rsid w:val="00090471"/>
    <w:rsid w:val="000915F4"/>
    <w:rsid w:val="00092ED4"/>
    <w:rsid w:val="00095D6E"/>
    <w:rsid w:val="00096AA7"/>
    <w:rsid w:val="000973BE"/>
    <w:rsid w:val="000A2AFD"/>
    <w:rsid w:val="000A3AED"/>
    <w:rsid w:val="000B3532"/>
    <w:rsid w:val="000B3A75"/>
    <w:rsid w:val="000B3AD4"/>
    <w:rsid w:val="000C00C2"/>
    <w:rsid w:val="000C14F2"/>
    <w:rsid w:val="000C587D"/>
    <w:rsid w:val="000C690F"/>
    <w:rsid w:val="000D1295"/>
    <w:rsid w:val="000D3581"/>
    <w:rsid w:val="000D35C6"/>
    <w:rsid w:val="000D391B"/>
    <w:rsid w:val="000D3D6D"/>
    <w:rsid w:val="000D4FC7"/>
    <w:rsid w:val="000D73DA"/>
    <w:rsid w:val="000E6196"/>
    <w:rsid w:val="000E6295"/>
    <w:rsid w:val="000F4869"/>
    <w:rsid w:val="000F5783"/>
    <w:rsid w:val="000F5B42"/>
    <w:rsid w:val="000F6E6F"/>
    <w:rsid w:val="00101652"/>
    <w:rsid w:val="001016DC"/>
    <w:rsid w:val="001017F1"/>
    <w:rsid w:val="00102E4C"/>
    <w:rsid w:val="00102FD2"/>
    <w:rsid w:val="00104206"/>
    <w:rsid w:val="0010601F"/>
    <w:rsid w:val="0010788A"/>
    <w:rsid w:val="00107A31"/>
    <w:rsid w:val="00110EA5"/>
    <w:rsid w:val="001110C7"/>
    <w:rsid w:val="00112F56"/>
    <w:rsid w:val="00117957"/>
    <w:rsid w:val="00122C2E"/>
    <w:rsid w:val="00124ACD"/>
    <w:rsid w:val="001250AA"/>
    <w:rsid w:val="00125318"/>
    <w:rsid w:val="001277E1"/>
    <w:rsid w:val="001305A2"/>
    <w:rsid w:val="00130E57"/>
    <w:rsid w:val="00131855"/>
    <w:rsid w:val="00133238"/>
    <w:rsid w:val="00133A1B"/>
    <w:rsid w:val="00136BC6"/>
    <w:rsid w:val="0014197B"/>
    <w:rsid w:val="001447CD"/>
    <w:rsid w:val="00146B72"/>
    <w:rsid w:val="001516B1"/>
    <w:rsid w:val="00154EBB"/>
    <w:rsid w:val="00155105"/>
    <w:rsid w:val="00156316"/>
    <w:rsid w:val="001574A3"/>
    <w:rsid w:val="00161181"/>
    <w:rsid w:val="00162D14"/>
    <w:rsid w:val="00163780"/>
    <w:rsid w:val="00165389"/>
    <w:rsid w:val="001702A4"/>
    <w:rsid w:val="0017693F"/>
    <w:rsid w:val="0018110E"/>
    <w:rsid w:val="00181684"/>
    <w:rsid w:val="001843C6"/>
    <w:rsid w:val="00184F47"/>
    <w:rsid w:val="001850E0"/>
    <w:rsid w:val="001908A0"/>
    <w:rsid w:val="001A03AF"/>
    <w:rsid w:val="001A2158"/>
    <w:rsid w:val="001A525F"/>
    <w:rsid w:val="001A6D53"/>
    <w:rsid w:val="001A78B8"/>
    <w:rsid w:val="001A7AE6"/>
    <w:rsid w:val="001B09F9"/>
    <w:rsid w:val="001B490D"/>
    <w:rsid w:val="001B5C90"/>
    <w:rsid w:val="001B5FCB"/>
    <w:rsid w:val="001B6448"/>
    <w:rsid w:val="001C32CD"/>
    <w:rsid w:val="001C53F3"/>
    <w:rsid w:val="001C7EDC"/>
    <w:rsid w:val="001D2984"/>
    <w:rsid w:val="001E07CF"/>
    <w:rsid w:val="001E59F1"/>
    <w:rsid w:val="001F029A"/>
    <w:rsid w:val="001F1FEA"/>
    <w:rsid w:val="001F2CEE"/>
    <w:rsid w:val="001F3906"/>
    <w:rsid w:val="001F49EB"/>
    <w:rsid w:val="001F630F"/>
    <w:rsid w:val="001F6CBA"/>
    <w:rsid w:val="00201D4E"/>
    <w:rsid w:val="00202C95"/>
    <w:rsid w:val="00203A46"/>
    <w:rsid w:val="002076C9"/>
    <w:rsid w:val="002107EA"/>
    <w:rsid w:val="00212AAC"/>
    <w:rsid w:val="0021525E"/>
    <w:rsid w:val="00220B8A"/>
    <w:rsid w:val="00223960"/>
    <w:rsid w:val="002257F3"/>
    <w:rsid w:val="0023070C"/>
    <w:rsid w:val="002311FD"/>
    <w:rsid w:val="00231C0C"/>
    <w:rsid w:val="002324E3"/>
    <w:rsid w:val="00233456"/>
    <w:rsid w:val="002339A5"/>
    <w:rsid w:val="002340FA"/>
    <w:rsid w:val="002367E7"/>
    <w:rsid w:val="002455B4"/>
    <w:rsid w:val="00250271"/>
    <w:rsid w:val="00257147"/>
    <w:rsid w:val="00257848"/>
    <w:rsid w:val="002578E8"/>
    <w:rsid w:val="0027084A"/>
    <w:rsid w:val="00271D11"/>
    <w:rsid w:val="00280265"/>
    <w:rsid w:val="00282E91"/>
    <w:rsid w:val="00286434"/>
    <w:rsid w:val="002869F8"/>
    <w:rsid w:val="00286C59"/>
    <w:rsid w:val="00287062"/>
    <w:rsid w:val="00291957"/>
    <w:rsid w:val="002942D1"/>
    <w:rsid w:val="0029501A"/>
    <w:rsid w:val="00295650"/>
    <w:rsid w:val="00296490"/>
    <w:rsid w:val="002A3721"/>
    <w:rsid w:val="002A5C9F"/>
    <w:rsid w:val="002B0C7E"/>
    <w:rsid w:val="002B1638"/>
    <w:rsid w:val="002B3624"/>
    <w:rsid w:val="002B4649"/>
    <w:rsid w:val="002C027D"/>
    <w:rsid w:val="002C5943"/>
    <w:rsid w:val="002C73CD"/>
    <w:rsid w:val="002D0710"/>
    <w:rsid w:val="002D0952"/>
    <w:rsid w:val="002D66F5"/>
    <w:rsid w:val="002D7D2A"/>
    <w:rsid w:val="002E40B3"/>
    <w:rsid w:val="002E4C9A"/>
    <w:rsid w:val="002F11F8"/>
    <w:rsid w:val="002F3F56"/>
    <w:rsid w:val="002F44B5"/>
    <w:rsid w:val="002F5122"/>
    <w:rsid w:val="00301915"/>
    <w:rsid w:val="003066C8"/>
    <w:rsid w:val="00307C7A"/>
    <w:rsid w:val="00311AC0"/>
    <w:rsid w:val="003176FC"/>
    <w:rsid w:val="0032071E"/>
    <w:rsid w:val="00321C66"/>
    <w:rsid w:val="00323358"/>
    <w:rsid w:val="00324E45"/>
    <w:rsid w:val="0032583B"/>
    <w:rsid w:val="00327883"/>
    <w:rsid w:val="00335504"/>
    <w:rsid w:val="00335B66"/>
    <w:rsid w:val="00340C18"/>
    <w:rsid w:val="00343BB6"/>
    <w:rsid w:val="003442FD"/>
    <w:rsid w:val="00347824"/>
    <w:rsid w:val="00347934"/>
    <w:rsid w:val="00350567"/>
    <w:rsid w:val="003521E8"/>
    <w:rsid w:val="00354BAC"/>
    <w:rsid w:val="003601FF"/>
    <w:rsid w:val="00360B04"/>
    <w:rsid w:val="003646E8"/>
    <w:rsid w:val="003658E3"/>
    <w:rsid w:val="00370CE3"/>
    <w:rsid w:val="003728F3"/>
    <w:rsid w:val="003735BC"/>
    <w:rsid w:val="0037496E"/>
    <w:rsid w:val="0038254B"/>
    <w:rsid w:val="00383221"/>
    <w:rsid w:val="00386150"/>
    <w:rsid w:val="003874CE"/>
    <w:rsid w:val="00390900"/>
    <w:rsid w:val="0039386E"/>
    <w:rsid w:val="00396123"/>
    <w:rsid w:val="003A2D16"/>
    <w:rsid w:val="003A7F6C"/>
    <w:rsid w:val="003B341B"/>
    <w:rsid w:val="003B4D60"/>
    <w:rsid w:val="003B7E39"/>
    <w:rsid w:val="003C2C64"/>
    <w:rsid w:val="003C58DC"/>
    <w:rsid w:val="003D1E62"/>
    <w:rsid w:val="003E0B99"/>
    <w:rsid w:val="003E1D32"/>
    <w:rsid w:val="003E2486"/>
    <w:rsid w:val="003E3208"/>
    <w:rsid w:val="003E7B40"/>
    <w:rsid w:val="003F0B04"/>
    <w:rsid w:val="003F2F8A"/>
    <w:rsid w:val="003F3949"/>
    <w:rsid w:val="003F4D70"/>
    <w:rsid w:val="003F67B6"/>
    <w:rsid w:val="0040134E"/>
    <w:rsid w:val="00411C59"/>
    <w:rsid w:val="00411C86"/>
    <w:rsid w:val="00413A32"/>
    <w:rsid w:val="004225DF"/>
    <w:rsid w:val="004334C7"/>
    <w:rsid w:val="00440A2D"/>
    <w:rsid w:val="00441C3F"/>
    <w:rsid w:val="004440F9"/>
    <w:rsid w:val="00444D1A"/>
    <w:rsid w:val="0045186A"/>
    <w:rsid w:val="004564A7"/>
    <w:rsid w:val="00456765"/>
    <w:rsid w:val="00460036"/>
    <w:rsid w:val="004617BF"/>
    <w:rsid w:val="00461E18"/>
    <w:rsid w:val="00463658"/>
    <w:rsid w:val="004637A0"/>
    <w:rsid w:val="00470303"/>
    <w:rsid w:val="00471610"/>
    <w:rsid w:val="004722CC"/>
    <w:rsid w:val="00490483"/>
    <w:rsid w:val="004936E4"/>
    <w:rsid w:val="00494E60"/>
    <w:rsid w:val="00497487"/>
    <w:rsid w:val="004A22BC"/>
    <w:rsid w:val="004A2771"/>
    <w:rsid w:val="004A6012"/>
    <w:rsid w:val="004A609B"/>
    <w:rsid w:val="004A6189"/>
    <w:rsid w:val="004A6361"/>
    <w:rsid w:val="004A7390"/>
    <w:rsid w:val="004B0BF9"/>
    <w:rsid w:val="004B7B76"/>
    <w:rsid w:val="004C1465"/>
    <w:rsid w:val="004C239D"/>
    <w:rsid w:val="004C2CCC"/>
    <w:rsid w:val="004C2DCA"/>
    <w:rsid w:val="004C4FBE"/>
    <w:rsid w:val="004C61D2"/>
    <w:rsid w:val="004D4FFB"/>
    <w:rsid w:val="004D50D6"/>
    <w:rsid w:val="004E0C87"/>
    <w:rsid w:val="004E0FC1"/>
    <w:rsid w:val="004E50CE"/>
    <w:rsid w:val="004F0C4A"/>
    <w:rsid w:val="004F0F38"/>
    <w:rsid w:val="004F239E"/>
    <w:rsid w:val="004F47D6"/>
    <w:rsid w:val="004F7409"/>
    <w:rsid w:val="00500337"/>
    <w:rsid w:val="00501921"/>
    <w:rsid w:val="00511D71"/>
    <w:rsid w:val="005244A1"/>
    <w:rsid w:val="00530354"/>
    <w:rsid w:val="0053625B"/>
    <w:rsid w:val="005434C6"/>
    <w:rsid w:val="00543B39"/>
    <w:rsid w:val="00545F47"/>
    <w:rsid w:val="00546154"/>
    <w:rsid w:val="00550096"/>
    <w:rsid w:val="00555280"/>
    <w:rsid w:val="00557FF9"/>
    <w:rsid w:val="005618ED"/>
    <w:rsid w:val="00562327"/>
    <w:rsid w:val="005660D7"/>
    <w:rsid w:val="005703C8"/>
    <w:rsid w:val="005711D5"/>
    <w:rsid w:val="0057184C"/>
    <w:rsid w:val="00571B01"/>
    <w:rsid w:val="00572CEC"/>
    <w:rsid w:val="00576378"/>
    <w:rsid w:val="00577130"/>
    <w:rsid w:val="00577945"/>
    <w:rsid w:val="00577E38"/>
    <w:rsid w:val="00585322"/>
    <w:rsid w:val="005857C6"/>
    <w:rsid w:val="00591844"/>
    <w:rsid w:val="00592F6E"/>
    <w:rsid w:val="00593AD1"/>
    <w:rsid w:val="005948D7"/>
    <w:rsid w:val="00595766"/>
    <w:rsid w:val="005A68B6"/>
    <w:rsid w:val="005A7802"/>
    <w:rsid w:val="005B1C8B"/>
    <w:rsid w:val="005B7567"/>
    <w:rsid w:val="005C549E"/>
    <w:rsid w:val="005C5570"/>
    <w:rsid w:val="005C5B66"/>
    <w:rsid w:val="005C79A4"/>
    <w:rsid w:val="005C7DB3"/>
    <w:rsid w:val="005D0C87"/>
    <w:rsid w:val="005D5442"/>
    <w:rsid w:val="005F1460"/>
    <w:rsid w:val="005F57E5"/>
    <w:rsid w:val="00600FD5"/>
    <w:rsid w:val="00603F32"/>
    <w:rsid w:val="00605AD4"/>
    <w:rsid w:val="006136D7"/>
    <w:rsid w:val="00623402"/>
    <w:rsid w:val="006242B1"/>
    <w:rsid w:val="00625A6E"/>
    <w:rsid w:val="00627200"/>
    <w:rsid w:val="00630B63"/>
    <w:rsid w:val="00632398"/>
    <w:rsid w:val="00636029"/>
    <w:rsid w:val="00640FC3"/>
    <w:rsid w:val="00642020"/>
    <w:rsid w:val="006430EE"/>
    <w:rsid w:val="006506D3"/>
    <w:rsid w:val="00651E0B"/>
    <w:rsid w:val="0065337B"/>
    <w:rsid w:val="0065419D"/>
    <w:rsid w:val="00654C71"/>
    <w:rsid w:val="006553A3"/>
    <w:rsid w:val="006603BC"/>
    <w:rsid w:val="006604D8"/>
    <w:rsid w:val="0066133F"/>
    <w:rsid w:val="0066364C"/>
    <w:rsid w:val="00664A5B"/>
    <w:rsid w:val="0066735C"/>
    <w:rsid w:val="00672615"/>
    <w:rsid w:val="006755BE"/>
    <w:rsid w:val="006763D2"/>
    <w:rsid w:val="00677BD8"/>
    <w:rsid w:val="00680C08"/>
    <w:rsid w:val="006916A0"/>
    <w:rsid w:val="00691B4C"/>
    <w:rsid w:val="006931B1"/>
    <w:rsid w:val="006A15C0"/>
    <w:rsid w:val="006A2407"/>
    <w:rsid w:val="006A58A8"/>
    <w:rsid w:val="006A5944"/>
    <w:rsid w:val="006A6DEC"/>
    <w:rsid w:val="006B12F5"/>
    <w:rsid w:val="006C3E2A"/>
    <w:rsid w:val="006C642F"/>
    <w:rsid w:val="006D03E5"/>
    <w:rsid w:val="006D3700"/>
    <w:rsid w:val="006D4FC0"/>
    <w:rsid w:val="006D5D3E"/>
    <w:rsid w:val="006E08B3"/>
    <w:rsid w:val="006E3CAA"/>
    <w:rsid w:val="006E7788"/>
    <w:rsid w:val="006F07D4"/>
    <w:rsid w:val="006F17AC"/>
    <w:rsid w:val="006F25B8"/>
    <w:rsid w:val="006F572E"/>
    <w:rsid w:val="006F5E26"/>
    <w:rsid w:val="00703ED9"/>
    <w:rsid w:val="007046D6"/>
    <w:rsid w:val="00705DB0"/>
    <w:rsid w:val="00715104"/>
    <w:rsid w:val="00715E7D"/>
    <w:rsid w:val="00722B57"/>
    <w:rsid w:val="00723906"/>
    <w:rsid w:val="007250F4"/>
    <w:rsid w:val="0072664D"/>
    <w:rsid w:val="007302EC"/>
    <w:rsid w:val="00730F8A"/>
    <w:rsid w:val="00735A8C"/>
    <w:rsid w:val="00737937"/>
    <w:rsid w:val="007402A0"/>
    <w:rsid w:val="00740C81"/>
    <w:rsid w:val="0074253D"/>
    <w:rsid w:val="00744121"/>
    <w:rsid w:val="0074429B"/>
    <w:rsid w:val="00745C22"/>
    <w:rsid w:val="00752ED5"/>
    <w:rsid w:val="00757634"/>
    <w:rsid w:val="007615BC"/>
    <w:rsid w:val="00762F05"/>
    <w:rsid w:val="007652FF"/>
    <w:rsid w:val="00770172"/>
    <w:rsid w:val="00770CAC"/>
    <w:rsid w:val="00770EF1"/>
    <w:rsid w:val="00773EF7"/>
    <w:rsid w:val="00774E1D"/>
    <w:rsid w:val="007765D8"/>
    <w:rsid w:val="0077675A"/>
    <w:rsid w:val="007773DA"/>
    <w:rsid w:val="00780355"/>
    <w:rsid w:val="0078080E"/>
    <w:rsid w:val="007819FD"/>
    <w:rsid w:val="00785717"/>
    <w:rsid w:val="00785721"/>
    <w:rsid w:val="007939C4"/>
    <w:rsid w:val="00793A59"/>
    <w:rsid w:val="00795FBD"/>
    <w:rsid w:val="00796A91"/>
    <w:rsid w:val="00797622"/>
    <w:rsid w:val="007A14B7"/>
    <w:rsid w:val="007A46F5"/>
    <w:rsid w:val="007A6505"/>
    <w:rsid w:val="007A7E49"/>
    <w:rsid w:val="007A7F2D"/>
    <w:rsid w:val="007B24F6"/>
    <w:rsid w:val="007B5762"/>
    <w:rsid w:val="007B6132"/>
    <w:rsid w:val="007B6E9F"/>
    <w:rsid w:val="007C0B81"/>
    <w:rsid w:val="007C1216"/>
    <w:rsid w:val="007C1AF7"/>
    <w:rsid w:val="007C6AFC"/>
    <w:rsid w:val="007C6B9B"/>
    <w:rsid w:val="007D2715"/>
    <w:rsid w:val="007D4D59"/>
    <w:rsid w:val="007D53B6"/>
    <w:rsid w:val="007D7ADC"/>
    <w:rsid w:val="007E0ACD"/>
    <w:rsid w:val="007E2DCF"/>
    <w:rsid w:val="007F03DE"/>
    <w:rsid w:val="007F18F3"/>
    <w:rsid w:val="007F4E3E"/>
    <w:rsid w:val="007F4E8A"/>
    <w:rsid w:val="00800919"/>
    <w:rsid w:val="00805D27"/>
    <w:rsid w:val="00806413"/>
    <w:rsid w:val="00806C04"/>
    <w:rsid w:val="00806DCB"/>
    <w:rsid w:val="00813910"/>
    <w:rsid w:val="00816C38"/>
    <w:rsid w:val="0082044C"/>
    <w:rsid w:val="00821776"/>
    <w:rsid w:val="008262CA"/>
    <w:rsid w:val="00826CDD"/>
    <w:rsid w:val="0083053B"/>
    <w:rsid w:val="008321F5"/>
    <w:rsid w:val="00832369"/>
    <w:rsid w:val="0083269C"/>
    <w:rsid w:val="00834660"/>
    <w:rsid w:val="00836BC2"/>
    <w:rsid w:val="008420F8"/>
    <w:rsid w:val="0085156D"/>
    <w:rsid w:val="00851840"/>
    <w:rsid w:val="00852B28"/>
    <w:rsid w:val="00853C64"/>
    <w:rsid w:val="0085641B"/>
    <w:rsid w:val="00857136"/>
    <w:rsid w:val="00864D45"/>
    <w:rsid w:val="00872C7A"/>
    <w:rsid w:val="00875A6B"/>
    <w:rsid w:val="008808FA"/>
    <w:rsid w:val="00881FE8"/>
    <w:rsid w:val="00885B11"/>
    <w:rsid w:val="00886D15"/>
    <w:rsid w:val="00887DD8"/>
    <w:rsid w:val="00891BA9"/>
    <w:rsid w:val="00896018"/>
    <w:rsid w:val="008960DD"/>
    <w:rsid w:val="0089635C"/>
    <w:rsid w:val="008A086B"/>
    <w:rsid w:val="008A2B9D"/>
    <w:rsid w:val="008A3D9F"/>
    <w:rsid w:val="008A4679"/>
    <w:rsid w:val="008A5E0B"/>
    <w:rsid w:val="008A6D59"/>
    <w:rsid w:val="008B01BC"/>
    <w:rsid w:val="008B4B03"/>
    <w:rsid w:val="008B596F"/>
    <w:rsid w:val="008C159F"/>
    <w:rsid w:val="008C1623"/>
    <w:rsid w:val="008C1850"/>
    <w:rsid w:val="008C2C1A"/>
    <w:rsid w:val="008C51A9"/>
    <w:rsid w:val="008C6E89"/>
    <w:rsid w:val="008C73A2"/>
    <w:rsid w:val="008D2699"/>
    <w:rsid w:val="008E7846"/>
    <w:rsid w:val="008F02E5"/>
    <w:rsid w:val="008F1CCC"/>
    <w:rsid w:val="008F2967"/>
    <w:rsid w:val="008F2E42"/>
    <w:rsid w:val="008F6943"/>
    <w:rsid w:val="008F764B"/>
    <w:rsid w:val="00902A21"/>
    <w:rsid w:val="009036B5"/>
    <w:rsid w:val="00904497"/>
    <w:rsid w:val="0090651B"/>
    <w:rsid w:val="00906DBC"/>
    <w:rsid w:val="0091523F"/>
    <w:rsid w:val="009161FF"/>
    <w:rsid w:val="00916E01"/>
    <w:rsid w:val="00920330"/>
    <w:rsid w:val="009219D7"/>
    <w:rsid w:val="00922D53"/>
    <w:rsid w:val="00923B70"/>
    <w:rsid w:val="00924482"/>
    <w:rsid w:val="0092541E"/>
    <w:rsid w:val="00930237"/>
    <w:rsid w:val="009311B2"/>
    <w:rsid w:val="00936347"/>
    <w:rsid w:val="00937C17"/>
    <w:rsid w:val="00940A89"/>
    <w:rsid w:val="00941F77"/>
    <w:rsid w:val="0094697A"/>
    <w:rsid w:val="00946EA5"/>
    <w:rsid w:val="00960520"/>
    <w:rsid w:val="00963C08"/>
    <w:rsid w:val="0097493A"/>
    <w:rsid w:val="009752A5"/>
    <w:rsid w:val="0098585A"/>
    <w:rsid w:val="009915E1"/>
    <w:rsid w:val="00995219"/>
    <w:rsid w:val="009979B0"/>
    <w:rsid w:val="009A2E6D"/>
    <w:rsid w:val="009A4CED"/>
    <w:rsid w:val="009A5A74"/>
    <w:rsid w:val="009A690D"/>
    <w:rsid w:val="009A6C6C"/>
    <w:rsid w:val="009B0465"/>
    <w:rsid w:val="009B1383"/>
    <w:rsid w:val="009B1D12"/>
    <w:rsid w:val="009B22B8"/>
    <w:rsid w:val="009B416B"/>
    <w:rsid w:val="009C4BD5"/>
    <w:rsid w:val="009D7B77"/>
    <w:rsid w:val="009E0BB0"/>
    <w:rsid w:val="009E3FBB"/>
    <w:rsid w:val="009E4F31"/>
    <w:rsid w:val="009F7353"/>
    <w:rsid w:val="00A03783"/>
    <w:rsid w:val="00A04332"/>
    <w:rsid w:val="00A04F85"/>
    <w:rsid w:val="00A05FA4"/>
    <w:rsid w:val="00A102E4"/>
    <w:rsid w:val="00A1219C"/>
    <w:rsid w:val="00A12C42"/>
    <w:rsid w:val="00A14DF7"/>
    <w:rsid w:val="00A2076E"/>
    <w:rsid w:val="00A22D57"/>
    <w:rsid w:val="00A239A8"/>
    <w:rsid w:val="00A2426C"/>
    <w:rsid w:val="00A26A4E"/>
    <w:rsid w:val="00A26CE3"/>
    <w:rsid w:val="00A3246D"/>
    <w:rsid w:val="00A340D7"/>
    <w:rsid w:val="00A36FA7"/>
    <w:rsid w:val="00A42CA4"/>
    <w:rsid w:val="00A42DFF"/>
    <w:rsid w:val="00A44DDB"/>
    <w:rsid w:val="00A475B7"/>
    <w:rsid w:val="00A47AF7"/>
    <w:rsid w:val="00A47C3E"/>
    <w:rsid w:val="00A50226"/>
    <w:rsid w:val="00A50690"/>
    <w:rsid w:val="00A60BAD"/>
    <w:rsid w:val="00A70E9B"/>
    <w:rsid w:val="00A77951"/>
    <w:rsid w:val="00A77F87"/>
    <w:rsid w:val="00A80B5B"/>
    <w:rsid w:val="00A84E36"/>
    <w:rsid w:val="00A86174"/>
    <w:rsid w:val="00A86728"/>
    <w:rsid w:val="00A964D1"/>
    <w:rsid w:val="00A96923"/>
    <w:rsid w:val="00A96D21"/>
    <w:rsid w:val="00AA0ED0"/>
    <w:rsid w:val="00AB3CBC"/>
    <w:rsid w:val="00AB7EB3"/>
    <w:rsid w:val="00AC0177"/>
    <w:rsid w:val="00AC0A0E"/>
    <w:rsid w:val="00AC2B40"/>
    <w:rsid w:val="00AC2BB2"/>
    <w:rsid w:val="00AC2C3C"/>
    <w:rsid w:val="00AC3E63"/>
    <w:rsid w:val="00AC512D"/>
    <w:rsid w:val="00AD0083"/>
    <w:rsid w:val="00AD3935"/>
    <w:rsid w:val="00AE01C5"/>
    <w:rsid w:val="00AE4973"/>
    <w:rsid w:val="00AE65EB"/>
    <w:rsid w:val="00AE67A7"/>
    <w:rsid w:val="00AF1D94"/>
    <w:rsid w:val="00AF60C5"/>
    <w:rsid w:val="00B009C6"/>
    <w:rsid w:val="00B01548"/>
    <w:rsid w:val="00B01BE0"/>
    <w:rsid w:val="00B03ED3"/>
    <w:rsid w:val="00B06484"/>
    <w:rsid w:val="00B11038"/>
    <w:rsid w:val="00B130C5"/>
    <w:rsid w:val="00B13EBD"/>
    <w:rsid w:val="00B1725E"/>
    <w:rsid w:val="00B21D29"/>
    <w:rsid w:val="00B25034"/>
    <w:rsid w:val="00B319E6"/>
    <w:rsid w:val="00B33588"/>
    <w:rsid w:val="00B33863"/>
    <w:rsid w:val="00B36BAD"/>
    <w:rsid w:val="00B36E9E"/>
    <w:rsid w:val="00B37D17"/>
    <w:rsid w:val="00B40C63"/>
    <w:rsid w:val="00B41251"/>
    <w:rsid w:val="00B4175E"/>
    <w:rsid w:val="00B41C85"/>
    <w:rsid w:val="00B452CE"/>
    <w:rsid w:val="00B50B34"/>
    <w:rsid w:val="00B5418E"/>
    <w:rsid w:val="00B54C25"/>
    <w:rsid w:val="00B615CA"/>
    <w:rsid w:val="00B61DCC"/>
    <w:rsid w:val="00B6416B"/>
    <w:rsid w:val="00B75C7B"/>
    <w:rsid w:val="00B76B91"/>
    <w:rsid w:val="00B77EB1"/>
    <w:rsid w:val="00B80666"/>
    <w:rsid w:val="00B811C6"/>
    <w:rsid w:val="00B855B0"/>
    <w:rsid w:val="00B875BE"/>
    <w:rsid w:val="00B92E08"/>
    <w:rsid w:val="00BA2AD2"/>
    <w:rsid w:val="00BA7912"/>
    <w:rsid w:val="00BB31E2"/>
    <w:rsid w:val="00BB3757"/>
    <w:rsid w:val="00BB4F1B"/>
    <w:rsid w:val="00BC3F72"/>
    <w:rsid w:val="00BC622A"/>
    <w:rsid w:val="00BE0A78"/>
    <w:rsid w:val="00BE79F0"/>
    <w:rsid w:val="00BF046D"/>
    <w:rsid w:val="00BF1190"/>
    <w:rsid w:val="00BF3774"/>
    <w:rsid w:val="00BF4AB4"/>
    <w:rsid w:val="00BF5D04"/>
    <w:rsid w:val="00BF5D25"/>
    <w:rsid w:val="00C009AA"/>
    <w:rsid w:val="00C06D01"/>
    <w:rsid w:val="00C1164D"/>
    <w:rsid w:val="00C11AE8"/>
    <w:rsid w:val="00C12F70"/>
    <w:rsid w:val="00C16861"/>
    <w:rsid w:val="00C2003F"/>
    <w:rsid w:val="00C2774E"/>
    <w:rsid w:val="00C31002"/>
    <w:rsid w:val="00C346AB"/>
    <w:rsid w:val="00C34C18"/>
    <w:rsid w:val="00C404A6"/>
    <w:rsid w:val="00C40A36"/>
    <w:rsid w:val="00C4105F"/>
    <w:rsid w:val="00C44419"/>
    <w:rsid w:val="00C45E7B"/>
    <w:rsid w:val="00C471B1"/>
    <w:rsid w:val="00C525A2"/>
    <w:rsid w:val="00C52E24"/>
    <w:rsid w:val="00C6316B"/>
    <w:rsid w:val="00C634A9"/>
    <w:rsid w:val="00C6386A"/>
    <w:rsid w:val="00C64586"/>
    <w:rsid w:val="00C6716D"/>
    <w:rsid w:val="00C70A36"/>
    <w:rsid w:val="00C70D53"/>
    <w:rsid w:val="00C73D0B"/>
    <w:rsid w:val="00C74F5C"/>
    <w:rsid w:val="00C772FF"/>
    <w:rsid w:val="00C80137"/>
    <w:rsid w:val="00C801AF"/>
    <w:rsid w:val="00C80256"/>
    <w:rsid w:val="00C86B12"/>
    <w:rsid w:val="00C907F2"/>
    <w:rsid w:val="00C91DC8"/>
    <w:rsid w:val="00C93487"/>
    <w:rsid w:val="00C94CD4"/>
    <w:rsid w:val="00C9747E"/>
    <w:rsid w:val="00CB2329"/>
    <w:rsid w:val="00CB3F9F"/>
    <w:rsid w:val="00CB6BC0"/>
    <w:rsid w:val="00CB7E75"/>
    <w:rsid w:val="00CC1B7C"/>
    <w:rsid w:val="00CC2293"/>
    <w:rsid w:val="00CC727F"/>
    <w:rsid w:val="00CE3D37"/>
    <w:rsid w:val="00CE59B3"/>
    <w:rsid w:val="00CE751E"/>
    <w:rsid w:val="00CE7985"/>
    <w:rsid w:val="00CF15C3"/>
    <w:rsid w:val="00CF2B6F"/>
    <w:rsid w:val="00CF2F3E"/>
    <w:rsid w:val="00CF33C6"/>
    <w:rsid w:val="00CF3EFF"/>
    <w:rsid w:val="00CF455E"/>
    <w:rsid w:val="00CF58B6"/>
    <w:rsid w:val="00CF5DAD"/>
    <w:rsid w:val="00CF63FD"/>
    <w:rsid w:val="00D0062D"/>
    <w:rsid w:val="00D017ED"/>
    <w:rsid w:val="00D040D3"/>
    <w:rsid w:val="00D04C65"/>
    <w:rsid w:val="00D153D8"/>
    <w:rsid w:val="00D1768E"/>
    <w:rsid w:val="00D201D2"/>
    <w:rsid w:val="00D224FE"/>
    <w:rsid w:val="00D23139"/>
    <w:rsid w:val="00D31C4A"/>
    <w:rsid w:val="00D31E64"/>
    <w:rsid w:val="00D425BB"/>
    <w:rsid w:val="00D453FA"/>
    <w:rsid w:val="00D461F7"/>
    <w:rsid w:val="00D54EBD"/>
    <w:rsid w:val="00D64236"/>
    <w:rsid w:val="00D6493E"/>
    <w:rsid w:val="00D663F2"/>
    <w:rsid w:val="00D710C2"/>
    <w:rsid w:val="00D7195D"/>
    <w:rsid w:val="00D7240E"/>
    <w:rsid w:val="00D7301E"/>
    <w:rsid w:val="00D80071"/>
    <w:rsid w:val="00D83AE1"/>
    <w:rsid w:val="00D855D4"/>
    <w:rsid w:val="00D902C9"/>
    <w:rsid w:val="00D91281"/>
    <w:rsid w:val="00D93466"/>
    <w:rsid w:val="00DA1124"/>
    <w:rsid w:val="00DA13AE"/>
    <w:rsid w:val="00DA64CB"/>
    <w:rsid w:val="00DB06B8"/>
    <w:rsid w:val="00DB6124"/>
    <w:rsid w:val="00DB750B"/>
    <w:rsid w:val="00DB75B7"/>
    <w:rsid w:val="00DC0A2F"/>
    <w:rsid w:val="00DC1948"/>
    <w:rsid w:val="00DC4727"/>
    <w:rsid w:val="00DC5470"/>
    <w:rsid w:val="00DC6E02"/>
    <w:rsid w:val="00DD28CD"/>
    <w:rsid w:val="00DD6402"/>
    <w:rsid w:val="00DE02AE"/>
    <w:rsid w:val="00DE358B"/>
    <w:rsid w:val="00DE39D1"/>
    <w:rsid w:val="00DF1D7F"/>
    <w:rsid w:val="00DF2B84"/>
    <w:rsid w:val="00DF4BE4"/>
    <w:rsid w:val="00DF7B37"/>
    <w:rsid w:val="00E01836"/>
    <w:rsid w:val="00E02382"/>
    <w:rsid w:val="00E02FB4"/>
    <w:rsid w:val="00E13FC7"/>
    <w:rsid w:val="00E140DA"/>
    <w:rsid w:val="00E14525"/>
    <w:rsid w:val="00E15D8D"/>
    <w:rsid w:val="00E20571"/>
    <w:rsid w:val="00E2297B"/>
    <w:rsid w:val="00E235F7"/>
    <w:rsid w:val="00E23659"/>
    <w:rsid w:val="00E239D4"/>
    <w:rsid w:val="00E23ACC"/>
    <w:rsid w:val="00E26130"/>
    <w:rsid w:val="00E2679C"/>
    <w:rsid w:val="00E275C6"/>
    <w:rsid w:val="00E33D42"/>
    <w:rsid w:val="00E36773"/>
    <w:rsid w:val="00E40B22"/>
    <w:rsid w:val="00E44ED1"/>
    <w:rsid w:val="00E45619"/>
    <w:rsid w:val="00E4588F"/>
    <w:rsid w:val="00E46DA3"/>
    <w:rsid w:val="00E51BB1"/>
    <w:rsid w:val="00E55CB0"/>
    <w:rsid w:val="00E624A5"/>
    <w:rsid w:val="00E6495C"/>
    <w:rsid w:val="00E64BA4"/>
    <w:rsid w:val="00E7344E"/>
    <w:rsid w:val="00E82665"/>
    <w:rsid w:val="00E82E64"/>
    <w:rsid w:val="00E87072"/>
    <w:rsid w:val="00E8791D"/>
    <w:rsid w:val="00E93AEE"/>
    <w:rsid w:val="00E96280"/>
    <w:rsid w:val="00E97779"/>
    <w:rsid w:val="00EA16AD"/>
    <w:rsid w:val="00EA1B9C"/>
    <w:rsid w:val="00EB0798"/>
    <w:rsid w:val="00EB0DC3"/>
    <w:rsid w:val="00EB40AD"/>
    <w:rsid w:val="00EB586E"/>
    <w:rsid w:val="00EB5FC8"/>
    <w:rsid w:val="00EC27DA"/>
    <w:rsid w:val="00EC463D"/>
    <w:rsid w:val="00EC7A85"/>
    <w:rsid w:val="00ED2922"/>
    <w:rsid w:val="00ED3CAD"/>
    <w:rsid w:val="00ED5A41"/>
    <w:rsid w:val="00EE178C"/>
    <w:rsid w:val="00EE1DE8"/>
    <w:rsid w:val="00EE27C2"/>
    <w:rsid w:val="00EF119C"/>
    <w:rsid w:val="00EF4BAD"/>
    <w:rsid w:val="00EF59DC"/>
    <w:rsid w:val="00EF5A13"/>
    <w:rsid w:val="00EF7972"/>
    <w:rsid w:val="00F01434"/>
    <w:rsid w:val="00F032F1"/>
    <w:rsid w:val="00F033EC"/>
    <w:rsid w:val="00F03746"/>
    <w:rsid w:val="00F04F68"/>
    <w:rsid w:val="00F11FB0"/>
    <w:rsid w:val="00F12670"/>
    <w:rsid w:val="00F14B27"/>
    <w:rsid w:val="00F274C3"/>
    <w:rsid w:val="00F30846"/>
    <w:rsid w:val="00F3148D"/>
    <w:rsid w:val="00F325C5"/>
    <w:rsid w:val="00F32FE0"/>
    <w:rsid w:val="00F3330D"/>
    <w:rsid w:val="00F33A40"/>
    <w:rsid w:val="00F35298"/>
    <w:rsid w:val="00F47333"/>
    <w:rsid w:val="00F477BD"/>
    <w:rsid w:val="00F47E37"/>
    <w:rsid w:val="00F53C07"/>
    <w:rsid w:val="00F54B65"/>
    <w:rsid w:val="00F55309"/>
    <w:rsid w:val="00F63DBF"/>
    <w:rsid w:val="00F640B6"/>
    <w:rsid w:val="00F6552D"/>
    <w:rsid w:val="00F6574B"/>
    <w:rsid w:val="00F66DF2"/>
    <w:rsid w:val="00F744FC"/>
    <w:rsid w:val="00F80632"/>
    <w:rsid w:val="00F80E40"/>
    <w:rsid w:val="00F848D9"/>
    <w:rsid w:val="00F935DE"/>
    <w:rsid w:val="00F958DB"/>
    <w:rsid w:val="00F95DEC"/>
    <w:rsid w:val="00FA0C3B"/>
    <w:rsid w:val="00FA5069"/>
    <w:rsid w:val="00FA5B82"/>
    <w:rsid w:val="00FA639E"/>
    <w:rsid w:val="00FB4379"/>
    <w:rsid w:val="00FC1FCA"/>
    <w:rsid w:val="00FC25E4"/>
    <w:rsid w:val="00FC29AA"/>
    <w:rsid w:val="00FC4EF7"/>
    <w:rsid w:val="00FC6E30"/>
    <w:rsid w:val="00FD0824"/>
    <w:rsid w:val="00FD119B"/>
    <w:rsid w:val="00FD1EDC"/>
    <w:rsid w:val="00FD276E"/>
    <w:rsid w:val="00FD6865"/>
    <w:rsid w:val="00FE1DEE"/>
    <w:rsid w:val="00FE2B6C"/>
    <w:rsid w:val="00FE4339"/>
    <w:rsid w:val="00FF1918"/>
    <w:rsid w:val="00FF2126"/>
    <w:rsid w:val="00FF3F22"/>
    <w:rsid w:val="00FF5755"/>
    <w:rsid w:val="00FF69BE"/>
    <w:rsid w:val="00FF7B93"/>
    <w:rsid w:val="04AC2BFF"/>
    <w:rsid w:val="06269077"/>
    <w:rsid w:val="092D4D82"/>
    <w:rsid w:val="0BC3491B"/>
    <w:rsid w:val="0C95C455"/>
    <w:rsid w:val="0E137900"/>
    <w:rsid w:val="0E49F2CA"/>
    <w:rsid w:val="0F8B0244"/>
    <w:rsid w:val="0FA3F36A"/>
    <w:rsid w:val="0FC085DE"/>
    <w:rsid w:val="13C8D854"/>
    <w:rsid w:val="140140AC"/>
    <w:rsid w:val="1749C3C1"/>
    <w:rsid w:val="17B0A596"/>
    <w:rsid w:val="17DC1DF9"/>
    <w:rsid w:val="1A816483"/>
    <w:rsid w:val="1D67E73E"/>
    <w:rsid w:val="1DAE36D6"/>
    <w:rsid w:val="1EA076A2"/>
    <w:rsid w:val="1EFC88A5"/>
    <w:rsid w:val="1F08EE4B"/>
    <w:rsid w:val="1F43CCA5"/>
    <w:rsid w:val="22380EE4"/>
    <w:rsid w:val="27C7404C"/>
    <w:rsid w:val="28B92707"/>
    <w:rsid w:val="292E76EA"/>
    <w:rsid w:val="2C43E778"/>
    <w:rsid w:val="2D5691A7"/>
    <w:rsid w:val="2DE97228"/>
    <w:rsid w:val="2EFDCA5C"/>
    <w:rsid w:val="2F934626"/>
    <w:rsid w:val="2FCB8FA6"/>
    <w:rsid w:val="30FDAE56"/>
    <w:rsid w:val="315AD088"/>
    <w:rsid w:val="31799404"/>
    <w:rsid w:val="31C0AFCB"/>
    <w:rsid w:val="32005443"/>
    <w:rsid w:val="3280565A"/>
    <w:rsid w:val="33CC5FB2"/>
    <w:rsid w:val="343E2A89"/>
    <w:rsid w:val="35DB525C"/>
    <w:rsid w:val="36606E06"/>
    <w:rsid w:val="36A39AB3"/>
    <w:rsid w:val="36D659B1"/>
    <w:rsid w:val="376D21B0"/>
    <w:rsid w:val="39819BCC"/>
    <w:rsid w:val="3A7DEE26"/>
    <w:rsid w:val="3AE07D06"/>
    <w:rsid w:val="3C8428FC"/>
    <w:rsid w:val="3E6AE499"/>
    <w:rsid w:val="3F225F8C"/>
    <w:rsid w:val="42D2742F"/>
    <w:rsid w:val="477F059C"/>
    <w:rsid w:val="4B270AFD"/>
    <w:rsid w:val="4BC80DFA"/>
    <w:rsid w:val="4CF08140"/>
    <w:rsid w:val="4CF8F2DD"/>
    <w:rsid w:val="4D6729F0"/>
    <w:rsid w:val="4D7D06B8"/>
    <w:rsid w:val="4EFA2011"/>
    <w:rsid w:val="4FF52E5D"/>
    <w:rsid w:val="50421DA9"/>
    <w:rsid w:val="514B7A11"/>
    <w:rsid w:val="5197616C"/>
    <w:rsid w:val="520F8F0D"/>
    <w:rsid w:val="52C14CC9"/>
    <w:rsid w:val="53873884"/>
    <w:rsid w:val="53D31FDF"/>
    <w:rsid w:val="582A263E"/>
    <w:rsid w:val="5F102D2B"/>
    <w:rsid w:val="608290DD"/>
    <w:rsid w:val="60F46EC7"/>
    <w:rsid w:val="62BBF39E"/>
    <w:rsid w:val="63953CF2"/>
    <w:rsid w:val="6489C8A1"/>
    <w:rsid w:val="652E2CD7"/>
    <w:rsid w:val="653190D9"/>
    <w:rsid w:val="65D87EBA"/>
    <w:rsid w:val="66633D88"/>
    <w:rsid w:val="6849D6A6"/>
    <w:rsid w:val="6895393E"/>
    <w:rsid w:val="6A00C4A5"/>
    <w:rsid w:val="6BAD5B12"/>
    <w:rsid w:val="6C78E561"/>
    <w:rsid w:val="6CC1AEA9"/>
    <w:rsid w:val="6E997B10"/>
    <w:rsid w:val="7012B126"/>
    <w:rsid w:val="71FE5584"/>
    <w:rsid w:val="736766E7"/>
    <w:rsid w:val="754F1EA3"/>
    <w:rsid w:val="761DB7D3"/>
    <w:rsid w:val="765D3C7B"/>
    <w:rsid w:val="76692CEA"/>
    <w:rsid w:val="7735DA40"/>
    <w:rsid w:val="7832B8AE"/>
    <w:rsid w:val="79834ED3"/>
    <w:rsid w:val="79CE890F"/>
    <w:rsid w:val="7A5ABF36"/>
    <w:rsid w:val="7AA9557B"/>
    <w:rsid w:val="7BB640CB"/>
    <w:rsid w:val="7BE0E06D"/>
    <w:rsid w:val="7CC9B1FA"/>
    <w:rsid w:val="7CF9046B"/>
    <w:rsid w:val="7E006B41"/>
    <w:rsid w:val="7F7D90E7"/>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AB69CCA"/>
  <w15:docId w15:val="{585C82D1-7710-4597-8F95-00CA2E29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F274C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752ED5"/>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link w:val="ListParagraphChar"/>
    <w:uiPriority w:val="34"/>
    <w:qFormat/>
    <w:rsid w:val="0039386E"/>
    <w:pPr>
      <w:adjustRightInd w:val="0"/>
      <w:snapToGrid w:val="0"/>
      <w:spacing w:before="180" w:after="180"/>
      <w:ind w:left="720"/>
      <w:contextualSpacing/>
    </w:pPr>
    <w:rPr>
      <w:rFonts w:eastAsia="MS Mincho"/>
      <w:szCs w:val="20"/>
      <w:lang w:eastAsia="ja-JP"/>
    </w:rPr>
  </w:style>
  <w:style w:type="table" w:customStyle="1" w:styleId="TableTGAblue1">
    <w:name w:val="Table TGA blue1"/>
    <w:basedOn w:val="TableNormal"/>
    <w:uiPriority w:val="99"/>
    <w:qFormat/>
    <w:rsid w:val="0039386E"/>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character" w:customStyle="1" w:styleId="ListParagraphChar">
    <w:name w:val="List Paragraph Char"/>
    <w:basedOn w:val="DefaultParagraphFont"/>
    <w:link w:val="ListParagraph"/>
    <w:uiPriority w:val="34"/>
    <w:rsid w:val="0039386E"/>
    <w:rPr>
      <w:rFonts w:ascii="Cambria" w:eastAsia="MS Mincho" w:hAnsi="Cambria" w:cs="Times New Roman"/>
      <w:szCs w:val="20"/>
      <w:lang w:eastAsia="ja-JP"/>
    </w:rPr>
  </w:style>
  <w:style w:type="character" w:customStyle="1" w:styleId="TabletextChar">
    <w:name w:val="Table text Char"/>
    <w:basedOn w:val="DefaultParagraphFont"/>
    <w:link w:val="Tabletext"/>
    <w:rsid w:val="0039386E"/>
    <w:rPr>
      <w:rFonts w:ascii="Cambria" w:eastAsia="Cambria" w:hAnsi="Cambria" w:cs="Times New Roman"/>
      <w:sz w:val="19"/>
    </w:rPr>
  </w:style>
  <w:style w:type="character" w:customStyle="1" w:styleId="Heading8Char">
    <w:name w:val="Heading 8 Char"/>
    <w:basedOn w:val="DefaultParagraphFont"/>
    <w:link w:val="Heading8"/>
    <w:uiPriority w:val="9"/>
    <w:semiHidden/>
    <w:rsid w:val="00F274C3"/>
    <w:rPr>
      <w:rFonts w:asciiTheme="majorHAnsi" w:eastAsiaTheme="majorEastAsia" w:hAnsiTheme="majorHAnsi" w:cstheme="majorBidi"/>
      <w:color w:val="272727" w:themeColor="text1" w:themeTint="D8"/>
      <w:sz w:val="21"/>
      <w:szCs w:val="21"/>
    </w:rPr>
  </w:style>
  <w:style w:type="character" w:styleId="Strong">
    <w:name w:val="Strong"/>
    <w:basedOn w:val="DefaultParagraphFont"/>
    <w:uiPriority w:val="22"/>
    <w:qFormat/>
    <w:rsid w:val="000E62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11786">
      <w:bodyDiv w:val="1"/>
      <w:marLeft w:val="0"/>
      <w:marRight w:val="0"/>
      <w:marTop w:val="0"/>
      <w:marBottom w:val="0"/>
      <w:divBdr>
        <w:top w:val="none" w:sz="0" w:space="0" w:color="auto"/>
        <w:left w:val="none" w:sz="0" w:space="0" w:color="auto"/>
        <w:bottom w:val="none" w:sz="0" w:space="0" w:color="auto"/>
        <w:right w:val="none" w:sz="0" w:space="0" w:color="auto"/>
      </w:divBdr>
    </w:div>
    <w:div w:id="311452085">
      <w:bodyDiv w:val="1"/>
      <w:marLeft w:val="0"/>
      <w:marRight w:val="0"/>
      <w:marTop w:val="0"/>
      <w:marBottom w:val="0"/>
      <w:divBdr>
        <w:top w:val="none" w:sz="0" w:space="0" w:color="auto"/>
        <w:left w:val="none" w:sz="0" w:space="0" w:color="auto"/>
        <w:bottom w:val="none" w:sz="0" w:space="0" w:color="auto"/>
        <w:right w:val="none" w:sz="0" w:space="0" w:color="auto"/>
      </w:divBdr>
    </w:div>
    <w:div w:id="893807400">
      <w:bodyDiv w:val="1"/>
      <w:marLeft w:val="0"/>
      <w:marRight w:val="0"/>
      <w:marTop w:val="0"/>
      <w:marBottom w:val="0"/>
      <w:divBdr>
        <w:top w:val="none" w:sz="0" w:space="0" w:color="auto"/>
        <w:left w:val="none" w:sz="0" w:space="0" w:color="auto"/>
        <w:bottom w:val="none" w:sz="0" w:space="0" w:color="auto"/>
        <w:right w:val="none" w:sz="0" w:space="0" w:color="auto"/>
      </w:divBdr>
      <w:divsChild>
        <w:div w:id="1467629200">
          <w:marLeft w:val="0"/>
          <w:marRight w:val="0"/>
          <w:marTop w:val="0"/>
          <w:marBottom w:val="0"/>
          <w:divBdr>
            <w:top w:val="none" w:sz="0" w:space="0" w:color="auto"/>
            <w:left w:val="none" w:sz="0" w:space="0" w:color="auto"/>
            <w:bottom w:val="none" w:sz="0" w:space="0" w:color="auto"/>
            <w:right w:val="none" w:sz="0" w:space="0" w:color="auto"/>
          </w:divBdr>
          <w:divsChild>
            <w:div w:id="282078507">
              <w:marLeft w:val="0"/>
              <w:marRight w:val="0"/>
              <w:marTop w:val="0"/>
              <w:marBottom w:val="0"/>
              <w:divBdr>
                <w:top w:val="none" w:sz="0" w:space="0" w:color="auto"/>
                <w:left w:val="none" w:sz="0" w:space="0" w:color="auto"/>
                <w:bottom w:val="none" w:sz="0" w:space="0" w:color="auto"/>
                <w:right w:val="none" w:sz="0" w:space="0" w:color="auto"/>
              </w:divBdr>
            </w:div>
            <w:div w:id="188378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65">
      <w:bodyDiv w:val="1"/>
      <w:marLeft w:val="0"/>
      <w:marRight w:val="0"/>
      <w:marTop w:val="0"/>
      <w:marBottom w:val="0"/>
      <w:divBdr>
        <w:top w:val="none" w:sz="0" w:space="0" w:color="auto"/>
        <w:left w:val="none" w:sz="0" w:space="0" w:color="auto"/>
        <w:bottom w:val="none" w:sz="0" w:space="0" w:color="auto"/>
        <w:right w:val="none" w:sz="0" w:space="0" w:color="auto"/>
      </w:divBdr>
    </w:div>
    <w:div w:id="1903523585">
      <w:bodyDiv w:val="1"/>
      <w:marLeft w:val="0"/>
      <w:marRight w:val="0"/>
      <w:marTop w:val="0"/>
      <w:marBottom w:val="0"/>
      <w:divBdr>
        <w:top w:val="none" w:sz="0" w:space="0" w:color="auto"/>
        <w:left w:val="none" w:sz="0" w:space="0" w:color="auto"/>
        <w:bottom w:val="none" w:sz="0" w:space="0" w:color="auto"/>
        <w:right w:val="none" w:sz="0" w:space="0" w:color="auto"/>
      </w:divBdr>
    </w:div>
    <w:div w:id="1942761991">
      <w:bodyDiv w:val="1"/>
      <w:marLeft w:val="0"/>
      <w:marRight w:val="0"/>
      <w:marTop w:val="0"/>
      <w:marBottom w:val="0"/>
      <w:divBdr>
        <w:top w:val="none" w:sz="0" w:space="0" w:color="auto"/>
        <w:left w:val="none" w:sz="0" w:space="0" w:color="auto"/>
        <w:bottom w:val="none" w:sz="0" w:space="0" w:color="auto"/>
        <w:right w:val="none" w:sz="0" w:space="0" w:color="auto"/>
      </w:divBdr>
      <w:divsChild>
        <w:div w:id="622032901">
          <w:marLeft w:val="0"/>
          <w:marRight w:val="0"/>
          <w:marTop w:val="0"/>
          <w:marBottom w:val="0"/>
          <w:divBdr>
            <w:top w:val="none" w:sz="0" w:space="0" w:color="auto"/>
            <w:left w:val="none" w:sz="0" w:space="0" w:color="auto"/>
            <w:bottom w:val="none" w:sz="0" w:space="0" w:color="auto"/>
            <w:right w:val="none" w:sz="0" w:space="0" w:color="auto"/>
          </w:divBdr>
          <w:divsChild>
            <w:div w:id="2031032413">
              <w:marLeft w:val="0"/>
              <w:marRight w:val="0"/>
              <w:marTop w:val="0"/>
              <w:marBottom w:val="0"/>
              <w:divBdr>
                <w:top w:val="none" w:sz="0" w:space="0" w:color="auto"/>
                <w:left w:val="none" w:sz="0" w:space="0" w:color="auto"/>
                <w:bottom w:val="none" w:sz="0" w:space="0" w:color="auto"/>
                <w:right w:val="none" w:sz="0" w:space="0" w:color="auto"/>
              </w:divBdr>
            </w:div>
            <w:div w:id="63872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ga.gov.au" TargetMode="External"/><Relationship Id="rId18" Type="http://schemas.openxmlformats.org/officeDocument/2006/relationships/header" Target="header3.xml"/><Relationship Id="rId26" Type="http://schemas.openxmlformats.org/officeDocument/2006/relationships/header" Target="header6.xml"/><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footer" Target="footer6.xml"/><Relationship Id="rId7" Type="http://schemas.openxmlformats.org/officeDocument/2006/relationships/styles" Target="styles.xml"/><Relationship Id="rId12" Type="http://schemas.openxmlformats.org/officeDocument/2006/relationships/hyperlink" Target="https://www.tga.gov.au" TargetMode="Externa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eader" Target="header9.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tga.gov.au" TargetMode="External"/><Relationship Id="rId29" Type="http://schemas.openxmlformats.org/officeDocument/2006/relationships/hyperlink" Target="mailto:tga.copyright@tg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4.png"/><Relationship Id="rId28" Type="http://schemas.openxmlformats.org/officeDocument/2006/relationships/hyperlink" Target="https://www.tga.gov.au/product-information-pi"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header" Target="header7.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YIN\AppData\Local\Hewlett-Packard\HP%20TRIM\TEMP\HPTRIM.80740\D19-5975236%20%20AusPAR%20-%20template%20-%20streamlined.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2.xml><?xml version="1.0" encoding="utf-8"?>
<?mso-contentType ?>
<SharedContentType xmlns="Microsoft.SharePoint.Taxonomy.ContentTypeSync" SourceId="1ee89e71-04cd-405e-9ca3-99e020c1694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C9D4D12498F0642A5050020FB90CFA1" ma:contentTypeVersion="6" ma:contentTypeDescription="Create a new document." ma:contentTypeScope="" ma:versionID="7443847ff052808b8062ae1923c5e61e">
  <xsd:schema xmlns:xsd="http://www.w3.org/2001/XMLSchema" xmlns:xs="http://www.w3.org/2001/XMLSchema" xmlns:p="http://schemas.microsoft.com/office/2006/metadata/properties" xmlns:ns2="44a56295-c29e-4898-8136-a54736c65b82" xmlns:ns3="6715f677-12f8-4f62-bddc-d66b7656d920" targetNamespace="http://schemas.microsoft.com/office/2006/metadata/properties" ma:root="true" ma:fieldsID="64390ab75f8ff1771e9f803babd8a017" ns2:_="" ns3:_="">
    <xsd:import namespace="44a56295-c29e-4898-8136-a54736c65b82"/>
    <xsd:import namespace="6715f677-12f8-4f62-bddc-d66b7656d920"/>
    <xsd:element name="properties">
      <xsd:complexType>
        <xsd:sequence>
          <xsd:element name="documentManagement">
            <xsd:complexType>
              <xsd:all>
                <xsd:element ref="ns2:Descriptions" minOccurs="0"/>
                <xsd:element ref="ns2:Keywor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15f677-12f8-4f62-bddc-d66b7656d9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40DA8-E383-407C-A400-D8839B648C7A}">
  <ds:schemaRefs>
    <ds:schemaRef ds:uri="http://schemas.microsoft.com/office/infopath/2007/PartnerControls"/>
    <ds:schemaRef ds:uri="http://purl.org/dc/elements/1.1/"/>
    <ds:schemaRef ds:uri="http://schemas.microsoft.com/office/2006/metadata/properties"/>
    <ds:schemaRef ds:uri="44a56295-c29e-4898-8136-a54736c65b82"/>
    <ds:schemaRef ds:uri="http://purl.org/dc/terms/"/>
    <ds:schemaRef ds:uri="http://schemas.openxmlformats.org/package/2006/metadata/core-properties"/>
    <ds:schemaRef ds:uri="http://schemas.microsoft.com/office/2006/documentManagement/types"/>
    <ds:schemaRef ds:uri="6715f677-12f8-4f62-bddc-d66b7656d920"/>
    <ds:schemaRef ds:uri="http://www.w3.org/XML/1998/namespace"/>
    <ds:schemaRef ds:uri="http://purl.org/dc/dcmitype/"/>
  </ds:schemaRefs>
</ds:datastoreItem>
</file>

<file path=customXml/itemProps2.xml><?xml version="1.0" encoding="utf-8"?>
<ds:datastoreItem xmlns:ds="http://schemas.openxmlformats.org/officeDocument/2006/customXml" ds:itemID="{248A4801-849C-418C-96D7-C92486BC57C7}">
  <ds:schemaRefs>
    <ds:schemaRef ds:uri="Microsoft.SharePoint.Taxonomy.ContentTypeSync"/>
  </ds:schemaRefs>
</ds:datastoreItem>
</file>

<file path=customXml/itemProps3.xml><?xml version="1.0" encoding="utf-8"?>
<ds:datastoreItem xmlns:ds="http://schemas.openxmlformats.org/officeDocument/2006/customXml" ds:itemID="{7EAC1AE2-91D3-4301-A19C-A9B43B1E2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6715f677-12f8-4f62-bddc-d66b7656d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4B14AE-BBD2-47A3-8BAF-D9C6DBB3CBA4}">
  <ds:schemaRefs>
    <ds:schemaRef ds:uri="http://schemas.microsoft.com/sharepoint/v3/contenttype/forms"/>
  </ds:schemaRefs>
</ds:datastoreItem>
</file>

<file path=customXml/itemProps5.xml><?xml version="1.0" encoding="utf-8"?>
<ds:datastoreItem xmlns:ds="http://schemas.openxmlformats.org/officeDocument/2006/customXml" ds:itemID="{5DB44EC8-6D1E-44DB-8CCE-E02EEE836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D19-5975236  AusPAR - template - streamlined.DOTX</Template>
  <TotalTime>158</TotalTime>
  <Pages>36</Pages>
  <Words>11029</Words>
  <Characters>58677</Characters>
  <Application>Microsoft Office Word</Application>
  <DocSecurity>0</DocSecurity>
  <Lines>2444</Lines>
  <Paragraphs>1883</Paragraphs>
  <ScaleCrop>false</ScaleCrop>
  <HeadingPairs>
    <vt:vector size="2" baseType="variant">
      <vt:variant>
        <vt:lpstr>Title</vt:lpstr>
      </vt:variant>
      <vt:variant>
        <vt:i4>1</vt:i4>
      </vt:variant>
    </vt:vector>
  </HeadingPairs>
  <TitlesOfParts>
    <vt:vector size="1" baseType="lpstr">
      <vt:lpstr>Australian public assessment report for Durvalumab</vt:lpstr>
    </vt:vector>
  </TitlesOfParts>
  <Company>Department of Health Therapeutic Goods Administration</Company>
  <LinksUpToDate>false</LinksUpToDate>
  <CharactersWithSpaces>67823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Durvalumab</dc:title>
  <dc:subject>prescription medicines</dc:subject>
  <dc:creator>Therapeutic Goods Administration</dc:creator>
  <cp:keywords/>
  <cp:lastModifiedBy>LACK, Janet</cp:lastModifiedBy>
  <cp:revision>2</cp:revision>
  <cp:lastPrinted>2019-08-14T04:30:00Z</cp:lastPrinted>
  <dcterms:created xsi:type="dcterms:W3CDTF">2021-04-18T23:39:00Z</dcterms:created>
  <dcterms:modified xsi:type="dcterms:W3CDTF">2021-05-20T05:30:00Z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0x0101002C9D4D12498F0642A5050020FB90CFA1</vt:lpwstr>
  </property>
</Properties>
</file>