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62" w:rsidRPr="009B2F62" w:rsidRDefault="00A17E41" w:rsidP="00ED0853">
      <w:pPr>
        <w:tabs>
          <w:tab w:val="left" w:pos="284"/>
        </w:tabs>
        <w:spacing w:before="0" w:after="480"/>
        <w:rPr>
          <w:rFonts w:ascii="Calibri Light" w:hAnsi="Calibri Light"/>
        </w:rPr>
      </w:pPr>
      <w:bookmarkStart w:id="0" w:name="_Toc456606924"/>
      <w:bookmarkStart w:id="1" w:name="_GoBack"/>
      <w:bookmarkEnd w:id="1"/>
      <w:r>
        <w:rPr>
          <w:noProof/>
          <w:lang w:val="en-AU" w:eastAsia="en-AU"/>
        </w:rPr>
        <mc:AlternateContent>
          <mc:Choice Requires="wps">
            <w:drawing>
              <wp:inline distT="0" distB="0" distL="0" distR="0">
                <wp:extent cx="252095" cy="41402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2F62" w:rsidRPr="00BE2A26" w:rsidRDefault="009B2F62" w:rsidP="009B2F62">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3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" stroked="f">
                <v:textbox inset="0,0,0,0">
                  <w:txbxContent>
                    <w:p w:rsidR="009B2F62" w:rsidRPr="00BE2A26" w:rsidRDefault="009B2F62" w:rsidP="009B2F62">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009B2F62" w:rsidRPr="00ED0853">
        <w:rPr>
          <w:rFonts w:ascii="Cambria" w:hAnsi="Cambria"/>
        </w:rPr>
        <w:t xml:space="preserve">This medicinal product is subject to additional monitoring in Australia. This will allow quick identification of new safety information. Healthcare professionals are asked to report any suspected adverse events at </w:t>
      </w:r>
      <w:r w:rsidR="009B2F62" w:rsidRPr="001A3761">
        <w:rPr>
          <w:rFonts w:ascii="Cambria" w:hAnsi="Cambria"/>
        </w:rPr>
        <w:t>www.tga.gov.au/reporting-problems</w:t>
      </w:r>
      <w:r w:rsidR="009B2F62" w:rsidRPr="009B2F62">
        <w:rPr>
          <w:rFonts w:ascii="Calibri Light" w:hAnsi="Calibri Light"/>
        </w:rPr>
        <w:t>.</w:t>
      </w:r>
    </w:p>
    <w:p w:rsidR="00414CFA" w:rsidRPr="00A953D0" w:rsidRDefault="00E43F3A" w:rsidP="00ED0853">
      <w:pPr>
        <w:pStyle w:val="Heading1"/>
        <w:pageBreakBefore w:val="0"/>
        <w:numPr>
          <w:ilvl w:val="0"/>
          <w:numId w:val="0"/>
        </w:numPr>
        <w:spacing w:before="0"/>
        <w:rPr>
          <w:rFonts w:ascii="Cambria" w:hAnsi="Cambria"/>
        </w:rPr>
      </w:pPr>
      <w:r w:rsidRPr="00A953D0">
        <w:rPr>
          <w:rFonts w:ascii="Cambria" w:hAnsi="Cambria"/>
        </w:rPr>
        <w:t xml:space="preserve">Australian </w:t>
      </w:r>
      <w:r w:rsidR="00414CFA" w:rsidRPr="00A953D0">
        <w:rPr>
          <w:rFonts w:ascii="Cambria" w:hAnsi="Cambria"/>
        </w:rPr>
        <w:t>PRODUCT INFORMATION</w:t>
      </w:r>
      <w:r w:rsidR="00A953D0" w:rsidRPr="00A953D0">
        <w:rPr>
          <w:rFonts w:ascii="Cambria" w:hAnsi="Cambria"/>
        </w:rPr>
        <w:t xml:space="preserve"> - </w:t>
      </w:r>
      <w:r w:rsidR="008821D3" w:rsidRPr="00A953D0">
        <w:rPr>
          <w:rFonts w:ascii="Cambria" w:hAnsi="Cambria"/>
        </w:rPr>
        <w:t>DUPIXENT</w:t>
      </w:r>
      <w:r w:rsidR="00414CFA" w:rsidRPr="00A953D0">
        <w:rPr>
          <w:rFonts w:ascii="Cambria" w:hAnsi="Cambria"/>
          <w:vertAlign w:val="superscript"/>
        </w:rPr>
        <w:t>®</w:t>
      </w:r>
    </w:p>
    <w:p w:rsidR="000E1B95" w:rsidRPr="00A953D0" w:rsidRDefault="00BC52A5" w:rsidP="00E43F3A">
      <w:pPr>
        <w:pStyle w:val="Heading1"/>
        <w:pageBreakBefore w:val="0"/>
        <w:rPr>
          <w:rFonts w:ascii="Cambria" w:hAnsi="Cambria"/>
        </w:rPr>
      </w:pPr>
      <w:r w:rsidRPr="00A953D0">
        <w:rPr>
          <w:rFonts w:ascii="Cambria" w:hAnsi="Cambria"/>
        </w:rPr>
        <w:t xml:space="preserve">Name of </w:t>
      </w:r>
      <w:r w:rsidR="0048703B" w:rsidRPr="00A953D0">
        <w:rPr>
          <w:rFonts w:ascii="Cambria" w:hAnsi="Cambria"/>
        </w:rPr>
        <w:t xml:space="preserve">THE </w:t>
      </w:r>
      <w:r w:rsidRPr="00A953D0">
        <w:rPr>
          <w:rFonts w:ascii="Cambria" w:hAnsi="Cambria"/>
        </w:rPr>
        <w:t>medicine</w:t>
      </w:r>
      <w:bookmarkEnd w:id="0"/>
    </w:p>
    <w:p w:rsidR="00BC52A5" w:rsidRPr="00A953D0" w:rsidRDefault="00BC52A5" w:rsidP="00BC52A5">
      <w:pPr>
        <w:pStyle w:val="Heading2"/>
        <w:numPr>
          <w:ilvl w:val="0"/>
          <w:numId w:val="0"/>
        </w:numPr>
        <w:rPr>
          <w:rFonts w:ascii="Cambria" w:hAnsi="Cambria"/>
        </w:rPr>
      </w:pPr>
      <w:bookmarkStart w:id="2" w:name="_Toc456606925"/>
      <w:r w:rsidRPr="00A953D0">
        <w:rPr>
          <w:rFonts w:ascii="Cambria" w:hAnsi="Cambria"/>
        </w:rPr>
        <w:t>AUSTRALIAN APP</w:t>
      </w:r>
      <w:r w:rsidR="00590004" w:rsidRPr="00A953D0">
        <w:rPr>
          <w:rFonts w:ascii="Cambria" w:hAnsi="Cambria"/>
        </w:rPr>
        <w:t>r</w:t>
      </w:r>
      <w:r w:rsidRPr="00A953D0">
        <w:rPr>
          <w:rFonts w:ascii="Cambria" w:hAnsi="Cambria"/>
        </w:rPr>
        <w:t>OVED NAME</w:t>
      </w:r>
      <w:bookmarkEnd w:id="2"/>
    </w:p>
    <w:p w:rsidR="00BC52A5" w:rsidRPr="00A953D0" w:rsidRDefault="00294C5E" w:rsidP="00BC52A5">
      <w:pPr>
        <w:rPr>
          <w:rFonts w:ascii="Cambria" w:hAnsi="Cambria"/>
        </w:rPr>
      </w:pPr>
      <w:proofErr w:type="spellStart"/>
      <w:r w:rsidRPr="00A953D0">
        <w:rPr>
          <w:rFonts w:ascii="Cambria" w:hAnsi="Cambria"/>
        </w:rPr>
        <w:t>Dupilumab</w:t>
      </w:r>
      <w:proofErr w:type="spellEnd"/>
    </w:p>
    <w:p w:rsidR="00E43F3A" w:rsidRPr="00A953D0" w:rsidRDefault="00E43F3A" w:rsidP="00E43F3A">
      <w:pPr>
        <w:pStyle w:val="Heading1"/>
        <w:pageBreakBefore w:val="0"/>
        <w:rPr>
          <w:rFonts w:ascii="Cambria" w:hAnsi="Cambria"/>
        </w:rPr>
      </w:pPr>
      <w:r w:rsidRPr="00A953D0">
        <w:rPr>
          <w:rFonts w:ascii="Cambria" w:hAnsi="Cambria"/>
        </w:rPr>
        <w:t>QUALITATIVE AND QUANTITATIVE COMPOSITION</w:t>
      </w:r>
    </w:p>
    <w:p w:rsidR="0005735D" w:rsidRPr="00A953D0" w:rsidRDefault="0005735D" w:rsidP="009B22A1">
      <w:pPr>
        <w:rPr>
          <w:rFonts w:ascii="Cambria" w:hAnsi="Cambria"/>
        </w:rPr>
      </w:pPr>
      <w:r w:rsidRPr="00A953D0">
        <w:rPr>
          <w:rFonts w:ascii="Cambria" w:hAnsi="Cambria"/>
        </w:rPr>
        <w:t xml:space="preserve">Each pre-filled syringe is designed to deliver 300 mg </w:t>
      </w:r>
      <w:proofErr w:type="spellStart"/>
      <w:r w:rsidRPr="00A953D0">
        <w:rPr>
          <w:rFonts w:ascii="Cambria" w:hAnsi="Cambria"/>
        </w:rPr>
        <w:t>dupilumab</w:t>
      </w:r>
      <w:proofErr w:type="spellEnd"/>
      <w:r w:rsidRPr="00A953D0">
        <w:rPr>
          <w:rFonts w:ascii="Cambria" w:hAnsi="Cambria"/>
        </w:rPr>
        <w:t xml:space="preserve"> in 2 mL (150 mg/mL solution). It is supplied as a single-use pre-filled syringe with or without needle shield.</w:t>
      </w:r>
    </w:p>
    <w:p w:rsidR="009B22A1" w:rsidRPr="00A953D0" w:rsidRDefault="009031DB" w:rsidP="009B22A1">
      <w:pPr>
        <w:rPr>
          <w:rFonts w:ascii="Cambria" w:hAnsi="Cambria"/>
        </w:rPr>
      </w:pPr>
      <w:proofErr w:type="spellStart"/>
      <w:r w:rsidRPr="00A953D0">
        <w:rPr>
          <w:rFonts w:ascii="Cambria" w:hAnsi="Cambria"/>
        </w:rPr>
        <w:t>Dupixent</w:t>
      </w:r>
      <w:proofErr w:type="spellEnd"/>
      <w:r w:rsidR="00653269" w:rsidRPr="00A953D0">
        <w:rPr>
          <w:rFonts w:ascii="Cambria" w:hAnsi="Cambria"/>
        </w:rPr>
        <w:t xml:space="preserve"> </w:t>
      </w:r>
      <w:r w:rsidR="009B22A1" w:rsidRPr="00A953D0">
        <w:rPr>
          <w:rFonts w:ascii="Cambria" w:hAnsi="Cambria"/>
        </w:rPr>
        <w:t>is a fully human monoclonal antibody that</w:t>
      </w:r>
      <w:r w:rsidR="00EA0659" w:rsidRPr="00A953D0">
        <w:rPr>
          <w:rFonts w:ascii="Cambria" w:hAnsi="Cambria"/>
        </w:rPr>
        <w:t xml:space="preserve"> inhibits interleukin-4 and interleukin-13 signaling by </w:t>
      </w:r>
      <w:r w:rsidR="009B22A1" w:rsidRPr="00A953D0">
        <w:rPr>
          <w:rFonts w:ascii="Cambria" w:hAnsi="Cambria"/>
        </w:rPr>
        <w:t xml:space="preserve">specifically </w:t>
      </w:r>
      <w:r w:rsidR="00EA0659" w:rsidRPr="00A953D0">
        <w:rPr>
          <w:rFonts w:ascii="Cambria" w:hAnsi="Cambria"/>
        </w:rPr>
        <w:t xml:space="preserve">binding </w:t>
      </w:r>
      <w:r w:rsidR="009B22A1" w:rsidRPr="00A953D0">
        <w:rPr>
          <w:rFonts w:ascii="Cambria" w:hAnsi="Cambria"/>
        </w:rPr>
        <w:t>to the IL-4Rα subunit of the IL-4 and IL-13 receptor complex</w:t>
      </w:r>
      <w:r w:rsidR="00CC033F" w:rsidRPr="00A953D0">
        <w:rPr>
          <w:rFonts w:ascii="Cambria" w:hAnsi="Cambria"/>
        </w:rPr>
        <w:t>es</w:t>
      </w:r>
      <w:r w:rsidR="009B22A1" w:rsidRPr="00A953D0">
        <w:rPr>
          <w:rFonts w:ascii="Cambria" w:hAnsi="Cambria"/>
        </w:rPr>
        <w:t xml:space="preserve">. </w:t>
      </w:r>
      <w:proofErr w:type="spellStart"/>
      <w:r w:rsidRPr="00A953D0">
        <w:rPr>
          <w:rFonts w:ascii="Cambria" w:hAnsi="Cambria"/>
        </w:rPr>
        <w:t>Dupixent</w:t>
      </w:r>
      <w:proofErr w:type="spellEnd"/>
      <w:r w:rsidR="00CF7968" w:rsidRPr="00A953D0">
        <w:rPr>
          <w:rFonts w:ascii="Cambria" w:hAnsi="Cambria"/>
        </w:rPr>
        <w:t xml:space="preserve"> </w:t>
      </w:r>
      <w:r w:rsidR="009B22A1" w:rsidRPr="00A953D0">
        <w:rPr>
          <w:rFonts w:ascii="Cambria" w:hAnsi="Cambria"/>
        </w:rPr>
        <w:t>inhibits IL-4 signaling via the Type I receptor (IL 4Rα/</w:t>
      </w:r>
      <w:proofErr w:type="spellStart"/>
      <w:r w:rsidR="009B22A1" w:rsidRPr="00A953D0">
        <w:rPr>
          <w:rFonts w:ascii="Cambria" w:hAnsi="Cambria"/>
        </w:rPr>
        <w:t>γc</w:t>
      </w:r>
      <w:proofErr w:type="spellEnd"/>
      <w:r w:rsidR="009B22A1" w:rsidRPr="00A953D0">
        <w:rPr>
          <w:rFonts w:ascii="Cambria" w:hAnsi="Cambria"/>
        </w:rPr>
        <w:t>), and both IL-4 and IL 13 signaling through the Type II receptor (IL-4Rα/IL-13Rα).</w:t>
      </w:r>
    </w:p>
    <w:p w:rsidR="009B22A1" w:rsidRPr="00A953D0" w:rsidRDefault="009B22A1" w:rsidP="009B22A1">
      <w:pPr>
        <w:rPr>
          <w:rFonts w:ascii="Cambria" w:hAnsi="Cambria"/>
        </w:rPr>
      </w:pPr>
      <w:proofErr w:type="spellStart"/>
      <w:r w:rsidRPr="00A953D0">
        <w:rPr>
          <w:rFonts w:ascii="Cambria" w:hAnsi="Cambria"/>
        </w:rPr>
        <w:t>Dupilumab</w:t>
      </w:r>
      <w:proofErr w:type="spellEnd"/>
      <w:r w:rsidRPr="00A953D0">
        <w:rPr>
          <w:rFonts w:ascii="Cambria" w:hAnsi="Cambria"/>
        </w:rPr>
        <w:t xml:space="preserve"> is produced by recombinant DNA technology in Chinese Hamster Ovary cell suspension culture. </w:t>
      </w:r>
    </w:p>
    <w:p w:rsidR="00E43F3A" w:rsidRPr="00A953D0" w:rsidRDefault="00760408" w:rsidP="009B22A1">
      <w:pPr>
        <w:rPr>
          <w:rFonts w:ascii="Cambria" w:hAnsi="Cambria"/>
        </w:rPr>
      </w:pPr>
      <w:r w:rsidRPr="00A953D0">
        <w:rPr>
          <w:rFonts w:ascii="Cambria" w:hAnsi="Cambria"/>
        </w:rPr>
        <w:t>For the full list of excipients, see Section 6.1 List of excipients.</w:t>
      </w:r>
      <w:r w:rsidR="00170FF1" w:rsidRPr="00A953D0">
        <w:rPr>
          <w:rFonts w:ascii="Cambria" w:hAnsi="Cambria"/>
        </w:rPr>
        <w:t xml:space="preserve"> </w:t>
      </w:r>
    </w:p>
    <w:p w:rsidR="00760408" w:rsidRPr="00A953D0" w:rsidRDefault="00760408" w:rsidP="00760408">
      <w:pPr>
        <w:pStyle w:val="Heading1"/>
        <w:pageBreakBefore w:val="0"/>
        <w:rPr>
          <w:rFonts w:ascii="Cambria" w:hAnsi="Cambria"/>
        </w:rPr>
      </w:pPr>
      <w:r w:rsidRPr="00A953D0">
        <w:rPr>
          <w:rFonts w:ascii="Cambria" w:hAnsi="Cambria"/>
        </w:rPr>
        <w:t>PHARMACEUTICAL FORM</w:t>
      </w:r>
    </w:p>
    <w:p w:rsidR="00760408" w:rsidRPr="00A953D0" w:rsidRDefault="00760408" w:rsidP="00760408">
      <w:pPr>
        <w:rPr>
          <w:rFonts w:ascii="Cambria" w:hAnsi="Cambria"/>
        </w:rPr>
      </w:pPr>
      <w:proofErr w:type="spellStart"/>
      <w:r w:rsidRPr="00A953D0">
        <w:rPr>
          <w:rFonts w:ascii="Cambria" w:hAnsi="Cambria"/>
        </w:rPr>
        <w:t>Dupixent</w:t>
      </w:r>
      <w:proofErr w:type="spellEnd"/>
      <w:r w:rsidRPr="00A953D0">
        <w:rPr>
          <w:rFonts w:ascii="Cambria" w:hAnsi="Cambria"/>
        </w:rPr>
        <w:t xml:space="preserve"> is supplied as a sterile, preservative-free, clear to slightly opalescent, colorless to pale yellow solution for subcutaneous injection which is free from visible particulates.</w:t>
      </w:r>
    </w:p>
    <w:p w:rsidR="00760408" w:rsidRPr="00A953D0" w:rsidRDefault="00760408" w:rsidP="00760408">
      <w:pPr>
        <w:pStyle w:val="Heading1"/>
        <w:pageBreakBefore w:val="0"/>
        <w:rPr>
          <w:rFonts w:ascii="Cambria" w:hAnsi="Cambria"/>
        </w:rPr>
      </w:pPr>
      <w:bookmarkStart w:id="3" w:name="_Toc456606929"/>
      <w:r w:rsidRPr="00A953D0">
        <w:rPr>
          <w:rFonts w:ascii="Cambria" w:hAnsi="Cambria"/>
        </w:rPr>
        <w:lastRenderedPageBreak/>
        <w:t>CLINICAL PARTICULARS</w:t>
      </w:r>
    </w:p>
    <w:p w:rsidR="00760408" w:rsidRPr="00A953D0" w:rsidRDefault="00760408" w:rsidP="00760408">
      <w:pPr>
        <w:pStyle w:val="Heading2"/>
        <w:rPr>
          <w:rFonts w:ascii="Cambria" w:hAnsi="Cambria"/>
        </w:rPr>
      </w:pPr>
      <w:r w:rsidRPr="00A953D0">
        <w:rPr>
          <w:rFonts w:ascii="Cambria" w:hAnsi="Cambria"/>
        </w:rPr>
        <w:t>THERAPEUTIC INDICATIONS</w:t>
      </w:r>
    </w:p>
    <w:p w:rsidR="00760408" w:rsidRPr="00583830" w:rsidRDefault="0012540A" w:rsidP="00760408">
      <w:pPr>
        <w:rPr>
          <w:rFonts w:ascii="Cambria" w:hAnsi="Cambria"/>
          <w:color w:val="auto"/>
        </w:rPr>
      </w:pPr>
      <w:proofErr w:type="spellStart"/>
      <w:r w:rsidRPr="00583830">
        <w:rPr>
          <w:rFonts w:ascii="Cambria" w:hAnsi="Cambria"/>
          <w:color w:val="auto"/>
        </w:rPr>
        <w:t>Dupixent</w:t>
      </w:r>
      <w:proofErr w:type="spellEnd"/>
      <w:r w:rsidR="00477C06" w:rsidRPr="00583830">
        <w:rPr>
          <w:rFonts w:ascii="Cambria" w:hAnsi="Cambria"/>
          <w:color w:val="auto"/>
        </w:rPr>
        <w:t xml:space="preserve"> is indicated for the treatment of moderate to severe atopic dermatitis in adult patients who are candidates for </w:t>
      </w:r>
      <w:r w:rsidR="004430D0" w:rsidRPr="00583830">
        <w:rPr>
          <w:rFonts w:ascii="Cambria" w:hAnsi="Cambria"/>
          <w:color w:val="auto"/>
        </w:rPr>
        <w:t xml:space="preserve">chronic </w:t>
      </w:r>
      <w:r w:rsidR="00477C06" w:rsidRPr="00583830">
        <w:rPr>
          <w:rFonts w:ascii="Cambria" w:hAnsi="Cambria"/>
          <w:color w:val="auto"/>
        </w:rPr>
        <w:t>systemic therapy.</w:t>
      </w:r>
      <w:r w:rsidR="004430D0" w:rsidRPr="00583830">
        <w:rPr>
          <w:rFonts w:ascii="Cambria" w:hAnsi="Cambria"/>
          <w:color w:val="auto"/>
        </w:rPr>
        <w:t xml:space="preserve"> </w:t>
      </w:r>
      <w:proofErr w:type="spellStart"/>
      <w:r w:rsidR="004430D0" w:rsidRPr="00583830">
        <w:rPr>
          <w:rFonts w:ascii="Cambria" w:hAnsi="Cambria"/>
          <w:color w:val="auto"/>
        </w:rPr>
        <w:t>Dupixent</w:t>
      </w:r>
      <w:proofErr w:type="spellEnd"/>
      <w:r w:rsidR="004430D0" w:rsidRPr="00583830">
        <w:rPr>
          <w:rFonts w:ascii="Cambria" w:hAnsi="Cambria"/>
          <w:color w:val="auto"/>
        </w:rPr>
        <w:t xml:space="preserve"> is not intended for episodic use. </w:t>
      </w:r>
    </w:p>
    <w:p w:rsidR="00760408" w:rsidRPr="00A953D0" w:rsidRDefault="00760408" w:rsidP="00760408">
      <w:pPr>
        <w:pStyle w:val="Heading2"/>
        <w:rPr>
          <w:rFonts w:ascii="Cambria" w:hAnsi="Cambria"/>
        </w:rPr>
      </w:pPr>
      <w:r w:rsidRPr="00A953D0">
        <w:rPr>
          <w:rFonts w:ascii="Cambria" w:hAnsi="Cambria"/>
        </w:rPr>
        <w:t>DOSE AND METHOD OF ADMINISTRATION</w:t>
      </w:r>
    </w:p>
    <w:p w:rsidR="00F64CF7" w:rsidRDefault="0012540A" w:rsidP="00760408">
      <w:pPr>
        <w:rPr>
          <w:rFonts w:ascii="Cambria" w:hAnsi="Cambria"/>
        </w:rPr>
      </w:pPr>
      <w:proofErr w:type="spellStart"/>
      <w:r w:rsidRPr="00F64CF7">
        <w:rPr>
          <w:rFonts w:ascii="Cambria" w:hAnsi="Cambria"/>
        </w:rPr>
        <w:t>Dupixent</w:t>
      </w:r>
      <w:proofErr w:type="spellEnd"/>
      <w:r w:rsidR="00F64CF7" w:rsidRPr="00F64CF7">
        <w:rPr>
          <w:rFonts w:ascii="Cambria" w:hAnsi="Cambria"/>
        </w:rPr>
        <w:t xml:space="preserve"> treatment should be initiated and supervised by a dermatologist or immunologist.</w:t>
      </w:r>
    </w:p>
    <w:p w:rsidR="00760408" w:rsidRPr="00A953D0" w:rsidRDefault="00760408" w:rsidP="00760408">
      <w:pPr>
        <w:rPr>
          <w:rFonts w:ascii="Cambria" w:hAnsi="Cambria"/>
        </w:rPr>
      </w:pPr>
      <w:r w:rsidRPr="00A953D0">
        <w:rPr>
          <w:rFonts w:ascii="Cambria" w:hAnsi="Cambria"/>
        </w:rPr>
        <w:t xml:space="preserve">The recommended dose of </w:t>
      </w:r>
      <w:proofErr w:type="spellStart"/>
      <w:r w:rsidRPr="00A953D0">
        <w:rPr>
          <w:rFonts w:ascii="Cambria" w:hAnsi="Cambria"/>
        </w:rPr>
        <w:t>Dupilumab</w:t>
      </w:r>
      <w:proofErr w:type="spellEnd"/>
      <w:r w:rsidRPr="00A953D0">
        <w:rPr>
          <w:rFonts w:ascii="Cambria" w:hAnsi="Cambria"/>
        </w:rPr>
        <w:t xml:space="preserve"> for adult patients is as follows:</w:t>
      </w:r>
    </w:p>
    <w:p w:rsidR="00760408" w:rsidRPr="00A953D0" w:rsidRDefault="00760408" w:rsidP="00760408">
      <w:pPr>
        <w:pStyle w:val="ListBulletLevel1"/>
        <w:numPr>
          <w:ilvl w:val="0"/>
          <w:numId w:val="28"/>
        </w:numPr>
        <w:rPr>
          <w:rFonts w:ascii="Cambria" w:hAnsi="Cambria"/>
        </w:rPr>
      </w:pPr>
      <w:r w:rsidRPr="00A953D0">
        <w:rPr>
          <w:rFonts w:ascii="Cambria" w:hAnsi="Cambria"/>
        </w:rPr>
        <w:t xml:space="preserve">Initial dose of 600 mg by subcutaneous injection (two 300 mg injections consecutively in different injection sites), followed by 300 mg given every other week. </w:t>
      </w:r>
    </w:p>
    <w:p w:rsidR="00760408" w:rsidRDefault="00760408" w:rsidP="00760408">
      <w:pPr>
        <w:rPr>
          <w:rFonts w:ascii="Cambria" w:hAnsi="Cambria"/>
        </w:rPr>
      </w:pPr>
      <w:r w:rsidRPr="00A953D0">
        <w:rPr>
          <w:rFonts w:ascii="Cambria" w:hAnsi="Cambria"/>
        </w:rPr>
        <w:t>If a dose is missed, administer the dose as soon as possible. Thereafter, resume dosing at the regular scheduled time.</w:t>
      </w:r>
    </w:p>
    <w:p w:rsidR="00760408" w:rsidRPr="00A953D0" w:rsidRDefault="00760408" w:rsidP="00760408">
      <w:pPr>
        <w:rPr>
          <w:rFonts w:ascii="Cambria" w:hAnsi="Cambria"/>
        </w:rPr>
      </w:pPr>
      <w:r w:rsidRPr="00A953D0">
        <w:rPr>
          <w:rFonts w:ascii="Cambria" w:hAnsi="Cambria"/>
        </w:rPr>
        <w:t>Product is for single use in one patient only. Discard any residue.</w:t>
      </w:r>
    </w:p>
    <w:p w:rsidR="00760408" w:rsidRPr="00A953D0" w:rsidRDefault="00760408" w:rsidP="00760408">
      <w:pPr>
        <w:pStyle w:val="Heading3"/>
        <w:numPr>
          <w:ilvl w:val="0"/>
          <w:numId w:val="0"/>
        </w:numPr>
        <w:ind w:left="680" w:hanging="680"/>
        <w:rPr>
          <w:rFonts w:ascii="Cambria" w:hAnsi="Cambria"/>
        </w:rPr>
      </w:pPr>
      <w:bookmarkStart w:id="4" w:name="_Toc456606985"/>
      <w:r w:rsidRPr="00A953D0">
        <w:rPr>
          <w:rFonts w:ascii="Cambria" w:hAnsi="Cambria"/>
        </w:rPr>
        <w:t>SPECIAL POPULATIONS</w:t>
      </w:r>
      <w:bookmarkEnd w:id="4"/>
    </w:p>
    <w:p w:rsidR="00760408" w:rsidRPr="00A953D0" w:rsidRDefault="00760408" w:rsidP="00760408">
      <w:pPr>
        <w:pStyle w:val="Heading4"/>
        <w:numPr>
          <w:ilvl w:val="0"/>
          <w:numId w:val="0"/>
        </w:numPr>
        <w:ind w:left="862" w:hanging="862"/>
        <w:rPr>
          <w:rFonts w:ascii="Cambria" w:hAnsi="Cambria"/>
        </w:rPr>
      </w:pPr>
      <w:bookmarkStart w:id="5" w:name="_Toc456606986"/>
      <w:proofErr w:type="spellStart"/>
      <w:r w:rsidRPr="00A953D0">
        <w:rPr>
          <w:rFonts w:ascii="Cambria" w:hAnsi="Cambria"/>
        </w:rPr>
        <w:t>Paediatric</w:t>
      </w:r>
      <w:proofErr w:type="spellEnd"/>
      <w:r w:rsidRPr="00A953D0">
        <w:rPr>
          <w:rFonts w:ascii="Cambria" w:hAnsi="Cambria"/>
        </w:rPr>
        <w:t xml:space="preserve"> patients</w:t>
      </w:r>
      <w:bookmarkEnd w:id="5"/>
    </w:p>
    <w:p w:rsidR="00760408" w:rsidRPr="00A953D0" w:rsidRDefault="00760408" w:rsidP="00760408">
      <w:pPr>
        <w:rPr>
          <w:rFonts w:ascii="Cambria" w:hAnsi="Cambria"/>
        </w:rPr>
      </w:pPr>
      <w:r w:rsidRPr="00A953D0">
        <w:rPr>
          <w:rFonts w:ascii="Cambria" w:hAnsi="Cambria"/>
        </w:rPr>
        <w:t xml:space="preserve">Safety and efficacy in </w:t>
      </w:r>
      <w:proofErr w:type="spellStart"/>
      <w:r w:rsidRPr="00A953D0">
        <w:rPr>
          <w:rFonts w:ascii="Cambria" w:hAnsi="Cambria"/>
        </w:rPr>
        <w:t>paediatric</w:t>
      </w:r>
      <w:proofErr w:type="spellEnd"/>
      <w:r w:rsidRPr="00A953D0">
        <w:rPr>
          <w:rFonts w:ascii="Cambria" w:hAnsi="Cambria"/>
        </w:rPr>
        <w:t xml:space="preserve"> patients have not been established (see </w:t>
      </w:r>
      <w:r w:rsidR="00051715">
        <w:rPr>
          <w:rFonts w:ascii="Cambria" w:hAnsi="Cambria"/>
        </w:rPr>
        <w:t xml:space="preserve">5.2 </w:t>
      </w:r>
      <w:r w:rsidR="00051715" w:rsidRPr="00051715">
        <w:rPr>
          <w:rFonts w:ascii="Cambria" w:hAnsi="Cambria"/>
        </w:rPr>
        <w:t>PHARMACOKINETIC PROPERTIES</w:t>
      </w:r>
      <w:r w:rsidRPr="00A953D0">
        <w:rPr>
          <w:rFonts w:ascii="Cambria" w:hAnsi="Cambria"/>
        </w:rPr>
        <w:t>).</w:t>
      </w:r>
    </w:p>
    <w:p w:rsidR="00760408" w:rsidRPr="00A953D0" w:rsidRDefault="00760408" w:rsidP="00760408">
      <w:pPr>
        <w:pStyle w:val="Heading4"/>
        <w:numPr>
          <w:ilvl w:val="0"/>
          <w:numId w:val="0"/>
        </w:numPr>
        <w:ind w:left="862" w:hanging="862"/>
        <w:rPr>
          <w:rFonts w:ascii="Cambria" w:hAnsi="Cambria"/>
        </w:rPr>
      </w:pPr>
      <w:bookmarkStart w:id="6" w:name="_Toc456606987"/>
      <w:r w:rsidRPr="00A953D0">
        <w:rPr>
          <w:rFonts w:ascii="Cambria" w:hAnsi="Cambria"/>
        </w:rPr>
        <w:t>Elderly patients</w:t>
      </w:r>
      <w:bookmarkEnd w:id="6"/>
    </w:p>
    <w:p w:rsidR="00760408" w:rsidRPr="00A953D0" w:rsidRDefault="00760408" w:rsidP="00760408">
      <w:pPr>
        <w:rPr>
          <w:rFonts w:ascii="Cambria" w:hAnsi="Cambria"/>
        </w:rPr>
      </w:pPr>
      <w:r w:rsidRPr="00A953D0">
        <w:rPr>
          <w:rFonts w:ascii="Cambria" w:hAnsi="Cambria"/>
        </w:rPr>
        <w:t xml:space="preserve">No dose adjustment is recommended for elderly patients (see </w:t>
      </w:r>
      <w:r w:rsidR="00051715" w:rsidRPr="00051715">
        <w:rPr>
          <w:rFonts w:ascii="Cambria" w:hAnsi="Cambria"/>
        </w:rPr>
        <w:t>5.2 PHARMACOKINETIC PROPERTIES</w:t>
      </w:r>
      <w:r w:rsidRPr="00A953D0">
        <w:rPr>
          <w:rFonts w:ascii="Cambria" w:hAnsi="Cambria"/>
        </w:rPr>
        <w:t>)</w:t>
      </w:r>
    </w:p>
    <w:p w:rsidR="00760408" w:rsidRPr="00A953D0" w:rsidRDefault="00760408" w:rsidP="00760408">
      <w:pPr>
        <w:pStyle w:val="Heading4"/>
        <w:numPr>
          <w:ilvl w:val="0"/>
          <w:numId w:val="0"/>
        </w:numPr>
        <w:ind w:left="862" w:hanging="862"/>
        <w:rPr>
          <w:rFonts w:ascii="Cambria" w:hAnsi="Cambria"/>
        </w:rPr>
      </w:pPr>
      <w:bookmarkStart w:id="7" w:name="_Toc456606988"/>
      <w:r w:rsidRPr="00A953D0">
        <w:rPr>
          <w:rFonts w:ascii="Cambria" w:hAnsi="Cambria"/>
        </w:rPr>
        <w:t>Hepatic impairment</w:t>
      </w:r>
      <w:bookmarkEnd w:id="7"/>
    </w:p>
    <w:p w:rsidR="00760408" w:rsidRPr="00A953D0" w:rsidRDefault="00760408" w:rsidP="00760408">
      <w:pPr>
        <w:rPr>
          <w:rFonts w:ascii="Cambria" w:hAnsi="Cambria"/>
        </w:rPr>
      </w:pPr>
      <w:r w:rsidRPr="00A953D0">
        <w:rPr>
          <w:rFonts w:ascii="Cambria" w:hAnsi="Cambria"/>
        </w:rPr>
        <w:t xml:space="preserve">No data are available in patients with hepatic impairment (see </w:t>
      </w:r>
      <w:r w:rsidR="00051715" w:rsidRPr="00051715">
        <w:rPr>
          <w:rFonts w:ascii="Cambria" w:hAnsi="Cambria"/>
        </w:rPr>
        <w:t>5.2 PHARMACOKINETIC PROPERTIES</w:t>
      </w:r>
      <w:r w:rsidRPr="00A953D0">
        <w:rPr>
          <w:rFonts w:ascii="Cambria" w:hAnsi="Cambria"/>
        </w:rPr>
        <w:t>).</w:t>
      </w:r>
    </w:p>
    <w:p w:rsidR="00760408" w:rsidRPr="00A953D0" w:rsidRDefault="00760408" w:rsidP="00760408">
      <w:pPr>
        <w:pStyle w:val="Heading4"/>
        <w:numPr>
          <w:ilvl w:val="0"/>
          <w:numId w:val="0"/>
        </w:numPr>
        <w:ind w:left="862" w:hanging="862"/>
        <w:rPr>
          <w:rFonts w:ascii="Cambria" w:hAnsi="Cambria"/>
        </w:rPr>
      </w:pPr>
      <w:bookmarkStart w:id="8" w:name="_Toc456606989"/>
      <w:r w:rsidRPr="00A953D0">
        <w:rPr>
          <w:rFonts w:ascii="Cambria" w:hAnsi="Cambria"/>
        </w:rPr>
        <w:lastRenderedPageBreak/>
        <w:t>Renal impairment</w:t>
      </w:r>
      <w:bookmarkEnd w:id="8"/>
    </w:p>
    <w:p w:rsidR="00760408" w:rsidRPr="00A953D0" w:rsidRDefault="00760408" w:rsidP="00760408">
      <w:pPr>
        <w:rPr>
          <w:rFonts w:ascii="Cambria" w:hAnsi="Cambria"/>
        </w:rPr>
      </w:pPr>
      <w:r w:rsidRPr="00A953D0">
        <w:rPr>
          <w:rFonts w:ascii="Cambria" w:hAnsi="Cambria"/>
        </w:rPr>
        <w:t xml:space="preserve">No dosage adjustment is needed in patients with mild or moderate renal impairment. No data are available in patients with severe renal impairment (see </w:t>
      </w:r>
      <w:r w:rsidR="00051715" w:rsidRPr="00051715">
        <w:rPr>
          <w:rFonts w:ascii="Cambria" w:hAnsi="Cambria"/>
        </w:rPr>
        <w:t>5.2 PHARMACOKINETIC PROPERTIES</w:t>
      </w:r>
      <w:r w:rsidRPr="00A953D0">
        <w:rPr>
          <w:rFonts w:ascii="Cambria" w:hAnsi="Cambria"/>
        </w:rPr>
        <w:t>).</w:t>
      </w:r>
    </w:p>
    <w:p w:rsidR="00760408" w:rsidRPr="00A953D0" w:rsidRDefault="00760408" w:rsidP="00760408">
      <w:pPr>
        <w:pStyle w:val="Heading4"/>
        <w:numPr>
          <w:ilvl w:val="0"/>
          <w:numId w:val="0"/>
        </w:numPr>
        <w:ind w:left="862" w:hanging="862"/>
        <w:rPr>
          <w:rFonts w:ascii="Cambria" w:hAnsi="Cambria"/>
        </w:rPr>
      </w:pPr>
      <w:bookmarkStart w:id="9" w:name="_Toc456606990"/>
      <w:r w:rsidRPr="00A953D0">
        <w:rPr>
          <w:rFonts w:ascii="Cambria" w:hAnsi="Cambria"/>
        </w:rPr>
        <w:t>Body weight</w:t>
      </w:r>
      <w:bookmarkEnd w:id="9"/>
    </w:p>
    <w:p w:rsidR="00760408" w:rsidRPr="00A953D0" w:rsidRDefault="00760408" w:rsidP="00760408">
      <w:pPr>
        <w:rPr>
          <w:rFonts w:ascii="Cambria" w:hAnsi="Cambria"/>
        </w:rPr>
      </w:pPr>
      <w:r w:rsidRPr="00A953D0">
        <w:rPr>
          <w:rFonts w:ascii="Cambria" w:hAnsi="Cambria"/>
        </w:rPr>
        <w:t>No dose adjustment for body weight is recommended</w:t>
      </w:r>
      <w:r w:rsidR="008E2A1D">
        <w:rPr>
          <w:rFonts w:ascii="Cambria" w:hAnsi="Cambria"/>
        </w:rPr>
        <w:t xml:space="preserve"> </w:t>
      </w:r>
      <w:r w:rsidR="008E2A1D" w:rsidRPr="008E2A1D">
        <w:rPr>
          <w:rFonts w:ascii="Cambria" w:hAnsi="Cambria"/>
        </w:rPr>
        <w:t>(see 5.2 PHARMACOKINETIC PROPERTIES).</w:t>
      </w:r>
    </w:p>
    <w:p w:rsidR="00760408" w:rsidRPr="00A953D0" w:rsidRDefault="00760408" w:rsidP="00760408">
      <w:pPr>
        <w:pStyle w:val="Heading4"/>
        <w:numPr>
          <w:ilvl w:val="0"/>
          <w:numId w:val="0"/>
        </w:numPr>
        <w:ind w:left="862" w:hanging="862"/>
        <w:rPr>
          <w:rFonts w:ascii="Cambria" w:hAnsi="Cambria"/>
        </w:rPr>
      </w:pPr>
      <w:bookmarkStart w:id="10" w:name="_Toc456606991"/>
      <w:r w:rsidRPr="00A953D0">
        <w:rPr>
          <w:rFonts w:ascii="Cambria" w:hAnsi="Cambria"/>
        </w:rPr>
        <w:t>PREPARATION AND HANDLING</w:t>
      </w:r>
      <w:bookmarkEnd w:id="10"/>
    </w:p>
    <w:p w:rsidR="00760408" w:rsidRPr="00A953D0" w:rsidRDefault="00760408" w:rsidP="00760408">
      <w:pPr>
        <w:rPr>
          <w:rFonts w:ascii="Cambria" w:hAnsi="Cambria"/>
        </w:rPr>
      </w:pPr>
      <w:r w:rsidRPr="00A953D0">
        <w:rPr>
          <w:rFonts w:ascii="Cambria" w:hAnsi="Cambria"/>
        </w:rPr>
        <w:t xml:space="preserve">Before injection, remove </w:t>
      </w:r>
      <w:proofErr w:type="spellStart"/>
      <w:r w:rsidRPr="00A953D0">
        <w:rPr>
          <w:rFonts w:ascii="Cambria" w:hAnsi="Cambria"/>
        </w:rPr>
        <w:t>Dupixent</w:t>
      </w:r>
      <w:proofErr w:type="spellEnd"/>
      <w:r w:rsidRPr="00A953D0">
        <w:rPr>
          <w:rFonts w:ascii="Cambria" w:hAnsi="Cambria"/>
        </w:rPr>
        <w:t xml:space="preserve"> pre-filled syringe from the refrigerator and allow </w:t>
      </w:r>
      <w:proofErr w:type="gramStart"/>
      <w:r w:rsidRPr="00A953D0">
        <w:rPr>
          <w:rFonts w:ascii="Cambria" w:hAnsi="Cambria"/>
        </w:rPr>
        <w:t>to reach</w:t>
      </w:r>
      <w:proofErr w:type="gramEnd"/>
      <w:r w:rsidRPr="00A953D0">
        <w:rPr>
          <w:rFonts w:ascii="Cambria" w:hAnsi="Cambria"/>
        </w:rPr>
        <w:t xml:space="preserve"> room temperature by waiting for 45 min without removing the needle cap. </w:t>
      </w:r>
    </w:p>
    <w:p w:rsidR="00760408" w:rsidRPr="00A953D0" w:rsidRDefault="00760408" w:rsidP="00760408">
      <w:pPr>
        <w:rPr>
          <w:rFonts w:ascii="Cambria" w:hAnsi="Cambria"/>
        </w:rPr>
      </w:pPr>
      <w:r w:rsidRPr="00A953D0">
        <w:rPr>
          <w:rFonts w:ascii="Cambria" w:hAnsi="Cambria"/>
        </w:rPr>
        <w:t xml:space="preserve">Inspect </w:t>
      </w:r>
      <w:proofErr w:type="spellStart"/>
      <w:r w:rsidRPr="00A953D0">
        <w:rPr>
          <w:rFonts w:ascii="Cambria" w:hAnsi="Cambria"/>
        </w:rPr>
        <w:t>Dupixent</w:t>
      </w:r>
      <w:proofErr w:type="spellEnd"/>
      <w:r w:rsidRPr="00A953D0">
        <w:rPr>
          <w:rFonts w:ascii="Cambria" w:hAnsi="Cambria"/>
        </w:rPr>
        <w:t xml:space="preserve"> visually for particulate matter and discoloration prior to administration. </w:t>
      </w:r>
      <w:proofErr w:type="spellStart"/>
      <w:r w:rsidRPr="00A953D0">
        <w:rPr>
          <w:rFonts w:ascii="Cambria" w:hAnsi="Cambria"/>
        </w:rPr>
        <w:t>Dupixent</w:t>
      </w:r>
      <w:proofErr w:type="spellEnd"/>
      <w:r w:rsidRPr="00A953D0">
        <w:rPr>
          <w:rFonts w:ascii="Cambria" w:hAnsi="Cambria"/>
        </w:rPr>
        <w:t xml:space="preserve"> is a clear to slightly opalescent, colorless to pale yellow solution. Do not use if the liquid contains visible particulate matter, is discolored or cloudy (other than clear to slightly opalescent, colorless to pale yellow).  </w:t>
      </w:r>
    </w:p>
    <w:p w:rsidR="00760408" w:rsidRPr="00A953D0" w:rsidRDefault="00760408" w:rsidP="00760408">
      <w:pPr>
        <w:rPr>
          <w:rFonts w:ascii="Cambria" w:hAnsi="Cambria"/>
        </w:rPr>
      </w:pPr>
      <w:proofErr w:type="spellStart"/>
      <w:r w:rsidRPr="00A953D0">
        <w:rPr>
          <w:rFonts w:ascii="Cambria" w:hAnsi="Cambria"/>
        </w:rPr>
        <w:t>Dupixent</w:t>
      </w:r>
      <w:proofErr w:type="spellEnd"/>
      <w:r w:rsidRPr="00A953D0">
        <w:rPr>
          <w:rFonts w:ascii="Cambria" w:hAnsi="Cambria"/>
        </w:rPr>
        <w:t xml:space="preserve"> does not contain preservatives; therefore discard any unused product remaining in the pre-filled syringe.</w:t>
      </w:r>
    </w:p>
    <w:p w:rsidR="00760408" w:rsidRPr="00A953D0" w:rsidRDefault="00760408" w:rsidP="00760408">
      <w:pPr>
        <w:rPr>
          <w:rFonts w:ascii="Cambria" w:hAnsi="Cambria"/>
        </w:rPr>
      </w:pPr>
      <w:r w:rsidRPr="00A953D0">
        <w:rPr>
          <w:rFonts w:ascii="Cambria" w:hAnsi="Cambria"/>
        </w:rPr>
        <w:t>Comprehensive instructions for administration are given in the package leaflet.</w:t>
      </w:r>
    </w:p>
    <w:p w:rsidR="00760408" w:rsidRPr="00A953D0" w:rsidRDefault="00760408" w:rsidP="00760408">
      <w:pPr>
        <w:rPr>
          <w:rFonts w:ascii="Cambria" w:hAnsi="Cambria"/>
        </w:rPr>
      </w:pPr>
      <w:r w:rsidRPr="00A953D0">
        <w:rPr>
          <w:rFonts w:ascii="Cambria" w:hAnsi="Cambria"/>
        </w:rPr>
        <w:t xml:space="preserve">If necessary, pre-filled syringes may be kept at room temperature up to 25°C for a maximum of 14 days. Do not store above 25°C. After removal from the refrigerator, </w:t>
      </w:r>
      <w:proofErr w:type="spellStart"/>
      <w:r w:rsidRPr="00A953D0">
        <w:rPr>
          <w:rFonts w:ascii="Cambria" w:hAnsi="Cambria"/>
        </w:rPr>
        <w:t>Dupixent</w:t>
      </w:r>
      <w:proofErr w:type="spellEnd"/>
      <w:r w:rsidRPr="00A953D0">
        <w:rPr>
          <w:rFonts w:ascii="Cambria" w:hAnsi="Cambria"/>
        </w:rPr>
        <w:t xml:space="preserve"> must be used within 14 days or discarded. </w:t>
      </w:r>
    </w:p>
    <w:p w:rsidR="00760408" w:rsidRPr="00A953D0" w:rsidRDefault="00760408" w:rsidP="00760408">
      <w:pPr>
        <w:rPr>
          <w:rFonts w:ascii="Cambria" w:hAnsi="Cambria"/>
        </w:rPr>
      </w:pPr>
      <w:r w:rsidRPr="00A953D0">
        <w:rPr>
          <w:rFonts w:ascii="Cambria" w:hAnsi="Cambria"/>
        </w:rPr>
        <w:t>The pre-filled syringe should not be exposed to heat or direct sunlight.</w:t>
      </w:r>
    </w:p>
    <w:p w:rsidR="00760408" w:rsidRPr="00A953D0" w:rsidRDefault="00760408" w:rsidP="00760408">
      <w:pPr>
        <w:rPr>
          <w:rFonts w:ascii="Cambria" w:hAnsi="Cambria"/>
        </w:rPr>
      </w:pPr>
      <w:r w:rsidRPr="00A953D0">
        <w:rPr>
          <w:rFonts w:ascii="Cambria" w:hAnsi="Cambria"/>
        </w:rPr>
        <w:t xml:space="preserve">Any unused medicinal product or waste material should be disposed. </w:t>
      </w:r>
      <w:bookmarkStart w:id="11" w:name="_Toc456606992"/>
      <w:r w:rsidRPr="00A953D0">
        <w:rPr>
          <w:rFonts w:ascii="Cambria" w:hAnsi="Cambria"/>
        </w:rPr>
        <w:t>A puncture-resistant container for disposal of syringes should be used and should be kept out of the reach of children.</w:t>
      </w:r>
    </w:p>
    <w:p w:rsidR="00760408" w:rsidRPr="00A953D0" w:rsidRDefault="00760408" w:rsidP="00760408">
      <w:pPr>
        <w:pStyle w:val="Heading4"/>
        <w:numPr>
          <w:ilvl w:val="0"/>
          <w:numId w:val="0"/>
        </w:numPr>
        <w:ind w:left="862" w:hanging="862"/>
        <w:rPr>
          <w:rFonts w:ascii="Cambria" w:hAnsi="Cambria"/>
        </w:rPr>
      </w:pPr>
      <w:r w:rsidRPr="00A953D0">
        <w:rPr>
          <w:rFonts w:ascii="Cambria" w:hAnsi="Cambria"/>
        </w:rPr>
        <w:t>ADMINISTRATION</w:t>
      </w:r>
      <w:bookmarkEnd w:id="11"/>
    </w:p>
    <w:p w:rsidR="00760408" w:rsidRPr="00A953D0" w:rsidRDefault="00760408" w:rsidP="00760408">
      <w:pPr>
        <w:rPr>
          <w:rFonts w:ascii="Cambria" w:hAnsi="Cambria"/>
          <w:highlight w:val="yellow"/>
        </w:rPr>
      </w:pPr>
      <w:proofErr w:type="spellStart"/>
      <w:r w:rsidRPr="00A953D0">
        <w:rPr>
          <w:rFonts w:ascii="Cambria" w:hAnsi="Cambria"/>
        </w:rPr>
        <w:t>Dupixent</w:t>
      </w:r>
      <w:proofErr w:type="spellEnd"/>
      <w:r w:rsidRPr="00A953D0">
        <w:rPr>
          <w:rFonts w:ascii="Cambria" w:hAnsi="Cambria"/>
        </w:rPr>
        <w:t xml:space="preserve"> is intended for use under the guidance of a healthcare provider. The patient's caregiver may administer </w:t>
      </w:r>
      <w:proofErr w:type="spellStart"/>
      <w:r w:rsidRPr="00A953D0">
        <w:rPr>
          <w:rFonts w:ascii="Cambria" w:hAnsi="Cambria"/>
        </w:rPr>
        <w:t>Dupixent</w:t>
      </w:r>
      <w:proofErr w:type="spellEnd"/>
      <w:r w:rsidRPr="00A953D0">
        <w:rPr>
          <w:rFonts w:ascii="Cambria" w:hAnsi="Cambria"/>
        </w:rPr>
        <w:t xml:space="preserve"> or the patient may self-inject it after guidance has been provided by a healthcare professional on proper subcutaneous injection technique. Provide proper training to patients and/or caregivers on the preparation and administration of </w:t>
      </w:r>
      <w:proofErr w:type="spellStart"/>
      <w:r w:rsidRPr="00A953D0">
        <w:rPr>
          <w:rFonts w:ascii="Cambria" w:hAnsi="Cambria"/>
        </w:rPr>
        <w:t>Dupixent</w:t>
      </w:r>
      <w:proofErr w:type="spellEnd"/>
      <w:r w:rsidRPr="00A953D0">
        <w:rPr>
          <w:rFonts w:ascii="Cambria" w:hAnsi="Cambria"/>
        </w:rPr>
        <w:t xml:space="preserve"> prior to use according to the ins</w:t>
      </w:r>
      <w:r w:rsidRPr="00A953D0">
        <w:rPr>
          <w:rFonts w:ascii="Cambria" w:hAnsi="Cambria"/>
          <w:color w:val="auto"/>
        </w:rPr>
        <w:t xml:space="preserve">truction </w:t>
      </w:r>
      <w:r w:rsidRPr="00A953D0">
        <w:rPr>
          <w:rFonts w:ascii="Cambria" w:hAnsi="Cambria"/>
        </w:rPr>
        <w:t>leaflet inside the pack.</w:t>
      </w:r>
    </w:p>
    <w:p w:rsidR="00760408" w:rsidRPr="00A953D0" w:rsidRDefault="00760408" w:rsidP="00760408">
      <w:pPr>
        <w:rPr>
          <w:rFonts w:ascii="Cambria" w:hAnsi="Cambria"/>
        </w:rPr>
      </w:pPr>
      <w:r w:rsidRPr="00A953D0">
        <w:rPr>
          <w:rFonts w:ascii="Cambria" w:hAnsi="Cambria"/>
        </w:rPr>
        <w:lastRenderedPageBreak/>
        <w:t xml:space="preserve">Administer subcutaneous injection into the thigh or abdomen, except for the 5 cm (2 inches) around the navel, using a single-dose pre-filled syringe. If somebody else administers the injection, the upper arm can also be used. Rotate the injection site with each injection. </w:t>
      </w:r>
    </w:p>
    <w:p w:rsidR="00760408" w:rsidRPr="00A953D0" w:rsidRDefault="00760408" w:rsidP="00760408">
      <w:pPr>
        <w:rPr>
          <w:rFonts w:ascii="Cambria" w:hAnsi="Cambria"/>
        </w:rPr>
      </w:pPr>
      <w:r w:rsidRPr="00A953D0">
        <w:rPr>
          <w:rFonts w:ascii="Cambria" w:hAnsi="Cambria"/>
        </w:rPr>
        <w:t xml:space="preserve">DO NOT inject </w:t>
      </w:r>
      <w:proofErr w:type="spellStart"/>
      <w:r w:rsidRPr="00A953D0">
        <w:rPr>
          <w:rFonts w:ascii="Cambria" w:hAnsi="Cambria"/>
        </w:rPr>
        <w:t>Dupixent</w:t>
      </w:r>
      <w:proofErr w:type="spellEnd"/>
      <w:r w:rsidRPr="00A953D0">
        <w:rPr>
          <w:rFonts w:ascii="Cambria" w:hAnsi="Cambria"/>
        </w:rPr>
        <w:t xml:space="preserve"> into skin that is tender, damaged or has bruises or scars.</w:t>
      </w:r>
    </w:p>
    <w:p w:rsidR="00760408" w:rsidRPr="00A953D0" w:rsidRDefault="00760408" w:rsidP="00760408">
      <w:pPr>
        <w:rPr>
          <w:rFonts w:ascii="Cambria" w:hAnsi="Cambria"/>
        </w:rPr>
      </w:pPr>
      <w:r w:rsidRPr="00A953D0">
        <w:rPr>
          <w:rFonts w:ascii="Cambria" w:hAnsi="Cambria"/>
        </w:rPr>
        <w:t xml:space="preserve">In the absence of compatibility studies, this medicinal product must not be mixed with other medicinal products. </w:t>
      </w:r>
    </w:p>
    <w:p w:rsidR="00760408" w:rsidRPr="00A953D0" w:rsidRDefault="00760408" w:rsidP="00760408">
      <w:pPr>
        <w:pStyle w:val="Heading2"/>
        <w:rPr>
          <w:rFonts w:ascii="Cambria" w:hAnsi="Cambria"/>
        </w:rPr>
      </w:pPr>
      <w:r w:rsidRPr="00A953D0">
        <w:rPr>
          <w:rFonts w:ascii="Cambria" w:hAnsi="Cambria"/>
        </w:rPr>
        <w:t>CONTRAINDICATIONS</w:t>
      </w:r>
    </w:p>
    <w:p w:rsidR="00760408" w:rsidRPr="00A953D0" w:rsidRDefault="00760408" w:rsidP="00760408">
      <w:pPr>
        <w:rPr>
          <w:rFonts w:ascii="Cambria" w:hAnsi="Cambria"/>
        </w:rPr>
      </w:pPr>
      <w:proofErr w:type="spellStart"/>
      <w:r w:rsidRPr="00A953D0">
        <w:rPr>
          <w:rFonts w:ascii="Cambria" w:hAnsi="Cambria"/>
        </w:rPr>
        <w:t>Dupixent</w:t>
      </w:r>
      <w:proofErr w:type="spellEnd"/>
      <w:r w:rsidRPr="00A953D0">
        <w:rPr>
          <w:rFonts w:ascii="Cambria" w:hAnsi="Cambria"/>
        </w:rPr>
        <w:t xml:space="preserve"> is contraindicated in patients who have known hypersensitivity to </w:t>
      </w:r>
      <w:proofErr w:type="spellStart"/>
      <w:r w:rsidRPr="00A953D0">
        <w:rPr>
          <w:rFonts w:ascii="Cambria" w:hAnsi="Cambria"/>
        </w:rPr>
        <w:t>dupilumab</w:t>
      </w:r>
      <w:proofErr w:type="spellEnd"/>
      <w:r w:rsidRPr="00A953D0">
        <w:rPr>
          <w:rFonts w:ascii="Cambria" w:hAnsi="Cambria"/>
        </w:rPr>
        <w:t xml:space="preserve"> or any of its excipients (see </w:t>
      </w:r>
      <w:r w:rsidR="00456D14" w:rsidRPr="00456D14">
        <w:rPr>
          <w:rFonts w:ascii="Cambria" w:hAnsi="Cambria"/>
        </w:rPr>
        <w:t>4.4</w:t>
      </w:r>
      <w:r w:rsidR="00456D14" w:rsidRPr="00456D14">
        <w:rPr>
          <w:rFonts w:ascii="Cambria" w:hAnsi="Cambria"/>
        </w:rPr>
        <w:tab/>
      </w:r>
      <w:r w:rsidR="00456D14">
        <w:rPr>
          <w:rFonts w:ascii="Cambria" w:hAnsi="Cambria"/>
        </w:rPr>
        <w:t xml:space="preserve"> </w:t>
      </w:r>
      <w:r w:rsidR="00456D14" w:rsidRPr="00456D14">
        <w:rPr>
          <w:rFonts w:ascii="Cambria" w:hAnsi="Cambria"/>
        </w:rPr>
        <w:t>SPECIAL WARNINGS AND PRECAUTIONS FOR USE</w:t>
      </w:r>
      <w:r w:rsidRPr="00A953D0">
        <w:rPr>
          <w:rFonts w:ascii="Cambria" w:hAnsi="Cambria"/>
        </w:rPr>
        <w:t>).</w:t>
      </w:r>
    </w:p>
    <w:p w:rsidR="00760408" w:rsidRDefault="00760408" w:rsidP="00760408">
      <w:pPr>
        <w:pStyle w:val="Heading2"/>
        <w:rPr>
          <w:rFonts w:ascii="Cambria" w:hAnsi="Cambria"/>
        </w:rPr>
      </w:pPr>
      <w:r w:rsidRPr="00A953D0">
        <w:rPr>
          <w:rFonts w:ascii="Cambria" w:hAnsi="Cambria"/>
        </w:rPr>
        <w:t>SPECIAL WARNINGS AND PRECAUTIONS FOR USE</w:t>
      </w:r>
    </w:p>
    <w:p w:rsidR="00D76F00" w:rsidRPr="00583830" w:rsidRDefault="00D76F00" w:rsidP="00D76F00">
      <w:pPr>
        <w:rPr>
          <w:rFonts w:ascii="Cambria" w:hAnsi="Cambria"/>
        </w:rPr>
      </w:pPr>
      <w:r w:rsidRPr="00583830">
        <w:rPr>
          <w:rFonts w:ascii="Cambria" w:hAnsi="Cambria"/>
        </w:rPr>
        <w:t>In order to improve the traceability of biological medicines, the tradename and the batch number of the administered product should be clearly recorded in the patient’s medical record and/or dispensing record.</w:t>
      </w:r>
    </w:p>
    <w:p w:rsidR="00760408" w:rsidRPr="00A953D0" w:rsidRDefault="00760408" w:rsidP="00760408">
      <w:pPr>
        <w:rPr>
          <w:rFonts w:ascii="Cambria" w:hAnsi="Cambria"/>
          <w:b/>
          <w:i/>
        </w:rPr>
      </w:pPr>
      <w:r w:rsidRPr="00A953D0">
        <w:rPr>
          <w:rFonts w:ascii="Cambria" w:hAnsi="Cambria"/>
          <w:b/>
          <w:i/>
        </w:rPr>
        <w:t>Hypersensitivity</w:t>
      </w:r>
    </w:p>
    <w:p w:rsidR="00760408" w:rsidRPr="00A953D0" w:rsidRDefault="00760408" w:rsidP="00760408">
      <w:pPr>
        <w:rPr>
          <w:rFonts w:ascii="Cambria" w:hAnsi="Cambria"/>
        </w:rPr>
      </w:pPr>
      <w:r w:rsidRPr="00A953D0">
        <w:rPr>
          <w:rFonts w:ascii="Cambria" w:hAnsi="Cambria"/>
        </w:rPr>
        <w:t>If a systemic hypersensitivity reaction occu</w:t>
      </w:r>
      <w:r w:rsidR="0012540A">
        <w:rPr>
          <w:rFonts w:ascii="Cambria" w:hAnsi="Cambria"/>
        </w:rPr>
        <w:t xml:space="preserve">rs, administration of </w:t>
      </w:r>
      <w:proofErr w:type="spellStart"/>
      <w:r w:rsidR="0012540A">
        <w:rPr>
          <w:rFonts w:ascii="Cambria" w:hAnsi="Cambria"/>
        </w:rPr>
        <w:t>Dupixent</w:t>
      </w:r>
      <w:proofErr w:type="spellEnd"/>
      <w:r w:rsidR="0012540A">
        <w:rPr>
          <w:rFonts w:ascii="Cambria" w:hAnsi="Cambria"/>
        </w:rPr>
        <w:t xml:space="preserve"> </w:t>
      </w:r>
      <w:r w:rsidRPr="00A953D0">
        <w:rPr>
          <w:rFonts w:ascii="Cambria" w:hAnsi="Cambria"/>
        </w:rPr>
        <w:t xml:space="preserve">should be discontinued immediately and appropriate therapy initiated.  One case of serum sickness-like reaction and one case of serum sickness reaction, both considered serious, have been reported in clinical trials following the administration of </w:t>
      </w:r>
      <w:proofErr w:type="spellStart"/>
      <w:r w:rsidRPr="00A953D0">
        <w:rPr>
          <w:rFonts w:ascii="Cambria" w:hAnsi="Cambria"/>
        </w:rPr>
        <w:t>Dupixent</w:t>
      </w:r>
      <w:proofErr w:type="spellEnd"/>
      <w:r w:rsidRPr="00A953D0">
        <w:rPr>
          <w:rFonts w:ascii="Cambria" w:hAnsi="Cambria"/>
        </w:rPr>
        <w:t xml:space="preserve"> (see </w:t>
      </w:r>
      <w:r w:rsidR="00183B03">
        <w:rPr>
          <w:rFonts w:ascii="Cambria" w:hAnsi="Cambria"/>
        </w:rPr>
        <w:t xml:space="preserve">4.8 </w:t>
      </w:r>
      <w:r w:rsidRPr="00A953D0">
        <w:rPr>
          <w:rFonts w:ascii="Cambria" w:hAnsi="Cambria"/>
        </w:rPr>
        <w:t>ADVERSE EFFECTS</w:t>
      </w:r>
      <w:r w:rsidR="00183B03">
        <w:rPr>
          <w:rFonts w:ascii="Cambria" w:hAnsi="Cambria"/>
        </w:rPr>
        <w:t xml:space="preserve"> </w:t>
      </w:r>
      <w:r w:rsidR="00183B03" w:rsidRPr="00183B03">
        <w:rPr>
          <w:rFonts w:ascii="Cambria" w:hAnsi="Cambria"/>
        </w:rPr>
        <w:t>(UNDESIRABLE EFFECTS)</w:t>
      </w:r>
      <w:r w:rsidRPr="00A953D0">
        <w:rPr>
          <w:rFonts w:ascii="Cambria" w:hAnsi="Cambria"/>
        </w:rPr>
        <w:t xml:space="preserve">). Both cases were associated with high titers of ADA to </w:t>
      </w:r>
      <w:proofErr w:type="spellStart"/>
      <w:r w:rsidRPr="00A953D0">
        <w:rPr>
          <w:rFonts w:ascii="Cambria" w:hAnsi="Cambria"/>
        </w:rPr>
        <w:t>dupilumab</w:t>
      </w:r>
      <w:proofErr w:type="spellEnd"/>
      <w:r w:rsidRPr="00A953D0">
        <w:rPr>
          <w:rFonts w:ascii="Cambria" w:hAnsi="Cambria"/>
        </w:rPr>
        <w:t>.</w:t>
      </w:r>
    </w:p>
    <w:p w:rsidR="00760408" w:rsidRPr="00A953D0" w:rsidRDefault="00760408" w:rsidP="00760408">
      <w:pPr>
        <w:rPr>
          <w:rFonts w:ascii="Cambria" w:hAnsi="Cambria"/>
          <w:b/>
          <w:i/>
        </w:rPr>
      </w:pPr>
      <w:r w:rsidRPr="00A953D0">
        <w:rPr>
          <w:rFonts w:ascii="Cambria" w:hAnsi="Cambria"/>
          <w:b/>
          <w:i/>
        </w:rPr>
        <w:t>Helminth Infection</w:t>
      </w:r>
    </w:p>
    <w:p w:rsidR="00760408" w:rsidRPr="00A953D0" w:rsidRDefault="00760408" w:rsidP="00760408">
      <w:pPr>
        <w:rPr>
          <w:rFonts w:ascii="Cambria" w:hAnsi="Cambria"/>
        </w:rPr>
      </w:pPr>
      <w:r w:rsidRPr="00A953D0">
        <w:rPr>
          <w:rFonts w:ascii="Cambria" w:hAnsi="Cambria"/>
        </w:rPr>
        <w:t>Patients with known helminth infections were excluded from participation in clini</w:t>
      </w:r>
      <w:r w:rsidR="00E672A6">
        <w:rPr>
          <w:rFonts w:ascii="Cambria" w:hAnsi="Cambria"/>
        </w:rPr>
        <w:t xml:space="preserve">cal studies.  It is unknown if </w:t>
      </w:r>
      <w:proofErr w:type="spellStart"/>
      <w:r w:rsidRPr="00A953D0">
        <w:rPr>
          <w:rFonts w:ascii="Cambria" w:hAnsi="Cambria"/>
        </w:rPr>
        <w:t>Dupixent</w:t>
      </w:r>
      <w:proofErr w:type="spellEnd"/>
      <w:r w:rsidRPr="00A953D0">
        <w:rPr>
          <w:rFonts w:ascii="Cambria" w:hAnsi="Cambria"/>
        </w:rPr>
        <w:t xml:space="preserve"> will influence the immune response against helminth infections.  Treat patients with pre-existing helminth infections before initiating </w:t>
      </w:r>
      <w:proofErr w:type="spellStart"/>
      <w:r w:rsidRPr="00A953D0">
        <w:rPr>
          <w:rFonts w:ascii="Cambria" w:hAnsi="Cambria"/>
        </w:rPr>
        <w:t>Dupixent</w:t>
      </w:r>
      <w:proofErr w:type="spellEnd"/>
      <w:r w:rsidRPr="00A953D0">
        <w:rPr>
          <w:rFonts w:ascii="Cambria" w:hAnsi="Cambria"/>
        </w:rPr>
        <w:t xml:space="preserve">.  If patients become infected while receiving treatment with </w:t>
      </w:r>
      <w:proofErr w:type="spellStart"/>
      <w:r w:rsidRPr="00A953D0">
        <w:rPr>
          <w:rFonts w:ascii="Cambria" w:hAnsi="Cambria"/>
        </w:rPr>
        <w:t>Dupixent</w:t>
      </w:r>
      <w:proofErr w:type="spellEnd"/>
      <w:r w:rsidRPr="00A953D0">
        <w:rPr>
          <w:rFonts w:ascii="Cambria" w:hAnsi="Cambria"/>
        </w:rPr>
        <w:t xml:space="preserve"> and do not respond to anti-helminth treatment, discontinue treatment with </w:t>
      </w:r>
      <w:proofErr w:type="spellStart"/>
      <w:r w:rsidRPr="00A953D0">
        <w:rPr>
          <w:rFonts w:ascii="Cambria" w:hAnsi="Cambria"/>
        </w:rPr>
        <w:t>Dupixent</w:t>
      </w:r>
      <w:proofErr w:type="spellEnd"/>
      <w:r w:rsidRPr="00A953D0">
        <w:rPr>
          <w:rFonts w:ascii="Cambria" w:hAnsi="Cambria"/>
        </w:rPr>
        <w:t xml:space="preserve"> until infection resolves.</w:t>
      </w:r>
    </w:p>
    <w:p w:rsidR="00760408" w:rsidRPr="00A953D0" w:rsidRDefault="00760408" w:rsidP="00760408">
      <w:pPr>
        <w:rPr>
          <w:rFonts w:ascii="Cambria" w:hAnsi="Cambria"/>
          <w:b/>
          <w:i/>
        </w:rPr>
      </w:pPr>
      <w:r w:rsidRPr="00A953D0">
        <w:rPr>
          <w:rFonts w:ascii="Cambria" w:hAnsi="Cambria"/>
          <w:b/>
          <w:i/>
        </w:rPr>
        <w:t xml:space="preserve">Conjunctivitis and Keratitis   </w:t>
      </w:r>
    </w:p>
    <w:p w:rsidR="00760408" w:rsidRPr="00A953D0" w:rsidRDefault="00760408" w:rsidP="00760408">
      <w:pPr>
        <w:rPr>
          <w:rFonts w:ascii="Cambria" w:hAnsi="Cambria"/>
        </w:rPr>
      </w:pPr>
      <w:r w:rsidRPr="00A953D0">
        <w:rPr>
          <w:rFonts w:ascii="Cambria" w:hAnsi="Cambria"/>
        </w:rPr>
        <w:t xml:space="preserve">Conjunctivitis and keratitis occurred more frequently in subjects who received </w:t>
      </w:r>
      <w:proofErr w:type="spellStart"/>
      <w:r w:rsidR="0012540A" w:rsidRPr="00A953D0">
        <w:rPr>
          <w:rFonts w:ascii="Cambria" w:hAnsi="Cambria"/>
        </w:rPr>
        <w:t>Dupixent</w:t>
      </w:r>
      <w:proofErr w:type="spellEnd"/>
      <w:r w:rsidRPr="00A953D0">
        <w:rPr>
          <w:rFonts w:ascii="Cambria" w:hAnsi="Cambria"/>
        </w:rPr>
        <w:t>. Conjunctivitis was the most frequently reported eye disorder. Most subjects with conjunctivitis recovered or were recovering during the treatment period (see</w:t>
      </w:r>
      <w:r w:rsidR="00002EBD">
        <w:rPr>
          <w:rFonts w:ascii="Cambria" w:hAnsi="Cambria"/>
        </w:rPr>
        <w:t xml:space="preserve"> 4.8</w:t>
      </w:r>
      <w:r w:rsidRPr="00A953D0">
        <w:rPr>
          <w:rFonts w:ascii="Cambria" w:hAnsi="Cambria"/>
        </w:rPr>
        <w:t xml:space="preserve"> ADVERSE EFFECTS</w:t>
      </w:r>
      <w:r w:rsidR="00002EBD">
        <w:rPr>
          <w:rFonts w:ascii="Cambria" w:hAnsi="Cambria"/>
        </w:rPr>
        <w:t xml:space="preserve"> </w:t>
      </w:r>
      <w:r w:rsidR="00002EBD" w:rsidRPr="00002EBD">
        <w:rPr>
          <w:rFonts w:ascii="Cambria" w:hAnsi="Cambria"/>
        </w:rPr>
        <w:t>(UNDESIRABLE EFFECTS)</w:t>
      </w:r>
      <w:r w:rsidRPr="00A953D0">
        <w:rPr>
          <w:rFonts w:ascii="Cambria" w:hAnsi="Cambria"/>
        </w:rPr>
        <w:t xml:space="preserve">) Keratitis was reported in &lt;1% of the </w:t>
      </w:r>
      <w:proofErr w:type="spellStart"/>
      <w:r w:rsidR="0012540A" w:rsidRPr="00A953D0">
        <w:rPr>
          <w:rFonts w:ascii="Cambria" w:hAnsi="Cambria"/>
        </w:rPr>
        <w:t>Dupixent</w:t>
      </w:r>
      <w:proofErr w:type="spellEnd"/>
      <w:r w:rsidRPr="00A953D0">
        <w:rPr>
          <w:rFonts w:ascii="Cambria" w:hAnsi="Cambria"/>
        </w:rPr>
        <w:t xml:space="preserve"> group </w:t>
      </w:r>
      <w:r w:rsidRPr="00A953D0">
        <w:rPr>
          <w:rFonts w:ascii="Cambria" w:hAnsi="Cambria"/>
        </w:rPr>
        <w:lastRenderedPageBreak/>
        <w:t xml:space="preserve">(1 per 100 subject-years) and in 0% of the placebo group (0 per 100 subject-years) in the 16-week monotherapy trials. In the 52-week </w:t>
      </w:r>
      <w:proofErr w:type="spellStart"/>
      <w:r w:rsidR="0012540A" w:rsidRPr="00A953D0">
        <w:rPr>
          <w:rFonts w:ascii="Cambria" w:hAnsi="Cambria"/>
        </w:rPr>
        <w:t>Dupixent</w:t>
      </w:r>
      <w:proofErr w:type="spellEnd"/>
      <w:r w:rsidRPr="00A953D0">
        <w:rPr>
          <w:rFonts w:ascii="Cambria" w:hAnsi="Cambria"/>
        </w:rPr>
        <w:t xml:space="preserve">+ topical corticosteroids (TCS) trial, keratitis was reported in 4% of the </w:t>
      </w:r>
      <w:proofErr w:type="spellStart"/>
      <w:r w:rsidR="0012540A" w:rsidRPr="00A953D0">
        <w:rPr>
          <w:rFonts w:ascii="Cambria" w:hAnsi="Cambria"/>
        </w:rPr>
        <w:t>Dupixent</w:t>
      </w:r>
      <w:r w:rsidRPr="00A953D0">
        <w:rPr>
          <w:rFonts w:ascii="Cambria" w:hAnsi="Cambria"/>
        </w:rPr>
        <w:t>+TCS</w:t>
      </w:r>
      <w:proofErr w:type="spellEnd"/>
      <w:r w:rsidRPr="00A953D0">
        <w:rPr>
          <w:rFonts w:ascii="Cambria" w:hAnsi="Cambria"/>
        </w:rPr>
        <w:t xml:space="preserve"> group (12 per 100 subject-years) and in 0% of the placebo + TCS group (0 per 100 subject-years). Most subjects with keratitis recovered or were recovering during the treatment period (see </w:t>
      </w:r>
      <w:r w:rsidR="000F4C31" w:rsidRPr="000F4C31">
        <w:rPr>
          <w:rFonts w:ascii="Cambria" w:hAnsi="Cambria"/>
        </w:rPr>
        <w:t>4.8 ADVERSE EFFECTS (UNDESIRABLE EFFECTS)</w:t>
      </w:r>
      <w:r w:rsidRPr="00A953D0">
        <w:rPr>
          <w:rFonts w:ascii="Cambria" w:hAnsi="Cambria"/>
        </w:rPr>
        <w:t xml:space="preserve">) Advise patients to report new onset or worsening eye symptoms to their healthcare provider. </w:t>
      </w:r>
    </w:p>
    <w:p w:rsidR="00760408" w:rsidRPr="00A953D0" w:rsidRDefault="00760408" w:rsidP="00760408">
      <w:pPr>
        <w:rPr>
          <w:rFonts w:ascii="Cambria" w:hAnsi="Cambria"/>
          <w:b/>
          <w:i/>
        </w:rPr>
      </w:pPr>
      <w:r w:rsidRPr="00A953D0">
        <w:rPr>
          <w:rFonts w:ascii="Cambria" w:hAnsi="Cambria"/>
          <w:b/>
          <w:i/>
        </w:rPr>
        <w:t xml:space="preserve">Comorbid Asthma </w:t>
      </w:r>
    </w:p>
    <w:p w:rsidR="00760408" w:rsidRPr="00A953D0" w:rsidRDefault="00760408" w:rsidP="00760408">
      <w:pPr>
        <w:rPr>
          <w:rFonts w:ascii="Cambria" w:hAnsi="Cambria"/>
        </w:rPr>
      </w:pPr>
      <w:r w:rsidRPr="00A953D0">
        <w:rPr>
          <w:rFonts w:ascii="Cambria" w:hAnsi="Cambria"/>
        </w:rPr>
        <w:t xml:space="preserve">Safety and efficacy of </w:t>
      </w:r>
      <w:proofErr w:type="spellStart"/>
      <w:r w:rsidR="0012540A" w:rsidRPr="00A953D0">
        <w:rPr>
          <w:rFonts w:ascii="Cambria" w:hAnsi="Cambria"/>
        </w:rPr>
        <w:t>Dupixent</w:t>
      </w:r>
      <w:proofErr w:type="spellEnd"/>
      <w:r w:rsidRPr="00A953D0">
        <w:rPr>
          <w:rFonts w:ascii="Cambria" w:hAnsi="Cambria"/>
        </w:rPr>
        <w:t xml:space="preserve"> have not been established in the treatment of asthma. Advise patients with comorbid asthma not to adjust or stop their asthma treatments without consultation with their physicians.</w:t>
      </w:r>
    </w:p>
    <w:p w:rsidR="00760408" w:rsidRPr="00A953D0" w:rsidRDefault="00760408" w:rsidP="00760408">
      <w:pPr>
        <w:rPr>
          <w:rFonts w:ascii="Cambria" w:hAnsi="Cambria"/>
          <w:b/>
          <w:i/>
        </w:rPr>
      </w:pPr>
      <w:r w:rsidRPr="00A953D0">
        <w:rPr>
          <w:rFonts w:ascii="Cambria" w:hAnsi="Cambria"/>
          <w:b/>
          <w:i/>
        </w:rPr>
        <w:t xml:space="preserve">Concomitant Atopic Conditions </w:t>
      </w:r>
    </w:p>
    <w:p w:rsidR="00760408" w:rsidRPr="00A953D0" w:rsidRDefault="00760408" w:rsidP="00760408">
      <w:pPr>
        <w:rPr>
          <w:rFonts w:ascii="Cambria" w:hAnsi="Cambria"/>
        </w:rPr>
      </w:pPr>
      <w:r w:rsidRPr="00A953D0">
        <w:rPr>
          <w:rFonts w:ascii="Cambria" w:hAnsi="Cambria"/>
        </w:rPr>
        <w:t xml:space="preserve">Safety and efficacy have not been established in allergic or atopic conditions other than atopic dermatitis. Patients with comorbid atopic conditions (such as asthma) should be advised not to adjust their treatment without consultation with their physicians. When discontinuing </w:t>
      </w:r>
      <w:proofErr w:type="spellStart"/>
      <w:r w:rsidRPr="00A953D0">
        <w:rPr>
          <w:rFonts w:ascii="Cambria" w:hAnsi="Cambria"/>
        </w:rPr>
        <w:t>Dupixent</w:t>
      </w:r>
      <w:proofErr w:type="spellEnd"/>
      <w:r w:rsidRPr="00A953D0">
        <w:rPr>
          <w:rFonts w:ascii="Cambria" w:hAnsi="Cambria"/>
        </w:rPr>
        <w:t xml:space="preserve"> consider the potential effects on other atopic conditions.</w:t>
      </w:r>
    </w:p>
    <w:p w:rsidR="00521192" w:rsidRPr="00A953D0" w:rsidRDefault="00521192" w:rsidP="00521192">
      <w:pPr>
        <w:rPr>
          <w:rFonts w:ascii="Cambria" w:hAnsi="Cambria"/>
          <w:b/>
          <w:i/>
        </w:rPr>
      </w:pPr>
      <w:r w:rsidRPr="00A953D0">
        <w:rPr>
          <w:rFonts w:ascii="Cambria" w:hAnsi="Cambria"/>
          <w:b/>
          <w:i/>
        </w:rPr>
        <w:t>Use in the elderly</w:t>
      </w:r>
    </w:p>
    <w:p w:rsidR="00521192" w:rsidRPr="00A953D0" w:rsidRDefault="00521192" w:rsidP="00521192">
      <w:pPr>
        <w:rPr>
          <w:rFonts w:ascii="Cambria" w:hAnsi="Cambria"/>
        </w:rPr>
      </w:pPr>
      <w:r w:rsidRPr="00A953D0">
        <w:rPr>
          <w:rFonts w:ascii="Cambria" w:hAnsi="Cambria"/>
        </w:rPr>
        <w:t xml:space="preserve">Of the 1472 patients with atopic dermatitis exposed to </w:t>
      </w:r>
      <w:proofErr w:type="spellStart"/>
      <w:r w:rsidRPr="00A953D0">
        <w:rPr>
          <w:rFonts w:ascii="Cambria" w:hAnsi="Cambria"/>
        </w:rPr>
        <w:t>Dupixent</w:t>
      </w:r>
      <w:proofErr w:type="spellEnd"/>
      <w:r w:rsidRPr="00A953D0">
        <w:rPr>
          <w:rFonts w:ascii="Cambria" w:hAnsi="Cambria"/>
        </w:rPr>
        <w:t xml:space="preserve">  in a phase 2 dose-ranging study or phase 3 placebo-controlled studies, a total of 67 were 65 years or older. Although no differences in safety or efficacy were observed between older and younger patients, the number of patients aged 65 and over is not sufficient to determine whether they respond differently from younger patients.</w:t>
      </w:r>
    </w:p>
    <w:p w:rsidR="00521192" w:rsidRPr="00A953D0" w:rsidRDefault="00521192" w:rsidP="00521192">
      <w:pPr>
        <w:rPr>
          <w:rFonts w:ascii="Cambria" w:hAnsi="Cambria"/>
          <w:b/>
          <w:i/>
        </w:rPr>
      </w:pPr>
      <w:proofErr w:type="spellStart"/>
      <w:r w:rsidRPr="00A953D0">
        <w:rPr>
          <w:rFonts w:ascii="Cambria" w:hAnsi="Cambria"/>
          <w:b/>
          <w:i/>
        </w:rPr>
        <w:t>Paediatric</w:t>
      </w:r>
      <w:proofErr w:type="spellEnd"/>
      <w:r w:rsidRPr="00A953D0">
        <w:rPr>
          <w:rFonts w:ascii="Cambria" w:hAnsi="Cambria"/>
          <w:b/>
          <w:i/>
        </w:rPr>
        <w:t xml:space="preserve"> Use</w:t>
      </w:r>
    </w:p>
    <w:p w:rsidR="00521192" w:rsidRPr="00A953D0" w:rsidRDefault="00521192" w:rsidP="00521192">
      <w:pPr>
        <w:rPr>
          <w:rFonts w:ascii="Cambria" w:hAnsi="Cambria"/>
        </w:rPr>
      </w:pPr>
      <w:r w:rsidRPr="00A953D0">
        <w:rPr>
          <w:rFonts w:ascii="Cambria" w:hAnsi="Cambria"/>
        </w:rPr>
        <w:t xml:space="preserve">Safety and efficacy in </w:t>
      </w:r>
      <w:proofErr w:type="spellStart"/>
      <w:r w:rsidRPr="00A953D0">
        <w:rPr>
          <w:rFonts w:ascii="Cambria" w:hAnsi="Cambria"/>
        </w:rPr>
        <w:t>paediatric</w:t>
      </w:r>
      <w:proofErr w:type="spellEnd"/>
      <w:r w:rsidRPr="00A953D0">
        <w:rPr>
          <w:rFonts w:ascii="Cambria" w:hAnsi="Cambria"/>
        </w:rPr>
        <w:t xml:space="preserve"> patients have not been established.</w:t>
      </w:r>
    </w:p>
    <w:p w:rsidR="00521192" w:rsidRPr="00A953D0" w:rsidRDefault="00521192" w:rsidP="00521192">
      <w:pPr>
        <w:rPr>
          <w:rFonts w:ascii="Cambria" w:hAnsi="Cambria"/>
          <w:b/>
          <w:i/>
        </w:rPr>
      </w:pPr>
      <w:r w:rsidRPr="00A953D0">
        <w:rPr>
          <w:rFonts w:ascii="Cambria" w:hAnsi="Cambria"/>
          <w:b/>
          <w:i/>
        </w:rPr>
        <w:t>Effects on laboratory tests</w:t>
      </w:r>
    </w:p>
    <w:p w:rsidR="00521192" w:rsidRPr="00A953D0" w:rsidRDefault="00521192" w:rsidP="00521192">
      <w:pPr>
        <w:rPr>
          <w:rFonts w:ascii="Cambria" w:hAnsi="Cambria"/>
        </w:rPr>
      </w:pPr>
      <w:r w:rsidRPr="00A953D0">
        <w:rPr>
          <w:rFonts w:ascii="Cambria" w:hAnsi="Cambria"/>
        </w:rPr>
        <w:t xml:space="preserve">There is no known interference between </w:t>
      </w:r>
      <w:proofErr w:type="spellStart"/>
      <w:r w:rsidRPr="00A953D0">
        <w:rPr>
          <w:rFonts w:ascii="Cambria" w:hAnsi="Cambria"/>
        </w:rPr>
        <w:t>Dupixent</w:t>
      </w:r>
      <w:proofErr w:type="spellEnd"/>
      <w:r w:rsidRPr="00A953D0">
        <w:rPr>
          <w:rFonts w:ascii="Cambria" w:hAnsi="Cambria"/>
        </w:rPr>
        <w:t xml:space="preserve"> and routine laboratory tests.</w:t>
      </w:r>
    </w:p>
    <w:p w:rsidR="00760408" w:rsidRPr="00A953D0" w:rsidRDefault="00760408" w:rsidP="00760408">
      <w:pPr>
        <w:pStyle w:val="Heading2"/>
        <w:rPr>
          <w:rFonts w:ascii="Cambria" w:hAnsi="Cambria"/>
        </w:rPr>
      </w:pPr>
      <w:r w:rsidRPr="00A953D0">
        <w:rPr>
          <w:rFonts w:ascii="Cambria" w:hAnsi="Cambria"/>
        </w:rPr>
        <w:t>INTERACTIONS WITH OTHER MEDICINES AND OTHER FORMS OF INTERACTIONS</w:t>
      </w:r>
    </w:p>
    <w:p w:rsidR="00AA3DFF" w:rsidRPr="00A953D0" w:rsidRDefault="00AA3DFF" w:rsidP="00AA3DFF">
      <w:pPr>
        <w:rPr>
          <w:rFonts w:ascii="Cambria" w:hAnsi="Cambria"/>
          <w:b/>
          <w:i/>
        </w:rPr>
      </w:pPr>
      <w:r w:rsidRPr="00A953D0">
        <w:rPr>
          <w:rFonts w:ascii="Cambria" w:hAnsi="Cambria"/>
          <w:b/>
          <w:i/>
        </w:rPr>
        <w:t>Live Vaccines</w:t>
      </w:r>
    </w:p>
    <w:p w:rsidR="00AA3DFF" w:rsidRPr="00A953D0" w:rsidRDefault="00AA3DFF" w:rsidP="00AA3DFF">
      <w:pPr>
        <w:rPr>
          <w:rFonts w:ascii="Cambria" w:hAnsi="Cambria"/>
        </w:rPr>
      </w:pPr>
      <w:r w:rsidRPr="00A953D0">
        <w:rPr>
          <w:rFonts w:ascii="Cambria" w:hAnsi="Cambria"/>
        </w:rPr>
        <w:t xml:space="preserve">The safety and efficacy of concurrent use of </w:t>
      </w:r>
      <w:proofErr w:type="spellStart"/>
      <w:r w:rsidRPr="00A953D0">
        <w:rPr>
          <w:rFonts w:ascii="Cambria" w:hAnsi="Cambria"/>
        </w:rPr>
        <w:t>Dupixent</w:t>
      </w:r>
      <w:proofErr w:type="spellEnd"/>
      <w:r w:rsidRPr="00A953D0">
        <w:rPr>
          <w:rFonts w:ascii="Cambria" w:hAnsi="Cambria"/>
        </w:rPr>
        <w:t xml:space="preserve"> with live vaccines has not been studied. </w:t>
      </w:r>
    </w:p>
    <w:p w:rsidR="00AA3DFF" w:rsidRPr="00A953D0" w:rsidRDefault="00AA3DFF" w:rsidP="00AA3DFF">
      <w:pPr>
        <w:rPr>
          <w:rFonts w:ascii="Cambria" w:hAnsi="Cambria"/>
          <w:b/>
          <w:i/>
        </w:rPr>
      </w:pPr>
      <w:r w:rsidRPr="00A953D0">
        <w:rPr>
          <w:rFonts w:ascii="Cambria" w:hAnsi="Cambria"/>
          <w:b/>
          <w:i/>
        </w:rPr>
        <w:lastRenderedPageBreak/>
        <w:t>Non-Live Vaccines</w:t>
      </w:r>
    </w:p>
    <w:p w:rsidR="00AA3DFF" w:rsidRPr="00A953D0" w:rsidRDefault="00AA3DFF" w:rsidP="00AA3DFF">
      <w:pPr>
        <w:rPr>
          <w:rFonts w:ascii="Cambria" w:hAnsi="Cambria"/>
        </w:rPr>
      </w:pPr>
      <w:r w:rsidRPr="00A953D0">
        <w:rPr>
          <w:rFonts w:ascii="Cambria" w:hAnsi="Cambria"/>
        </w:rPr>
        <w:t xml:space="preserve">Immune responses to vaccination were assessed in a study in which patients with atopic dermatitis were treated once weekly for 16 weeks with 300 mg of </w:t>
      </w:r>
      <w:proofErr w:type="spellStart"/>
      <w:r w:rsidRPr="00A953D0">
        <w:rPr>
          <w:rFonts w:ascii="Cambria" w:hAnsi="Cambria"/>
        </w:rPr>
        <w:t>dupilumab</w:t>
      </w:r>
      <w:proofErr w:type="spellEnd"/>
      <w:r w:rsidRPr="00A953D0">
        <w:rPr>
          <w:rFonts w:ascii="Cambria" w:hAnsi="Cambria"/>
        </w:rPr>
        <w:t xml:space="preserve">. After 12 weeks of </w:t>
      </w:r>
      <w:proofErr w:type="spellStart"/>
      <w:r w:rsidRPr="00A953D0">
        <w:rPr>
          <w:rFonts w:ascii="Cambria" w:hAnsi="Cambria"/>
        </w:rPr>
        <w:t>dupilumab</w:t>
      </w:r>
      <w:proofErr w:type="spellEnd"/>
      <w:r w:rsidRPr="00A953D0">
        <w:rPr>
          <w:rFonts w:ascii="Cambria" w:hAnsi="Cambria"/>
        </w:rPr>
        <w:t xml:space="preserve"> administration, patients were vaccinated with a </w:t>
      </w:r>
      <w:proofErr w:type="spellStart"/>
      <w:r w:rsidRPr="00A953D0">
        <w:rPr>
          <w:rFonts w:ascii="Cambria" w:hAnsi="Cambria"/>
        </w:rPr>
        <w:t>Tdap</w:t>
      </w:r>
      <w:proofErr w:type="spellEnd"/>
      <w:r w:rsidRPr="00A953D0">
        <w:rPr>
          <w:rFonts w:ascii="Cambria" w:hAnsi="Cambria"/>
        </w:rPr>
        <w:t xml:space="preserve"> vaccine (T cell-dependent) and a meningococcal polysaccharide vaccine (T cell-independent) and immune responses were assessed 4 weeks later. Antibody responses to both tetanus vaccine and meningococcal polysaccharide vaccine were similar in </w:t>
      </w:r>
      <w:proofErr w:type="spellStart"/>
      <w:r w:rsidRPr="00A953D0">
        <w:rPr>
          <w:rFonts w:ascii="Cambria" w:hAnsi="Cambria"/>
        </w:rPr>
        <w:t>dupilumab</w:t>
      </w:r>
      <w:proofErr w:type="spellEnd"/>
      <w:r w:rsidRPr="00A953D0">
        <w:rPr>
          <w:rFonts w:ascii="Cambria" w:hAnsi="Cambria"/>
        </w:rPr>
        <w:t xml:space="preserve">-treated and placebo-treated patients. No adverse interactions between either of the non-live vaccines and </w:t>
      </w:r>
      <w:proofErr w:type="spellStart"/>
      <w:r w:rsidRPr="00A953D0">
        <w:rPr>
          <w:rFonts w:ascii="Cambria" w:hAnsi="Cambria"/>
        </w:rPr>
        <w:t>dupilumab</w:t>
      </w:r>
      <w:proofErr w:type="spellEnd"/>
      <w:r w:rsidRPr="00A953D0">
        <w:rPr>
          <w:rFonts w:ascii="Cambria" w:hAnsi="Cambria"/>
        </w:rPr>
        <w:t xml:space="preserve"> were noted in the study. </w:t>
      </w:r>
    </w:p>
    <w:p w:rsidR="00AA3DFF" w:rsidRPr="00A953D0" w:rsidRDefault="00AA3DFF" w:rsidP="00AA3DFF">
      <w:pPr>
        <w:rPr>
          <w:rFonts w:ascii="Cambria" w:hAnsi="Cambria"/>
        </w:rPr>
      </w:pPr>
      <w:r w:rsidRPr="00A953D0">
        <w:rPr>
          <w:rFonts w:ascii="Cambria" w:hAnsi="Cambria"/>
        </w:rPr>
        <w:t xml:space="preserve">Therefore, patients receiving </w:t>
      </w:r>
      <w:proofErr w:type="spellStart"/>
      <w:r w:rsidRPr="00A953D0">
        <w:rPr>
          <w:rFonts w:ascii="Cambria" w:hAnsi="Cambria"/>
        </w:rPr>
        <w:t>Dupixent</w:t>
      </w:r>
      <w:proofErr w:type="spellEnd"/>
      <w:r w:rsidRPr="00A953D0">
        <w:rPr>
          <w:rFonts w:ascii="Cambria" w:hAnsi="Cambria"/>
        </w:rPr>
        <w:t xml:space="preserve"> may receive concurrent inactivated or non-live vaccinations.</w:t>
      </w:r>
    </w:p>
    <w:p w:rsidR="00AA3DFF" w:rsidRPr="00A953D0" w:rsidRDefault="00AA3DFF" w:rsidP="00AA3DFF">
      <w:pPr>
        <w:rPr>
          <w:rFonts w:ascii="Cambria" w:hAnsi="Cambria"/>
          <w:b/>
          <w:i/>
        </w:rPr>
      </w:pPr>
      <w:r w:rsidRPr="00A953D0">
        <w:rPr>
          <w:rFonts w:ascii="Cambria" w:hAnsi="Cambria"/>
          <w:b/>
          <w:i/>
        </w:rPr>
        <w:t xml:space="preserve">Interactions with CYP450 Substrates </w:t>
      </w:r>
    </w:p>
    <w:p w:rsidR="00AA3DFF" w:rsidRDefault="00AA3DFF" w:rsidP="00AA3DFF">
      <w:pPr>
        <w:rPr>
          <w:rFonts w:ascii="Cambria" w:hAnsi="Cambria"/>
        </w:rPr>
      </w:pPr>
      <w:r w:rsidRPr="00A953D0">
        <w:rPr>
          <w:rFonts w:ascii="Cambria" w:hAnsi="Cambria"/>
        </w:rPr>
        <w:t xml:space="preserve">In a clinical study of AD patients, the effects of </w:t>
      </w:r>
      <w:proofErr w:type="spellStart"/>
      <w:r w:rsidRPr="00A953D0">
        <w:rPr>
          <w:rFonts w:ascii="Cambria" w:hAnsi="Cambria"/>
        </w:rPr>
        <w:t>dupilumab</w:t>
      </w:r>
      <w:proofErr w:type="spellEnd"/>
      <w:r w:rsidRPr="00A953D0">
        <w:rPr>
          <w:rFonts w:ascii="Cambria" w:hAnsi="Cambria"/>
        </w:rPr>
        <w:t xml:space="preserve"> on the PK of CYP substrates were evaluated. The data gathered from this study did not indicate clinically relevant effect of </w:t>
      </w:r>
      <w:proofErr w:type="spellStart"/>
      <w:r w:rsidRPr="00A953D0">
        <w:rPr>
          <w:rFonts w:ascii="Cambria" w:hAnsi="Cambria"/>
        </w:rPr>
        <w:t>dupilumab</w:t>
      </w:r>
      <w:proofErr w:type="spellEnd"/>
      <w:r w:rsidRPr="00A953D0">
        <w:rPr>
          <w:rFonts w:ascii="Cambria" w:hAnsi="Cambria"/>
        </w:rPr>
        <w:t xml:space="preserve"> on CYP1A2, CYP3A, CYP2C19, CYP2D6, or CYP2C9 activity.</w:t>
      </w:r>
    </w:p>
    <w:p w:rsidR="00A72D20" w:rsidRPr="00566795" w:rsidRDefault="00A72D20" w:rsidP="00AA3DFF">
      <w:pPr>
        <w:rPr>
          <w:rFonts w:ascii="Cambria" w:hAnsi="Cambria"/>
          <w:b/>
          <w:i/>
        </w:rPr>
      </w:pPr>
      <w:r w:rsidRPr="00566795">
        <w:rPr>
          <w:rFonts w:ascii="Cambria" w:hAnsi="Cambria"/>
          <w:b/>
          <w:i/>
        </w:rPr>
        <w:t>Other</w:t>
      </w:r>
    </w:p>
    <w:p w:rsidR="00F36434" w:rsidRPr="00583830" w:rsidRDefault="00A72D20" w:rsidP="00AA3DFF">
      <w:pPr>
        <w:rPr>
          <w:rFonts w:ascii="Cambria" w:hAnsi="Cambria"/>
        </w:rPr>
      </w:pPr>
      <w:r w:rsidRPr="00583830">
        <w:rPr>
          <w:rFonts w:ascii="Cambria" w:hAnsi="Cambria" w:hint="eastAsia"/>
        </w:rPr>
        <w:t xml:space="preserve">There are no data on the safety of </w:t>
      </w:r>
      <w:proofErr w:type="spellStart"/>
      <w:r w:rsidR="0012540A" w:rsidRPr="00583830">
        <w:rPr>
          <w:rFonts w:ascii="Cambria" w:hAnsi="Cambria"/>
        </w:rPr>
        <w:t>Dupixent</w:t>
      </w:r>
      <w:proofErr w:type="spellEnd"/>
      <w:r w:rsidRPr="00583830">
        <w:rPr>
          <w:rFonts w:ascii="Cambria" w:hAnsi="Cambria" w:hint="eastAsia"/>
        </w:rPr>
        <w:t xml:space="preserve"> when co-administered with other </w:t>
      </w:r>
      <w:proofErr w:type="spellStart"/>
      <w:proofErr w:type="gramStart"/>
      <w:r w:rsidRPr="00583830">
        <w:rPr>
          <w:rFonts w:ascii="Cambria" w:hAnsi="Cambria" w:hint="eastAsia"/>
        </w:rPr>
        <w:t>immunomodulators</w:t>
      </w:r>
      <w:proofErr w:type="spellEnd"/>
      <w:r w:rsidRPr="00583830">
        <w:rPr>
          <w:rFonts w:ascii="Cambria" w:hAnsi="Cambria" w:hint="eastAsia"/>
        </w:rPr>
        <w:t xml:space="preserve"> .</w:t>
      </w:r>
      <w:proofErr w:type="gramEnd"/>
    </w:p>
    <w:p w:rsidR="00AA3DFF" w:rsidRPr="00583830" w:rsidRDefault="00AA3DFF" w:rsidP="00AA3DFF">
      <w:pPr>
        <w:pStyle w:val="Heading2"/>
        <w:rPr>
          <w:rFonts w:ascii="Cambria" w:eastAsia="MS Mincho" w:hAnsi="Cambria" w:cs="Times New Roman"/>
          <w:iCs w:val="0"/>
          <w:caps w:val="0"/>
          <w:color w:val="000000"/>
          <w:kern w:val="0"/>
          <w:sz w:val="24"/>
          <w:szCs w:val="24"/>
        </w:rPr>
      </w:pPr>
      <w:r w:rsidRPr="00583830">
        <w:rPr>
          <w:rFonts w:ascii="Cambria" w:eastAsia="MS Mincho" w:hAnsi="Cambria" w:cs="Times New Roman"/>
          <w:iCs w:val="0"/>
          <w:caps w:val="0"/>
          <w:color w:val="000000"/>
          <w:kern w:val="0"/>
          <w:sz w:val="24"/>
          <w:szCs w:val="24"/>
        </w:rPr>
        <w:t>FERTILITY, PREGNANCY AND LACTATION</w:t>
      </w:r>
    </w:p>
    <w:p w:rsidR="00AA3DFF" w:rsidRPr="00A953D0" w:rsidRDefault="00521192" w:rsidP="00AA3DFF">
      <w:pPr>
        <w:rPr>
          <w:rFonts w:ascii="Cambria" w:hAnsi="Cambria"/>
          <w:b/>
          <w:i/>
        </w:rPr>
      </w:pPr>
      <w:r w:rsidRPr="00A953D0">
        <w:rPr>
          <w:rFonts w:ascii="Cambria" w:hAnsi="Cambria"/>
          <w:b/>
          <w:i/>
        </w:rPr>
        <w:t>Effects on f</w:t>
      </w:r>
      <w:r w:rsidR="00AA3DFF" w:rsidRPr="00A953D0">
        <w:rPr>
          <w:rFonts w:ascii="Cambria" w:hAnsi="Cambria"/>
          <w:b/>
          <w:i/>
        </w:rPr>
        <w:t>ertility</w:t>
      </w:r>
    </w:p>
    <w:p w:rsidR="00AA3DFF" w:rsidRPr="00A953D0" w:rsidRDefault="00AA3DFF" w:rsidP="00AA3DFF">
      <w:pPr>
        <w:rPr>
          <w:rFonts w:ascii="Cambria" w:hAnsi="Cambria"/>
        </w:rPr>
      </w:pPr>
      <w:r w:rsidRPr="00A953D0">
        <w:rPr>
          <w:rFonts w:ascii="Cambria" w:hAnsi="Cambria"/>
        </w:rPr>
        <w:t xml:space="preserve">Fertility studies conducted in male and female mice using a surrogate antibody against IL-4Rα showed no impairment of fertility. The no-observed-effect-level (NOEL) was the maximum dose </w:t>
      </w:r>
      <w:proofErr w:type="gramStart"/>
      <w:r w:rsidRPr="00A953D0">
        <w:rPr>
          <w:rFonts w:ascii="Cambria" w:hAnsi="Cambria"/>
        </w:rPr>
        <w:t>studied,</w:t>
      </w:r>
      <w:proofErr w:type="gramEnd"/>
      <w:r w:rsidRPr="00A953D0">
        <w:rPr>
          <w:rFonts w:ascii="Cambria" w:hAnsi="Cambria"/>
        </w:rPr>
        <w:t xml:space="preserve"> 200 mg/kg/week administered subcutaneously which yielded a high multiple of the exposure (serum AUC) in patients at the recommended dose.</w:t>
      </w:r>
    </w:p>
    <w:p w:rsidR="00AA3DFF" w:rsidRPr="00A953D0" w:rsidRDefault="00521192" w:rsidP="00AA3DFF">
      <w:pPr>
        <w:rPr>
          <w:rFonts w:ascii="Cambria" w:hAnsi="Cambria"/>
          <w:b/>
          <w:i/>
        </w:rPr>
      </w:pPr>
      <w:r w:rsidRPr="00A953D0">
        <w:rPr>
          <w:rFonts w:ascii="Cambria" w:hAnsi="Cambria"/>
          <w:b/>
          <w:i/>
        </w:rPr>
        <w:t>Use in pregnancy (Category B1)</w:t>
      </w:r>
    </w:p>
    <w:p w:rsidR="00AA3DFF" w:rsidRPr="00A953D0" w:rsidRDefault="00AA3DFF" w:rsidP="00AA3DFF">
      <w:pPr>
        <w:rPr>
          <w:rFonts w:ascii="Cambria" w:hAnsi="Cambria"/>
        </w:rPr>
      </w:pPr>
      <w:r w:rsidRPr="00A953D0">
        <w:rPr>
          <w:rFonts w:ascii="Cambria" w:hAnsi="Cambria"/>
        </w:rPr>
        <w:t xml:space="preserve">There are limited amount of data from the use of </w:t>
      </w:r>
      <w:proofErr w:type="spellStart"/>
      <w:r w:rsidRPr="00A953D0">
        <w:rPr>
          <w:rFonts w:ascii="Cambria" w:hAnsi="Cambria"/>
        </w:rPr>
        <w:t>dupilumab</w:t>
      </w:r>
      <w:proofErr w:type="spellEnd"/>
      <w:r w:rsidRPr="00A953D0">
        <w:rPr>
          <w:rFonts w:ascii="Cambria" w:hAnsi="Cambria"/>
        </w:rPr>
        <w:t xml:space="preserve"> in pregnant women. Animal studies do not indicate direct or indirect harmful effects with respect to reproductive toxicity.</w:t>
      </w:r>
    </w:p>
    <w:p w:rsidR="00AA3DFF" w:rsidRPr="00A953D0" w:rsidRDefault="00AA3DFF" w:rsidP="00AA3DFF">
      <w:pPr>
        <w:rPr>
          <w:rFonts w:ascii="Cambria" w:hAnsi="Cambria"/>
        </w:rPr>
      </w:pPr>
      <w:proofErr w:type="spellStart"/>
      <w:r w:rsidRPr="00A953D0">
        <w:rPr>
          <w:rFonts w:ascii="Cambria" w:hAnsi="Cambria"/>
        </w:rPr>
        <w:t>Dupixent</w:t>
      </w:r>
      <w:proofErr w:type="spellEnd"/>
      <w:r w:rsidRPr="00A953D0">
        <w:rPr>
          <w:rFonts w:ascii="Cambria" w:hAnsi="Cambria"/>
        </w:rPr>
        <w:t xml:space="preserve"> should be used during pregnancy only if the potential benefit justifies the potential risk to the fetus. Like other IgG antibodies, </w:t>
      </w:r>
      <w:proofErr w:type="spellStart"/>
      <w:r w:rsidRPr="00A953D0">
        <w:rPr>
          <w:rFonts w:ascii="Cambria" w:hAnsi="Cambria"/>
        </w:rPr>
        <w:t>dupilumab</w:t>
      </w:r>
      <w:proofErr w:type="spellEnd"/>
      <w:r w:rsidRPr="00A953D0">
        <w:rPr>
          <w:rFonts w:ascii="Cambria" w:hAnsi="Cambria"/>
        </w:rPr>
        <w:t xml:space="preserve"> is expected to cross the placental barrier.</w:t>
      </w:r>
    </w:p>
    <w:p w:rsidR="00AA3DFF" w:rsidRPr="00A953D0" w:rsidRDefault="00AA3DFF" w:rsidP="00AA3DFF">
      <w:pPr>
        <w:rPr>
          <w:rFonts w:ascii="Cambria" w:hAnsi="Cambria"/>
        </w:rPr>
      </w:pPr>
      <w:r w:rsidRPr="00A953D0">
        <w:rPr>
          <w:rFonts w:ascii="Cambria" w:hAnsi="Cambria"/>
        </w:rPr>
        <w:lastRenderedPageBreak/>
        <w:t xml:space="preserve">In an enhanced pre-and postnatal development study, pregnant </w:t>
      </w:r>
      <w:proofErr w:type="spellStart"/>
      <w:r w:rsidRPr="00A953D0">
        <w:rPr>
          <w:rFonts w:ascii="Cambria" w:hAnsi="Cambria"/>
        </w:rPr>
        <w:t>cynomolgus</w:t>
      </w:r>
      <w:proofErr w:type="spellEnd"/>
      <w:r w:rsidRPr="00A953D0">
        <w:rPr>
          <w:rFonts w:ascii="Cambria" w:hAnsi="Cambria"/>
        </w:rPr>
        <w:t xml:space="preserve"> monkeys were administered a surrogate antibody against IL-4Rα by subcutaneous injection once weekly at doses up to 100 mg/kg/week, from the beginning of organogenesis to parturition. The surrogate antibody used displayed considerably lower affinity for monkey IL-4Rα compared to </w:t>
      </w:r>
      <w:proofErr w:type="spellStart"/>
      <w:r w:rsidRPr="00A953D0">
        <w:rPr>
          <w:rFonts w:ascii="Cambria" w:hAnsi="Cambria"/>
        </w:rPr>
        <w:t>dupilumab</w:t>
      </w:r>
      <w:proofErr w:type="spellEnd"/>
      <w:r w:rsidRPr="00A953D0">
        <w:rPr>
          <w:rFonts w:ascii="Cambria" w:hAnsi="Cambria"/>
        </w:rPr>
        <w:t xml:space="preserve"> for human IL-4Rα, but the doses used in the study were sufficient to saturate maternal IL-4Rα receptors throughout the treatment period. No treatment-related effects on </w:t>
      </w:r>
      <w:proofErr w:type="spellStart"/>
      <w:r w:rsidRPr="00A953D0">
        <w:rPr>
          <w:rFonts w:ascii="Cambria" w:hAnsi="Cambria"/>
        </w:rPr>
        <w:t>embryofetal</w:t>
      </w:r>
      <w:proofErr w:type="spellEnd"/>
      <w:r w:rsidRPr="00A953D0">
        <w:rPr>
          <w:rFonts w:ascii="Cambria" w:hAnsi="Cambria"/>
        </w:rPr>
        <w:t xml:space="preserve"> survival, malformations, or on growth, functional development or immunology were observed in the offspring, monitored from birth through to 6 months of age.</w:t>
      </w:r>
    </w:p>
    <w:p w:rsidR="00AA3DFF" w:rsidRPr="00A953D0" w:rsidRDefault="00521192" w:rsidP="00AA3DFF">
      <w:pPr>
        <w:rPr>
          <w:rFonts w:ascii="Cambria" w:hAnsi="Cambria"/>
          <w:b/>
          <w:i/>
        </w:rPr>
      </w:pPr>
      <w:r w:rsidRPr="00A953D0">
        <w:rPr>
          <w:rFonts w:ascii="Cambria" w:hAnsi="Cambria"/>
          <w:b/>
          <w:i/>
        </w:rPr>
        <w:t>Use in lactation</w:t>
      </w:r>
    </w:p>
    <w:p w:rsidR="00521192" w:rsidRPr="00A953D0" w:rsidRDefault="00AA3DFF" w:rsidP="00521192">
      <w:pPr>
        <w:rPr>
          <w:rFonts w:ascii="Cambria" w:hAnsi="Cambria"/>
        </w:rPr>
      </w:pPr>
      <w:r w:rsidRPr="00A953D0">
        <w:rPr>
          <w:rFonts w:ascii="Cambria" w:hAnsi="Cambria"/>
        </w:rPr>
        <w:t xml:space="preserve">There are no specific data on the presence of </w:t>
      </w:r>
      <w:proofErr w:type="spellStart"/>
      <w:r w:rsidRPr="00A953D0">
        <w:rPr>
          <w:rFonts w:ascii="Cambria" w:hAnsi="Cambria"/>
        </w:rPr>
        <w:t>dupilumab</w:t>
      </w:r>
      <w:proofErr w:type="spellEnd"/>
      <w:r w:rsidRPr="00A953D0">
        <w:rPr>
          <w:rFonts w:ascii="Cambria" w:hAnsi="Cambria"/>
        </w:rPr>
        <w:t xml:space="preserve"> in human milk. But human IgG is known to be excreted in human milk. A decision must be made whether to discontinue breast-feeding or to discontinue </w:t>
      </w:r>
      <w:proofErr w:type="spellStart"/>
      <w:r w:rsidRPr="00A953D0">
        <w:rPr>
          <w:rFonts w:ascii="Cambria" w:hAnsi="Cambria"/>
        </w:rPr>
        <w:t>Dupixent</w:t>
      </w:r>
      <w:proofErr w:type="spellEnd"/>
      <w:r w:rsidRPr="00A953D0">
        <w:rPr>
          <w:rFonts w:ascii="Cambria" w:hAnsi="Cambria"/>
        </w:rPr>
        <w:t xml:space="preserve"> therapy taking into account the benefit of breast feeding for the child and the benefit of therapy for the woman.</w:t>
      </w:r>
    </w:p>
    <w:p w:rsidR="00521192" w:rsidRPr="00A953D0" w:rsidRDefault="00521192" w:rsidP="00521192">
      <w:pPr>
        <w:pStyle w:val="Heading2"/>
        <w:rPr>
          <w:rFonts w:ascii="Cambria" w:hAnsi="Cambria"/>
        </w:rPr>
      </w:pPr>
      <w:r w:rsidRPr="00A953D0">
        <w:rPr>
          <w:rFonts w:ascii="Cambria" w:hAnsi="Cambria"/>
        </w:rPr>
        <w:t>EFFECTS ON ABILITY TO DRIVE AND USE MACHINES</w:t>
      </w:r>
    </w:p>
    <w:p w:rsidR="00521192" w:rsidRPr="00A953D0" w:rsidRDefault="00521192" w:rsidP="00521192">
      <w:pPr>
        <w:rPr>
          <w:rFonts w:ascii="Cambria" w:hAnsi="Cambria"/>
        </w:rPr>
      </w:pPr>
      <w:proofErr w:type="spellStart"/>
      <w:r w:rsidRPr="00A953D0">
        <w:rPr>
          <w:rFonts w:ascii="Cambria" w:hAnsi="Cambria"/>
        </w:rPr>
        <w:t>Dupixent</w:t>
      </w:r>
      <w:proofErr w:type="spellEnd"/>
      <w:r w:rsidRPr="00A953D0">
        <w:rPr>
          <w:rFonts w:ascii="Cambria" w:hAnsi="Cambria"/>
        </w:rPr>
        <w:t xml:space="preserve"> has no or negligible influence on the ability to drive or operate machinery.</w:t>
      </w:r>
    </w:p>
    <w:p w:rsidR="00521192" w:rsidRPr="00A953D0" w:rsidRDefault="00521192" w:rsidP="00521192">
      <w:pPr>
        <w:pStyle w:val="Heading2"/>
        <w:rPr>
          <w:rFonts w:ascii="Cambria" w:hAnsi="Cambria"/>
        </w:rPr>
      </w:pPr>
      <w:r w:rsidRPr="00A953D0">
        <w:rPr>
          <w:rFonts w:ascii="Cambria" w:hAnsi="Cambria"/>
        </w:rPr>
        <w:t>ADVERSE EFFECTS (UNDESIRABLE EFFECTS)</w:t>
      </w:r>
    </w:p>
    <w:p w:rsidR="00B32F33" w:rsidRPr="00A953D0" w:rsidRDefault="00B32F33" w:rsidP="00B32F33">
      <w:pPr>
        <w:rPr>
          <w:rFonts w:ascii="Cambria" w:hAnsi="Cambria"/>
        </w:rPr>
      </w:pPr>
      <w:r w:rsidRPr="00A953D0">
        <w:rPr>
          <w:rFonts w:ascii="Cambria" w:hAnsi="Cambria"/>
        </w:rPr>
        <w:t>In the overall exposure pool, a total of 2526 patients with atopic dermati</w:t>
      </w:r>
      <w:r w:rsidR="00B14BB3">
        <w:rPr>
          <w:rFonts w:ascii="Cambria" w:hAnsi="Cambria"/>
        </w:rPr>
        <w:t xml:space="preserve">tis were treated with </w:t>
      </w:r>
      <w:proofErr w:type="spellStart"/>
      <w:r w:rsidR="00B14BB3">
        <w:rPr>
          <w:rFonts w:ascii="Cambria" w:hAnsi="Cambria"/>
        </w:rPr>
        <w:t>Dupixent</w:t>
      </w:r>
      <w:proofErr w:type="spellEnd"/>
      <w:r w:rsidR="00B14BB3">
        <w:rPr>
          <w:rFonts w:ascii="Cambria" w:hAnsi="Cambria"/>
        </w:rPr>
        <w:t xml:space="preserve"> </w:t>
      </w:r>
      <w:r w:rsidRPr="00A953D0">
        <w:rPr>
          <w:rFonts w:ascii="Cambria" w:hAnsi="Cambria"/>
        </w:rPr>
        <w:t xml:space="preserve">in controlled and uncontrolled clinical trials. Of these, 739 patients were exposed for at least 1 year. </w:t>
      </w:r>
    </w:p>
    <w:p w:rsidR="00B32F33" w:rsidRPr="00A953D0" w:rsidRDefault="00B32F33" w:rsidP="00B32F33">
      <w:pPr>
        <w:pStyle w:val="Heading1"/>
        <w:pageBreakBefore w:val="0"/>
        <w:numPr>
          <w:ilvl w:val="0"/>
          <w:numId w:val="0"/>
        </w:numPr>
        <w:spacing w:before="0"/>
        <w:rPr>
          <w:rFonts w:ascii="Cambria" w:eastAsia="MS Mincho" w:hAnsi="Cambria" w:cs="Times New Roman"/>
          <w:b w:val="0"/>
          <w:bCs w:val="0"/>
          <w:caps w:val="0"/>
          <w:color w:val="000000"/>
          <w:kern w:val="0"/>
          <w:sz w:val="24"/>
          <w:szCs w:val="24"/>
        </w:rPr>
      </w:pPr>
      <w:bookmarkStart w:id="12" w:name="_Toc456606975"/>
    </w:p>
    <w:p w:rsidR="00B32F33" w:rsidRPr="00A953D0" w:rsidRDefault="00B32F33" w:rsidP="00B32F33">
      <w:pPr>
        <w:pStyle w:val="Heading1"/>
        <w:pageBreakBefore w:val="0"/>
        <w:numPr>
          <w:ilvl w:val="0"/>
          <w:numId w:val="0"/>
        </w:numPr>
        <w:spacing w:before="0"/>
        <w:rPr>
          <w:rFonts w:ascii="Cambria" w:eastAsia="MS Mincho" w:hAnsi="Cambria" w:cs="Times New Roman"/>
          <w:b w:val="0"/>
          <w:bCs w:val="0"/>
          <w:caps w:val="0"/>
          <w:color w:val="000000"/>
          <w:kern w:val="0"/>
          <w:sz w:val="24"/>
          <w:szCs w:val="24"/>
        </w:rPr>
      </w:pPr>
      <w:r w:rsidRPr="00A953D0">
        <w:rPr>
          <w:rFonts w:ascii="Cambria" w:eastAsia="MS Mincho" w:hAnsi="Cambria" w:cs="Times New Roman"/>
          <w:b w:val="0"/>
          <w:bCs w:val="0"/>
          <w:caps w:val="0"/>
          <w:color w:val="000000"/>
          <w:kern w:val="0"/>
          <w:sz w:val="24"/>
          <w:szCs w:val="24"/>
        </w:rPr>
        <w:t xml:space="preserve">The safety of </w:t>
      </w:r>
      <w:proofErr w:type="spellStart"/>
      <w:r w:rsidRPr="00A953D0">
        <w:rPr>
          <w:rFonts w:ascii="Cambria" w:eastAsia="MS Mincho" w:hAnsi="Cambria" w:cs="Times New Roman"/>
          <w:b w:val="0"/>
          <w:bCs w:val="0"/>
          <w:caps w:val="0"/>
          <w:color w:val="000000"/>
          <w:kern w:val="0"/>
          <w:sz w:val="24"/>
          <w:szCs w:val="24"/>
        </w:rPr>
        <w:t>Dupixent</w:t>
      </w:r>
      <w:proofErr w:type="spellEnd"/>
      <w:r w:rsidRPr="00A953D0">
        <w:rPr>
          <w:rFonts w:ascii="Cambria" w:eastAsia="MS Mincho" w:hAnsi="Cambria" w:cs="Times New Roman"/>
          <w:b w:val="0"/>
          <w:bCs w:val="0"/>
          <w:caps w:val="0"/>
          <w:color w:val="000000"/>
          <w:kern w:val="0"/>
          <w:sz w:val="24"/>
          <w:szCs w:val="24"/>
        </w:rPr>
        <w:t xml:space="preserve">  monotherapy was evaluated through week 16 based on data from three randomized, double-blind, placebo-controlled multicenter studies (SOLO 1, SOLO 2) and a phase 2, dose-ranging study) that included 1564 adult patients with moderate-to-severe atopic dermatitis (AD). The study population had a mean age of 38.2 years, 41.1 % was female, 67.9 % white, 21.9 % Asian, 7.1% black, and reported co-morbid atopic conditions such as asthma (39.6%), allergic rhinitis (49%), food allergy (37%), and allergic conjunctivitis (23.1%).</w:t>
      </w:r>
      <w:bookmarkEnd w:id="12"/>
    </w:p>
    <w:p w:rsidR="00B32F33" w:rsidRPr="00A953D0" w:rsidRDefault="00B32F33" w:rsidP="00B32F33">
      <w:pPr>
        <w:pStyle w:val="Heading1"/>
        <w:pageBreakBefore w:val="0"/>
        <w:numPr>
          <w:ilvl w:val="0"/>
          <w:numId w:val="0"/>
        </w:numPr>
        <w:spacing w:before="0"/>
        <w:rPr>
          <w:rFonts w:ascii="Cambria" w:eastAsia="MS Mincho" w:hAnsi="Cambria" w:cs="Times New Roman"/>
          <w:b w:val="0"/>
          <w:bCs w:val="0"/>
          <w:caps w:val="0"/>
          <w:color w:val="000000"/>
          <w:kern w:val="0"/>
          <w:sz w:val="24"/>
          <w:szCs w:val="24"/>
        </w:rPr>
      </w:pPr>
      <w:r w:rsidRPr="00A953D0">
        <w:rPr>
          <w:rFonts w:ascii="Cambria" w:eastAsia="MS Mincho" w:hAnsi="Cambria" w:cs="Times New Roman"/>
          <w:b w:val="0"/>
          <w:bCs w:val="0"/>
          <w:caps w:val="0"/>
          <w:color w:val="000000"/>
          <w:kern w:val="0"/>
          <w:sz w:val="24"/>
          <w:szCs w:val="24"/>
        </w:rPr>
        <w:t xml:space="preserve"> </w:t>
      </w:r>
    </w:p>
    <w:p w:rsidR="00B32F33" w:rsidRPr="00A953D0" w:rsidRDefault="00B32F33" w:rsidP="00B32F33">
      <w:pPr>
        <w:pStyle w:val="Heading1"/>
        <w:pageBreakBefore w:val="0"/>
        <w:numPr>
          <w:ilvl w:val="0"/>
          <w:numId w:val="0"/>
        </w:numPr>
        <w:spacing w:before="0"/>
        <w:rPr>
          <w:rFonts w:ascii="Cambria" w:eastAsia="MS Mincho" w:hAnsi="Cambria" w:cs="Times New Roman"/>
          <w:b w:val="0"/>
          <w:bCs w:val="0"/>
          <w:caps w:val="0"/>
          <w:color w:val="000000"/>
          <w:kern w:val="0"/>
          <w:sz w:val="24"/>
          <w:szCs w:val="24"/>
        </w:rPr>
      </w:pPr>
      <w:bookmarkStart w:id="13" w:name="_Toc456606976"/>
      <w:r w:rsidRPr="00A953D0">
        <w:rPr>
          <w:rFonts w:ascii="Cambria" w:eastAsia="MS Mincho" w:hAnsi="Cambria" w:cs="Times New Roman"/>
          <w:b w:val="0"/>
          <w:bCs w:val="0"/>
          <w:caps w:val="0"/>
          <w:color w:val="000000"/>
          <w:kern w:val="0"/>
          <w:sz w:val="24"/>
          <w:szCs w:val="24"/>
        </w:rPr>
        <w:t xml:space="preserve">The safety of </w:t>
      </w:r>
      <w:proofErr w:type="spellStart"/>
      <w:r w:rsidRPr="00A953D0">
        <w:rPr>
          <w:rFonts w:ascii="Cambria" w:eastAsia="MS Mincho" w:hAnsi="Cambria" w:cs="Times New Roman"/>
          <w:b w:val="0"/>
          <w:bCs w:val="0"/>
          <w:caps w:val="0"/>
          <w:color w:val="000000"/>
          <w:kern w:val="0"/>
          <w:sz w:val="24"/>
          <w:szCs w:val="24"/>
        </w:rPr>
        <w:t>Dupixent</w:t>
      </w:r>
      <w:proofErr w:type="spellEnd"/>
      <w:r w:rsidRPr="00A953D0">
        <w:rPr>
          <w:rFonts w:ascii="Cambria" w:eastAsia="MS Mincho" w:hAnsi="Cambria" w:cs="Times New Roman"/>
          <w:b w:val="0"/>
          <w:bCs w:val="0"/>
          <w:caps w:val="0"/>
          <w:color w:val="000000"/>
          <w:kern w:val="0"/>
          <w:sz w:val="24"/>
          <w:szCs w:val="24"/>
        </w:rPr>
        <w:t xml:space="preserve"> with concomitant topical corticosteroids (TCS) was evaluated based on data from one randomized, double-blind, placebo-controlled multicenter study (CHRONOS). A total of 740 patients were treated up to 52 weeks. The study population had a mean age of 37.1 years, 39.7% was female, 66.2% white, 27.2% Asian, 4.6% black, </w:t>
      </w:r>
      <w:proofErr w:type="gramStart"/>
      <w:r w:rsidRPr="00A953D0">
        <w:rPr>
          <w:rFonts w:ascii="Cambria" w:eastAsia="MS Mincho" w:hAnsi="Cambria" w:cs="Times New Roman"/>
          <w:b w:val="0"/>
          <w:bCs w:val="0"/>
          <w:caps w:val="0"/>
          <w:color w:val="000000"/>
          <w:kern w:val="0"/>
          <w:sz w:val="24"/>
          <w:szCs w:val="24"/>
        </w:rPr>
        <w:t>and  reported</w:t>
      </w:r>
      <w:proofErr w:type="gramEnd"/>
      <w:r w:rsidRPr="00A953D0">
        <w:rPr>
          <w:rFonts w:ascii="Cambria" w:eastAsia="MS Mincho" w:hAnsi="Cambria" w:cs="Times New Roman"/>
          <w:b w:val="0"/>
          <w:bCs w:val="0"/>
          <w:caps w:val="0"/>
          <w:color w:val="000000"/>
          <w:kern w:val="0"/>
          <w:sz w:val="24"/>
          <w:szCs w:val="24"/>
        </w:rPr>
        <w:t xml:space="preserve"> co-morbid atopic conditions such as asthma (39.3%), allergic rhinitis (42.8%), food allergy (33.4%), and allergic conjunctivitis (23.2%).</w:t>
      </w:r>
      <w:bookmarkEnd w:id="13"/>
      <w:r w:rsidRPr="00A953D0">
        <w:rPr>
          <w:rFonts w:ascii="Cambria" w:eastAsia="MS Mincho" w:hAnsi="Cambria" w:cs="Times New Roman"/>
          <w:b w:val="0"/>
          <w:bCs w:val="0"/>
          <w:caps w:val="0"/>
          <w:color w:val="000000"/>
          <w:kern w:val="0"/>
          <w:sz w:val="24"/>
          <w:szCs w:val="24"/>
        </w:rPr>
        <w:t xml:space="preserve"> </w:t>
      </w:r>
    </w:p>
    <w:p w:rsidR="00B32F33" w:rsidRPr="00A953D0" w:rsidRDefault="00B32F33" w:rsidP="00B32F33">
      <w:pPr>
        <w:rPr>
          <w:rFonts w:ascii="Cambria" w:hAnsi="Cambria"/>
        </w:rPr>
      </w:pPr>
      <w:r w:rsidRPr="00A953D0">
        <w:rPr>
          <w:rFonts w:ascii="Cambria" w:hAnsi="Cambria"/>
        </w:rPr>
        <w:t xml:space="preserve">The adverse reactions in the following table are listed by system organ class and frequency using the following convention: Very common &gt; 10%; Common &gt; 1 and &lt; 10%; Uncommon </w:t>
      </w:r>
      <w:r w:rsidRPr="00A953D0">
        <w:rPr>
          <w:rFonts w:ascii="Cambria" w:hAnsi="Cambria"/>
        </w:rPr>
        <w:lastRenderedPageBreak/>
        <w:t>&gt; 0.1 and &lt; 1%, Rare &gt; 0.01 and &lt;0.1%; Very rare &lt;0.01%; Not known *(cannot be estimated from available data).</w:t>
      </w:r>
    </w:p>
    <w:p w:rsidR="00B32F33" w:rsidRPr="00A953D0" w:rsidRDefault="00B32F33" w:rsidP="00B32F33">
      <w:pPr>
        <w:pStyle w:val="Caption"/>
        <w:rPr>
          <w:rFonts w:ascii="Cambria" w:hAnsi="Cambria"/>
          <w:color w:val="000000"/>
          <w:vertAlign w:val="superscript"/>
        </w:rPr>
      </w:pPr>
      <w:r w:rsidRPr="00A953D0">
        <w:rPr>
          <w:rFonts w:ascii="Cambria" w:hAnsi="Cambria"/>
          <w:color w:val="000000"/>
        </w:rPr>
        <w:t>Table </w:t>
      </w:r>
      <w:r w:rsidRPr="00A953D0">
        <w:rPr>
          <w:rFonts w:ascii="Cambria" w:hAnsi="Cambria"/>
          <w:color w:val="000000"/>
        </w:rPr>
        <w:fldChar w:fldCharType="begin"/>
      </w:r>
      <w:r w:rsidRPr="00A953D0">
        <w:rPr>
          <w:rFonts w:ascii="Cambria" w:hAnsi="Cambria"/>
          <w:color w:val="000000"/>
        </w:rPr>
        <w:instrText xml:space="preserve"> SEQ Table \* ARABIC </w:instrText>
      </w:r>
      <w:r w:rsidRPr="00A953D0">
        <w:rPr>
          <w:rFonts w:ascii="Cambria" w:hAnsi="Cambria"/>
          <w:color w:val="000000"/>
        </w:rPr>
        <w:fldChar w:fldCharType="separate"/>
      </w:r>
      <w:r w:rsidR="001A3761">
        <w:rPr>
          <w:rFonts w:ascii="Cambria" w:hAnsi="Cambria"/>
          <w:noProof/>
          <w:color w:val="000000"/>
        </w:rPr>
        <w:t>1</w:t>
      </w:r>
      <w:r w:rsidRPr="00A953D0">
        <w:rPr>
          <w:rFonts w:ascii="Cambria" w:hAnsi="Cambria"/>
          <w:color w:val="000000"/>
        </w:rPr>
        <w:fldChar w:fldCharType="end"/>
      </w:r>
      <w:r w:rsidRPr="00A953D0">
        <w:rPr>
          <w:rFonts w:ascii="Cambria" w:hAnsi="Cambria"/>
          <w:color w:val="000000"/>
        </w:rPr>
        <w:t xml:space="preserve"> ­ List of adverse reactions in clinical </w:t>
      </w:r>
      <w:proofErr w:type="spellStart"/>
      <w:r w:rsidRPr="00A953D0">
        <w:rPr>
          <w:rFonts w:ascii="Cambria" w:hAnsi="Cambria"/>
          <w:color w:val="000000"/>
        </w:rPr>
        <w:t>studies</w:t>
      </w:r>
      <w:r w:rsidRPr="00A953D0">
        <w:rPr>
          <w:rFonts w:ascii="Cambria" w:hAnsi="Cambria"/>
          <w:color w:val="000000"/>
          <w:vertAlign w:val="superscript"/>
        </w:rPr>
        <w:t>a</w:t>
      </w:r>
      <w:proofErr w:type="spellEnd"/>
    </w:p>
    <w:tbl>
      <w:tblPr>
        <w:tblW w:w="0" w:type="auto"/>
        <w:jc w:val="center"/>
        <w:tblBorders>
          <w:top w:val="single" w:sz="2" w:space="0" w:color="000000"/>
        </w:tblBorders>
        <w:tblLook w:val="04A0" w:firstRow="1" w:lastRow="0" w:firstColumn="1" w:lastColumn="0" w:noHBand="0" w:noVBand="1"/>
      </w:tblPr>
      <w:tblGrid>
        <w:gridCol w:w="3228"/>
        <w:gridCol w:w="3228"/>
        <w:gridCol w:w="3229"/>
      </w:tblGrid>
      <w:tr w:rsidR="00B32F33" w:rsidRPr="00A953D0" w:rsidTr="00045804">
        <w:trPr>
          <w:cantSplit/>
          <w:tblHeader/>
          <w:jc w:val="center"/>
        </w:trPr>
        <w:tc>
          <w:tcPr>
            <w:tcW w:w="3228" w:type="dxa"/>
            <w:tcBorders>
              <w:top w:val="single" w:sz="4" w:space="0" w:color="000000"/>
              <w:bottom w:val="single" w:sz="4" w:space="0" w:color="000000"/>
            </w:tcBorders>
            <w:shd w:val="clear" w:color="auto" w:fill="auto"/>
          </w:tcPr>
          <w:p w:rsidR="00B32F33" w:rsidRPr="00A953D0" w:rsidRDefault="00B32F33" w:rsidP="00045804">
            <w:pPr>
              <w:pStyle w:val="TblHeadingCenter"/>
              <w:rPr>
                <w:rFonts w:ascii="Cambria" w:hAnsi="Cambria"/>
                <w:color w:val="000000"/>
              </w:rPr>
            </w:pPr>
            <w:r w:rsidRPr="00A953D0">
              <w:rPr>
                <w:rFonts w:ascii="Cambria" w:hAnsi="Cambria"/>
                <w:color w:val="000000"/>
              </w:rPr>
              <w:t>System Organ Class</w:t>
            </w:r>
          </w:p>
        </w:tc>
        <w:tc>
          <w:tcPr>
            <w:tcW w:w="3228" w:type="dxa"/>
            <w:tcBorders>
              <w:top w:val="single" w:sz="4" w:space="0" w:color="000000"/>
              <w:bottom w:val="single" w:sz="4" w:space="0" w:color="000000"/>
            </w:tcBorders>
            <w:shd w:val="clear" w:color="auto" w:fill="auto"/>
          </w:tcPr>
          <w:p w:rsidR="00B32F33" w:rsidRPr="00A953D0" w:rsidRDefault="00B32F33" w:rsidP="00045804">
            <w:pPr>
              <w:pStyle w:val="TblHeadingCenter"/>
              <w:rPr>
                <w:rFonts w:ascii="Cambria" w:hAnsi="Cambria"/>
                <w:color w:val="000000"/>
              </w:rPr>
            </w:pPr>
            <w:r w:rsidRPr="00A953D0">
              <w:rPr>
                <w:rFonts w:ascii="Cambria" w:hAnsi="Cambria"/>
                <w:color w:val="000000"/>
              </w:rPr>
              <w:t>Frequency</w:t>
            </w:r>
          </w:p>
        </w:tc>
        <w:tc>
          <w:tcPr>
            <w:tcW w:w="3229" w:type="dxa"/>
            <w:tcBorders>
              <w:top w:val="single" w:sz="4" w:space="0" w:color="000000"/>
              <w:bottom w:val="single" w:sz="4" w:space="0" w:color="000000"/>
            </w:tcBorders>
            <w:shd w:val="clear" w:color="auto" w:fill="auto"/>
          </w:tcPr>
          <w:p w:rsidR="00B32F33" w:rsidRPr="00A953D0" w:rsidRDefault="00B32F33" w:rsidP="00045804">
            <w:pPr>
              <w:pStyle w:val="TblHeadingCenter"/>
              <w:rPr>
                <w:rFonts w:ascii="Cambria" w:hAnsi="Cambria"/>
                <w:color w:val="000000"/>
              </w:rPr>
            </w:pPr>
            <w:r w:rsidRPr="00A953D0">
              <w:rPr>
                <w:rFonts w:ascii="Cambria" w:hAnsi="Cambria"/>
                <w:color w:val="000000"/>
              </w:rPr>
              <w:t>Adverse Reaction</w:t>
            </w:r>
          </w:p>
        </w:tc>
      </w:tr>
      <w:tr w:rsidR="00B32F33" w:rsidRPr="00A953D0" w:rsidTr="00045804">
        <w:trPr>
          <w:cantSplit/>
          <w:jc w:val="center"/>
        </w:trPr>
        <w:tc>
          <w:tcPr>
            <w:tcW w:w="3228" w:type="dxa"/>
            <w:tcBorders>
              <w:top w:val="single" w:sz="4" w:space="0" w:color="000000"/>
            </w:tcBorders>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Infections and infestations</w:t>
            </w:r>
          </w:p>
        </w:tc>
        <w:tc>
          <w:tcPr>
            <w:tcW w:w="3228" w:type="dxa"/>
            <w:tcBorders>
              <w:top w:val="single" w:sz="4" w:space="0" w:color="000000"/>
            </w:tcBorders>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Common</w:t>
            </w:r>
          </w:p>
        </w:tc>
        <w:tc>
          <w:tcPr>
            <w:tcW w:w="3229" w:type="dxa"/>
            <w:tcBorders>
              <w:top w:val="single" w:sz="4" w:space="0" w:color="000000"/>
            </w:tcBorders>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Conjunctivitis (4.0 %)</w:t>
            </w:r>
          </w:p>
          <w:p w:rsidR="00B32F33" w:rsidRPr="00A953D0" w:rsidRDefault="00B32F33" w:rsidP="00045804">
            <w:pPr>
              <w:pStyle w:val="TblTextCenter"/>
              <w:rPr>
                <w:rFonts w:ascii="Cambria" w:hAnsi="Cambria"/>
                <w:color w:val="000000"/>
              </w:rPr>
            </w:pPr>
            <w:r w:rsidRPr="00A953D0">
              <w:rPr>
                <w:rFonts w:ascii="Cambria" w:hAnsi="Cambria"/>
                <w:color w:val="000000"/>
              </w:rPr>
              <w:t>Oral herpes (3.8%)</w:t>
            </w:r>
          </w:p>
          <w:p w:rsidR="00B32F33" w:rsidRPr="00A953D0" w:rsidRDefault="00B32F33" w:rsidP="00045804">
            <w:pPr>
              <w:pStyle w:val="TblTextCenter"/>
              <w:rPr>
                <w:rFonts w:ascii="Cambria" w:hAnsi="Cambria"/>
                <w:color w:val="000000"/>
              </w:rPr>
            </w:pPr>
            <w:r w:rsidRPr="00A953D0">
              <w:rPr>
                <w:rFonts w:ascii="Cambria" w:hAnsi="Cambria"/>
                <w:color w:val="000000"/>
              </w:rPr>
              <w:t>Conjunctivitis bacterial (1.9%)</w:t>
            </w:r>
          </w:p>
          <w:p w:rsidR="00B32F33" w:rsidRPr="00A953D0" w:rsidRDefault="00B32F33" w:rsidP="00045804">
            <w:pPr>
              <w:pStyle w:val="TblTextCenter"/>
              <w:rPr>
                <w:rFonts w:ascii="Cambria" w:hAnsi="Cambria"/>
                <w:color w:val="000000"/>
              </w:rPr>
            </w:pPr>
            <w:r w:rsidRPr="00A953D0">
              <w:rPr>
                <w:rFonts w:ascii="Cambria" w:hAnsi="Cambria"/>
                <w:color w:val="000000"/>
              </w:rPr>
              <w:t xml:space="preserve">Herpes </w:t>
            </w:r>
            <w:proofErr w:type="spellStart"/>
            <w:r w:rsidRPr="00A953D0">
              <w:rPr>
                <w:rFonts w:ascii="Cambria" w:hAnsi="Cambria"/>
                <w:color w:val="000000"/>
              </w:rPr>
              <w:t>simplex</w:t>
            </w:r>
            <w:r w:rsidRPr="00A953D0">
              <w:rPr>
                <w:rFonts w:ascii="Cambria" w:hAnsi="Cambria"/>
                <w:color w:val="000000"/>
                <w:vertAlign w:val="superscript"/>
              </w:rPr>
              <w:t>b</w:t>
            </w:r>
            <w:proofErr w:type="spellEnd"/>
            <w:r w:rsidRPr="00A953D0">
              <w:rPr>
                <w:rFonts w:ascii="Cambria" w:hAnsi="Cambria"/>
                <w:color w:val="000000"/>
              </w:rPr>
              <w:t xml:space="preserve"> (1.7 %)</w:t>
            </w:r>
          </w:p>
          <w:p w:rsidR="00B32F33" w:rsidRPr="00A953D0" w:rsidRDefault="00B32F33" w:rsidP="00045804">
            <w:pPr>
              <w:pStyle w:val="TblTextCenter"/>
              <w:rPr>
                <w:rFonts w:ascii="Cambria" w:hAnsi="Cambria"/>
                <w:color w:val="000000"/>
              </w:rPr>
            </w:pPr>
          </w:p>
        </w:tc>
      </w:tr>
      <w:tr w:rsidR="00B32F33" w:rsidRPr="00A953D0" w:rsidTr="00045804">
        <w:trPr>
          <w:cantSplit/>
          <w:jc w:val="center"/>
        </w:trPr>
        <w:tc>
          <w:tcPr>
            <w:tcW w:w="3228" w:type="dxa"/>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Blood and lymphatic system disorders</w:t>
            </w:r>
          </w:p>
          <w:p w:rsidR="00B32F33" w:rsidRPr="00A953D0" w:rsidRDefault="00B32F33" w:rsidP="00045804">
            <w:pPr>
              <w:pStyle w:val="TblTextCenter"/>
              <w:rPr>
                <w:rFonts w:ascii="Cambria" w:hAnsi="Cambria"/>
                <w:color w:val="000000"/>
              </w:rPr>
            </w:pPr>
            <w:r w:rsidRPr="00A953D0">
              <w:rPr>
                <w:rFonts w:ascii="Cambria" w:hAnsi="Cambria"/>
                <w:color w:val="000000"/>
              </w:rPr>
              <w:t>Eye disorders</w:t>
            </w: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tc>
        <w:tc>
          <w:tcPr>
            <w:tcW w:w="3228" w:type="dxa"/>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Common</w:t>
            </w:r>
          </w:p>
          <w:p w:rsidR="00B32F33" w:rsidRPr="00A953D0" w:rsidRDefault="00B32F33" w:rsidP="00045804">
            <w:pPr>
              <w:pStyle w:val="TblTextCenter"/>
              <w:rPr>
                <w:rFonts w:ascii="Cambria" w:hAnsi="Cambria"/>
                <w:color w:val="000000"/>
              </w:rPr>
            </w:pPr>
            <w:r w:rsidRPr="00A953D0">
              <w:rPr>
                <w:rFonts w:ascii="Cambria" w:hAnsi="Cambria"/>
                <w:color w:val="000000"/>
              </w:rPr>
              <w:t>Common</w:t>
            </w: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p w:rsidR="00B32F33" w:rsidRPr="00A953D0" w:rsidRDefault="00B32F33" w:rsidP="00045804">
            <w:pPr>
              <w:pStyle w:val="TblTextCenter"/>
              <w:rPr>
                <w:rFonts w:ascii="Cambria" w:hAnsi="Cambria"/>
                <w:color w:val="000000"/>
              </w:rPr>
            </w:pPr>
          </w:p>
        </w:tc>
        <w:tc>
          <w:tcPr>
            <w:tcW w:w="3229" w:type="dxa"/>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Eosinophilia (1.7%)</w:t>
            </w:r>
          </w:p>
          <w:p w:rsidR="00B32F33" w:rsidRPr="00A953D0" w:rsidRDefault="00B32F33" w:rsidP="00045804">
            <w:pPr>
              <w:pStyle w:val="TblTextCenter"/>
              <w:rPr>
                <w:rFonts w:ascii="Cambria" w:hAnsi="Cambria"/>
                <w:color w:val="000000"/>
              </w:rPr>
            </w:pPr>
            <w:r w:rsidRPr="00A953D0">
              <w:rPr>
                <w:rFonts w:ascii="Cambria" w:hAnsi="Cambria"/>
                <w:color w:val="000000"/>
              </w:rPr>
              <w:t>Conjunctivitis allergic (7.0%)</w:t>
            </w:r>
          </w:p>
          <w:p w:rsidR="00B32F33" w:rsidRPr="00A953D0" w:rsidRDefault="00B32F33" w:rsidP="00045804">
            <w:pPr>
              <w:pStyle w:val="TblTextCenter"/>
              <w:rPr>
                <w:rFonts w:ascii="Cambria" w:hAnsi="Cambria"/>
                <w:color w:val="000000"/>
              </w:rPr>
            </w:pPr>
            <w:r w:rsidRPr="00A953D0">
              <w:rPr>
                <w:rFonts w:ascii="Cambria" w:hAnsi="Cambria"/>
                <w:color w:val="000000"/>
              </w:rPr>
              <w:t>Eye pruritus (2.9 %)</w:t>
            </w:r>
          </w:p>
          <w:p w:rsidR="00B32F33" w:rsidRPr="00A953D0" w:rsidRDefault="00B32F33" w:rsidP="00045804">
            <w:pPr>
              <w:pStyle w:val="TblTextCenter"/>
              <w:rPr>
                <w:rFonts w:ascii="Cambria" w:hAnsi="Cambria"/>
                <w:color w:val="000000"/>
              </w:rPr>
            </w:pPr>
            <w:r w:rsidRPr="00A953D0">
              <w:rPr>
                <w:rFonts w:ascii="Cambria" w:hAnsi="Cambria"/>
                <w:color w:val="000000"/>
              </w:rPr>
              <w:t>Blepharitis (4.5%)</w:t>
            </w:r>
          </w:p>
          <w:p w:rsidR="00B32F33" w:rsidRPr="00A953D0" w:rsidRDefault="00B32F33" w:rsidP="00045804">
            <w:pPr>
              <w:pStyle w:val="TblTextCenter"/>
              <w:rPr>
                <w:rFonts w:ascii="Cambria" w:hAnsi="Cambria"/>
                <w:color w:val="000000"/>
              </w:rPr>
            </w:pPr>
            <w:r w:rsidRPr="00A953D0">
              <w:rPr>
                <w:rFonts w:ascii="Cambria" w:hAnsi="Cambria"/>
                <w:color w:val="000000"/>
              </w:rPr>
              <w:t>Dry eye (1.8 %)</w:t>
            </w:r>
          </w:p>
        </w:tc>
      </w:tr>
      <w:tr w:rsidR="00B32F33" w:rsidRPr="00A953D0" w:rsidTr="00045804">
        <w:trPr>
          <w:cantSplit/>
          <w:jc w:val="center"/>
        </w:trPr>
        <w:tc>
          <w:tcPr>
            <w:tcW w:w="3228" w:type="dxa"/>
            <w:tcBorders>
              <w:bottom w:val="single" w:sz="12" w:space="0" w:color="auto"/>
            </w:tcBorders>
            <w:shd w:val="clear" w:color="auto" w:fill="auto"/>
          </w:tcPr>
          <w:p w:rsidR="00B32F33" w:rsidRPr="00A953D0" w:rsidRDefault="00B32F33" w:rsidP="00045804">
            <w:pPr>
              <w:pStyle w:val="TblTextCenter"/>
              <w:tabs>
                <w:tab w:val="left" w:pos="804"/>
              </w:tabs>
              <w:rPr>
                <w:rFonts w:ascii="Cambria" w:hAnsi="Cambria"/>
                <w:color w:val="000000"/>
              </w:rPr>
            </w:pPr>
            <w:r w:rsidRPr="00A953D0">
              <w:rPr>
                <w:rFonts w:ascii="Cambria" w:hAnsi="Cambria"/>
                <w:color w:val="000000"/>
              </w:rPr>
              <w:t>General disorders and administration site conditions</w:t>
            </w:r>
          </w:p>
        </w:tc>
        <w:tc>
          <w:tcPr>
            <w:tcW w:w="3228" w:type="dxa"/>
            <w:tcBorders>
              <w:bottom w:val="single" w:sz="12" w:space="0" w:color="auto"/>
            </w:tcBorders>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Very common</w:t>
            </w:r>
          </w:p>
        </w:tc>
        <w:tc>
          <w:tcPr>
            <w:tcW w:w="3229" w:type="dxa"/>
            <w:tcBorders>
              <w:bottom w:val="single" w:sz="12" w:space="0" w:color="auto"/>
            </w:tcBorders>
            <w:shd w:val="clear" w:color="auto" w:fill="auto"/>
          </w:tcPr>
          <w:p w:rsidR="00B32F33" w:rsidRPr="00A953D0" w:rsidRDefault="00B32F33" w:rsidP="00045804">
            <w:pPr>
              <w:pStyle w:val="TblTextCenter"/>
              <w:rPr>
                <w:rFonts w:ascii="Cambria" w:hAnsi="Cambria"/>
                <w:color w:val="000000"/>
              </w:rPr>
            </w:pPr>
            <w:r w:rsidRPr="00A953D0">
              <w:rPr>
                <w:rFonts w:ascii="Cambria" w:hAnsi="Cambria"/>
                <w:color w:val="000000"/>
              </w:rPr>
              <w:t>Injection site reactions (15.9 %)</w:t>
            </w:r>
          </w:p>
        </w:tc>
      </w:tr>
      <w:tr w:rsidR="00B32F33" w:rsidRPr="00A953D0" w:rsidTr="00045804">
        <w:trPr>
          <w:cantSplit/>
          <w:jc w:val="center"/>
        </w:trPr>
        <w:tc>
          <w:tcPr>
            <w:tcW w:w="9685" w:type="dxa"/>
            <w:gridSpan w:val="3"/>
            <w:tcBorders>
              <w:top w:val="single" w:sz="12" w:space="0" w:color="auto"/>
            </w:tcBorders>
            <w:shd w:val="clear" w:color="auto" w:fill="auto"/>
          </w:tcPr>
          <w:p w:rsidR="00B32F33" w:rsidRPr="00A953D0" w:rsidRDefault="00B32F33" w:rsidP="00045804">
            <w:pPr>
              <w:pStyle w:val="TblFigFootnote"/>
              <w:rPr>
                <w:rFonts w:ascii="Cambria" w:hAnsi="Cambria"/>
                <w:color w:val="000000"/>
              </w:rPr>
            </w:pPr>
            <w:r w:rsidRPr="00A953D0">
              <w:rPr>
                <w:rFonts w:ascii="Cambria" w:hAnsi="Cambria"/>
                <w:color w:val="000000"/>
                <w:vertAlign w:val="superscript"/>
              </w:rPr>
              <w:t xml:space="preserve">a </w:t>
            </w:r>
            <w:r w:rsidRPr="00A953D0">
              <w:rPr>
                <w:rFonts w:ascii="Cambria" w:hAnsi="Cambria"/>
                <w:color w:val="000000"/>
              </w:rPr>
              <w:t>Pooled data from placebo-controlled monotherapy clinical studies (SOLO 1, SOLO 2, and a phase 2, dose-ranging study data) and placebo-controlled concomitant therapy with TCS study (CHRONOS) in AD, patients exposed to 300 mg every other week or 300 mg once weekly with or without topical corticosteroids, up to 16 weeks</w:t>
            </w:r>
          </w:p>
          <w:p w:rsidR="00B32F33" w:rsidRPr="00A953D0" w:rsidRDefault="00B32F33" w:rsidP="00112530">
            <w:pPr>
              <w:pStyle w:val="TblFigFootnote"/>
              <w:rPr>
                <w:rFonts w:ascii="Cambria" w:hAnsi="Cambria"/>
                <w:color w:val="000000"/>
              </w:rPr>
            </w:pPr>
            <w:proofErr w:type="gramStart"/>
            <w:r w:rsidRPr="00A953D0">
              <w:rPr>
                <w:rFonts w:ascii="Cambria" w:hAnsi="Cambria"/>
                <w:color w:val="000000"/>
                <w:vertAlign w:val="superscript"/>
              </w:rPr>
              <w:t>b</w:t>
            </w:r>
            <w:proofErr w:type="gramEnd"/>
            <w:r w:rsidRPr="00A953D0">
              <w:rPr>
                <w:rFonts w:ascii="Cambria" w:hAnsi="Cambria"/>
                <w:color w:val="000000"/>
              </w:rPr>
              <w:t xml:space="preserve"> In clinical trials, herpes simplex cases were </w:t>
            </w:r>
            <w:proofErr w:type="spellStart"/>
            <w:r w:rsidRPr="00A953D0">
              <w:rPr>
                <w:rFonts w:ascii="Cambria" w:hAnsi="Cambria"/>
                <w:color w:val="000000"/>
              </w:rPr>
              <w:t>mucocutaneous</w:t>
            </w:r>
            <w:proofErr w:type="spellEnd"/>
            <w:r w:rsidRPr="00A953D0">
              <w:rPr>
                <w:rFonts w:ascii="Cambria" w:hAnsi="Cambria"/>
                <w:color w:val="000000"/>
              </w:rPr>
              <w:t xml:space="preserve">, generally mild to moderate in severity, and did not include eczema </w:t>
            </w:r>
            <w:proofErr w:type="spellStart"/>
            <w:r w:rsidRPr="00A953D0">
              <w:rPr>
                <w:rFonts w:ascii="Cambria" w:hAnsi="Cambria"/>
                <w:color w:val="000000"/>
              </w:rPr>
              <w:t>herpecticum</w:t>
            </w:r>
            <w:proofErr w:type="spellEnd"/>
            <w:r w:rsidRPr="00A953D0">
              <w:rPr>
                <w:rFonts w:ascii="Cambria" w:hAnsi="Cambria"/>
                <w:color w:val="000000"/>
              </w:rPr>
              <w:t xml:space="preserve">. Eczema </w:t>
            </w:r>
            <w:proofErr w:type="spellStart"/>
            <w:r w:rsidRPr="00A953D0">
              <w:rPr>
                <w:rFonts w:ascii="Cambria" w:hAnsi="Cambria"/>
                <w:color w:val="000000"/>
              </w:rPr>
              <w:t>herpeticum</w:t>
            </w:r>
            <w:proofErr w:type="spellEnd"/>
            <w:r w:rsidRPr="00A953D0">
              <w:rPr>
                <w:rFonts w:ascii="Cambria" w:hAnsi="Cambria"/>
                <w:color w:val="000000"/>
              </w:rPr>
              <w:t xml:space="preserve"> cases were reported separately and incidence was numerically lower in patients treated with </w:t>
            </w:r>
            <w:proofErr w:type="spellStart"/>
            <w:r w:rsidR="00112530">
              <w:rPr>
                <w:rFonts w:ascii="Cambria" w:hAnsi="Cambria"/>
                <w:color w:val="000000"/>
              </w:rPr>
              <w:t>Dupixent</w:t>
            </w:r>
            <w:proofErr w:type="spellEnd"/>
            <w:r w:rsidRPr="00A953D0">
              <w:rPr>
                <w:rFonts w:ascii="Cambria" w:hAnsi="Cambria"/>
                <w:color w:val="000000"/>
              </w:rPr>
              <w:t xml:space="preserve"> compared to placebo.</w:t>
            </w:r>
          </w:p>
        </w:tc>
      </w:tr>
    </w:tbl>
    <w:p w:rsidR="00B32F33" w:rsidRPr="00A953D0" w:rsidRDefault="00B32F33" w:rsidP="00B32F33">
      <w:pPr>
        <w:rPr>
          <w:rFonts w:ascii="Cambria" w:hAnsi="Cambria"/>
        </w:rPr>
      </w:pPr>
      <w:r w:rsidRPr="00A953D0">
        <w:rPr>
          <w:rFonts w:ascii="Cambria" w:hAnsi="Cambria"/>
        </w:rPr>
        <w:t xml:space="preserve">Table </w:t>
      </w:r>
      <w:r w:rsidR="000E5F7B">
        <w:rPr>
          <w:rFonts w:ascii="Cambria" w:hAnsi="Cambria"/>
        </w:rPr>
        <w:t>2</w:t>
      </w:r>
      <w:r w:rsidRPr="00A953D0">
        <w:rPr>
          <w:rFonts w:ascii="Cambria" w:hAnsi="Cambria"/>
        </w:rPr>
        <w:t xml:space="preserve"> summarizes the adverse reactions that occurred in ≥1% of patients treated with </w:t>
      </w:r>
      <w:proofErr w:type="spellStart"/>
      <w:r w:rsidRPr="00A953D0">
        <w:rPr>
          <w:rFonts w:ascii="Cambria" w:hAnsi="Cambria"/>
        </w:rPr>
        <w:t>Dupixent</w:t>
      </w:r>
      <w:proofErr w:type="spellEnd"/>
      <w:r w:rsidRPr="00A953D0">
        <w:rPr>
          <w:rFonts w:ascii="Cambria" w:hAnsi="Cambria"/>
        </w:rPr>
        <w:t xml:space="preserve"> during the first 16-weeks of treatment in placebo-controlled trials.</w:t>
      </w:r>
    </w:p>
    <w:p w:rsidR="00B32F33" w:rsidRPr="00A953D0" w:rsidRDefault="000E5F7B" w:rsidP="000E5F7B">
      <w:pPr>
        <w:pStyle w:val="Caption"/>
        <w:rPr>
          <w:rFonts w:ascii="Cambria" w:hAnsi="Cambria"/>
        </w:rPr>
      </w:pPr>
      <w:bookmarkStart w:id="14" w:name="_Toc456607005"/>
      <w:r>
        <w:rPr>
          <w:rFonts w:ascii="Cambria" w:hAnsi="Cambria"/>
        </w:rPr>
        <w:t xml:space="preserve"> </w:t>
      </w:r>
      <w:r>
        <w:t>Table </w:t>
      </w:r>
      <w:r>
        <w:fldChar w:fldCharType="begin"/>
      </w:r>
      <w:r>
        <w:instrText xml:space="preserve"> SEQ Table \* ARABIC </w:instrText>
      </w:r>
      <w:r>
        <w:fldChar w:fldCharType="separate"/>
      </w:r>
      <w:r w:rsidR="001A3761">
        <w:rPr>
          <w:noProof/>
        </w:rPr>
        <w:t>2</w:t>
      </w:r>
      <w:r>
        <w:fldChar w:fldCharType="end"/>
      </w:r>
      <w:r>
        <w:t xml:space="preserve"> ­ </w:t>
      </w:r>
      <w:r w:rsidRPr="000E5F7B">
        <w:t xml:space="preserve">Adverse Reactions Occurring in ≥1% of Patients with Atopic Dermatitis Treated with </w:t>
      </w:r>
      <w:proofErr w:type="spellStart"/>
      <w:r w:rsidRPr="000E5F7B">
        <w:t>Dupixent</w:t>
      </w:r>
      <w:proofErr w:type="spellEnd"/>
      <w:r w:rsidRPr="000E5F7B">
        <w:t xml:space="preserve"> through Week 16 in Placebo-controlled Trials</w:t>
      </w:r>
    </w:p>
    <w:tbl>
      <w:tblPr>
        <w:tblW w:w="0" w:type="auto"/>
        <w:jc w:val="center"/>
        <w:tblInd w:w="108" w:type="dxa"/>
        <w:tblBorders>
          <w:top w:val="single" w:sz="2" w:space="0" w:color="000000"/>
        </w:tblBorders>
        <w:tblLook w:val="04A0" w:firstRow="1" w:lastRow="0" w:firstColumn="1" w:lastColumn="0" w:noHBand="0" w:noVBand="1"/>
      </w:tblPr>
      <w:tblGrid>
        <w:gridCol w:w="1779"/>
        <w:gridCol w:w="1174"/>
        <w:gridCol w:w="1304"/>
        <w:gridCol w:w="1281"/>
        <w:gridCol w:w="1220"/>
        <w:gridCol w:w="1425"/>
        <w:gridCol w:w="1394"/>
      </w:tblGrid>
      <w:tr w:rsidR="00B32F33" w:rsidRPr="00A953D0" w:rsidTr="00045804">
        <w:trPr>
          <w:cantSplit/>
          <w:tblHeader/>
          <w:jc w:val="center"/>
        </w:trPr>
        <w:tc>
          <w:tcPr>
            <w:tcW w:w="0" w:type="auto"/>
            <w:vMerge w:val="restart"/>
            <w:tcBorders>
              <w:top w:val="single" w:sz="4" w:space="0" w:color="000000"/>
              <w:bottom w:val="single" w:sz="4" w:space="0" w:color="000000"/>
            </w:tcBorders>
            <w:shd w:val="clear" w:color="auto" w:fill="auto"/>
            <w:vAlign w:val="center"/>
          </w:tcPr>
          <w:p w:rsidR="00B32F33" w:rsidRPr="00A953D0" w:rsidRDefault="00B32F33" w:rsidP="00045804">
            <w:pPr>
              <w:pStyle w:val="TblHeadingCenter"/>
              <w:rPr>
                <w:rFonts w:ascii="Cambria" w:hAnsi="Cambria"/>
              </w:rPr>
            </w:pPr>
            <w:r w:rsidRPr="00A953D0">
              <w:rPr>
                <w:rFonts w:ascii="Cambria" w:hAnsi="Cambria"/>
              </w:rPr>
              <w:t>Adverse Reaction</w:t>
            </w:r>
          </w:p>
        </w:tc>
        <w:tc>
          <w:tcPr>
            <w:tcW w:w="0" w:type="auto"/>
            <w:gridSpan w:val="3"/>
            <w:tcBorders>
              <w:top w:val="single" w:sz="4" w:space="0" w:color="000000"/>
              <w:bottom w:val="single" w:sz="4" w:space="0" w:color="000000"/>
            </w:tcBorders>
            <w:shd w:val="clear" w:color="auto" w:fill="auto"/>
          </w:tcPr>
          <w:p w:rsidR="00B32F33" w:rsidRPr="00A953D0" w:rsidRDefault="00B32F33" w:rsidP="00045804">
            <w:pPr>
              <w:pStyle w:val="TblHeadingCenter"/>
              <w:rPr>
                <w:rFonts w:ascii="Cambria" w:hAnsi="Cambria"/>
                <w:vertAlign w:val="subscript"/>
              </w:rPr>
            </w:pPr>
            <w:r w:rsidRPr="00A953D0">
              <w:rPr>
                <w:rFonts w:ascii="Cambria" w:hAnsi="Cambria"/>
              </w:rPr>
              <w:t>Dupixent</w:t>
            </w:r>
            <w:r w:rsidRPr="00A953D0">
              <w:rPr>
                <w:rFonts w:ascii="Cambria" w:hAnsi="Cambria"/>
                <w:vertAlign w:val="superscript"/>
              </w:rPr>
              <w:t xml:space="preserve">a </w:t>
            </w:r>
            <w:r w:rsidRPr="00A953D0">
              <w:rPr>
                <w:rFonts w:ascii="Cambria" w:hAnsi="Cambria"/>
              </w:rPr>
              <w:t>Monotherapy</w:t>
            </w:r>
          </w:p>
        </w:tc>
        <w:tc>
          <w:tcPr>
            <w:tcW w:w="0" w:type="auto"/>
            <w:gridSpan w:val="3"/>
            <w:tcBorders>
              <w:top w:val="single" w:sz="4" w:space="0" w:color="000000"/>
              <w:bottom w:val="single" w:sz="4" w:space="0" w:color="000000"/>
            </w:tcBorders>
            <w:shd w:val="clear" w:color="auto" w:fill="auto"/>
          </w:tcPr>
          <w:p w:rsidR="00B32F33" w:rsidRPr="00A953D0" w:rsidRDefault="00B32F33" w:rsidP="00045804">
            <w:pPr>
              <w:pStyle w:val="TblHeadingCenter"/>
              <w:rPr>
                <w:rFonts w:ascii="Cambria" w:hAnsi="Cambria"/>
                <w:strike/>
              </w:rPr>
            </w:pPr>
            <w:r w:rsidRPr="00A953D0">
              <w:rPr>
                <w:rFonts w:ascii="Cambria" w:hAnsi="Cambria"/>
              </w:rPr>
              <w:t>Dupixent</w:t>
            </w:r>
            <w:r w:rsidRPr="00A953D0">
              <w:rPr>
                <w:rFonts w:ascii="Cambria" w:hAnsi="Cambria"/>
                <w:vertAlign w:val="superscript"/>
              </w:rPr>
              <w:t>b</w:t>
            </w:r>
            <w:r w:rsidRPr="00A953D0">
              <w:rPr>
                <w:rFonts w:ascii="Cambria" w:hAnsi="Cambria"/>
              </w:rPr>
              <w:t xml:space="preserve"> + TCS</w:t>
            </w:r>
          </w:p>
        </w:tc>
      </w:tr>
      <w:tr w:rsidR="00B32F33" w:rsidRPr="00A953D0" w:rsidTr="00045804">
        <w:trPr>
          <w:cantSplit/>
          <w:tblHeader/>
          <w:jc w:val="center"/>
        </w:trPr>
        <w:tc>
          <w:tcPr>
            <w:tcW w:w="0" w:type="auto"/>
            <w:vMerge/>
            <w:tcBorders>
              <w:top w:val="single" w:sz="4" w:space="0" w:color="auto"/>
              <w:bottom w:val="single" w:sz="4" w:space="0" w:color="000000"/>
            </w:tcBorders>
            <w:shd w:val="clear" w:color="auto" w:fill="auto"/>
          </w:tcPr>
          <w:p w:rsidR="00B32F33" w:rsidRPr="00A953D0" w:rsidRDefault="00B32F33" w:rsidP="00045804">
            <w:pPr>
              <w:pStyle w:val="C-BodyText"/>
              <w:keepNext/>
              <w:keepLines/>
              <w:spacing w:before="0" w:after="0" w:line="240" w:lineRule="auto"/>
              <w:contextualSpacing/>
              <w:rPr>
                <w:rFonts w:ascii="Cambria" w:hAnsi="Cambria"/>
                <w:b/>
                <w:sz w:val="20"/>
              </w:rPr>
            </w:pP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r w:rsidRPr="00A953D0">
              <w:rPr>
                <w:rFonts w:ascii="Cambria" w:hAnsi="Cambria"/>
                <w:b/>
              </w:rPr>
              <w:t>Placebo</w:t>
            </w:r>
          </w:p>
          <w:p w:rsidR="00B32F33" w:rsidRPr="00A953D0" w:rsidRDefault="00B32F33" w:rsidP="00045804">
            <w:pPr>
              <w:pStyle w:val="TblTextCenter"/>
              <w:rPr>
                <w:rFonts w:ascii="Cambria" w:hAnsi="Cambria"/>
                <w:b/>
              </w:rPr>
            </w:pPr>
            <w:r w:rsidRPr="00A953D0">
              <w:rPr>
                <w:rFonts w:ascii="Cambria" w:hAnsi="Cambria"/>
                <w:b/>
              </w:rPr>
              <w:t>N=517 n (%)</w:t>
            </w: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proofErr w:type="spellStart"/>
            <w:r w:rsidRPr="00A953D0">
              <w:rPr>
                <w:rFonts w:ascii="Cambria" w:hAnsi="Cambria"/>
                <w:b/>
              </w:rPr>
              <w:t>Dupixent</w:t>
            </w:r>
            <w:proofErr w:type="spellEnd"/>
          </w:p>
          <w:p w:rsidR="00B32F33" w:rsidRPr="00A953D0" w:rsidRDefault="00B32F33" w:rsidP="00045804">
            <w:pPr>
              <w:pStyle w:val="TblTextCenter"/>
              <w:rPr>
                <w:rFonts w:ascii="Cambria" w:hAnsi="Cambria"/>
                <w:b/>
              </w:rPr>
            </w:pPr>
            <w:r w:rsidRPr="00A953D0">
              <w:rPr>
                <w:rFonts w:ascii="Cambria" w:hAnsi="Cambria"/>
                <w:b/>
              </w:rPr>
              <w:t xml:space="preserve"> 300 mg Q2W</w:t>
            </w:r>
          </w:p>
          <w:p w:rsidR="00B32F33" w:rsidRPr="00A953D0" w:rsidRDefault="00B32F33" w:rsidP="00045804">
            <w:pPr>
              <w:pStyle w:val="TblTextCenter"/>
              <w:rPr>
                <w:rFonts w:ascii="Cambria" w:hAnsi="Cambria"/>
                <w:b/>
              </w:rPr>
            </w:pPr>
            <w:r w:rsidRPr="00A953D0">
              <w:rPr>
                <w:rFonts w:ascii="Cambria" w:hAnsi="Cambria"/>
                <w:b/>
              </w:rPr>
              <w:t>N=529   n (%)</w:t>
            </w: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proofErr w:type="spellStart"/>
            <w:r w:rsidRPr="00A953D0">
              <w:rPr>
                <w:rFonts w:ascii="Cambria" w:hAnsi="Cambria"/>
                <w:b/>
              </w:rPr>
              <w:t>Dupixent</w:t>
            </w:r>
            <w:proofErr w:type="spellEnd"/>
          </w:p>
          <w:p w:rsidR="00B32F33" w:rsidRPr="00A953D0" w:rsidRDefault="00B32F33" w:rsidP="00045804">
            <w:pPr>
              <w:pStyle w:val="TblTextCenter"/>
              <w:rPr>
                <w:rFonts w:ascii="Cambria" w:hAnsi="Cambria"/>
                <w:b/>
              </w:rPr>
            </w:pPr>
            <w:r w:rsidRPr="00A953D0">
              <w:rPr>
                <w:rFonts w:ascii="Cambria" w:hAnsi="Cambria"/>
                <w:b/>
              </w:rPr>
              <w:t>300 mg QW</w:t>
            </w:r>
          </w:p>
          <w:p w:rsidR="00B32F33" w:rsidRPr="00A953D0" w:rsidRDefault="00B32F33" w:rsidP="00045804">
            <w:pPr>
              <w:pStyle w:val="TblTextCenter"/>
              <w:rPr>
                <w:rFonts w:ascii="Cambria" w:hAnsi="Cambria"/>
                <w:b/>
              </w:rPr>
            </w:pPr>
            <w:r w:rsidRPr="00A953D0">
              <w:rPr>
                <w:rFonts w:ascii="Cambria" w:hAnsi="Cambria"/>
                <w:b/>
              </w:rPr>
              <w:t>N=518 n (%)</w:t>
            </w: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r w:rsidRPr="00A953D0">
              <w:rPr>
                <w:rFonts w:ascii="Cambria" w:hAnsi="Cambria"/>
                <w:b/>
              </w:rPr>
              <w:t>Placebo +TCS</w:t>
            </w:r>
          </w:p>
          <w:p w:rsidR="00B32F33" w:rsidRPr="00A953D0" w:rsidRDefault="00B32F33" w:rsidP="00045804">
            <w:pPr>
              <w:pStyle w:val="TblTextCenter"/>
              <w:rPr>
                <w:rFonts w:ascii="Cambria" w:hAnsi="Cambria"/>
                <w:b/>
              </w:rPr>
            </w:pPr>
          </w:p>
          <w:p w:rsidR="00B32F33" w:rsidRPr="00A953D0" w:rsidRDefault="00B32F33" w:rsidP="00045804">
            <w:pPr>
              <w:pStyle w:val="TblTextCenter"/>
              <w:rPr>
                <w:rFonts w:ascii="Cambria" w:hAnsi="Cambria"/>
                <w:b/>
              </w:rPr>
            </w:pPr>
            <w:r w:rsidRPr="00A953D0">
              <w:rPr>
                <w:rFonts w:ascii="Cambria" w:hAnsi="Cambria"/>
                <w:b/>
              </w:rPr>
              <w:t>N=315     n (%)</w:t>
            </w: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proofErr w:type="spellStart"/>
            <w:r w:rsidRPr="00A953D0">
              <w:rPr>
                <w:rFonts w:ascii="Cambria" w:hAnsi="Cambria"/>
                <w:b/>
              </w:rPr>
              <w:t>Dupixent</w:t>
            </w:r>
            <w:proofErr w:type="spellEnd"/>
          </w:p>
          <w:p w:rsidR="00B32F33" w:rsidRPr="00A953D0" w:rsidRDefault="00B32F33" w:rsidP="00045804">
            <w:pPr>
              <w:pStyle w:val="TblTextCenter"/>
              <w:rPr>
                <w:rFonts w:ascii="Cambria" w:hAnsi="Cambria"/>
                <w:b/>
              </w:rPr>
            </w:pPr>
            <w:r w:rsidRPr="00A953D0">
              <w:rPr>
                <w:rFonts w:ascii="Cambria" w:hAnsi="Cambria"/>
                <w:b/>
              </w:rPr>
              <w:t>300 mg Q2W + TCS</w:t>
            </w:r>
          </w:p>
          <w:p w:rsidR="00B32F33" w:rsidRPr="00A953D0" w:rsidRDefault="00B32F33" w:rsidP="00045804">
            <w:pPr>
              <w:pStyle w:val="TblTextCenter"/>
              <w:rPr>
                <w:rFonts w:ascii="Cambria" w:hAnsi="Cambria"/>
                <w:b/>
              </w:rPr>
            </w:pPr>
            <w:r w:rsidRPr="00A953D0">
              <w:rPr>
                <w:rFonts w:ascii="Cambria" w:hAnsi="Cambria"/>
                <w:b/>
              </w:rPr>
              <w:t>N=110</w:t>
            </w:r>
          </w:p>
          <w:p w:rsidR="00B32F33" w:rsidRPr="00A953D0" w:rsidRDefault="00B32F33" w:rsidP="00045804">
            <w:pPr>
              <w:pStyle w:val="TblTextCenter"/>
              <w:rPr>
                <w:rFonts w:ascii="Cambria" w:hAnsi="Cambria"/>
                <w:b/>
              </w:rPr>
            </w:pPr>
            <w:proofErr w:type="gramStart"/>
            <w:r w:rsidRPr="00A953D0">
              <w:rPr>
                <w:rFonts w:ascii="Cambria" w:hAnsi="Cambria"/>
                <w:b/>
              </w:rPr>
              <w:t>n</w:t>
            </w:r>
            <w:proofErr w:type="gramEnd"/>
            <w:r w:rsidRPr="00A953D0">
              <w:rPr>
                <w:rFonts w:ascii="Cambria" w:hAnsi="Cambria"/>
                <w:b/>
              </w:rPr>
              <w:t> (%)</w:t>
            </w:r>
          </w:p>
        </w:tc>
        <w:tc>
          <w:tcPr>
            <w:tcW w:w="0" w:type="auto"/>
            <w:tcBorders>
              <w:top w:val="single" w:sz="4" w:space="0" w:color="000000"/>
            </w:tcBorders>
            <w:shd w:val="clear" w:color="auto" w:fill="auto"/>
          </w:tcPr>
          <w:p w:rsidR="00B32F33" w:rsidRPr="00A953D0" w:rsidRDefault="00B32F33" w:rsidP="00045804">
            <w:pPr>
              <w:pStyle w:val="TblTextCenter"/>
              <w:rPr>
                <w:rFonts w:ascii="Cambria" w:hAnsi="Cambria"/>
                <w:b/>
              </w:rPr>
            </w:pPr>
            <w:proofErr w:type="spellStart"/>
            <w:r w:rsidRPr="00A953D0">
              <w:rPr>
                <w:rFonts w:ascii="Cambria" w:hAnsi="Cambria"/>
                <w:b/>
              </w:rPr>
              <w:t>Dupixent</w:t>
            </w:r>
            <w:proofErr w:type="spellEnd"/>
          </w:p>
          <w:p w:rsidR="00B32F33" w:rsidRPr="00A953D0" w:rsidRDefault="00B32F33" w:rsidP="00045804">
            <w:pPr>
              <w:pStyle w:val="TblTextCenter"/>
              <w:rPr>
                <w:rFonts w:ascii="Cambria" w:hAnsi="Cambria"/>
                <w:b/>
              </w:rPr>
            </w:pPr>
            <w:r w:rsidRPr="00A953D0">
              <w:rPr>
                <w:rFonts w:ascii="Cambria" w:hAnsi="Cambria"/>
                <w:b/>
              </w:rPr>
              <w:t>300 mg QW + TCS</w:t>
            </w:r>
          </w:p>
          <w:p w:rsidR="00B32F33" w:rsidRPr="00A953D0" w:rsidRDefault="00B32F33" w:rsidP="00045804">
            <w:pPr>
              <w:pStyle w:val="TblTextCenter"/>
              <w:rPr>
                <w:rFonts w:ascii="Cambria" w:hAnsi="Cambria"/>
                <w:b/>
              </w:rPr>
            </w:pPr>
            <w:r w:rsidRPr="00A953D0">
              <w:rPr>
                <w:rFonts w:ascii="Cambria" w:hAnsi="Cambria"/>
                <w:b/>
              </w:rPr>
              <w:t>N=315 n (%)</w:t>
            </w:r>
          </w:p>
        </w:tc>
      </w:tr>
      <w:tr w:rsidR="00B32F33" w:rsidRPr="00A953D0" w:rsidTr="00045804">
        <w:trPr>
          <w:cantSplit/>
          <w:trHeight w:val="20"/>
          <w:jc w:val="center"/>
        </w:trPr>
        <w:tc>
          <w:tcPr>
            <w:tcW w:w="0" w:type="auto"/>
            <w:tcBorders>
              <w:top w:val="single" w:sz="4" w:space="0" w:color="000000"/>
            </w:tcBorders>
            <w:shd w:val="clear" w:color="auto" w:fill="auto"/>
          </w:tcPr>
          <w:p w:rsidR="00B32F33" w:rsidRPr="00A953D0" w:rsidRDefault="00B32F33" w:rsidP="00045804">
            <w:pPr>
              <w:pStyle w:val="TblTextCenter"/>
              <w:jc w:val="left"/>
              <w:rPr>
                <w:rFonts w:ascii="Cambria" w:hAnsi="Cambria"/>
              </w:rPr>
            </w:pPr>
            <w:r w:rsidRPr="00A953D0">
              <w:rPr>
                <w:rFonts w:ascii="Cambria" w:hAnsi="Cambria"/>
              </w:rPr>
              <w:t>Injection site reactions</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28 (5.4%)</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51 (9.6%)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72 (13.9%)</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18 (5.7%)</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11 (10.0%)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50 (15.9%)</w:t>
            </w:r>
          </w:p>
        </w:tc>
      </w:tr>
      <w:tr w:rsidR="00B32F33" w:rsidRPr="00A953D0" w:rsidTr="00045804">
        <w:trPr>
          <w:cantSplit/>
          <w:trHeight w:val="20"/>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Conjunctivitis allergic</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5 (1.0%)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16 (3.0%)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12 (2.3%)</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10 (3.2%)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7 (6.4%)</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22 (7.0%)</w:t>
            </w:r>
          </w:p>
        </w:tc>
      </w:tr>
      <w:tr w:rsidR="00B32F33" w:rsidRPr="00A953D0" w:rsidTr="00045804">
        <w:trPr>
          <w:cantSplit/>
          <w:trHeight w:val="20"/>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lastRenderedPageBreak/>
              <w:t>Blepharitis</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(0.4%)</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6 (1.2%)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5 (4.5%)</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8 (2.5%)</w:t>
            </w:r>
          </w:p>
        </w:tc>
      </w:tr>
      <w:tr w:rsidR="00B32F33" w:rsidRPr="00A953D0" w:rsidTr="00045804">
        <w:trPr>
          <w:cantSplit/>
          <w:trHeight w:val="20"/>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Conjunctivitis</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3 (0.6%)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21 (4.0%)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20 (3.9%)</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(0.3%)</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(0.3%)</w:t>
            </w:r>
          </w:p>
        </w:tc>
      </w:tr>
      <w:tr w:rsidR="00B32F33" w:rsidRPr="00A953D0" w:rsidTr="00045804">
        <w:trPr>
          <w:cantSplit/>
          <w:trHeight w:val="20"/>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Oral herpes</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8 (1.5%)</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20 (3.8%)</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13 (2.5%)</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5 (1.6%)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3 (2.7%)</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8 (2.5%)</w:t>
            </w:r>
          </w:p>
        </w:tc>
      </w:tr>
      <w:tr w:rsidR="00B32F33" w:rsidRPr="00A953D0" w:rsidTr="00045804">
        <w:trPr>
          <w:cantSplit/>
          <w:trHeight w:val="20"/>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Eye pruritus</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3 (0.6%)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(0.4%)</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(1.8%)</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9 (2.9%)</w:t>
            </w:r>
          </w:p>
        </w:tc>
      </w:tr>
      <w:tr w:rsidR="00B32F33" w:rsidRPr="00A953D0" w:rsidTr="00045804">
        <w:trPr>
          <w:cantSplit/>
          <w:trHeight w:val="56"/>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Conjunctivitis bacterial</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(0.4%)</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7 (1.3%)</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8 (1.5%)</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(0.6%)</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(0.9%)</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6 (1.9%)</w:t>
            </w:r>
          </w:p>
        </w:tc>
      </w:tr>
      <w:tr w:rsidR="00B32F33" w:rsidRPr="00A953D0" w:rsidTr="00045804">
        <w:trPr>
          <w:cantSplit/>
          <w:trHeight w:val="56"/>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Dry eye</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0</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6 (1.2%)</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(0.3%)</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2 (1.8%)</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3 (1.0%)</w:t>
            </w:r>
          </w:p>
        </w:tc>
      </w:tr>
      <w:tr w:rsidR="00B32F33" w:rsidRPr="00A953D0" w:rsidTr="00045804">
        <w:trPr>
          <w:cantSplit/>
          <w:trHeight w:val="56"/>
          <w:jc w:val="center"/>
        </w:trPr>
        <w:tc>
          <w:tcPr>
            <w:tcW w:w="0" w:type="auto"/>
            <w:shd w:val="clear" w:color="auto" w:fill="auto"/>
          </w:tcPr>
          <w:p w:rsidR="00B32F33" w:rsidRPr="00A953D0" w:rsidRDefault="00B32F33" w:rsidP="00045804">
            <w:pPr>
              <w:pStyle w:val="TblTextCenter"/>
              <w:jc w:val="left"/>
              <w:rPr>
                <w:rFonts w:ascii="Cambria" w:hAnsi="Cambria"/>
              </w:rPr>
            </w:pPr>
            <w:r w:rsidRPr="00A953D0">
              <w:rPr>
                <w:rFonts w:ascii="Cambria" w:hAnsi="Cambria"/>
              </w:rPr>
              <w:t xml:space="preserve">Herpes </w:t>
            </w:r>
            <w:proofErr w:type="spellStart"/>
            <w:r w:rsidRPr="00A953D0">
              <w:rPr>
                <w:rFonts w:ascii="Cambria" w:hAnsi="Cambria"/>
              </w:rPr>
              <w:t>simplex</w:t>
            </w:r>
            <w:r w:rsidRPr="00A953D0">
              <w:rPr>
                <w:rFonts w:ascii="Cambria" w:hAnsi="Cambria"/>
                <w:vertAlign w:val="superscript"/>
              </w:rPr>
              <w:t>c</w:t>
            </w:r>
            <w:proofErr w:type="spellEnd"/>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4 (0.8%)</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9 (1.7%)</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4 (0.8%)</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(0.3%)</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1 (0.9%)</w:t>
            </w:r>
          </w:p>
        </w:tc>
        <w:tc>
          <w:tcPr>
            <w:tcW w:w="0" w:type="auto"/>
            <w:shd w:val="clear" w:color="auto" w:fill="auto"/>
          </w:tcPr>
          <w:p w:rsidR="00B32F33" w:rsidRPr="00A953D0" w:rsidRDefault="00B32F33" w:rsidP="00045804">
            <w:pPr>
              <w:pStyle w:val="TblTextCenter"/>
              <w:rPr>
                <w:rFonts w:ascii="Cambria" w:hAnsi="Cambria"/>
              </w:rPr>
            </w:pPr>
            <w:r w:rsidRPr="00A953D0">
              <w:rPr>
                <w:rFonts w:ascii="Cambria" w:hAnsi="Cambria"/>
              </w:rPr>
              <w:t>4 (1.3%)</w:t>
            </w:r>
          </w:p>
        </w:tc>
      </w:tr>
      <w:tr w:rsidR="00B32F33" w:rsidRPr="00A953D0" w:rsidTr="00045804">
        <w:trPr>
          <w:cantSplit/>
          <w:trHeight w:val="56"/>
          <w:jc w:val="center"/>
        </w:trPr>
        <w:tc>
          <w:tcPr>
            <w:tcW w:w="0" w:type="auto"/>
            <w:tcBorders>
              <w:bottom w:val="single" w:sz="12" w:space="0" w:color="auto"/>
            </w:tcBorders>
            <w:shd w:val="clear" w:color="auto" w:fill="auto"/>
          </w:tcPr>
          <w:p w:rsidR="00B32F33" w:rsidRPr="00A953D0" w:rsidRDefault="00B32F33" w:rsidP="00045804">
            <w:pPr>
              <w:pStyle w:val="TblTextCenter"/>
              <w:jc w:val="left"/>
              <w:rPr>
                <w:rFonts w:ascii="Cambria" w:hAnsi="Cambria"/>
              </w:rPr>
            </w:pPr>
            <w:r w:rsidRPr="00A953D0">
              <w:rPr>
                <w:rFonts w:ascii="Cambria" w:hAnsi="Cambria"/>
              </w:rPr>
              <w:t>Eosinophilia</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2 (0.4%)</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9 (1.7%)</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1 (0.2%)</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0</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1 (0.9%)</w:t>
            </w:r>
          </w:p>
        </w:tc>
        <w:tc>
          <w:tcPr>
            <w:tcW w:w="0" w:type="auto"/>
            <w:tcBorders>
              <w:bottom w:val="single" w:sz="12" w:space="0" w:color="auto"/>
            </w:tcBorders>
            <w:shd w:val="clear" w:color="auto" w:fill="auto"/>
          </w:tcPr>
          <w:p w:rsidR="00B32F33" w:rsidRPr="00A953D0" w:rsidRDefault="00B32F33" w:rsidP="00045804">
            <w:pPr>
              <w:pStyle w:val="TblTextCenter"/>
              <w:rPr>
                <w:rFonts w:ascii="Cambria" w:hAnsi="Cambria"/>
              </w:rPr>
            </w:pPr>
            <w:r w:rsidRPr="00A953D0">
              <w:rPr>
                <w:rFonts w:ascii="Cambria" w:hAnsi="Cambria"/>
              </w:rPr>
              <w:t>1 (0.3%)</w:t>
            </w:r>
          </w:p>
        </w:tc>
      </w:tr>
      <w:tr w:rsidR="00B32F33" w:rsidRPr="00A953D0" w:rsidTr="00045804">
        <w:trPr>
          <w:cantSplit/>
          <w:trHeight w:val="56"/>
          <w:jc w:val="center"/>
        </w:trPr>
        <w:tc>
          <w:tcPr>
            <w:tcW w:w="0" w:type="auto"/>
            <w:gridSpan w:val="7"/>
            <w:tcBorders>
              <w:top w:val="single" w:sz="12" w:space="0" w:color="auto"/>
            </w:tcBorders>
            <w:shd w:val="clear" w:color="auto" w:fill="auto"/>
          </w:tcPr>
          <w:p w:rsidR="00B32F33" w:rsidRPr="00A953D0" w:rsidRDefault="00B32F33" w:rsidP="00045804">
            <w:pPr>
              <w:pStyle w:val="TblFigFootnote"/>
              <w:rPr>
                <w:rFonts w:ascii="Cambria" w:hAnsi="Cambria"/>
              </w:rPr>
            </w:pPr>
            <w:r w:rsidRPr="00A953D0">
              <w:rPr>
                <w:rFonts w:ascii="Cambria" w:hAnsi="Cambria"/>
              </w:rPr>
              <w:t>a Safety Data from SOLO 1, SOLO 2, and a phase 2, dose-ranging study</w:t>
            </w:r>
          </w:p>
          <w:p w:rsidR="00B32F33" w:rsidRPr="00A953D0" w:rsidRDefault="00B32F33" w:rsidP="00045804">
            <w:pPr>
              <w:pStyle w:val="TblFigFootnote"/>
              <w:rPr>
                <w:rFonts w:ascii="Cambria" w:hAnsi="Cambria"/>
              </w:rPr>
            </w:pPr>
            <w:proofErr w:type="gramStart"/>
            <w:r w:rsidRPr="00A953D0">
              <w:rPr>
                <w:rFonts w:ascii="Cambria" w:hAnsi="Cambria"/>
              </w:rPr>
              <w:t>b</w:t>
            </w:r>
            <w:proofErr w:type="gramEnd"/>
            <w:r w:rsidRPr="00A953D0">
              <w:rPr>
                <w:rFonts w:ascii="Cambria" w:hAnsi="Cambria"/>
              </w:rPr>
              <w:t xml:space="preserve"> Safety Data from CHRONOS. Patients were on background TCS therapy.</w:t>
            </w:r>
          </w:p>
          <w:p w:rsidR="00B32F33" w:rsidRPr="00A953D0" w:rsidRDefault="00B32F33" w:rsidP="00045804">
            <w:pPr>
              <w:pStyle w:val="TblFigFootnote"/>
              <w:rPr>
                <w:rFonts w:ascii="Cambria" w:hAnsi="Cambria"/>
              </w:rPr>
            </w:pPr>
            <w:proofErr w:type="gramStart"/>
            <w:r w:rsidRPr="00A953D0">
              <w:rPr>
                <w:rFonts w:ascii="Cambria" w:hAnsi="Cambria"/>
              </w:rPr>
              <w:t>c</w:t>
            </w:r>
            <w:proofErr w:type="gramEnd"/>
            <w:r w:rsidRPr="00A953D0">
              <w:rPr>
                <w:rFonts w:ascii="Cambria" w:hAnsi="Cambria"/>
              </w:rPr>
              <w:t xml:space="preserve"> In clinical trials, herpes simplex cases were </w:t>
            </w:r>
            <w:proofErr w:type="spellStart"/>
            <w:r w:rsidRPr="00A953D0">
              <w:rPr>
                <w:rFonts w:ascii="Cambria" w:hAnsi="Cambria"/>
              </w:rPr>
              <w:t>mucocutaneous</w:t>
            </w:r>
            <w:proofErr w:type="spellEnd"/>
            <w:r w:rsidRPr="00A953D0">
              <w:rPr>
                <w:rFonts w:ascii="Cambria" w:hAnsi="Cambria"/>
              </w:rPr>
              <w:t xml:space="preserve">, generally mild to moderate in severity, and did not include eczema </w:t>
            </w:r>
            <w:proofErr w:type="spellStart"/>
            <w:r w:rsidRPr="00A953D0">
              <w:rPr>
                <w:rFonts w:ascii="Cambria" w:hAnsi="Cambria"/>
              </w:rPr>
              <w:t>herpeticum</w:t>
            </w:r>
            <w:proofErr w:type="spellEnd"/>
            <w:r w:rsidRPr="00A953D0">
              <w:rPr>
                <w:rFonts w:ascii="Cambria" w:hAnsi="Cambria"/>
              </w:rPr>
              <w:t xml:space="preserve">. Eczema </w:t>
            </w:r>
            <w:proofErr w:type="spellStart"/>
            <w:r w:rsidRPr="00A953D0">
              <w:rPr>
                <w:rFonts w:ascii="Cambria" w:hAnsi="Cambria"/>
              </w:rPr>
              <w:t>herpeticum</w:t>
            </w:r>
            <w:proofErr w:type="spellEnd"/>
            <w:r w:rsidRPr="00A953D0">
              <w:rPr>
                <w:rFonts w:ascii="Cambria" w:hAnsi="Cambria"/>
              </w:rPr>
              <w:t xml:space="preserve"> cases were reported separately and incidence was numerically lower in patients treated with </w:t>
            </w:r>
            <w:proofErr w:type="spellStart"/>
            <w:r w:rsidRPr="00A953D0">
              <w:rPr>
                <w:rFonts w:ascii="Cambria" w:hAnsi="Cambria"/>
              </w:rPr>
              <w:t>Dupixent</w:t>
            </w:r>
            <w:proofErr w:type="spellEnd"/>
            <w:r w:rsidRPr="00A953D0">
              <w:rPr>
                <w:rFonts w:ascii="Cambria" w:hAnsi="Cambria"/>
              </w:rPr>
              <w:t xml:space="preserve"> compared to placebo.</w:t>
            </w:r>
          </w:p>
        </w:tc>
      </w:tr>
    </w:tbl>
    <w:p w:rsidR="00B32F33" w:rsidRPr="00A953D0" w:rsidRDefault="00B32F33" w:rsidP="00B32F33">
      <w:pPr>
        <w:rPr>
          <w:rFonts w:ascii="Cambria" w:hAnsi="Cambria"/>
        </w:rPr>
      </w:pPr>
      <w:r w:rsidRPr="00A953D0">
        <w:rPr>
          <w:rFonts w:ascii="Cambria" w:hAnsi="Cambria"/>
        </w:rPr>
        <w:t xml:space="preserve">The safety profile of </w:t>
      </w:r>
      <w:proofErr w:type="spellStart"/>
      <w:r w:rsidRPr="00A953D0">
        <w:rPr>
          <w:rFonts w:ascii="Cambria" w:hAnsi="Cambria"/>
        </w:rPr>
        <w:t>Dupixent</w:t>
      </w:r>
      <w:proofErr w:type="spellEnd"/>
      <w:r w:rsidRPr="00A953D0">
        <w:rPr>
          <w:rFonts w:ascii="Cambria" w:hAnsi="Cambria"/>
        </w:rPr>
        <w:t xml:space="preserve"> + TCS through week 52 is consistent with the safety profile observed at week 16.</w:t>
      </w:r>
    </w:p>
    <w:p w:rsidR="00B32F33" w:rsidRPr="00A953D0" w:rsidRDefault="00B32F33" w:rsidP="00B32F33">
      <w:pPr>
        <w:rPr>
          <w:rFonts w:ascii="Cambria" w:hAnsi="Cambria"/>
          <w:u w:val="single"/>
        </w:rPr>
      </w:pPr>
      <w:r w:rsidRPr="00A953D0">
        <w:rPr>
          <w:rFonts w:ascii="Cambria" w:hAnsi="Cambria"/>
          <w:u w:val="single"/>
        </w:rPr>
        <w:t>Description of selected adverse reactions:</w:t>
      </w:r>
    </w:p>
    <w:p w:rsidR="00B32F33" w:rsidRPr="00A953D0" w:rsidRDefault="00B32F33" w:rsidP="00B32F33">
      <w:pPr>
        <w:pStyle w:val="Heading5"/>
        <w:numPr>
          <w:ilvl w:val="0"/>
          <w:numId w:val="0"/>
        </w:numPr>
        <w:ind w:left="1009" w:hanging="1009"/>
        <w:rPr>
          <w:rFonts w:ascii="Cambria" w:hAnsi="Cambria"/>
        </w:rPr>
      </w:pPr>
      <w:r w:rsidRPr="00A953D0">
        <w:rPr>
          <w:rFonts w:ascii="Cambria" w:hAnsi="Cambria"/>
        </w:rPr>
        <w:t>Hypersensitivity</w:t>
      </w:r>
    </w:p>
    <w:p w:rsidR="00B32F33" w:rsidRPr="00A953D0" w:rsidRDefault="00B32F33" w:rsidP="00B32F33">
      <w:pPr>
        <w:rPr>
          <w:rFonts w:ascii="Cambria" w:hAnsi="Cambria"/>
        </w:rPr>
      </w:pPr>
      <w:r w:rsidRPr="00A953D0">
        <w:rPr>
          <w:rFonts w:ascii="Cambria" w:hAnsi="Cambria"/>
        </w:rPr>
        <w:t xml:space="preserve">In the overall exposure pool, there was one case reported as serum sickness reaction and one case reported as serum sickness-like reaction following administration of  </w:t>
      </w:r>
      <w:proofErr w:type="spellStart"/>
      <w:r w:rsidRPr="00A953D0">
        <w:rPr>
          <w:rFonts w:ascii="Cambria" w:hAnsi="Cambria"/>
        </w:rPr>
        <w:t>Dupixent</w:t>
      </w:r>
      <w:proofErr w:type="spellEnd"/>
      <w:r w:rsidRPr="00A953D0">
        <w:rPr>
          <w:rFonts w:ascii="Cambria" w:hAnsi="Cambria"/>
        </w:rPr>
        <w:t xml:space="preserve"> (see </w:t>
      </w:r>
      <w:r w:rsidR="00A50058">
        <w:rPr>
          <w:rFonts w:ascii="Cambria" w:hAnsi="Cambria"/>
        </w:rPr>
        <w:t xml:space="preserve">4.4 </w:t>
      </w:r>
      <w:r w:rsidR="00A50058" w:rsidRPr="00A50058">
        <w:rPr>
          <w:rFonts w:ascii="Cambria" w:hAnsi="Cambria"/>
        </w:rPr>
        <w:t>SPECIAL WARNINGS AND PRECAUTIONS FOR USE</w:t>
      </w:r>
      <w:r w:rsidRPr="00A953D0">
        <w:rPr>
          <w:rFonts w:ascii="Cambria" w:hAnsi="Cambria"/>
        </w:rPr>
        <w:t>).</w:t>
      </w:r>
    </w:p>
    <w:p w:rsidR="00B32F33" w:rsidRPr="00A953D0" w:rsidRDefault="00B32F33" w:rsidP="00B32F33">
      <w:pPr>
        <w:pStyle w:val="Heading5"/>
        <w:numPr>
          <w:ilvl w:val="0"/>
          <w:numId w:val="0"/>
        </w:numPr>
        <w:ind w:left="1009" w:hanging="1009"/>
        <w:rPr>
          <w:rFonts w:ascii="Cambria" w:hAnsi="Cambria"/>
        </w:rPr>
      </w:pPr>
      <w:r w:rsidRPr="00A953D0">
        <w:rPr>
          <w:rFonts w:ascii="Cambria" w:hAnsi="Cambria"/>
        </w:rPr>
        <w:t>Laboratory Abnormalities</w:t>
      </w:r>
    </w:p>
    <w:p w:rsidR="00B32F33" w:rsidRPr="00A953D0" w:rsidRDefault="00B32F33" w:rsidP="00B32F33">
      <w:pPr>
        <w:rPr>
          <w:rFonts w:ascii="Cambria" w:hAnsi="Cambria"/>
        </w:rPr>
      </w:pPr>
      <w:r w:rsidRPr="00A953D0">
        <w:rPr>
          <w:rFonts w:ascii="Cambria" w:hAnsi="Cambria"/>
        </w:rPr>
        <w:t xml:space="preserve">In clinical studies, transient elevations in blood eosinophils were observed after initiating </w:t>
      </w:r>
      <w:proofErr w:type="spellStart"/>
      <w:r w:rsidRPr="00A953D0">
        <w:rPr>
          <w:rFonts w:ascii="Cambria" w:hAnsi="Cambria"/>
        </w:rPr>
        <w:t>Dupixent</w:t>
      </w:r>
      <w:proofErr w:type="spellEnd"/>
      <w:r w:rsidRPr="00A953D0">
        <w:rPr>
          <w:rFonts w:ascii="Cambria" w:hAnsi="Cambria"/>
        </w:rPr>
        <w:t xml:space="preserve"> treatment in a minority of patients. Eosinophilia was reported in &lt;2% of patients treated with </w:t>
      </w:r>
      <w:proofErr w:type="spellStart"/>
      <w:r w:rsidRPr="00A953D0">
        <w:rPr>
          <w:rFonts w:ascii="Cambria" w:hAnsi="Cambria"/>
        </w:rPr>
        <w:t>Dupixent</w:t>
      </w:r>
      <w:proofErr w:type="spellEnd"/>
      <w:r w:rsidRPr="00A953D0">
        <w:rPr>
          <w:rFonts w:ascii="Cambria" w:hAnsi="Cambria"/>
        </w:rPr>
        <w:t xml:space="preserve"> (see Table</w:t>
      </w:r>
      <w:r w:rsidR="000E5F7B">
        <w:rPr>
          <w:rFonts w:ascii="Cambria" w:hAnsi="Cambria"/>
        </w:rPr>
        <w:t xml:space="preserve"> 2</w:t>
      </w:r>
      <w:r w:rsidRPr="00A953D0">
        <w:rPr>
          <w:rFonts w:ascii="Cambria" w:hAnsi="Cambria"/>
        </w:rPr>
        <w:t>). There were no other clinically signif</w:t>
      </w:r>
      <w:r w:rsidR="00386226" w:rsidRPr="00A953D0">
        <w:rPr>
          <w:rFonts w:ascii="Cambria" w:hAnsi="Cambria"/>
        </w:rPr>
        <w:t>icant laboratory abnormalities.</w:t>
      </w:r>
    </w:p>
    <w:p w:rsidR="00B32F33" w:rsidRPr="00A953D0" w:rsidRDefault="00B32F33" w:rsidP="00B32F33">
      <w:pPr>
        <w:rPr>
          <w:rFonts w:ascii="Cambria" w:hAnsi="Cambria"/>
          <w:u w:val="single"/>
        </w:rPr>
      </w:pPr>
      <w:r w:rsidRPr="00A953D0">
        <w:rPr>
          <w:rFonts w:ascii="Cambria" w:hAnsi="Cambria"/>
          <w:u w:val="single"/>
        </w:rPr>
        <w:t>Overall Infections</w:t>
      </w:r>
    </w:p>
    <w:p w:rsidR="00B32F33" w:rsidRPr="00A953D0" w:rsidRDefault="00B32F33" w:rsidP="00B32F33">
      <w:pPr>
        <w:rPr>
          <w:rFonts w:ascii="Cambria" w:hAnsi="Cambria"/>
        </w:rPr>
      </w:pPr>
      <w:r w:rsidRPr="00A953D0">
        <w:rPr>
          <w:rFonts w:ascii="Cambria" w:hAnsi="Cambria"/>
        </w:rPr>
        <w:lastRenderedPageBreak/>
        <w:t xml:space="preserve">No increase was observed in the overall incidence of infections or serious infections with </w:t>
      </w:r>
      <w:proofErr w:type="spellStart"/>
      <w:r w:rsidRPr="00A953D0">
        <w:rPr>
          <w:rFonts w:ascii="Cambria" w:hAnsi="Cambria"/>
        </w:rPr>
        <w:t>Dupixent</w:t>
      </w:r>
      <w:proofErr w:type="spellEnd"/>
      <w:r w:rsidRPr="00A953D0">
        <w:rPr>
          <w:rFonts w:ascii="Cambria" w:hAnsi="Cambria"/>
        </w:rPr>
        <w:t xml:space="preserve"> compared to placebo in clinical studies. In the 16-week monotherapy clinical studies, serious infections were reported in 1.0% of patients treated with placebo and 0.5% of patients treated with </w:t>
      </w:r>
      <w:proofErr w:type="spellStart"/>
      <w:r w:rsidRPr="00A953D0">
        <w:rPr>
          <w:rFonts w:ascii="Cambria" w:hAnsi="Cambria"/>
        </w:rPr>
        <w:t>Dupixent</w:t>
      </w:r>
      <w:proofErr w:type="spellEnd"/>
      <w:r w:rsidRPr="00A953D0">
        <w:rPr>
          <w:rFonts w:ascii="Cambria" w:hAnsi="Cambria"/>
        </w:rPr>
        <w:t xml:space="preserve">. In the 52-week CHRONOS study serious infections were reported in 0.6% of patients treated with placebo and 0.2% of patients treated with </w:t>
      </w:r>
      <w:proofErr w:type="spellStart"/>
      <w:r w:rsidRPr="00A953D0">
        <w:rPr>
          <w:rFonts w:ascii="Cambria" w:hAnsi="Cambria"/>
        </w:rPr>
        <w:t>Dupixent</w:t>
      </w:r>
      <w:proofErr w:type="spellEnd"/>
      <w:r w:rsidRPr="00A953D0">
        <w:rPr>
          <w:rFonts w:ascii="Cambria" w:hAnsi="Cambria"/>
        </w:rPr>
        <w:t>.</w:t>
      </w:r>
    </w:p>
    <w:p w:rsidR="00B32F33" w:rsidRPr="00A953D0" w:rsidRDefault="00B32F33" w:rsidP="00B32F33">
      <w:pPr>
        <w:rPr>
          <w:rFonts w:ascii="Cambria" w:hAnsi="Cambria"/>
          <w:u w:val="single"/>
        </w:rPr>
      </w:pPr>
      <w:r w:rsidRPr="00A953D0">
        <w:rPr>
          <w:rFonts w:ascii="Cambria" w:hAnsi="Cambria"/>
          <w:u w:val="single"/>
        </w:rPr>
        <w:t>Immunogenicity</w:t>
      </w:r>
    </w:p>
    <w:p w:rsidR="00B32F33" w:rsidRPr="00A953D0" w:rsidRDefault="00B32F33" w:rsidP="00B32F33">
      <w:pPr>
        <w:rPr>
          <w:rFonts w:ascii="Cambria" w:hAnsi="Cambria"/>
        </w:rPr>
      </w:pPr>
      <w:r w:rsidRPr="00A953D0">
        <w:rPr>
          <w:rFonts w:ascii="Cambria" w:hAnsi="Cambria"/>
        </w:rPr>
        <w:t xml:space="preserve">As with all therapeutic proteins, there is a potential for immunogenicity with </w:t>
      </w:r>
      <w:proofErr w:type="spellStart"/>
      <w:r w:rsidRPr="00A953D0">
        <w:rPr>
          <w:rFonts w:ascii="Cambria" w:hAnsi="Cambria"/>
        </w:rPr>
        <w:t>dupilumab</w:t>
      </w:r>
      <w:proofErr w:type="spellEnd"/>
      <w:r w:rsidRPr="00A953D0">
        <w:rPr>
          <w:rFonts w:ascii="Cambria" w:hAnsi="Cambria"/>
        </w:rPr>
        <w:t>.</w:t>
      </w:r>
    </w:p>
    <w:p w:rsidR="00B32F33" w:rsidRPr="00A953D0" w:rsidRDefault="00B32F33" w:rsidP="00B32F33">
      <w:pPr>
        <w:rPr>
          <w:rFonts w:ascii="Cambria" w:hAnsi="Cambria"/>
        </w:rPr>
      </w:pPr>
      <w:r w:rsidRPr="00A953D0">
        <w:rPr>
          <w:rFonts w:ascii="Cambria" w:hAnsi="Cambria"/>
        </w:rPr>
        <w:t xml:space="preserve">In the 52 week study, approximately 3% of patients in the placebo group and 2% of patients in the </w:t>
      </w:r>
      <w:proofErr w:type="spellStart"/>
      <w:r w:rsidRPr="00A953D0">
        <w:rPr>
          <w:rFonts w:ascii="Cambria" w:hAnsi="Cambria"/>
        </w:rPr>
        <w:t>Dupixent</w:t>
      </w:r>
      <w:proofErr w:type="spellEnd"/>
      <w:r w:rsidRPr="00A953D0">
        <w:rPr>
          <w:rFonts w:ascii="Cambria" w:hAnsi="Cambria"/>
        </w:rPr>
        <w:t xml:space="preserve"> group had anti-drug antibody (ADA) responses lasting more than 12 weeks.  Overall, 0.7% of patients on placebo</w:t>
      </w:r>
      <w:r w:rsidRPr="00A953D0">
        <w:rPr>
          <w:rFonts w:ascii="Cambria" w:hAnsi="Cambria"/>
          <w:color w:val="3333FF"/>
        </w:rPr>
        <w:t xml:space="preserve"> </w:t>
      </w:r>
      <w:r w:rsidRPr="00A953D0">
        <w:rPr>
          <w:rFonts w:ascii="Cambria" w:hAnsi="Cambria"/>
        </w:rPr>
        <w:t xml:space="preserve">and 0.2% treated with </w:t>
      </w:r>
      <w:proofErr w:type="spellStart"/>
      <w:r w:rsidRPr="00A953D0">
        <w:rPr>
          <w:rFonts w:ascii="Cambria" w:hAnsi="Cambria"/>
        </w:rPr>
        <w:t>Dupixent</w:t>
      </w:r>
      <w:proofErr w:type="spellEnd"/>
      <w:r w:rsidRPr="00A953D0">
        <w:rPr>
          <w:rFonts w:ascii="Cambria" w:hAnsi="Cambria"/>
        </w:rPr>
        <w:t xml:space="preserve"> also had neutralizing antibody responses, which were not generally associated with loss of efficacy.</w:t>
      </w:r>
    </w:p>
    <w:p w:rsidR="00B32F33" w:rsidRPr="00A953D0" w:rsidRDefault="00B32F33" w:rsidP="00B32F33">
      <w:pPr>
        <w:rPr>
          <w:rFonts w:ascii="Cambria" w:hAnsi="Cambria"/>
        </w:rPr>
      </w:pPr>
      <w:r w:rsidRPr="00A953D0">
        <w:rPr>
          <w:rFonts w:ascii="Cambria" w:hAnsi="Cambria"/>
        </w:rPr>
        <w:t xml:space="preserve">ADA responses were not generally associated with impact on </w:t>
      </w:r>
      <w:proofErr w:type="spellStart"/>
      <w:r w:rsidRPr="00A953D0">
        <w:rPr>
          <w:rFonts w:ascii="Cambria" w:hAnsi="Cambria"/>
        </w:rPr>
        <w:t>Dupixent</w:t>
      </w:r>
      <w:proofErr w:type="spellEnd"/>
      <w:r w:rsidRPr="00A953D0">
        <w:rPr>
          <w:rFonts w:ascii="Cambria" w:hAnsi="Cambria"/>
        </w:rPr>
        <w:t xml:space="preserve"> exposure, safety, or efficacy. In the overall exposure pool, less than 0.1% of patients exhibited high titer ADA responses associated with reduced exposure and efficacy. In addition, there was one patient with serum sickness and one with serum sickness-like reaction (&lt;0.1%) associated with high ADA titers (see </w:t>
      </w:r>
      <w:r w:rsidR="00E50CE0">
        <w:rPr>
          <w:rFonts w:ascii="Cambria" w:hAnsi="Cambria"/>
        </w:rPr>
        <w:t xml:space="preserve">4.4 </w:t>
      </w:r>
      <w:r w:rsidR="00E50CE0" w:rsidRPr="00E50CE0">
        <w:rPr>
          <w:rFonts w:ascii="Cambria" w:hAnsi="Cambria"/>
        </w:rPr>
        <w:t>SPECIAL WARNINGS AND PRECAUTIONS FOR USE</w:t>
      </w:r>
      <w:r w:rsidRPr="00A953D0">
        <w:rPr>
          <w:rFonts w:ascii="Cambria" w:hAnsi="Cambria"/>
        </w:rPr>
        <w:t xml:space="preserve">).  </w:t>
      </w:r>
    </w:p>
    <w:p w:rsidR="00B32F33" w:rsidRPr="00A953D0" w:rsidRDefault="00B32F33" w:rsidP="00B32F33">
      <w:pPr>
        <w:rPr>
          <w:rFonts w:ascii="Cambria" w:hAnsi="Cambria"/>
        </w:rPr>
      </w:pPr>
      <w:r w:rsidRPr="00A953D0">
        <w:rPr>
          <w:rFonts w:ascii="Cambria" w:hAnsi="Cambria"/>
        </w:rPr>
        <w:t xml:space="preserve">The observed incidence of persistent ADA responses and neutralizing activity in the assay are highly dependent on the sensitivity and specificity of the assay used. Additionally, the observed incidence of antibody positivity in an assay may be influenced by several factors, including assay methodology, sample handling, timing of sample collection, concomitant medications, and underlying disease status of the individual patient. For these reasons, comparison of the incidence of antibodies to </w:t>
      </w:r>
      <w:proofErr w:type="spellStart"/>
      <w:r w:rsidRPr="00A953D0">
        <w:rPr>
          <w:rFonts w:ascii="Cambria" w:hAnsi="Cambria"/>
        </w:rPr>
        <w:t>Dupixent</w:t>
      </w:r>
      <w:proofErr w:type="spellEnd"/>
      <w:r w:rsidRPr="00A953D0">
        <w:rPr>
          <w:rFonts w:ascii="Cambria" w:hAnsi="Cambria"/>
        </w:rPr>
        <w:t xml:space="preserve"> with the incidence of antibodies to other products may be misleading.</w:t>
      </w:r>
    </w:p>
    <w:bookmarkEnd w:id="14"/>
    <w:p w:rsidR="00521192" w:rsidRPr="00A953D0" w:rsidRDefault="00B0629B" w:rsidP="00B0629B">
      <w:pPr>
        <w:pStyle w:val="Heading2"/>
        <w:rPr>
          <w:rFonts w:ascii="Cambria" w:hAnsi="Cambria"/>
        </w:rPr>
      </w:pPr>
      <w:r w:rsidRPr="00A953D0">
        <w:rPr>
          <w:rFonts w:ascii="Cambria" w:hAnsi="Cambria"/>
        </w:rPr>
        <w:t>OVERDOSE</w:t>
      </w:r>
    </w:p>
    <w:p w:rsidR="00B0629B" w:rsidRPr="00A953D0" w:rsidRDefault="00B0629B" w:rsidP="00B0629B">
      <w:pPr>
        <w:rPr>
          <w:rFonts w:ascii="Cambria" w:hAnsi="Cambria"/>
        </w:rPr>
      </w:pPr>
      <w:r w:rsidRPr="00A953D0">
        <w:rPr>
          <w:rFonts w:ascii="Cambria" w:hAnsi="Cambria"/>
        </w:rPr>
        <w:t>In clinical studies, no safety issues were identified with single intravenous doses up to 12 mg/kg.</w:t>
      </w:r>
    </w:p>
    <w:p w:rsidR="00B0629B" w:rsidRPr="00A953D0" w:rsidRDefault="00B0629B" w:rsidP="00B0629B">
      <w:pPr>
        <w:rPr>
          <w:rFonts w:ascii="Cambria" w:hAnsi="Cambria"/>
        </w:rPr>
      </w:pPr>
      <w:r w:rsidRPr="00A953D0">
        <w:rPr>
          <w:rFonts w:ascii="Cambria" w:hAnsi="Cambria"/>
        </w:rPr>
        <w:t xml:space="preserve">In the event of </w:t>
      </w:r>
      <w:proofErr w:type="spellStart"/>
      <w:r w:rsidRPr="00A953D0">
        <w:rPr>
          <w:rFonts w:ascii="Cambria" w:hAnsi="Cambria"/>
        </w:rPr>
        <w:t>overdosage</w:t>
      </w:r>
      <w:proofErr w:type="spellEnd"/>
      <w:r w:rsidRPr="00A953D0">
        <w:rPr>
          <w:rFonts w:ascii="Cambria" w:hAnsi="Cambria"/>
        </w:rPr>
        <w:t>, monitor the patient for any signs or symptoms of adverse reactions and institute appropriate symptomatic treatment immediately.</w:t>
      </w:r>
    </w:p>
    <w:p w:rsidR="00B0629B" w:rsidRPr="00A953D0" w:rsidRDefault="00B0629B" w:rsidP="00B0629B">
      <w:pPr>
        <w:rPr>
          <w:rFonts w:ascii="Cambria" w:hAnsi="Cambria"/>
        </w:rPr>
      </w:pPr>
      <w:r w:rsidRPr="00A953D0">
        <w:rPr>
          <w:rFonts w:ascii="Cambria" w:hAnsi="Cambria"/>
        </w:rPr>
        <w:t>For information on the management of overdose, contact the Australian Poison Information Centre on 131126.</w:t>
      </w:r>
    </w:p>
    <w:p w:rsidR="00386226" w:rsidRPr="00A953D0" w:rsidRDefault="00386226" w:rsidP="00386226">
      <w:pPr>
        <w:pStyle w:val="Heading1"/>
        <w:pageBreakBefore w:val="0"/>
        <w:rPr>
          <w:rFonts w:ascii="Cambria" w:hAnsi="Cambria"/>
          <w:lang w:val="en"/>
        </w:rPr>
      </w:pPr>
      <w:r w:rsidRPr="00A953D0">
        <w:rPr>
          <w:rFonts w:ascii="Cambria" w:hAnsi="Cambria"/>
          <w:lang w:val="en"/>
        </w:rPr>
        <w:lastRenderedPageBreak/>
        <w:t>PHARMACOLOGICAL PROPERTIES</w:t>
      </w:r>
    </w:p>
    <w:p w:rsidR="00386226" w:rsidRPr="00A953D0" w:rsidRDefault="00386226" w:rsidP="00386226">
      <w:pPr>
        <w:pStyle w:val="Heading2"/>
        <w:rPr>
          <w:rFonts w:ascii="Cambria" w:hAnsi="Cambria"/>
          <w:lang w:val="en"/>
        </w:rPr>
      </w:pPr>
      <w:r w:rsidRPr="00A953D0">
        <w:rPr>
          <w:rFonts w:ascii="Cambria" w:hAnsi="Cambria"/>
          <w:lang w:val="en"/>
        </w:rPr>
        <w:t>PHARMACODYNAMIC PROPERTIES</w:t>
      </w:r>
    </w:p>
    <w:p w:rsidR="002B3BE0" w:rsidRPr="00A953D0" w:rsidRDefault="002B3BE0" w:rsidP="002B3BE0">
      <w:pPr>
        <w:pStyle w:val="Heading3"/>
        <w:numPr>
          <w:ilvl w:val="0"/>
          <w:numId w:val="0"/>
        </w:numPr>
        <w:ind w:left="680" w:hanging="680"/>
        <w:rPr>
          <w:rFonts w:ascii="Cambria" w:hAnsi="Cambria"/>
          <w:i/>
        </w:rPr>
      </w:pPr>
      <w:bookmarkStart w:id="15" w:name="_Toc456606930"/>
      <w:bookmarkEnd w:id="3"/>
      <w:r w:rsidRPr="00A953D0">
        <w:rPr>
          <w:rFonts w:ascii="Cambria" w:hAnsi="Cambria"/>
          <w:i/>
        </w:rPr>
        <w:t>Mechanism of Action</w:t>
      </w:r>
      <w:bookmarkEnd w:id="15"/>
    </w:p>
    <w:p w:rsidR="00CA6318" w:rsidRPr="00A953D0" w:rsidRDefault="009031DB" w:rsidP="00CA6318">
      <w:pPr>
        <w:rPr>
          <w:rFonts w:ascii="Cambria" w:hAnsi="Cambria"/>
        </w:rPr>
      </w:pPr>
      <w:proofErr w:type="spellStart"/>
      <w:r w:rsidRPr="00A953D0">
        <w:rPr>
          <w:rFonts w:ascii="Cambria" w:hAnsi="Cambria"/>
        </w:rPr>
        <w:t>Dupixent</w:t>
      </w:r>
      <w:proofErr w:type="spellEnd"/>
      <w:r w:rsidR="00CF7968" w:rsidRPr="00A953D0">
        <w:rPr>
          <w:rFonts w:ascii="Cambria" w:hAnsi="Cambria"/>
        </w:rPr>
        <w:t xml:space="preserve"> </w:t>
      </w:r>
      <w:r w:rsidR="002B3BE0" w:rsidRPr="00A953D0">
        <w:rPr>
          <w:rFonts w:ascii="Cambria" w:hAnsi="Cambria"/>
        </w:rPr>
        <w:t xml:space="preserve">is </w:t>
      </w:r>
      <w:r w:rsidR="00CA6318" w:rsidRPr="00A953D0">
        <w:rPr>
          <w:rFonts w:ascii="Cambria" w:hAnsi="Cambria"/>
        </w:rPr>
        <w:t xml:space="preserve">a recombinant human IgG4 monoclonal antibody that inhibits interleukin-4 and interleukin-13 signaling by specifically binding to the IL-4Rα subunit shared by the IL-4 and IL-13 receptor complexes. </w:t>
      </w:r>
      <w:proofErr w:type="spellStart"/>
      <w:r w:rsidR="00172491" w:rsidRPr="00A953D0">
        <w:rPr>
          <w:rFonts w:ascii="Cambria" w:hAnsi="Cambria"/>
        </w:rPr>
        <w:t>Dupixent</w:t>
      </w:r>
      <w:proofErr w:type="spellEnd"/>
      <w:r w:rsidR="00172491" w:rsidRPr="00A953D0">
        <w:rPr>
          <w:rFonts w:ascii="Cambria" w:hAnsi="Cambria"/>
        </w:rPr>
        <w:t xml:space="preserve"> inhibits</w:t>
      </w:r>
      <w:r w:rsidR="00CA6318" w:rsidRPr="00A953D0">
        <w:rPr>
          <w:rFonts w:ascii="Cambria" w:hAnsi="Cambria"/>
        </w:rPr>
        <w:t xml:space="preserve"> IL-4 signaling via the Type I receptor (IL-4Rα/</w:t>
      </w:r>
      <w:proofErr w:type="spellStart"/>
      <w:r w:rsidR="00CA6318" w:rsidRPr="00A953D0">
        <w:rPr>
          <w:rFonts w:ascii="Cambria" w:hAnsi="Cambria"/>
        </w:rPr>
        <w:t>γc</w:t>
      </w:r>
      <w:proofErr w:type="spellEnd"/>
      <w:r w:rsidR="00CA6318" w:rsidRPr="00A953D0">
        <w:rPr>
          <w:rFonts w:ascii="Cambria" w:hAnsi="Cambria"/>
        </w:rPr>
        <w:t>), and both IL-4 and IL-13 signaling through the Type II receptor (IL-4Rα/IL-13Rα).</w:t>
      </w:r>
    </w:p>
    <w:p w:rsidR="00CA6318" w:rsidRPr="00A953D0" w:rsidRDefault="00CA6318" w:rsidP="00CA6318">
      <w:pPr>
        <w:rPr>
          <w:rFonts w:ascii="Cambria" w:hAnsi="Cambria"/>
        </w:rPr>
      </w:pPr>
      <w:r w:rsidRPr="00A953D0">
        <w:rPr>
          <w:rFonts w:ascii="Cambria" w:hAnsi="Cambria"/>
        </w:rPr>
        <w:t>IL-4 and IL-13 are key type 2 (including Th2) cytokines involved in atopic disease.</w:t>
      </w:r>
    </w:p>
    <w:p w:rsidR="00C873D5" w:rsidRPr="00A953D0" w:rsidRDefault="00C873D5" w:rsidP="00C873D5">
      <w:pPr>
        <w:rPr>
          <w:rFonts w:ascii="Cambria" w:eastAsia="MS Gothic" w:hAnsi="Cambria" w:cs="Arial"/>
          <w:b/>
          <w:i/>
          <w:color w:val="auto"/>
          <w:kern w:val="32"/>
          <w:sz w:val="22"/>
          <w:szCs w:val="26"/>
        </w:rPr>
      </w:pPr>
      <w:proofErr w:type="spellStart"/>
      <w:r w:rsidRPr="00A953D0">
        <w:rPr>
          <w:rFonts w:ascii="Cambria" w:eastAsia="MS Gothic" w:hAnsi="Cambria" w:cs="Arial"/>
          <w:b/>
          <w:i/>
          <w:color w:val="auto"/>
          <w:kern w:val="32"/>
          <w:sz w:val="22"/>
          <w:szCs w:val="26"/>
        </w:rPr>
        <w:t>Pharmacodynamic</w:t>
      </w:r>
      <w:proofErr w:type="spellEnd"/>
      <w:r w:rsidRPr="00A953D0">
        <w:rPr>
          <w:rFonts w:ascii="Cambria" w:eastAsia="MS Gothic" w:hAnsi="Cambria" w:cs="Arial"/>
          <w:b/>
          <w:i/>
          <w:color w:val="auto"/>
          <w:kern w:val="32"/>
          <w:sz w:val="22"/>
          <w:szCs w:val="26"/>
        </w:rPr>
        <w:t xml:space="preserve"> Effects</w:t>
      </w:r>
    </w:p>
    <w:p w:rsidR="00C873D5" w:rsidRPr="00A953D0" w:rsidRDefault="00C873D5" w:rsidP="00C873D5">
      <w:pPr>
        <w:rPr>
          <w:rFonts w:ascii="Cambria" w:hAnsi="Cambria"/>
        </w:rPr>
      </w:pPr>
      <w:r w:rsidRPr="00A953D0">
        <w:rPr>
          <w:rFonts w:ascii="Cambria" w:hAnsi="Cambria"/>
        </w:rPr>
        <w:t xml:space="preserve">In clinical trials, treatment with </w:t>
      </w:r>
      <w:proofErr w:type="spellStart"/>
      <w:r w:rsidRPr="00A953D0">
        <w:rPr>
          <w:rFonts w:ascii="Cambria" w:hAnsi="Cambria"/>
        </w:rPr>
        <w:t>Dupixent</w:t>
      </w:r>
      <w:proofErr w:type="spellEnd"/>
      <w:r w:rsidRPr="00A953D0">
        <w:rPr>
          <w:rFonts w:ascii="Cambria" w:hAnsi="Cambria"/>
        </w:rPr>
        <w:t xml:space="preserve"> was associated with decreases from baseline in concentrations of type 2-associated biomarkers, such as thymus and activation regulated chemokine (TARC/CCL17), total serum </w:t>
      </w:r>
      <w:proofErr w:type="spellStart"/>
      <w:r w:rsidRPr="00A953D0">
        <w:rPr>
          <w:rFonts w:ascii="Cambria" w:hAnsi="Cambria"/>
        </w:rPr>
        <w:t>IgE</w:t>
      </w:r>
      <w:proofErr w:type="spellEnd"/>
      <w:r w:rsidRPr="00A953D0">
        <w:rPr>
          <w:rFonts w:ascii="Cambria" w:hAnsi="Cambria"/>
        </w:rPr>
        <w:t xml:space="preserve"> and allergen-specific </w:t>
      </w:r>
      <w:proofErr w:type="spellStart"/>
      <w:r w:rsidRPr="00A953D0">
        <w:rPr>
          <w:rFonts w:ascii="Cambria" w:hAnsi="Cambria"/>
        </w:rPr>
        <w:t>IgE</w:t>
      </w:r>
      <w:proofErr w:type="spellEnd"/>
      <w:r w:rsidRPr="00A953D0">
        <w:rPr>
          <w:rFonts w:ascii="Cambria" w:hAnsi="Cambria"/>
        </w:rPr>
        <w:t xml:space="preserve"> in serum. A reduction of lactate dehydrogenase (LDH), a biomarker associated with AD disease activity and severity, was observed with </w:t>
      </w:r>
      <w:proofErr w:type="spellStart"/>
      <w:r w:rsidRPr="00A953D0">
        <w:rPr>
          <w:rFonts w:ascii="Cambria" w:hAnsi="Cambria"/>
        </w:rPr>
        <w:t>Dupixent</w:t>
      </w:r>
      <w:proofErr w:type="spellEnd"/>
      <w:r w:rsidRPr="00A953D0">
        <w:rPr>
          <w:rFonts w:ascii="Cambria" w:hAnsi="Cambria"/>
        </w:rPr>
        <w:t xml:space="preserve"> treatment.</w:t>
      </w:r>
    </w:p>
    <w:p w:rsidR="00C873D5" w:rsidRPr="00A953D0" w:rsidRDefault="00C873D5" w:rsidP="00C873D5">
      <w:pPr>
        <w:rPr>
          <w:rFonts w:ascii="Cambria" w:hAnsi="Cambria"/>
        </w:rPr>
      </w:pPr>
      <w:proofErr w:type="spellStart"/>
      <w:r w:rsidRPr="00A953D0">
        <w:rPr>
          <w:rFonts w:ascii="Cambria" w:hAnsi="Cambria"/>
        </w:rPr>
        <w:t>Dupixent</w:t>
      </w:r>
      <w:proofErr w:type="spellEnd"/>
      <w:r w:rsidRPr="00A953D0">
        <w:rPr>
          <w:rFonts w:ascii="Cambria" w:hAnsi="Cambria"/>
        </w:rPr>
        <w:t xml:space="preserve"> suppressed TARC relative to placebo as early as week 2, with a trend of continued decline to a maximal and sustained suppression by Week 12.  The majority of patients treated with </w:t>
      </w:r>
      <w:proofErr w:type="spellStart"/>
      <w:r w:rsidRPr="00A953D0">
        <w:rPr>
          <w:rFonts w:ascii="Cambria" w:hAnsi="Cambria"/>
        </w:rPr>
        <w:t>Dupixent</w:t>
      </w:r>
      <w:proofErr w:type="spellEnd"/>
      <w:r w:rsidRPr="00A953D0">
        <w:rPr>
          <w:rFonts w:ascii="Cambria" w:hAnsi="Cambria"/>
        </w:rPr>
        <w:t xml:space="preserve"> in CHRONOS (87.0% and 84.9% of patients in the </w:t>
      </w:r>
      <w:proofErr w:type="spellStart"/>
      <w:r w:rsidRPr="00A953D0">
        <w:rPr>
          <w:rFonts w:ascii="Cambria" w:hAnsi="Cambria"/>
        </w:rPr>
        <w:t>Dupixent</w:t>
      </w:r>
      <w:proofErr w:type="spellEnd"/>
      <w:r w:rsidRPr="00A953D0">
        <w:rPr>
          <w:rFonts w:ascii="Cambria" w:hAnsi="Cambria"/>
        </w:rPr>
        <w:t xml:space="preserve"> 300 mg every two week dosing (Q2W) and 300 mg weekly dosing (QW), respectively) achieved normalized TARC levels compared to 20.0% in the placebo group at week 52. </w:t>
      </w:r>
    </w:p>
    <w:p w:rsidR="00C873D5" w:rsidRPr="00A953D0" w:rsidRDefault="00C873D5" w:rsidP="00C873D5">
      <w:pPr>
        <w:rPr>
          <w:rFonts w:ascii="Cambria" w:hAnsi="Cambria"/>
        </w:rPr>
      </w:pPr>
      <w:r w:rsidRPr="00A953D0">
        <w:rPr>
          <w:rFonts w:ascii="Cambria" w:hAnsi="Cambria"/>
        </w:rPr>
        <w:t xml:space="preserve">Total </w:t>
      </w:r>
      <w:proofErr w:type="spellStart"/>
      <w:r w:rsidRPr="00A953D0">
        <w:rPr>
          <w:rFonts w:ascii="Cambria" w:hAnsi="Cambria"/>
        </w:rPr>
        <w:t>IgE</w:t>
      </w:r>
      <w:proofErr w:type="spellEnd"/>
      <w:r w:rsidRPr="00A953D0">
        <w:rPr>
          <w:rFonts w:ascii="Cambria" w:hAnsi="Cambria"/>
        </w:rPr>
        <w:t xml:space="preserve"> was reduced -74.8% and -73.9% by Week 52 (median change from baseline) with </w:t>
      </w:r>
      <w:proofErr w:type="spellStart"/>
      <w:r w:rsidRPr="00A953D0">
        <w:rPr>
          <w:rFonts w:ascii="Cambria" w:hAnsi="Cambria"/>
        </w:rPr>
        <w:t>Dupixent</w:t>
      </w:r>
      <w:proofErr w:type="spellEnd"/>
      <w:r w:rsidRPr="00A953D0">
        <w:rPr>
          <w:rFonts w:ascii="Cambria" w:hAnsi="Cambria"/>
        </w:rPr>
        <w:t xml:space="preserve"> 300 mg Q2W and 300 mg QW, respectively compared to -0% in the placebo group. Similar trends were observed for allergen specific </w:t>
      </w:r>
      <w:proofErr w:type="spellStart"/>
      <w:r w:rsidRPr="00A953D0">
        <w:rPr>
          <w:rFonts w:ascii="Cambria" w:hAnsi="Cambria"/>
        </w:rPr>
        <w:t>IgEs</w:t>
      </w:r>
      <w:proofErr w:type="spellEnd"/>
      <w:r w:rsidRPr="00A953D0">
        <w:rPr>
          <w:rFonts w:ascii="Cambria" w:hAnsi="Cambria"/>
        </w:rPr>
        <w:t xml:space="preserve">. After 52 weeks of treatment, total </w:t>
      </w:r>
      <w:proofErr w:type="spellStart"/>
      <w:r w:rsidRPr="00A953D0">
        <w:rPr>
          <w:rFonts w:ascii="Cambria" w:hAnsi="Cambria"/>
        </w:rPr>
        <w:t>IgE</w:t>
      </w:r>
      <w:proofErr w:type="spellEnd"/>
      <w:r w:rsidRPr="00A953D0">
        <w:rPr>
          <w:rFonts w:ascii="Cambria" w:hAnsi="Cambria"/>
        </w:rPr>
        <w:t xml:space="preserve"> was normalized in 11.7% and 15.9% of patients receiving </w:t>
      </w:r>
      <w:proofErr w:type="spellStart"/>
      <w:r w:rsidRPr="00A953D0">
        <w:rPr>
          <w:rFonts w:ascii="Cambria" w:hAnsi="Cambria"/>
        </w:rPr>
        <w:t>Dupixent</w:t>
      </w:r>
      <w:proofErr w:type="spellEnd"/>
      <w:r w:rsidRPr="00A953D0">
        <w:rPr>
          <w:rFonts w:ascii="Cambria" w:hAnsi="Cambria"/>
        </w:rPr>
        <w:t xml:space="preserve"> 300 mg Q2W and 300 mg QW, respectively, compared to 4.4% in receiving placebo.  Similar trends were observed with antigen-specific </w:t>
      </w:r>
      <w:proofErr w:type="spellStart"/>
      <w:r w:rsidRPr="00A953D0">
        <w:rPr>
          <w:rFonts w:ascii="Cambria" w:hAnsi="Cambria"/>
        </w:rPr>
        <w:t>IgEs</w:t>
      </w:r>
      <w:proofErr w:type="spellEnd"/>
      <w:r w:rsidRPr="00A953D0">
        <w:rPr>
          <w:rFonts w:ascii="Cambria" w:hAnsi="Cambria"/>
        </w:rPr>
        <w:t xml:space="preserve"> such as those against S. aureus specific enterotoxin </w:t>
      </w:r>
      <w:proofErr w:type="gramStart"/>
      <w:r w:rsidRPr="00A953D0">
        <w:rPr>
          <w:rFonts w:ascii="Cambria" w:hAnsi="Cambria"/>
        </w:rPr>
        <w:t>A</w:t>
      </w:r>
      <w:proofErr w:type="gramEnd"/>
      <w:r w:rsidRPr="00A953D0">
        <w:rPr>
          <w:rFonts w:ascii="Cambria" w:hAnsi="Cambria"/>
        </w:rPr>
        <w:t>, grass and tree allergens.</w:t>
      </w:r>
    </w:p>
    <w:p w:rsidR="00BC52A5" w:rsidRPr="00A953D0" w:rsidRDefault="00386226" w:rsidP="00BC52A5">
      <w:pPr>
        <w:pStyle w:val="Heading1"/>
        <w:pageBreakBefore w:val="0"/>
        <w:numPr>
          <w:ilvl w:val="0"/>
          <w:numId w:val="0"/>
        </w:numPr>
        <w:rPr>
          <w:rFonts w:ascii="Cambria" w:hAnsi="Cambria"/>
          <w:bCs w:val="0"/>
          <w:i/>
          <w:caps w:val="0"/>
          <w:sz w:val="22"/>
          <w:szCs w:val="26"/>
        </w:rPr>
      </w:pPr>
      <w:bookmarkStart w:id="16" w:name="_Toc456606946"/>
      <w:r w:rsidRPr="00A953D0">
        <w:rPr>
          <w:rFonts w:ascii="Cambria" w:hAnsi="Cambria"/>
          <w:bCs w:val="0"/>
          <w:i/>
          <w:caps w:val="0"/>
          <w:sz w:val="22"/>
          <w:szCs w:val="26"/>
        </w:rPr>
        <w:t>C</w:t>
      </w:r>
      <w:r w:rsidR="00BC52A5" w:rsidRPr="00A953D0">
        <w:rPr>
          <w:rFonts w:ascii="Cambria" w:hAnsi="Cambria"/>
          <w:bCs w:val="0"/>
          <w:i/>
          <w:caps w:val="0"/>
          <w:sz w:val="22"/>
          <w:szCs w:val="26"/>
        </w:rPr>
        <w:t>linical trials</w:t>
      </w:r>
      <w:bookmarkEnd w:id="16"/>
    </w:p>
    <w:p w:rsidR="00084A6E" w:rsidRPr="00A953D0" w:rsidRDefault="00084A6E" w:rsidP="00084A6E">
      <w:pPr>
        <w:rPr>
          <w:rFonts w:ascii="Cambria" w:hAnsi="Cambria"/>
        </w:rPr>
      </w:pPr>
      <w:r w:rsidRPr="00A953D0">
        <w:rPr>
          <w:rFonts w:ascii="Cambria" w:hAnsi="Cambria"/>
        </w:rPr>
        <w:t>The efficacy and safety of</w:t>
      </w:r>
      <w:r w:rsidR="00653269" w:rsidRPr="00A953D0">
        <w:rPr>
          <w:rFonts w:ascii="Cambria" w:hAnsi="Cambria"/>
        </w:rPr>
        <w:t xml:space="preserve"> </w:t>
      </w:r>
      <w:proofErr w:type="spellStart"/>
      <w:r w:rsidR="009031DB" w:rsidRPr="00A953D0">
        <w:rPr>
          <w:rFonts w:ascii="Cambria" w:hAnsi="Cambria"/>
        </w:rPr>
        <w:t>Dupixent</w:t>
      </w:r>
      <w:proofErr w:type="spellEnd"/>
      <w:r w:rsidR="00CF7968" w:rsidRPr="00A953D0">
        <w:rPr>
          <w:rFonts w:ascii="Cambria" w:hAnsi="Cambria"/>
        </w:rPr>
        <w:t xml:space="preserve"> </w:t>
      </w:r>
      <w:r w:rsidRPr="00A953D0">
        <w:rPr>
          <w:rFonts w:ascii="Cambria" w:hAnsi="Cambria"/>
        </w:rPr>
        <w:t>as monotherapy and with concomitant topical corticosteroids (TCS) were evaluated in three pivotal randomized, double-blind, placebo-controlled studies</w:t>
      </w:r>
      <w:r w:rsidR="00B73F0C" w:rsidRPr="00A953D0">
        <w:rPr>
          <w:rFonts w:ascii="Cambria" w:hAnsi="Cambria"/>
        </w:rPr>
        <w:t>,</w:t>
      </w:r>
      <w:r w:rsidRPr="00A953D0">
        <w:rPr>
          <w:rFonts w:ascii="Cambria" w:hAnsi="Cambria"/>
        </w:rPr>
        <w:t xml:space="preserve"> </w:t>
      </w:r>
      <w:r w:rsidR="00B73F0C" w:rsidRPr="00A953D0">
        <w:rPr>
          <w:rFonts w:ascii="Cambria" w:hAnsi="Cambria"/>
        </w:rPr>
        <w:t xml:space="preserve">Study 1334, </w:t>
      </w:r>
      <w:r w:rsidRPr="00A953D0">
        <w:rPr>
          <w:rFonts w:ascii="Cambria" w:hAnsi="Cambria"/>
        </w:rPr>
        <w:t>(SOLO 1</w:t>
      </w:r>
      <w:r w:rsidR="00B73F0C" w:rsidRPr="00A953D0">
        <w:rPr>
          <w:rFonts w:ascii="Cambria" w:hAnsi="Cambria"/>
        </w:rPr>
        <w:t>), Study 1416 (</w:t>
      </w:r>
      <w:r w:rsidRPr="00A953D0">
        <w:rPr>
          <w:rFonts w:ascii="Cambria" w:hAnsi="Cambria"/>
        </w:rPr>
        <w:t>SOLO 2</w:t>
      </w:r>
      <w:r w:rsidR="00B73F0C" w:rsidRPr="00A953D0">
        <w:rPr>
          <w:rFonts w:ascii="Cambria" w:hAnsi="Cambria"/>
        </w:rPr>
        <w:t>)</w:t>
      </w:r>
      <w:r w:rsidRPr="00A953D0">
        <w:rPr>
          <w:rFonts w:ascii="Cambria" w:hAnsi="Cambria"/>
        </w:rPr>
        <w:t xml:space="preserve">, and </w:t>
      </w:r>
      <w:r w:rsidR="00B73F0C" w:rsidRPr="00A953D0">
        <w:rPr>
          <w:rFonts w:ascii="Cambria" w:hAnsi="Cambria"/>
        </w:rPr>
        <w:t>Study 1224 (</w:t>
      </w:r>
      <w:r w:rsidRPr="00A953D0">
        <w:rPr>
          <w:rFonts w:ascii="Cambria" w:hAnsi="Cambria"/>
        </w:rPr>
        <w:t xml:space="preserve">CHRONOS) 2119 patients 18 years of age and older with moderate to severe atopic dermatitis (AD) defined by Investigator’s Global Assessment (IGA) score ≥3, an Eczema Area and Severity Index (EASI) score ≥16, and a minimum body surface area (BSA) involvement of </w:t>
      </w:r>
      <w:r w:rsidR="00E31492" w:rsidRPr="00A953D0">
        <w:rPr>
          <w:rFonts w:ascii="Cambria" w:hAnsi="Cambria"/>
        </w:rPr>
        <w:t>≥</w:t>
      </w:r>
      <w:r w:rsidRPr="00A953D0">
        <w:rPr>
          <w:rFonts w:ascii="Cambria" w:hAnsi="Cambria"/>
        </w:rPr>
        <w:t xml:space="preserve">10%. </w:t>
      </w:r>
      <w:r w:rsidRPr="00A953D0">
        <w:rPr>
          <w:rFonts w:ascii="Cambria" w:hAnsi="Cambria"/>
        </w:rPr>
        <w:lastRenderedPageBreak/>
        <w:t>Eligible patients enrolled into the three studies had previous inadequate response to topical medication.</w:t>
      </w:r>
    </w:p>
    <w:p w:rsidR="00834D4B" w:rsidRPr="00A953D0" w:rsidRDefault="00084A6E" w:rsidP="00084A6E">
      <w:pPr>
        <w:rPr>
          <w:rFonts w:ascii="Cambria" w:hAnsi="Cambria"/>
        </w:rPr>
      </w:pPr>
      <w:r w:rsidRPr="00A953D0">
        <w:rPr>
          <w:rFonts w:ascii="Cambria" w:hAnsi="Cambria"/>
        </w:rPr>
        <w:t xml:space="preserve">In all three studies, patients received </w:t>
      </w:r>
    </w:p>
    <w:p w:rsidR="00834D4B" w:rsidRPr="00A953D0" w:rsidRDefault="00084A6E" w:rsidP="00834D4B">
      <w:pPr>
        <w:pStyle w:val="ListNumbered"/>
        <w:rPr>
          <w:rFonts w:ascii="Cambria" w:hAnsi="Cambria"/>
        </w:rPr>
      </w:pPr>
      <w:r w:rsidRPr="00A953D0">
        <w:rPr>
          <w:rFonts w:ascii="Cambria" w:hAnsi="Cambria"/>
        </w:rPr>
        <w:t xml:space="preserve">an initial dose of 600 mg </w:t>
      </w:r>
      <w:proofErr w:type="spellStart"/>
      <w:r w:rsidR="009031DB" w:rsidRPr="00A953D0">
        <w:rPr>
          <w:rFonts w:ascii="Cambria" w:hAnsi="Cambria"/>
        </w:rPr>
        <w:t>Dupixent</w:t>
      </w:r>
      <w:proofErr w:type="spellEnd"/>
      <w:r w:rsidR="00CF7968" w:rsidRPr="00A953D0">
        <w:rPr>
          <w:rFonts w:ascii="Cambria" w:hAnsi="Cambria"/>
        </w:rPr>
        <w:t xml:space="preserve"> </w:t>
      </w:r>
      <w:r w:rsidRPr="00A953D0">
        <w:rPr>
          <w:rFonts w:ascii="Cambria" w:hAnsi="Cambria"/>
        </w:rPr>
        <w:t xml:space="preserve">(two 300 mg injections) on day 1, followed by 300 mg once every </w:t>
      </w:r>
      <w:r w:rsidR="00707380" w:rsidRPr="00A953D0">
        <w:rPr>
          <w:rFonts w:ascii="Cambria" w:hAnsi="Cambria"/>
        </w:rPr>
        <w:t>other</w:t>
      </w:r>
      <w:r w:rsidR="008565D0" w:rsidRPr="00A953D0">
        <w:rPr>
          <w:rFonts w:ascii="Cambria" w:hAnsi="Cambria"/>
        </w:rPr>
        <w:t xml:space="preserve"> week</w:t>
      </w:r>
      <w:r w:rsidRPr="00A953D0">
        <w:rPr>
          <w:rFonts w:ascii="Cambria" w:hAnsi="Cambria"/>
        </w:rPr>
        <w:t xml:space="preserve"> (Q2W); </w:t>
      </w:r>
    </w:p>
    <w:p w:rsidR="00834D4B" w:rsidRPr="00A953D0" w:rsidRDefault="00084A6E" w:rsidP="00834D4B">
      <w:pPr>
        <w:pStyle w:val="ListNumbered"/>
        <w:rPr>
          <w:rFonts w:ascii="Cambria" w:hAnsi="Cambria"/>
        </w:rPr>
      </w:pPr>
      <w:r w:rsidRPr="00A953D0">
        <w:rPr>
          <w:rFonts w:ascii="Cambria" w:hAnsi="Cambria"/>
        </w:rPr>
        <w:t xml:space="preserve">an initial dose of 600 mg </w:t>
      </w:r>
      <w:proofErr w:type="spellStart"/>
      <w:r w:rsidR="009031DB" w:rsidRPr="00A953D0">
        <w:rPr>
          <w:rFonts w:ascii="Cambria" w:hAnsi="Cambria"/>
        </w:rPr>
        <w:t>Dupixent</w:t>
      </w:r>
      <w:proofErr w:type="spellEnd"/>
      <w:r w:rsidR="00BE04BD" w:rsidRPr="00A953D0">
        <w:rPr>
          <w:rFonts w:ascii="Cambria" w:hAnsi="Cambria"/>
        </w:rPr>
        <w:t xml:space="preserve"> </w:t>
      </w:r>
      <w:r w:rsidRPr="00A953D0">
        <w:rPr>
          <w:rFonts w:ascii="Cambria" w:hAnsi="Cambria"/>
        </w:rPr>
        <w:t xml:space="preserve">on day 1, followed by 300 mg once weekly (QW); or </w:t>
      </w:r>
    </w:p>
    <w:p w:rsidR="007A5E9C" w:rsidRPr="00A953D0" w:rsidRDefault="00084A6E" w:rsidP="00834D4B">
      <w:pPr>
        <w:pStyle w:val="ListNumbered"/>
        <w:rPr>
          <w:rFonts w:ascii="Cambria" w:hAnsi="Cambria"/>
        </w:rPr>
      </w:pPr>
      <w:proofErr w:type="gramStart"/>
      <w:r w:rsidRPr="00A953D0">
        <w:rPr>
          <w:rFonts w:ascii="Cambria" w:hAnsi="Cambria"/>
        </w:rPr>
        <w:t>matching</w:t>
      </w:r>
      <w:proofErr w:type="gramEnd"/>
      <w:r w:rsidRPr="00A953D0">
        <w:rPr>
          <w:rFonts w:ascii="Cambria" w:hAnsi="Cambria"/>
        </w:rPr>
        <w:t xml:space="preserve"> placebo.  </w:t>
      </w:r>
    </w:p>
    <w:p w:rsidR="00BC52A5" w:rsidRPr="00A953D0" w:rsidRDefault="009031DB" w:rsidP="007A5E9C">
      <w:pPr>
        <w:pStyle w:val="ListNumbered"/>
        <w:numPr>
          <w:ilvl w:val="0"/>
          <w:numId w:val="0"/>
        </w:numPr>
        <w:rPr>
          <w:rFonts w:ascii="Cambria" w:hAnsi="Cambria"/>
        </w:rPr>
      </w:pPr>
      <w:proofErr w:type="spellStart"/>
      <w:r w:rsidRPr="00A953D0">
        <w:rPr>
          <w:rFonts w:ascii="Cambria" w:hAnsi="Cambria"/>
        </w:rPr>
        <w:t>Dupixent</w:t>
      </w:r>
      <w:proofErr w:type="spellEnd"/>
      <w:r w:rsidR="00653269" w:rsidRPr="00A953D0">
        <w:rPr>
          <w:rFonts w:ascii="Cambria" w:hAnsi="Cambria"/>
        </w:rPr>
        <w:t xml:space="preserve"> </w:t>
      </w:r>
      <w:r w:rsidR="00084A6E" w:rsidRPr="00A953D0">
        <w:rPr>
          <w:rFonts w:ascii="Cambria" w:hAnsi="Cambria"/>
        </w:rPr>
        <w:t>was administered by subcutaneous (SC</w:t>
      </w:r>
      <w:r w:rsidR="007A5E9C" w:rsidRPr="00A953D0">
        <w:rPr>
          <w:rFonts w:ascii="Cambria" w:hAnsi="Cambria"/>
        </w:rPr>
        <w:t xml:space="preserve">) injection in all studies. </w:t>
      </w:r>
      <w:r w:rsidR="00084A6E" w:rsidRPr="00A953D0">
        <w:rPr>
          <w:rFonts w:ascii="Cambria" w:hAnsi="Cambria"/>
        </w:rPr>
        <w:t>If needed to control intolerable symptoms, patients were permitted to receive rescue treatment at the discretion of the investigator. Patients who received rescue treatment were considered non-responders.</w:t>
      </w:r>
    </w:p>
    <w:p w:rsidR="00084A6E" w:rsidRPr="00A953D0" w:rsidRDefault="00A61A53" w:rsidP="009031DB">
      <w:pPr>
        <w:pStyle w:val="ListBulletLevel1"/>
        <w:rPr>
          <w:rFonts w:ascii="Cambria" w:hAnsi="Cambria"/>
        </w:rPr>
      </w:pPr>
      <w:r w:rsidRPr="00A953D0">
        <w:rPr>
          <w:rFonts w:ascii="Cambria" w:hAnsi="Cambria"/>
        </w:rPr>
        <w:t xml:space="preserve">Study 1334 </w:t>
      </w:r>
      <w:r w:rsidR="00084A6E" w:rsidRPr="00A953D0">
        <w:rPr>
          <w:rFonts w:ascii="Cambria" w:hAnsi="Cambria"/>
        </w:rPr>
        <w:t xml:space="preserve">enrolled 671 patients (224 to placebo, 224 to </w:t>
      </w:r>
      <w:proofErr w:type="spellStart"/>
      <w:r w:rsidR="009031DB" w:rsidRPr="00A953D0">
        <w:rPr>
          <w:rFonts w:ascii="Cambria" w:hAnsi="Cambria"/>
        </w:rPr>
        <w:t>Dupixent</w:t>
      </w:r>
      <w:proofErr w:type="spellEnd"/>
      <w:r w:rsidR="00084A6E" w:rsidRPr="00A953D0">
        <w:rPr>
          <w:rFonts w:ascii="Cambria" w:hAnsi="Cambria"/>
        </w:rPr>
        <w:t xml:space="preserve"> 300 mg Q2W, and 223 to </w:t>
      </w:r>
      <w:proofErr w:type="spellStart"/>
      <w:r w:rsidR="009031DB" w:rsidRPr="00A953D0">
        <w:rPr>
          <w:rFonts w:ascii="Cambria" w:hAnsi="Cambria"/>
        </w:rPr>
        <w:t>Dupixent</w:t>
      </w:r>
      <w:proofErr w:type="spellEnd"/>
      <w:r w:rsidR="00084A6E" w:rsidRPr="00A953D0">
        <w:rPr>
          <w:rFonts w:ascii="Cambria" w:hAnsi="Cambria"/>
        </w:rPr>
        <w:t xml:space="preserve"> 300 mg QW) and had a treatment period of 16 weeks. </w:t>
      </w:r>
    </w:p>
    <w:p w:rsidR="00084A6E" w:rsidRPr="00A953D0" w:rsidRDefault="004A25BC" w:rsidP="009031DB">
      <w:pPr>
        <w:pStyle w:val="ListBulletLevel1"/>
        <w:rPr>
          <w:rFonts w:ascii="Cambria" w:hAnsi="Cambria"/>
        </w:rPr>
      </w:pPr>
      <w:r w:rsidRPr="00A953D0">
        <w:rPr>
          <w:rFonts w:ascii="Cambria" w:hAnsi="Cambria"/>
        </w:rPr>
        <w:t xml:space="preserve">Study 1416 </w:t>
      </w:r>
      <w:r w:rsidR="00084A6E" w:rsidRPr="00A953D0">
        <w:rPr>
          <w:rFonts w:ascii="Cambria" w:hAnsi="Cambria"/>
        </w:rPr>
        <w:t xml:space="preserve">enrolled 708 patients (236 to placebo, 233 to </w:t>
      </w:r>
      <w:proofErr w:type="spellStart"/>
      <w:r w:rsidR="009031DB" w:rsidRPr="00A953D0">
        <w:rPr>
          <w:rFonts w:ascii="Cambria" w:hAnsi="Cambria"/>
        </w:rPr>
        <w:t>Dupixent</w:t>
      </w:r>
      <w:proofErr w:type="spellEnd"/>
      <w:r w:rsidR="00084A6E" w:rsidRPr="00A953D0">
        <w:rPr>
          <w:rFonts w:ascii="Cambria" w:hAnsi="Cambria"/>
        </w:rPr>
        <w:t xml:space="preserve"> 300 mg Q2W, and 239 to </w:t>
      </w:r>
      <w:proofErr w:type="spellStart"/>
      <w:r w:rsidR="009031DB" w:rsidRPr="00A953D0">
        <w:rPr>
          <w:rFonts w:ascii="Cambria" w:hAnsi="Cambria"/>
        </w:rPr>
        <w:t>Dupixent</w:t>
      </w:r>
      <w:proofErr w:type="spellEnd"/>
      <w:r w:rsidR="00084A6E" w:rsidRPr="00A953D0">
        <w:rPr>
          <w:rFonts w:ascii="Cambria" w:hAnsi="Cambria"/>
        </w:rPr>
        <w:t xml:space="preserve"> 300 mg QW) and had a treatment period of 16 weeks. </w:t>
      </w:r>
    </w:p>
    <w:p w:rsidR="00084A6E" w:rsidRPr="00A953D0" w:rsidRDefault="004A25BC" w:rsidP="009031DB">
      <w:pPr>
        <w:pStyle w:val="ListBulletLevel1"/>
        <w:numPr>
          <w:ilvl w:val="0"/>
          <w:numId w:val="22"/>
        </w:numPr>
        <w:rPr>
          <w:rFonts w:ascii="Cambria" w:hAnsi="Cambria"/>
        </w:rPr>
      </w:pPr>
      <w:r w:rsidRPr="00A953D0">
        <w:rPr>
          <w:rFonts w:ascii="Cambria" w:hAnsi="Cambria"/>
        </w:rPr>
        <w:t xml:space="preserve">Study 1224) </w:t>
      </w:r>
      <w:r w:rsidR="00084A6E" w:rsidRPr="00A953D0">
        <w:rPr>
          <w:rFonts w:ascii="Cambria" w:hAnsi="Cambria"/>
        </w:rPr>
        <w:t>enrolled 740</w:t>
      </w:r>
      <w:r w:rsidR="00E31492" w:rsidRPr="00A953D0">
        <w:rPr>
          <w:rFonts w:ascii="Cambria" w:hAnsi="Cambria"/>
        </w:rPr>
        <w:t xml:space="preserve"> patients (315 to placebo + TCS</w:t>
      </w:r>
      <w:r w:rsidR="00084A6E" w:rsidRPr="00A953D0">
        <w:rPr>
          <w:rFonts w:ascii="Cambria" w:hAnsi="Cambria"/>
        </w:rPr>
        <w:t xml:space="preserve">, 106 to </w:t>
      </w:r>
      <w:proofErr w:type="spellStart"/>
      <w:r w:rsidR="009031DB" w:rsidRPr="00A953D0">
        <w:rPr>
          <w:rFonts w:ascii="Cambria" w:hAnsi="Cambria"/>
        </w:rPr>
        <w:t>Dupixent</w:t>
      </w:r>
      <w:proofErr w:type="spellEnd"/>
      <w:r w:rsidR="00084A6E" w:rsidRPr="00A953D0">
        <w:rPr>
          <w:rFonts w:ascii="Cambria" w:hAnsi="Cambria"/>
        </w:rPr>
        <w:t xml:space="preserve"> 300 mg Q2W + TCS, and 319 to </w:t>
      </w:r>
      <w:proofErr w:type="spellStart"/>
      <w:r w:rsidR="009031DB" w:rsidRPr="00A953D0">
        <w:rPr>
          <w:rFonts w:ascii="Cambria" w:hAnsi="Cambria"/>
        </w:rPr>
        <w:t>Dupixent</w:t>
      </w:r>
      <w:proofErr w:type="spellEnd"/>
      <w:r w:rsidR="00084A6E" w:rsidRPr="00A953D0">
        <w:rPr>
          <w:rFonts w:ascii="Cambria" w:hAnsi="Cambria"/>
        </w:rPr>
        <w:t xml:space="preserve"> 300 mg QW +TCS) and had a treatment period of 52 weeks. Patients received </w:t>
      </w:r>
      <w:proofErr w:type="spellStart"/>
      <w:r w:rsidR="009031DB" w:rsidRPr="00A953D0">
        <w:rPr>
          <w:rFonts w:ascii="Cambria" w:hAnsi="Cambria"/>
        </w:rPr>
        <w:t>Dupixent</w:t>
      </w:r>
      <w:proofErr w:type="spellEnd"/>
      <w:r w:rsidR="00BE04BD" w:rsidRPr="00A953D0">
        <w:rPr>
          <w:rFonts w:ascii="Cambria" w:hAnsi="Cambria"/>
        </w:rPr>
        <w:t xml:space="preserve"> </w:t>
      </w:r>
      <w:r w:rsidR="00084A6E" w:rsidRPr="00A953D0">
        <w:rPr>
          <w:rFonts w:ascii="Cambria" w:hAnsi="Cambria"/>
        </w:rPr>
        <w:t xml:space="preserve">or placebo with concomitant use of TCS starting at baseline using a standardized regimen. Patients were also permitted to use topical </w:t>
      </w:r>
      <w:proofErr w:type="spellStart"/>
      <w:r w:rsidR="00084A6E" w:rsidRPr="00A953D0">
        <w:rPr>
          <w:rFonts w:ascii="Cambria" w:hAnsi="Cambria"/>
        </w:rPr>
        <w:t>calcineurin</w:t>
      </w:r>
      <w:proofErr w:type="spellEnd"/>
      <w:r w:rsidR="00084A6E" w:rsidRPr="00A953D0">
        <w:rPr>
          <w:rFonts w:ascii="Cambria" w:hAnsi="Cambria"/>
        </w:rPr>
        <w:t xml:space="preserve"> inhibitors (TCI)</w:t>
      </w:r>
      <w:r w:rsidR="00E31492" w:rsidRPr="00A953D0">
        <w:rPr>
          <w:rFonts w:ascii="Cambria" w:hAnsi="Cambria"/>
        </w:rPr>
        <w:t>.</w:t>
      </w:r>
    </w:p>
    <w:p w:rsidR="00084A6E" w:rsidRPr="00A953D0" w:rsidRDefault="00084A6E" w:rsidP="00186D3D">
      <w:pPr>
        <w:pStyle w:val="Heading3"/>
        <w:numPr>
          <w:ilvl w:val="0"/>
          <w:numId w:val="0"/>
        </w:numPr>
        <w:rPr>
          <w:rFonts w:ascii="Cambria" w:hAnsi="Cambria"/>
        </w:rPr>
      </w:pPr>
      <w:bookmarkStart w:id="17" w:name="_Toc456606947"/>
      <w:r w:rsidRPr="00A953D0">
        <w:rPr>
          <w:rFonts w:ascii="Cambria" w:hAnsi="Cambria"/>
        </w:rPr>
        <w:t>Endpoints</w:t>
      </w:r>
      <w:bookmarkEnd w:id="17"/>
    </w:p>
    <w:p w:rsidR="00084A6E" w:rsidRPr="00A953D0" w:rsidRDefault="00084A6E" w:rsidP="001B7565">
      <w:pPr>
        <w:rPr>
          <w:rFonts w:ascii="Cambria" w:hAnsi="Cambria"/>
        </w:rPr>
      </w:pPr>
      <w:r w:rsidRPr="00A953D0">
        <w:rPr>
          <w:rFonts w:ascii="Cambria" w:hAnsi="Cambria"/>
        </w:rPr>
        <w:t>In all three pivotal studies, the endpoints were the proportion of patients with IGA 0 or 1 (“clear” or “almost clear”) and a reduction of</w:t>
      </w:r>
      <w:r w:rsidR="00315B11" w:rsidRPr="00A953D0">
        <w:rPr>
          <w:rFonts w:ascii="Cambria" w:hAnsi="Cambria"/>
        </w:rPr>
        <w:t xml:space="preserve">  ≥ </w:t>
      </w:r>
      <w:r w:rsidRPr="00A953D0">
        <w:rPr>
          <w:rFonts w:ascii="Cambria" w:hAnsi="Cambria"/>
        </w:rPr>
        <w:t xml:space="preserve">2 points on a 0-4 IGA scale and the proportion of patients with improvement of at least 75% in EASI (EASI-75) from baseline to Week 16.  Other evaluated outcomes included the proportion of patients with improvement of at least 50% or 90% in EASI (EASI-50 or EASI -90, respectively), reduction in itch as measured by the peak pruritus Numerical Rating Scale (NRS) and percent change in the </w:t>
      </w:r>
      <w:proofErr w:type="spellStart"/>
      <w:r w:rsidRPr="00A953D0">
        <w:rPr>
          <w:rFonts w:ascii="Cambria" w:hAnsi="Cambria"/>
        </w:rPr>
        <w:t>SCORing</w:t>
      </w:r>
      <w:proofErr w:type="spellEnd"/>
      <w:r w:rsidRPr="00A953D0">
        <w:rPr>
          <w:rFonts w:ascii="Cambria" w:hAnsi="Cambria"/>
        </w:rPr>
        <w:t xml:space="preserve"> Atopic Dermatitis (SCORAD) scale from baseline to Week 16. Additional secondary endpoints included mean change from baseline to week 16 in the Patient Oriented Eczema Measure (POEM), Dermatology Life Quality Index (DLQI), and Hospital Anxiety and Depression Scale (HADS) scores. In </w:t>
      </w:r>
      <w:r w:rsidR="004A25BC" w:rsidRPr="00A953D0">
        <w:rPr>
          <w:rFonts w:ascii="Cambria" w:hAnsi="Cambria"/>
        </w:rPr>
        <w:t>Study 1224</w:t>
      </w:r>
      <w:r w:rsidRPr="00A953D0">
        <w:rPr>
          <w:rFonts w:ascii="Cambria" w:hAnsi="Cambria"/>
        </w:rPr>
        <w:t>, efficacy was also evaluated at Week 52.</w:t>
      </w:r>
    </w:p>
    <w:p w:rsidR="00084A6E" w:rsidRPr="00A953D0" w:rsidRDefault="00084A6E" w:rsidP="001B7565">
      <w:pPr>
        <w:rPr>
          <w:rFonts w:ascii="Cambria" w:hAnsi="Cambria"/>
        </w:rPr>
      </w:pPr>
      <w:r w:rsidRPr="00A953D0">
        <w:rPr>
          <w:rFonts w:ascii="Cambria" w:hAnsi="Cambria"/>
        </w:rPr>
        <w:t xml:space="preserve">IGA reflects physician’s overall assessment (whole body average) of AD skin lesions. EASI is a composite score (ranging from 0-72) based on the extent and severity of the AD lesions assessed systematically for erythema, induration/papulation/edema, excoriation, and </w:t>
      </w:r>
      <w:proofErr w:type="spellStart"/>
      <w:r w:rsidRPr="00A953D0">
        <w:rPr>
          <w:rFonts w:ascii="Cambria" w:hAnsi="Cambria"/>
        </w:rPr>
        <w:t>lichenification</w:t>
      </w:r>
      <w:proofErr w:type="spellEnd"/>
      <w:r w:rsidRPr="00A953D0">
        <w:rPr>
          <w:rFonts w:ascii="Cambria" w:hAnsi="Cambria"/>
        </w:rPr>
        <w:t xml:space="preserve"> for each anatomical region.  The pruritus NRS is a patient-reported measure </w:t>
      </w:r>
      <w:r w:rsidRPr="00A953D0">
        <w:rPr>
          <w:rFonts w:ascii="Cambria" w:hAnsi="Cambria"/>
        </w:rPr>
        <w:lastRenderedPageBreak/>
        <w:t>which assesses maximum</w:t>
      </w:r>
      <w:r w:rsidR="00315B11" w:rsidRPr="00A953D0">
        <w:rPr>
          <w:rFonts w:ascii="Cambria" w:hAnsi="Cambria"/>
        </w:rPr>
        <w:t xml:space="preserve"> </w:t>
      </w:r>
      <w:r w:rsidRPr="00A953D0">
        <w:rPr>
          <w:rFonts w:ascii="Cambria" w:hAnsi="Cambria"/>
        </w:rPr>
        <w:t>itch intensity in the previous 24-hours using a 0-10-point scale (0 = no itch; 10 = worst itch imaginable.) The SCORAD is used to assess extent and severity of AD signs and includes two visual analogue scales for symptoms (itch and sleep). The POEM evaluates frequency of AD symptoms (including itch) and the impact of AD on sleep (score ranging from 0-28). The DLQI evaluates the health-related quality of life in dermatological patients (score ranging from 0-30). The HADS measures anxiety and depression symptoms</w:t>
      </w:r>
      <w:r w:rsidR="0017737B" w:rsidRPr="00A953D0">
        <w:rPr>
          <w:rFonts w:ascii="Cambria" w:hAnsi="Cambria"/>
        </w:rPr>
        <w:t xml:space="preserve"> (total score ranging from 0-42</w:t>
      </w:r>
      <w:r w:rsidRPr="00A953D0">
        <w:rPr>
          <w:rFonts w:ascii="Cambria" w:hAnsi="Cambria"/>
        </w:rPr>
        <w:t>).</w:t>
      </w:r>
    </w:p>
    <w:p w:rsidR="001B7565" w:rsidRPr="00A953D0" w:rsidRDefault="001B7565" w:rsidP="001B7565">
      <w:pPr>
        <w:pStyle w:val="Heading3"/>
        <w:numPr>
          <w:ilvl w:val="0"/>
          <w:numId w:val="0"/>
        </w:numPr>
        <w:ind w:left="680" w:hanging="680"/>
        <w:rPr>
          <w:rFonts w:ascii="Cambria" w:hAnsi="Cambria"/>
        </w:rPr>
      </w:pPr>
      <w:bookmarkStart w:id="18" w:name="_Toc456606948"/>
      <w:r w:rsidRPr="00A953D0">
        <w:rPr>
          <w:rFonts w:ascii="Cambria" w:hAnsi="Cambria"/>
        </w:rPr>
        <w:t>Baseline Characteristics</w:t>
      </w:r>
      <w:bookmarkEnd w:id="18"/>
    </w:p>
    <w:p w:rsidR="00F4465B" w:rsidRPr="00A953D0" w:rsidRDefault="00270A0E" w:rsidP="00C128B5">
      <w:pPr>
        <w:rPr>
          <w:rFonts w:ascii="Cambria" w:hAnsi="Cambria"/>
          <w:color w:val="00B050"/>
        </w:rPr>
      </w:pPr>
      <w:r w:rsidRPr="00A953D0">
        <w:rPr>
          <w:rFonts w:ascii="Cambria" w:hAnsi="Cambria"/>
        </w:rPr>
        <w:t>In the monotherapy studies (</w:t>
      </w:r>
      <w:r w:rsidR="00A61A53" w:rsidRPr="00A953D0">
        <w:rPr>
          <w:rFonts w:ascii="Cambria" w:hAnsi="Cambria"/>
        </w:rPr>
        <w:t>Study 1334</w:t>
      </w:r>
      <w:r w:rsidRPr="00A953D0">
        <w:rPr>
          <w:rFonts w:ascii="Cambria" w:hAnsi="Cambria"/>
        </w:rPr>
        <w:t xml:space="preserve"> and </w:t>
      </w:r>
      <w:r w:rsidR="004A25BC" w:rsidRPr="00A953D0">
        <w:rPr>
          <w:rFonts w:ascii="Cambria" w:hAnsi="Cambria"/>
        </w:rPr>
        <w:t>Study 1416</w:t>
      </w:r>
      <w:r w:rsidRPr="00A953D0">
        <w:rPr>
          <w:rFonts w:ascii="Cambria" w:hAnsi="Cambria"/>
        </w:rPr>
        <w:t xml:space="preserve">), across all treatment groups, 51.6% of patients had a baseline IGA score of 3 (moderate AD), 48.3% of patients had a baseline IGA of 4 (severe AD) and 32.4 % of patients had received prior systemic </w:t>
      </w:r>
      <w:proofErr w:type="spellStart"/>
      <w:r w:rsidRPr="00A953D0">
        <w:rPr>
          <w:rFonts w:ascii="Cambria" w:hAnsi="Cambria"/>
        </w:rPr>
        <w:t>immunosuppressants</w:t>
      </w:r>
      <w:proofErr w:type="spellEnd"/>
      <w:r w:rsidRPr="00A953D0">
        <w:rPr>
          <w:rFonts w:ascii="Cambria" w:hAnsi="Cambria"/>
        </w:rPr>
        <w:t>.  The baseline mean EASI score was 33.0, the baseline weekly averaged pruritus NRS was 7.4</w:t>
      </w:r>
    </w:p>
    <w:p w:rsidR="00F4465B" w:rsidRPr="00A953D0" w:rsidRDefault="00270A0E" w:rsidP="00C128B5">
      <w:pPr>
        <w:rPr>
          <w:rFonts w:ascii="Cambria" w:hAnsi="Cambria"/>
          <w:color w:val="00B050"/>
        </w:rPr>
      </w:pPr>
      <w:r w:rsidRPr="00A953D0">
        <w:rPr>
          <w:rFonts w:ascii="Cambria" w:hAnsi="Cambria"/>
        </w:rPr>
        <w:t>In the concomitant TCS study (</w:t>
      </w:r>
      <w:r w:rsidR="004A25BC" w:rsidRPr="00A953D0">
        <w:rPr>
          <w:rFonts w:ascii="Cambria" w:hAnsi="Cambria"/>
        </w:rPr>
        <w:t>Study 1224</w:t>
      </w:r>
      <w:r w:rsidRPr="00A953D0">
        <w:rPr>
          <w:rFonts w:ascii="Cambria" w:hAnsi="Cambria"/>
        </w:rPr>
        <w:t xml:space="preserve">), across all treatment groups, 53.1% of patients had a baseline IGA score of 3 and 46.9% of patients had a baseline IGA of 4 and 33.6 % of patients received prior systemic </w:t>
      </w:r>
      <w:proofErr w:type="spellStart"/>
      <w:r w:rsidRPr="00A953D0">
        <w:rPr>
          <w:rFonts w:ascii="Cambria" w:hAnsi="Cambria"/>
        </w:rPr>
        <w:t>immunosuppressants</w:t>
      </w:r>
      <w:proofErr w:type="spellEnd"/>
      <w:r w:rsidRPr="00A953D0">
        <w:rPr>
          <w:rFonts w:ascii="Cambria" w:hAnsi="Cambria"/>
        </w:rPr>
        <w:t>. The baseline mean EASI score was 32.5, the baseline weekly pruritus NRS was 7.3</w:t>
      </w:r>
      <w:r w:rsidR="00C128B5" w:rsidRPr="00A953D0">
        <w:rPr>
          <w:rFonts w:ascii="Cambria" w:hAnsi="Cambria"/>
        </w:rPr>
        <w:t>.</w:t>
      </w:r>
    </w:p>
    <w:p w:rsidR="001B7565" w:rsidRPr="00A953D0" w:rsidRDefault="001B7565" w:rsidP="001B7565">
      <w:pPr>
        <w:pStyle w:val="Heading3"/>
        <w:numPr>
          <w:ilvl w:val="0"/>
          <w:numId w:val="0"/>
        </w:numPr>
        <w:ind w:left="680" w:hanging="680"/>
        <w:rPr>
          <w:rFonts w:ascii="Cambria" w:hAnsi="Cambria"/>
        </w:rPr>
      </w:pPr>
      <w:bookmarkStart w:id="19" w:name="_Toc456606949"/>
      <w:r w:rsidRPr="00A953D0">
        <w:rPr>
          <w:rFonts w:ascii="Cambria" w:hAnsi="Cambria"/>
        </w:rPr>
        <w:t>Clinical Response</w:t>
      </w:r>
      <w:bookmarkEnd w:id="19"/>
    </w:p>
    <w:p w:rsidR="001B7565" w:rsidRPr="00A953D0" w:rsidRDefault="001B7565" w:rsidP="001B7565">
      <w:pPr>
        <w:pStyle w:val="Heading4"/>
        <w:numPr>
          <w:ilvl w:val="0"/>
          <w:numId w:val="0"/>
        </w:numPr>
        <w:ind w:left="862" w:hanging="862"/>
        <w:rPr>
          <w:rFonts w:ascii="Cambria" w:hAnsi="Cambria"/>
        </w:rPr>
      </w:pPr>
      <w:bookmarkStart w:id="20" w:name="_Toc456606950"/>
      <w:r w:rsidRPr="00A953D0">
        <w:rPr>
          <w:rFonts w:ascii="Cambria" w:hAnsi="Cambria"/>
        </w:rPr>
        <w:t>16-Week Monotherapy Studies (</w:t>
      </w:r>
      <w:r w:rsidR="00A61A53" w:rsidRPr="00A953D0">
        <w:rPr>
          <w:rFonts w:ascii="Cambria" w:hAnsi="Cambria"/>
        </w:rPr>
        <w:t>Study 1334</w:t>
      </w:r>
      <w:r w:rsidRPr="00A953D0">
        <w:rPr>
          <w:rFonts w:ascii="Cambria" w:hAnsi="Cambria"/>
        </w:rPr>
        <w:t xml:space="preserve"> and </w:t>
      </w:r>
      <w:r w:rsidR="004A25BC" w:rsidRPr="00A953D0">
        <w:rPr>
          <w:rFonts w:ascii="Cambria" w:hAnsi="Cambria"/>
        </w:rPr>
        <w:t>Study 1416</w:t>
      </w:r>
      <w:r w:rsidRPr="00A953D0">
        <w:rPr>
          <w:rFonts w:ascii="Cambria" w:hAnsi="Cambria"/>
        </w:rPr>
        <w:t>)</w:t>
      </w:r>
      <w:bookmarkEnd w:id="20"/>
    </w:p>
    <w:p w:rsidR="00E31492" w:rsidRPr="00A953D0" w:rsidRDefault="001B7565" w:rsidP="001B7565">
      <w:pPr>
        <w:rPr>
          <w:rFonts w:ascii="Cambria" w:hAnsi="Cambria"/>
        </w:rPr>
      </w:pPr>
      <w:r w:rsidRPr="00A953D0">
        <w:rPr>
          <w:rFonts w:ascii="Cambria" w:hAnsi="Cambria"/>
        </w:rPr>
        <w:t xml:space="preserve">In </w:t>
      </w:r>
      <w:r w:rsidR="00A61A53" w:rsidRPr="00A953D0">
        <w:rPr>
          <w:rFonts w:ascii="Cambria" w:hAnsi="Cambria"/>
        </w:rPr>
        <w:t>Study 1334</w:t>
      </w:r>
      <w:r w:rsidRPr="00A953D0">
        <w:rPr>
          <w:rFonts w:ascii="Cambria" w:hAnsi="Cambria"/>
        </w:rPr>
        <w:t xml:space="preserve"> and </w:t>
      </w:r>
      <w:r w:rsidR="004A25BC" w:rsidRPr="00A953D0">
        <w:rPr>
          <w:rFonts w:ascii="Cambria" w:hAnsi="Cambria"/>
        </w:rPr>
        <w:t>Study 1416</w:t>
      </w:r>
      <w:r w:rsidRPr="00A953D0">
        <w:rPr>
          <w:rFonts w:ascii="Cambria" w:hAnsi="Cambria"/>
        </w:rPr>
        <w:t xml:space="preserve">, from baseline to week 16, a significantly greater proportion of patients randomized to </w:t>
      </w:r>
      <w:proofErr w:type="spellStart"/>
      <w:r w:rsidR="009031DB" w:rsidRPr="00A953D0">
        <w:rPr>
          <w:rFonts w:ascii="Cambria" w:hAnsi="Cambria"/>
        </w:rPr>
        <w:t>Dupixent</w:t>
      </w:r>
      <w:proofErr w:type="spellEnd"/>
      <w:r w:rsidR="00CF7968" w:rsidRPr="00A953D0">
        <w:rPr>
          <w:rFonts w:ascii="Cambria" w:hAnsi="Cambria"/>
        </w:rPr>
        <w:t xml:space="preserve"> </w:t>
      </w:r>
      <w:r w:rsidRPr="00A953D0">
        <w:rPr>
          <w:rFonts w:ascii="Cambria" w:hAnsi="Cambria"/>
        </w:rPr>
        <w:t xml:space="preserve">achieved an IGA 0 or 1 response, EASI-75, and/or an improvement of </w:t>
      </w:r>
      <w:r w:rsidR="00E31492" w:rsidRPr="00A953D0">
        <w:rPr>
          <w:rFonts w:ascii="Cambria" w:hAnsi="Cambria"/>
        </w:rPr>
        <w:t>≥</w:t>
      </w:r>
      <w:r w:rsidRPr="00A953D0">
        <w:rPr>
          <w:rFonts w:ascii="Cambria" w:hAnsi="Cambria"/>
        </w:rPr>
        <w:t xml:space="preserve"> 4 points on the pruritus NRS compared to placebo (see Table </w:t>
      </w:r>
      <w:r w:rsidR="000E5F7B">
        <w:rPr>
          <w:rFonts w:ascii="Cambria" w:hAnsi="Cambria"/>
        </w:rPr>
        <w:t>3</w:t>
      </w:r>
      <w:r w:rsidRPr="00A953D0">
        <w:rPr>
          <w:rFonts w:ascii="Cambria" w:hAnsi="Cambria"/>
        </w:rPr>
        <w:t xml:space="preserve">). </w:t>
      </w:r>
    </w:p>
    <w:p w:rsidR="001B7565" w:rsidRPr="00A953D0" w:rsidRDefault="001B7565" w:rsidP="001B7565">
      <w:pPr>
        <w:rPr>
          <w:rFonts w:ascii="Cambria" w:hAnsi="Cambria"/>
        </w:rPr>
      </w:pPr>
      <w:r w:rsidRPr="00A953D0">
        <w:rPr>
          <w:rFonts w:ascii="Cambria" w:hAnsi="Cambria"/>
        </w:rPr>
        <w:t xml:space="preserve">A significantly greater proportion of patients randomized to </w:t>
      </w:r>
      <w:proofErr w:type="spellStart"/>
      <w:r w:rsidR="009031DB" w:rsidRPr="00A953D0">
        <w:rPr>
          <w:rFonts w:ascii="Cambria" w:hAnsi="Cambria"/>
        </w:rPr>
        <w:t>Dupixent</w:t>
      </w:r>
      <w:proofErr w:type="spellEnd"/>
      <w:r w:rsidR="00CF7968" w:rsidRPr="00A953D0">
        <w:rPr>
          <w:rFonts w:ascii="Cambria" w:hAnsi="Cambria"/>
        </w:rPr>
        <w:t xml:space="preserve"> </w:t>
      </w:r>
      <w:r w:rsidRPr="00A953D0">
        <w:rPr>
          <w:rFonts w:ascii="Cambria" w:hAnsi="Cambria"/>
        </w:rPr>
        <w:t>achie</w:t>
      </w:r>
      <w:r w:rsidR="00B521F3" w:rsidRPr="00A953D0">
        <w:rPr>
          <w:rFonts w:ascii="Cambria" w:hAnsi="Cambria"/>
        </w:rPr>
        <w:t>ved a rapid improvement i</w:t>
      </w:r>
      <w:r w:rsidRPr="00A953D0">
        <w:rPr>
          <w:rFonts w:ascii="Cambria" w:hAnsi="Cambria"/>
        </w:rPr>
        <w:t xml:space="preserve">n the pruritus NRS compared to placebo (defined as </w:t>
      </w:r>
      <w:r w:rsidR="005950BB" w:rsidRPr="00A953D0">
        <w:rPr>
          <w:rFonts w:ascii="Cambria" w:hAnsi="Cambria"/>
        </w:rPr>
        <w:t>≥</w:t>
      </w:r>
      <w:r w:rsidRPr="00A953D0">
        <w:rPr>
          <w:rFonts w:ascii="Cambria" w:hAnsi="Cambria"/>
        </w:rPr>
        <w:t>4-point improvement as early as week 2</w:t>
      </w:r>
      <w:r w:rsidR="000171B6" w:rsidRPr="00A953D0">
        <w:rPr>
          <w:rFonts w:ascii="Cambria" w:hAnsi="Cambria"/>
        </w:rPr>
        <w:t>;</w:t>
      </w:r>
      <w:r w:rsidR="00B521F3" w:rsidRPr="00A953D0">
        <w:rPr>
          <w:rFonts w:ascii="Cambria" w:hAnsi="Cambria"/>
        </w:rPr>
        <w:t xml:space="preserve"> </w:t>
      </w:r>
      <w:r w:rsidR="005972E2" w:rsidRPr="00A953D0">
        <w:rPr>
          <w:rFonts w:ascii="Cambria" w:hAnsi="Cambria"/>
        </w:rPr>
        <w:t xml:space="preserve">p </w:t>
      </w:r>
      <w:r w:rsidR="00B521F3" w:rsidRPr="00A953D0">
        <w:rPr>
          <w:rFonts w:ascii="Cambria" w:hAnsi="Cambria"/>
        </w:rPr>
        <w:t>&lt;0.01</w:t>
      </w:r>
      <w:r w:rsidRPr="00A953D0">
        <w:rPr>
          <w:rFonts w:ascii="Cambria" w:hAnsi="Cambria"/>
        </w:rPr>
        <w:t>) and the proportion of patients responding on the pruritus NRS continued to increase through the treat</w:t>
      </w:r>
      <w:r w:rsidR="005950BB" w:rsidRPr="00A953D0">
        <w:rPr>
          <w:rFonts w:ascii="Cambria" w:hAnsi="Cambria"/>
        </w:rPr>
        <w:t>ment period</w:t>
      </w:r>
      <w:r w:rsidR="004A31E5">
        <w:rPr>
          <w:rFonts w:ascii="Cambria" w:hAnsi="Cambria"/>
        </w:rPr>
        <w:t xml:space="preserve">. </w:t>
      </w:r>
      <w:r w:rsidRPr="00A953D0">
        <w:rPr>
          <w:rFonts w:ascii="Cambria" w:hAnsi="Cambria"/>
        </w:rPr>
        <w:t xml:space="preserve">The improvement in pruritus NRS occurred in conjunction with the improvement of objective signs of atopic dermatitis. </w:t>
      </w:r>
    </w:p>
    <w:p w:rsidR="001B7565" w:rsidRPr="00A953D0" w:rsidRDefault="001B7565" w:rsidP="001B7565">
      <w:pPr>
        <w:rPr>
          <w:rFonts w:ascii="Cambria" w:hAnsi="Cambria"/>
        </w:rPr>
      </w:pPr>
      <w:r w:rsidRPr="00A953D0">
        <w:rPr>
          <w:rFonts w:ascii="Cambria" w:hAnsi="Cambria"/>
        </w:rPr>
        <w:t xml:space="preserve">Figure 1 and Figure </w:t>
      </w:r>
      <w:r w:rsidR="00717BAE" w:rsidRPr="004A31E5">
        <w:rPr>
          <w:rFonts w:ascii="Cambria" w:hAnsi="Cambria"/>
        </w:rPr>
        <w:t>2</w:t>
      </w:r>
      <w:r w:rsidRPr="00A953D0">
        <w:rPr>
          <w:rFonts w:ascii="Cambria" w:hAnsi="Cambria"/>
        </w:rPr>
        <w:t xml:space="preserve"> show the proportion of patients who achieved </w:t>
      </w:r>
      <w:r w:rsidR="00BD1B66" w:rsidRPr="00A953D0">
        <w:rPr>
          <w:rFonts w:ascii="Cambria" w:hAnsi="Cambria"/>
        </w:rPr>
        <w:t>an IGA 0 or 1 response and EASI-</w:t>
      </w:r>
      <w:r w:rsidRPr="00A953D0">
        <w:rPr>
          <w:rFonts w:ascii="Cambria" w:hAnsi="Cambria"/>
        </w:rPr>
        <w:t xml:space="preserve">75, respectively, up to Week 16. </w:t>
      </w:r>
    </w:p>
    <w:p w:rsidR="005950BB" w:rsidRPr="00A953D0" w:rsidRDefault="005950BB" w:rsidP="005950BB">
      <w:pPr>
        <w:rPr>
          <w:rFonts w:ascii="Cambria" w:hAnsi="Cambria"/>
        </w:rPr>
      </w:pPr>
      <w:r w:rsidRPr="00A953D0">
        <w:rPr>
          <w:rFonts w:ascii="Cambria" w:hAnsi="Cambria"/>
        </w:rPr>
        <w:t xml:space="preserve">EASI-90 response at Week 16 was achieved in 7.6% of patients in the placebo group, 35.7% in the </w:t>
      </w:r>
      <w:proofErr w:type="spellStart"/>
      <w:r w:rsidR="009031DB" w:rsidRPr="00A953D0">
        <w:rPr>
          <w:rFonts w:ascii="Cambria" w:hAnsi="Cambria"/>
        </w:rPr>
        <w:t>Dupixent</w:t>
      </w:r>
      <w:proofErr w:type="spellEnd"/>
      <w:r w:rsidRPr="00A953D0">
        <w:rPr>
          <w:rFonts w:ascii="Cambria" w:hAnsi="Cambria"/>
        </w:rPr>
        <w:t xml:space="preserve"> </w:t>
      </w:r>
      <w:r w:rsidR="00BD1B66" w:rsidRPr="00A953D0">
        <w:rPr>
          <w:rFonts w:ascii="Cambria" w:hAnsi="Cambria"/>
        </w:rPr>
        <w:t>300 mg Q2W group, and 33.</w:t>
      </w:r>
      <w:r w:rsidRPr="00A953D0">
        <w:rPr>
          <w:rFonts w:ascii="Cambria" w:hAnsi="Cambria"/>
        </w:rPr>
        <w:t xml:space="preserve">2% in the </w:t>
      </w:r>
      <w:proofErr w:type="spellStart"/>
      <w:r w:rsidR="009031DB" w:rsidRPr="00A953D0">
        <w:rPr>
          <w:rFonts w:ascii="Cambria" w:hAnsi="Cambria"/>
        </w:rPr>
        <w:t>Dupixent</w:t>
      </w:r>
      <w:proofErr w:type="spellEnd"/>
      <w:r w:rsidRPr="00A953D0">
        <w:rPr>
          <w:rFonts w:ascii="Cambria" w:hAnsi="Cambria"/>
        </w:rPr>
        <w:t xml:space="preserve"> </w:t>
      </w:r>
      <w:r w:rsidR="007A5E9C" w:rsidRPr="00A953D0">
        <w:rPr>
          <w:rFonts w:ascii="Cambria" w:hAnsi="Cambria"/>
        </w:rPr>
        <w:t>300</w:t>
      </w:r>
      <w:r w:rsidRPr="00A953D0">
        <w:rPr>
          <w:rFonts w:ascii="Cambria" w:hAnsi="Cambria"/>
        </w:rPr>
        <w:t xml:space="preserve"> mg QW group, respectively in </w:t>
      </w:r>
      <w:r w:rsidR="00A61A53" w:rsidRPr="00A953D0">
        <w:rPr>
          <w:rFonts w:ascii="Cambria" w:hAnsi="Cambria"/>
        </w:rPr>
        <w:t>Study 1334</w:t>
      </w:r>
      <w:r w:rsidR="00C128B5" w:rsidRPr="00A953D0">
        <w:rPr>
          <w:rFonts w:ascii="Cambria" w:hAnsi="Cambria"/>
        </w:rPr>
        <w:t xml:space="preserve"> </w:t>
      </w:r>
      <w:r w:rsidRPr="00A953D0">
        <w:rPr>
          <w:rFonts w:ascii="Cambria" w:hAnsi="Cambria"/>
        </w:rPr>
        <w:t>and 7.2%, 30%, and 30.5% of patie</w:t>
      </w:r>
      <w:r w:rsidR="004A25BC" w:rsidRPr="00A953D0">
        <w:rPr>
          <w:rFonts w:ascii="Cambria" w:hAnsi="Cambria"/>
        </w:rPr>
        <w:t>nts, respectively in Study 1416</w:t>
      </w:r>
      <w:r w:rsidR="00C128B5" w:rsidRPr="00A953D0">
        <w:rPr>
          <w:rFonts w:ascii="Cambria" w:hAnsi="Cambria"/>
        </w:rPr>
        <w:t>.</w:t>
      </w:r>
    </w:p>
    <w:p w:rsidR="00036300" w:rsidRPr="00A953D0" w:rsidRDefault="005950BB" w:rsidP="005950BB">
      <w:pPr>
        <w:rPr>
          <w:rFonts w:ascii="Cambria" w:hAnsi="Cambria"/>
        </w:rPr>
      </w:pPr>
      <w:r w:rsidRPr="00A953D0">
        <w:rPr>
          <w:rFonts w:ascii="Cambria" w:hAnsi="Cambria"/>
        </w:rPr>
        <w:lastRenderedPageBreak/>
        <w:t xml:space="preserve">EASI-50 response at Week 16 was achieved 24.6% of patients in the placebo group, 68.8% in the </w:t>
      </w:r>
      <w:proofErr w:type="spellStart"/>
      <w:r w:rsidR="009031DB" w:rsidRPr="00A953D0">
        <w:rPr>
          <w:rFonts w:ascii="Cambria" w:hAnsi="Cambria"/>
        </w:rPr>
        <w:t>Dupixent</w:t>
      </w:r>
      <w:proofErr w:type="spellEnd"/>
      <w:r w:rsidRPr="00A953D0">
        <w:rPr>
          <w:rFonts w:ascii="Cambria" w:hAnsi="Cambria"/>
        </w:rPr>
        <w:t xml:space="preserve"> 300 mg Q2W group, and 61.0% in the </w:t>
      </w:r>
      <w:proofErr w:type="spellStart"/>
      <w:r w:rsidR="009031DB" w:rsidRPr="00A953D0">
        <w:rPr>
          <w:rFonts w:ascii="Cambria" w:hAnsi="Cambria"/>
        </w:rPr>
        <w:t>Dupixent</w:t>
      </w:r>
      <w:proofErr w:type="spellEnd"/>
      <w:r w:rsidRPr="00A953D0">
        <w:rPr>
          <w:rFonts w:ascii="Cambria" w:hAnsi="Cambria"/>
        </w:rPr>
        <w:t xml:space="preserve"> 300 mg QW group, respectively in </w:t>
      </w:r>
      <w:r w:rsidR="00A61A53" w:rsidRPr="00A953D0">
        <w:rPr>
          <w:rFonts w:ascii="Cambria" w:hAnsi="Cambria"/>
        </w:rPr>
        <w:t>Study 1334</w:t>
      </w:r>
      <w:r w:rsidRPr="00A953D0">
        <w:rPr>
          <w:rFonts w:ascii="Cambria" w:hAnsi="Cambria"/>
        </w:rPr>
        <w:t xml:space="preserve"> and 22%, 65.2%, and 61.</w:t>
      </w:r>
      <w:r w:rsidR="00C128B5" w:rsidRPr="00A953D0">
        <w:rPr>
          <w:rFonts w:ascii="Cambria" w:hAnsi="Cambria"/>
        </w:rPr>
        <w:t xml:space="preserve">1% of patients, respectively in </w:t>
      </w:r>
      <w:r w:rsidR="004A25BC" w:rsidRPr="00A953D0">
        <w:rPr>
          <w:rFonts w:ascii="Cambria" w:hAnsi="Cambria"/>
        </w:rPr>
        <w:t>Study 1416</w:t>
      </w:r>
      <w:r w:rsidRPr="00A953D0">
        <w:rPr>
          <w:rFonts w:ascii="Cambria" w:hAnsi="Cambria"/>
        </w:rPr>
        <w:t>.</w:t>
      </w:r>
    </w:p>
    <w:p w:rsidR="001B7565" w:rsidRPr="00A953D0" w:rsidRDefault="001B7565" w:rsidP="001B7565">
      <w:pPr>
        <w:pStyle w:val="Caption"/>
        <w:rPr>
          <w:rFonts w:ascii="Cambria" w:hAnsi="Cambria"/>
        </w:rPr>
      </w:pPr>
      <w:bookmarkStart w:id="21" w:name="_Toc456607001"/>
      <w:r w:rsidRPr="00A953D0">
        <w:rPr>
          <w:rFonts w:ascii="Cambria" w:hAnsi="Cambria"/>
        </w:rPr>
        <w:t>Table </w:t>
      </w:r>
      <w:r w:rsidRPr="00A953D0">
        <w:rPr>
          <w:rFonts w:ascii="Cambria" w:hAnsi="Cambria"/>
        </w:rPr>
        <w:fldChar w:fldCharType="begin"/>
      </w:r>
      <w:r w:rsidRPr="00A953D0">
        <w:rPr>
          <w:rFonts w:ascii="Cambria" w:hAnsi="Cambria"/>
        </w:rPr>
        <w:instrText xml:space="preserve"> SEQ Table \* ARABIC </w:instrText>
      </w:r>
      <w:r w:rsidRPr="00A953D0">
        <w:rPr>
          <w:rFonts w:ascii="Cambria" w:hAnsi="Cambria"/>
        </w:rPr>
        <w:fldChar w:fldCharType="separate"/>
      </w:r>
      <w:r w:rsidR="001A3761">
        <w:rPr>
          <w:rFonts w:ascii="Cambria" w:hAnsi="Cambria"/>
          <w:noProof/>
        </w:rPr>
        <w:t>3</w:t>
      </w:r>
      <w:r w:rsidRPr="00A953D0">
        <w:rPr>
          <w:rFonts w:ascii="Cambria" w:hAnsi="Cambria"/>
        </w:rPr>
        <w:fldChar w:fldCharType="end"/>
      </w:r>
      <w:r w:rsidRPr="00A953D0">
        <w:rPr>
          <w:rFonts w:ascii="Cambria" w:hAnsi="Cambria"/>
        </w:rPr>
        <w:t xml:space="preserve"> ­ Efficacy Results of </w:t>
      </w:r>
      <w:proofErr w:type="spellStart"/>
      <w:r w:rsidR="009031DB" w:rsidRPr="00A953D0">
        <w:rPr>
          <w:rFonts w:ascii="Cambria" w:hAnsi="Cambria"/>
        </w:rPr>
        <w:t>Dupixent</w:t>
      </w:r>
      <w:proofErr w:type="spellEnd"/>
      <w:r w:rsidR="00CF7968" w:rsidRPr="00A953D0">
        <w:rPr>
          <w:rFonts w:ascii="Cambria" w:hAnsi="Cambria"/>
        </w:rPr>
        <w:t xml:space="preserve"> </w:t>
      </w:r>
      <w:r w:rsidRPr="00A953D0">
        <w:rPr>
          <w:rFonts w:ascii="Cambria" w:hAnsi="Cambria"/>
        </w:rPr>
        <w:t>Monotherapy at Week 16</w:t>
      </w:r>
      <w:r w:rsidR="00036300" w:rsidRPr="00A953D0">
        <w:rPr>
          <w:rFonts w:ascii="Cambria" w:hAnsi="Cambria"/>
        </w:rPr>
        <w:t xml:space="preserve"> (FAS)</w:t>
      </w:r>
      <w:bookmarkEnd w:id="21"/>
    </w:p>
    <w:tbl>
      <w:tblPr>
        <w:tblW w:w="0" w:type="auto"/>
        <w:jc w:val="center"/>
        <w:tblBorders>
          <w:top w:val="single" w:sz="2" w:space="0" w:color="000000"/>
        </w:tblBorders>
        <w:tblLook w:val="04A0" w:firstRow="1" w:lastRow="0" w:firstColumn="1" w:lastColumn="0" w:noHBand="0" w:noVBand="1"/>
      </w:tblPr>
      <w:tblGrid>
        <w:gridCol w:w="2563"/>
        <w:gridCol w:w="1068"/>
        <w:gridCol w:w="1206"/>
        <w:gridCol w:w="1194"/>
        <w:gridCol w:w="1080"/>
        <w:gridCol w:w="1206"/>
        <w:gridCol w:w="1368"/>
      </w:tblGrid>
      <w:tr w:rsidR="00036300" w:rsidRPr="00A953D0" w:rsidTr="00036300">
        <w:trPr>
          <w:cantSplit/>
          <w:tblHeader/>
          <w:jc w:val="center"/>
        </w:trPr>
        <w:tc>
          <w:tcPr>
            <w:tcW w:w="0" w:type="auto"/>
            <w:tcBorders>
              <w:top w:val="single" w:sz="4" w:space="0" w:color="000000"/>
              <w:bottom w:val="single" w:sz="4" w:space="0" w:color="000000"/>
            </w:tcBorders>
            <w:shd w:val="clear" w:color="auto" w:fill="auto"/>
          </w:tcPr>
          <w:p w:rsidR="00036300" w:rsidRPr="00A953D0" w:rsidRDefault="00036300" w:rsidP="00036300">
            <w:pPr>
              <w:pStyle w:val="TblHeadingCenter"/>
              <w:rPr>
                <w:rFonts w:ascii="Cambria" w:hAnsi="Cambria"/>
              </w:rPr>
            </w:pPr>
          </w:p>
        </w:tc>
        <w:tc>
          <w:tcPr>
            <w:tcW w:w="0" w:type="auto"/>
            <w:gridSpan w:val="3"/>
            <w:tcBorders>
              <w:top w:val="single" w:sz="4" w:space="0" w:color="000000"/>
              <w:bottom w:val="single" w:sz="4" w:space="0" w:color="000000"/>
            </w:tcBorders>
            <w:shd w:val="clear" w:color="auto" w:fill="auto"/>
          </w:tcPr>
          <w:p w:rsidR="00036300" w:rsidRPr="00A953D0" w:rsidRDefault="004A25BC" w:rsidP="00036300">
            <w:pPr>
              <w:pStyle w:val="TblHeadingCenter"/>
              <w:rPr>
                <w:rFonts w:ascii="Cambria" w:hAnsi="Cambria"/>
              </w:rPr>
            </w:pPr>
            <w:r w:rsidRPr="00A953D0">
              <w:rPr>
                <w:rFonts w:ascii="Cambria" w:hAnsi="Cambria"/>
              </w:rPr>
              <w:t xml:space="preserve">Study 1334 </w:t>
            </w:r>
            <w:r w:rsidR="00036300" w:rsidRPr="00A953D0">
              <w:rPr>
                <w:rFonts w:ascii="Cambria" w:hAnsi="Cambria"/>
              </w:rPr>
              <w:t>(FAS)a</w:t>
            </w:r>
          </w:p>
        </w:tc>
        <w:tc>
          <w:tcPr>
            <w:tcW w:w="0" w:type="auto"/>
            <w:gridSpan w:val="3"/>
            <w:tcBorders>
              <w:top w:val="single" w:sz="4" w:space="0" w:color="000000"/>
              <w:bottom w:val="single" w:sz="4" w:space="0" w:color="000000"/>
            </w:tcBorders>
            <w:shd w:val="clear" w:color="auto" w:fill="auto"/>
          </w:tcPr>
          <w:p w:rsidR="00036300" w:rsidRPr="00A953D0" w:rsidRDefault="004A25BC" w:rsidP="00036300">
            <w:pPr>
              <w:pStyle w:val="TblHeadingCenter"/>
              <w:rPr>
                <w:rFonts w:ascii="Cambria" w:hAnsi="Cambria"/>
              </w:rPr>
            </w:pPr>
            <w:r w:rsidRPr="00A953D0">
              <w:rPr>
                <w:rFonts w:ascii="Cambria" w:hAnsi="Cambria"/>
              </w:rPr>
              <w:t>Study 1416</w:t>
            </w:r>
            <w:r w:rsidR="00036300" w:rsidRPr="00A953D0">
              <w:rPr>
                <w:rFonts w:ascii="Cambria" w:hAnsi="Cambria"/>
              </w:rPr>
              <w:t xml:space="preserve"> (FAS)a</w:t>
            </w:r>
          </w:p>
        </w:tc>
      </w:tr>
      <w:tr w:rsidR="00036300" w:rsidRPr="00A953D0" w:rsidTr="00036300">
        <w:trPr>
          <w:cantSplit/>
          <w:tblHeader/>
          <w:jc w:val="center"/>
        </w:trPr>
        <w:tc>
          <w:tcPr>
            <w:tcW w:w="0" w:type="auto"/>
            <w:tcBorders>
              <w:top w:val="single" w:sz="4" w:space="0" w:color="000000"/>
            </w:tcBorders>
            <w:shd w:val="clear" w:color="auto" w:fill="auto"/>
          </w:tcPr>
          <w:p w:rsidR="00036300" w:rsidRPr="00A953D0" w:rsidRDefault="00036300" w:rsidP="000D5787">
            <w:pPr>
              <w:pStyle w:val="TblTextCenter"/>
              <w:jc w:val="left"/>
              <w:rPr>
                <w:rFonts w:ascii="Cambria" w:hAnsi="Cambria"/>
              </w:rPr>
            </w:pPr>
          </w:p>
        </w:tc>
        <w:tc>
          <w:tcPr>
            <w:tcW w:w="0" w:type="auto"/>
            <w:tcBorders>
              <w:top w:val="single" w:sz="4" w:space="0" w:color="000000"/>
            </w:tcBorders>
            <w:shd w:val="clear" w:color="auto" w:fill="auto"/>
          </w:tcPr>
          <w:p w:rsidR="00036300" w:rsidRPr="00A953D0" w:rsidRDefault="00036300" w:rsidP="00036300">
            <w:pPr>
              <w:pStyle w:val="TblTextCenter"/>
              <w:rPr>
                <w:rFonts w:ascii="Cambria" w:hAnsi="Cambria"/>
                <w:b/>
              </w:rPr>
            </w:pPr>
            <w:r w:rsidRPr="00A953D0">
              <w:rPr>
                <w:rFonts w:ascii="Cambria" w:hAnsi="Cambria"/>
                <w:b/>
              </w:rPr>
              <w:t>Placebo</w:t>
            </w:r>
          </w:p>
          <w:p w:rsidR="00036300" w:rsidRPr="00A953D0" w:rsidRDefault="00036300" w:rsidP="00036300">
            <w:pPr>
              <w:pStyle w:val="TblTextCenter"/>
              <w:rPr>
                <w:rFonts w:ascii="Cambria" w:hAnsi="Cambria"/>
                <w:b/>
              </w:rPr>
            </w:pPr>
          </w:p>
        </w:tc>
        <w:tc>
          <w:tcPr>
            <w:tcW w:w="0" w:type="auto"/>
            <w:tcBorders>
              <w:top w:val="single" w:sz="4" w:space="0" w:color="000000"/>
            </w:tcBorders>
            <w:shd w:val="clear" w:color="auto" w:fill="auto"/>
          </w:tcPr>
          <w:p w:rsidR="005950BB" w:rsidRPr="00A953D0" w:rsidRDefault="009031DB" w:rsidP="00036300">
            <w:pPr>
              <w:pStyle w:val="TblTextCenter"/>
              <w:rPr>
                <w:rFonts w:ascii="Cambria" w:hAnsi="Cambria"/>
                <w:b/>
              </w:rPr>
            </w:pPr>
            <w:proofErr w:type="spellStart"/>
            <w:r w:rsidRPr="00A953D0">
              <w:rPr>
                <w:rFonts w:ascii="Cambria" w:hAnsi="Cambria"/>
                <w:b/>
              </w:rPr>
              <w:t>Dupixent</w:t>
            </w:r>
            <w:proofErr w:type="spellEnd"/>
            <w:r w:rsidR="005950BB" w:rsidRPr="00A953D0">
              <w:rPr>
                <w:rFonts w:ascii="Cambria" w:hAnsi="Cambria"/>
                <w:b/>
              </w:rPr>
              <w:t xml:space="preserve"> </w:t>
            </w:r>
          </w:p>
          <w:p w:rsidR="00036300" w:rsidRPr="00A953D0" w:rsidRDefault="00036300" w:rsidP="00036300">
            <w:pPr>
              <w:pStyle w:val="TblTextCenter"/>
              <w:rPr>
                <w:rFonts w:ascii="Cambria" w:hAnsi="Cambria"/>
                <w:b/>
              </w:rPr>
            </w:pPr>
            <w:r w:rsidRPr="00A953D0">
              <w:rPr>
                <w:rFonts w:ascii="Cambria" w:hAnsi="Cambria"/>
                <w:b/>
              </w:rPr>
              <w:t>300 mg Q2W</w:t>
            </w:r>
          </w:p>
        </w:tc>
        <w:tc>
          <w:tcPr>
            <w:tcW w:w="0" w:type="auto"/>
            <w:tcBorders>
              <w:top w:val="single" w:sz="4" w:space="0" w:color="000000"/>
            </w:tcBorders>
            <w:shd w:val="clear" w:color="auto" w:fill="auto"/>
          </w:tcPr>
          <w:p w:rsidR="005950BB" w:rsidRPr="00A953D0" w:rsidRDefault="009031DB" w:rsidP="00036300">
            <w:pPr>
              <w:pStyle w:val="TblTextCenter"/>
              <w:rPr>
                <w:rFonts w:ascii="Cambria" w:hAnsi="Cambria"/>
                <w:b/>
              </w:rPr>
            </w:pPr>
            <w:proofErr w:type="spellStart"/>
            <w:r w:rsidRPr="00A953D0">
              <w:rPr>
                <w:rFonts w:ascii="Cambria" w:hAnsi="Cambria"/>
                <w:b/>
              </w:rPr>
              <w:t>Dupixent</w:t>
            </w:r>
            <w:proofErr w:type="spellEnd"/>
            <w:r w:rsidR="005950BB" w:rsidRPr="00A953D0">
              <w:rPr>
                <w:rFonts w:ascii="Cambria" w:hAnsi="Cambria"/>
                <w:b/>
              </w:rPr>
              <w:t xml:space="preserve"> </w:t>
            </w:r>
          </w:p>
          <w:p w:rsidR="00036300" w:rsidRPr="00A953D0" w:rsidRDefault="00036300" w:rsidP="00036300">
            <w:pPr>
              <w:pStyle w:val="TblTextCenter"/>
              <w:rPr>
                <w:rFonts w:ascii="Cambria" w:hAnsi="Cambria"/>
                <w:b/>
              </w:rPr>
            </w:pPr>
            <w:r w:rsidRPr="00A953D0">
              <w:rPr>
                <w:rFonts w:ascii="Cambria" w:hAnsi="Cambria"/>
                <w:b/>
              </w:rPr>
              <w:t>300 mg QW</w:t>
            </w:r>
          </w:p>
        </w:tc>
        <w:tc>
          <w:tcPr>
            <w:tcW w:w="0" w:type="auto"/>
            <w:tcBorders>
              <w:top w:val="single" w:sz="4" w:space="0" w:color="000000"/>
            </w:tcBorders>
            <w:shd w:val="clear" w:color="auto" w:fill="auto"/>
          </w:tcPr>
          <w:p w:rsidR="00036300" w:rsidRPr="00A953D0" w:rsidRDefault="00036300" w:rsidP="00036300">
            <w:pPr>
              <w:pStyle w:val="TblTextCenter"/>
              <w:rPr>
                <w:rFonts w:ascii="Cambria" w:hAnsi="Cambria"/>
                <w:b/>
              </w:rPr>
            </w:pPr>
            <w:r w:rsidRPr="00A953D0">
              <w:rPr>
                <w:rFonts w:ascii="Cambria" w:hAnsi="Cambria"/>
                <w:b/>
              </w:rPr>
              <w:t>Placebo</w:t>
            </w:r>
          </w:p>
        </w:tc>
        <w:tc>
          <w:tcPr>
            <w:tcW w:w="0" w:type="auto"/>
            <w:tcBorders>
              <w:top w:val="single" w:sz="4" w:space="0" w:color="000000"/>
            </w:tcBorders>
            <w:shd w:val="clear" w:color="auto" w:fill="auto"/>
          </w:tcPr>
          <w:p w:rsidR="005950BB" w:rsidRPr="00A953D0" w:rsidRDefault="009031DB" w:rsidP="00036300">
            <w:pPr>
              <w:pStyle w:val="TblTextCenter"/>
              <w:rPr>
                <w:rFonts w:ascii="Cambria" w:hAnsi="Cambria"/>
                <w:b/>
              </w:rPr>
            </w:pPr>
            <w:proofErr w:type="spellStart"/>
            <w:r w:rsidRPr="00A953D0">
              <w:rPr>
                <w:rFonts w:ascii="Cambria" w:hAnsi="Cambria"/>
                <w:b/>
              </w:rPr>
              <w:t>Dupixent</w:t>
            </w:r>
            <w:proofErr w:type="spellEnd"/>
            <w:r w:rsidR="005950BB" w:rsidRPr="00A953D0">
              <w:rPr>
                <w:rFonts w:ascii="Cambria" w:hAnsi="Cambria"/>
                <w:b/>
              </w:rPr>
              <w:t xml:space="preserve"> </w:t>
            </w:r>
          </w:p>
          <w:p w:rsidR="00036300" w:rsidRPr="00A953D0" w:rsidRDefault="00036300" w:rsidP="00036300">
            <w:pPr>
              <w:pStyle w:val="TblTextCenter"/>
              <w:rPr>
                <w:rFonts w:ascii="Cambria" w:hAnsi="Cambria"/>
                <w:b/>
              </w:rPr>
            </w:pPr>
            <w:r w:rsidRPr="00A953D0">
              <w:rPr>
                <w:rFonts w:ascii="Cambria" w:hAnsi="Cambria"/>
                <w:b/>
              </w:rPr>
              <w:t>300 mg Q2W</w:t>
            </w:r>
          </w:p>
        </w:tc>
        <w:tc>
          <w:tcPr>
            <w:tcW w:w="0" w:type="auto"/>
            <w:tcBorders>
              <w:top w:val="single" w:sz="4" w:space="0" w:color="000000"/>
            </w:tcBorders>
            <w:shd w:val="clear" w:color="auto" w:fill="auto"/>
          </w:tcPr>
          <w:p w:rsidR="00036300" w:rsidRPr="00A953D0" w:rsidRDefault="009031DB" w:rsidP="00036300">
            <w:pPr>
              <w:pStyle w:val="TblTextCenter"/>
              <w:rPr>
                <w:rFonts w:ascii="Cambria" w:hAnsi="Cambria"/>
                <w:b/>
              </w:rPr>
            </w:pPr>
            <w:proofErr w:type="spellStart"/>
            <w:r w:rsidRPr="00A953D0">
              <w:rPr>
                <w:rFonts w:ascii="Cambria" w:hAnsi="Cambria"/>
                <w:b/>
              </w:rPr>
              <w:t>Dupixent</w:t>
            </w:r>
            <w:proofErr w:type="spellEnd"/>
            <w:r w:rsidR="005950BB" w:rsidRPr="00A953D0">
              <w:rPr>
                <w:rFonts w:ascii="Cambria" w:hAnsi="Cambria"/>
                <w:b/>
              </w:rPr>
              <w:t xml:space="preserve"> </w:t>
            </w:r>
            <w:r w:rsidR="00036300" w:rsidRPr="00A953D0">
              <w:rPr>
                <w:rFonts w:ascii="Cambria" w:hAnsi="Cambria"/>
                <w:b/>
              </w:rPr>
              <w:t>300 mg QW</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b/>
              </w:rPr>
            </w:pPr>
            <w:r w:rsidRPr="00A953D0">
              <w:rPr>
                <w:rFonts w:ascii="Cambria" w:hAnsi="Cambria"/>
                <w:b/>
              </w:rPr>
              <w:t>Patients randomized</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224</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224</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223</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236</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233</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239</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rPr>
            </w:pPr>
            <w:r w:rsidRPr="00A953D0">
              <w:rPr>
                <w:rFonts w:ascii="Cambria" w:hAnsi="Cambria"/>
              </w:rPr>
              <w:t>IGA 0 or 1</w:t>
            </w:r>
            <w:r w:rsidRPr="00A953D0">
              <w:rPr>
                <w:rFonts w:ascii="Cambria" w:hAnsi="Cambria"/>
                <w:vertAlign w:val="superscript"/>
              </w:rPr>
              <w:t>b</w:t>
            </w:r>
            <w:r w:rsidRPr="00A953D0">
              <w:rPr>
                <w:rFonts w:ascii="Cambria" w:hAnsi="Cambria"/>
              </w:rPr>
              <w:t>, % </w:t>
            </w:r>
            <w:proofErr w:type="spellStart"/>
            <w:r w:rsidRPr="00A953D0">
              <w:rPr>
                <w:rFonts w:ascii="Cambria" w:hAnsi="Cambria"/>
              </w:rPr>
              <w:t>responders</w:t>
            </w:r>
            <w:r w:rsidRPr="00A953D0">
              <w:rPr>
                <w:rFonts w:ascii="Cambria" w:hAnsi="Cambria"/>
                <w:vertAlign w:val="superscript"/>
              </w:rPr>
              <w:t>c</w:t>
            </w:r>
            <w:proofErr w:type="spellEnd"/>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10.3 %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37.9 %*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37.2 %*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8.5%</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36.1 %*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36.4 %*</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rPr>
            </w:pPr>
            <w:r w:rsidRPr="00A953D0">
              <w:rPr>
                <w:rFonts w:ascii="Cambria" w:hAnsi="Cambria"/>
              </w:rPr>
              <w:t>EASI-75, % </w:t>
            </w:r>
            <w:proofErr w:type="spellStart"/>
            <w:r w:rsidRPr="00A953D0">
              <w:rPr>
                <w:rFonts w:ascii="Cambria" w:hAnsi="Cambria"/>
              </w:rPr>
              <w:t>responders</w:t>
            </w:r>
            <w:r w:rsidRPr="00A953D0">
              <w:rPr>
                <w:rFonts w:ascii="Cambria" w:hAnsi="Cambria"/>
                <w:vertAlign w:val="superscript"/>
              </w:rPr>
              <w:t>c</w:t>
            </w:r>
            <w:proofErr w:type="spellEnd"/>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14.7 %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51.3 %*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52.5 %*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11.9 %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44.2 %*</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48.1 %*</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rPr>
            </w:pPr>
            <w:r w:rsidRPr="00A953D0">
              <w:rPr>
                <w:rFonts w:ascii="Cambria" w:hAnsi="Cambria"/>
              </w:rPr>
              <w:t>EASI, LS mean % change from baseline (+/- SE)</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-37.6% (3.28)</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-72.3 % * (2.63)</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-72.0 %* (2.56)</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-30.9 % (2.97)</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-67.1 % * (2.52)</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-69.1 %* (2.49)</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rPr>
            </w:pPr>
            <w:r w:rsidRPr="00A953D0">
              <w:rPr>
                <w:rFonts w:ascii="Cambria" w:hAnsi="Cambria"/>
              </w:rPr>
              <w:t>Pruritus NRS, LS mean % change from baseline (+/- SE)</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-26.1% (3.02)</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 xml:space="preserve">-51.0%* </w:t>
            </w:r>
          </w:p>
          <w:p w:rsidR="00036300" w:rsidRPr="00A953D0" w:rsidRDefault="00036300" w:rsidP="00036300">
            <w:pPr>
              <w:pStyle w:val="TblTextCenter"/>
              <w:rPr>
                <w:rFonts w:ascii="Cambria" w:hAnsi="Cambria"/>
              </w:rPr>
            </w:pPr>
            <w:r w:rsidRPr="00A953D0">
              <w:rPr>
                <w:rFonts w:ascii="Cambria" w:hAnsi="Cambria"/>
              </w:rPr>
              <w:t>(2.50)</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-48.9*</w:t>
            </w:r>
          </w:p>
          <w:p w:rsidR="00036300" w:rsidRPr="00A953D0" w:rsidRDefault="00036300" w:rsidP="00036300">
            <w:pPr>
              <w:pStyle w:val="TblTextCenter"/>
              <w:rPr>
                <w:rFonts w:ascii="Cambria" w:hAnsi="Cambria"/>
              </w:rPr>
            </w:pPr>
            <w:r w:rsidRPr="00A953D0">
              <w:rPr>
                <w:rFonts w:ascii="Cambria" w:hAnsi="Cambria"/>
              </w:rPr>
              <w:t>(2.60)</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 xml:space="preserve">-15.4% </w:t>
            </w:r>
          </w:p>
          <w:p w:rsidR="00036300" w:rsidRPr="00A953D0" w:rsidRDefault="00036300" w:rsidP="00036300">
            <w:pPr>
              <w:pStyle w:val="TblTextCenter"/>
              <w:rPr>
                <w:rFonts w:ascii="Cambria" w:hAnsi="Cambria"/>
              </w:rPr>
            </w:pPr>
            <w:r w:rsidRPr="00A953D0">
              <w:rPr>
                <w:rFonts w:ascii="Cambria" w:hAnsi="Cambria"/>
              </w:rPr>
              <w:t>(2.98)</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 xml:space="preserve">-44.3%* </w:t>
            </w:r>
          </w:p>
          <w:p w:rsidR="00036300" w:rsidRPr="00A953D0" w:rsidRDefault="00036300" w:rsidP="00036300">
            <w:pPr>
              <w:pStyle w:val="TblTextCenter"/>
              <w:rPr>
                <w:rFonts w:ascii="Cambria" w:hAnsi="Cambria"/>
              </w:rPr>
            </w:pPr>
            <w:r w:rsidRPr="00A953D0">
              <w:rPr>
                <w:rFonts w:ascii="Cambria" w:hAnsi="Cambria"/>
              </w:rPr>
              <w:t>(2.28)</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-48.3*</w:t>
            </w:r>
          </w:p>
          <w:p w:rsidR="00036300" w:rsidRPr="00A953D0" w:rsidRDefault="00036300" w:rsidP="00036300">
            <w:pPr>
              <w:pStyle w:val="TblTextCenter"/>
              <w:rPr>
                <w:rFonts w:ascii="Cambria" w:hAnsi="Cambria"/>
              </w:rPr>
            </w:pPr>
            <w:r w:rsidRPr="00A953D0">
              <w:rPr>
                <w:rFonts w:ascii="Cambria" w:hAnsi="Cambria"/>
              </w:rPr>
              <w:t>(2.35)</w:t>
            </w:r>
          </w:p>
        </w:tc>
      </w:tr>
      <w:tr w:rsidR="00036300" w:rsidRPr="00A953D0" w:rsidTr="00036300">
        <w:trPr>
          <w:cantSplit/>
          <w:jc w:val="center"/>
        </w:trPr>
        <w:tc>
          <w:tcPr>
            <w:tcW w:w="0" w:type="auto"/>
            <w:shd w:val="clear" w:color="auto" w:fill="auto"/>
          </w:tcPr>
          <w:p w:rsidR="00036300" w:rsidRPr="00A953D0" w:rsidRDefault="00036300" w:rsidP="000D5787">
            <w:pPr>
              <w:pStyle w:val="TblTextCenter"/>
              <w:jc w:val="left"/>
              <w:rPr>
                <w:rFonts w:ascii="Cambria" w:hAnsi="Cambria"/>
                <w:b/>
              </w:rPr>
            </w:pPr>
            <w:r w:rsidRPr="00A953D0">
              <w:rPr>
                <w:rFonts w:ascii="Cambria" w:hAnsi="Cambria"/>
                <w:b/>
              </w:rPr>
              <w:t>Number of patients with baseline pruritus NRS score</w:t>
            </w:r>
            <w:r w:rsidR="00451D7A" w:rsidRPr="00A953D0">
              <w:rPr>
                <w:rFonts w:ascii="Cambria" w:hAnsi="Cambria"/>
                <w:b/>
              </w:rPr>
              <w:t xml:space="preserve">≥ </w:t>
            </w:r>
            <w:r w:rsidRPr="00A953D0">
              <w:rPr>
                <w:rFonts w:ascii="Cambria" w:hAnsi="Cambria"/>
                <w:b/>
              </w:rPr>
              <w:t xml:space="preserve"> 4</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212</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213</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201</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221</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225</w:t>
            </w:r>
          </w:p>
        </w:tc>
        <w:tc>
          <w:tcPr>
            <w:tcW w:w="0" w:type="auto"/>
            <w:shd w:val="clear" w:color="auto" w:fill="auto"/>
          </w:tcPr>
          <w:p w:rsidR="00036300" w:rsidRPr="00A953D0" w:rsidRDefault="00036300" w:rsidP="00036300">
            <w:pPr>
              <w:pStyle w:val="TblTextCenter"/>
              <w:rPr>
                <w:rFonts w:ascii="Cambria" w:hAnsi="Cambria"/>
              </w:rPr>
            </w:pPr>
            <w:r w:rsidRPr="00A953D0">
              <w:rPr>
                <w:rFonts w:ascii="Cambria" w:hAnsi="Cambria"/>
              </w:rPr>
              <w:t>228</w:t>
            </w:r>
          </w:p>
        </w:tc>
      </w:tr>
      <w:tr w:rsidR="00036300" w:rsidRPr="00A953D0" w:rsidTr="00036300">
        <w:trPr>
          <w:cantSplit/>
          <w:jc w:val="center"/>
        </w:trPr>
        <w:tc>
          <w:tcPr>
            <w:tcW w:w="0" w:type="auto"/>
            <w:tcBorders>
              <w:bottom w:val="single" w:sz="12" w:space="0" w:color="auto"/>
            </w:tcBorders>
            <w:shd w:val="clear" w:color="auto" w:fill="auto"/>
          </w:tcPr>
          <w:p w:rsidR="00036300" w:rsidRPr="00A953D0" w:rsidRDefault="00036300" w:rsidP="00E9570D">
            <w:pPr>
              <w:pStyle w:val="TblTextCenter"/>
              <w:jc w:val="left"/>
              <w:rPr>
                <w:rFonts w:ascii="Cambria" w:hAnsi="Cambria"/>
                <w:vertAlign w:val="superscript"/>
              </w:rPr>
            </w:pPr>
            <w:r w:rsidRPr="00A953D0">
              <w:rPr>
                <w:rFonts w:ascii="Cambria" w:hAnsi="Cambria"/>
              </w:rPr>
              <w:t xml:space="preserve">Pruritus NRS (&gt;4-point </w:t>
            </w:r>
            <w:r w:rsidR="004C7FF1" w:rsidRPr="00A953D0">
              <w:rPr>
                <w:rFonts w:ascii="Cambria" w:hAnsi="Cambria"/>
              </w:rPr>
              <w:t>improvement</w:t>
            </w:r>
            <w:r w:rsidRPr="00A953D0">
              <w:rPr>
                <w:rFonts w:ascii="Cambria" w:hAnsi="Cambria"/>
              </w:rPr>
              <w:t xml:space="preserve">), % </w:t>
            </w:r>
            <w:proofErr w:type="spellStart"/>
            <w:r w:rsidRPr="00A953D0">
              <w:rPr>
                <w:rFonts w:ascii="Cambria" w:hAnsi="Cambria"/>
              </w:rPr>
              <w:t>responders</w:t>
            </w:r>
            <w:r w:rsidRPr="00A953D0">
              <w:rPr>
                <w:rFonts w:ascii="Cambria" w:hAnsi="Cambria"/>
                <w:vertAlign w:val="superscript"/>
              </w:rPr>
              <w:t>c</w:t>
            </w:r>
            <w:proofErr w:type="spellEnd"/>
            <w:r w:rsidR="00C16963" w:rsidRPr="00A953D0">
              <w:rPr>
                <w:rFonts w:ascii="Cambria" w:hAnsi="Cambria"/>
                <w:vertAlign w:val="superscript"/>
              </w:rPr>
              <w:t>,</w:t>
            </w:r>
            <w:r w:rsidRPr="00A953D0">
              <w:rPr>
                <w:rFonts w:ascii="Cambria" w:hAnsi="Cambria"/>
              </w:rPr>
              <w:t xml:space="preserve"> </w:t>
            </w:r>
            <w:r w:rsidR="00E9570D" w:rsidRPr="00A953D0">
              <w:rPr>
                <w:rFonts w:ascii="Cambria" w:hAnsi="Cambria"/>
                <w:vertAlign w:val="superscript"/>
              </w:rPr>
              <w:t>d</w:t>
            </w: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12.3 %</w:t>
            </w:r>
          </w:p>
          <w:p w:rsidR="00036300" w:rsidRPr="00A953D0" w:rsidRDefault="00036300" w:rsidP="00036300">
            <w:pPr>
              <w:pStyle w:val="TblTextCenter"/>
              <w:rPr>
                <w:rFonts w:ascii="Cambria" w:hAnsi="Cambria"/>
              </w:rPr>
            </w:pP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40.8 %*</w:t>
            </w:r>
          </w:p>
          <w:p w:rsidR="00036300" w:rsidRPr="00A953D0" w:rsidRDefault="00036300" w:rsidP="00036300">
            <w:pPr>
              <w:pStyle w:val="TblTextCenter"/>
              <w:rPr>
                <w:rFonts w:ascii="Cambria" w:hAnsi="Cambria"/>
              </w:rPr>
            </w:pP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 xml:space="preserve">40.3 %* </w:t>
            </w: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9.5%</w:t>
            </w:r>
          </w:p>
          <w:p w:rsidR="00036300" w:rsidRPr="00A953D0" w:rsidRDefault="00036300" w:rsidP="00036300">
            <w:pPr>
              <w:pStyle w:val="TblTextCenter"/>
              <w:rPr>
                <w:rFonts w:ascii="Cambria" w:hAnsi="Cambria"/>
              </w:rPr>
            </w:pP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36.0 %*</w:t>
            </w:r>
          </w:p>
          <w:p w:rsidR="00036300" w:rsidRPr="00A953D0" w:rsidRDefault="00036300" w:rsidP="00036300">
            <w:pPr>
              <w:pStyle w:val="TblTextCenter"/>
              <w:rPr>
                <w:rFonts w:ascii="Cambria" w:hAnsi="Cambria"/>
              </w:rPr>
            </w:pPr>
          </w:p>
        </w:tc>
        <w:tc>
          <w:tcPr>
            <w:tcW w:w="0" w:type="auto"/>
            <w:tcBorders>
              <w:bottom w:val="single" w:sz="12" w:space="0" w:color="auto"/>
            </w:tcBorders>
            <w:shd w:val="clear" w:color="auto" w:fill="auto"/>
          </w:tcPr>
          <w:p w:rsidR="00036300" w:rsidRPr="00A953D0" w:rsidRDefault="00036300" w:rsidP="00036300">
            <w:pPr>
              <w:pStyle w:val="TblTextCenter"/>
              <w:rPr>
                <w:rFonts w:ascii="Cambria" w:hAnsi="Cambria"/>
              </w:rPr>
            </w:pPr>
            <w:r w:rsidRPr="00A953D0">
              <w:rPr>
                <w:rFonts w:ascii="Cambria" w:hAnsi="Cambria"/>
              </w:rPr>
              <w:t xml:space="preserve">39.0 %* </w:t>
            </w:r>
          </w:p>
        </w:tc>
      </w:tr>
      <w:tr w:rsidR="00036300" w:rsidRPr="00A953D0" w:rsidTr="00036300">
        <w:trPr>
          <w:cantSplit/>
          <w:jc w:val="center"/>
        </w:trPr>
        <w:tc>
          <w:tcPr>
            <w:tcW w:w="0" w:type="auto"/>
            <w:gridSpan w:val="7"/>
            <w:tcBorders>
              <w:top w:val="single" w:sz="12" w:space="0" w:color="auto"/>
            </w:tcBorders>
            <w:shd w:val="clear" w:color="auto" w:fill="auto"/>
          </w:tcPr>
          <w:p w:rsidR="00036300" w:rsidRPr="00A953D0" w:rsidRDefault="00036300" w:rsidP="00036300">
            <w:pPr>
              <w:pStyle w:val="TblFigFootnote"/>
              <w:rPr>
                <w:rFonts w:ascii="Cambria" w:hAnsi="Cambria"/>
              </w:rPr>
            </w:pPr>
          </w:p>
        </w:tc>
      </w:tr>
    </w:tbl>
    <w:p w:rsidR="00295C4B" w:rsidRPr="00A953D0" w:rsidRDefault="00295C4B" w:rsidP="0017737B">
      <w:pPr>
        <w:spacing w:before="0"/>
        <w:rPr>
          <w:rFonts w:ascii="Cambria" w:hAnsi="Cambria"/>
          <w:sz w:val="18"/>
          <w:szCs w:val="18"/>
        </w:rPr>
      </w:pPr>
      <w:proofErr w:type="gramStart"/>
      <w:r w:rsidRPr="00A953D0">
        <w:rPr>
          <w:rFonts w:ascii="Cambria" w:hAnsi="Cambria"/>
          <w:sz w:val="18"/>
          <w:szCs w:val="18"/>
          <w:vertAlign w:val="superscript"/>
        </w:rPr>
        <w:t>a</w:t>
      </w:r>
      <w:proofErr w:type="gramEnd"/>
      <w:r w:rsidRPr="00A953D0">
        <w:rPr>
          <w:rFonts w:ascii="Cambria" w:hAnsi="Cambria"/>
          <w:sz w:val="18"/>
          <w:szCs w:val="18"/>
        </w:rPr>
        <w:t xml:space="preserve"> Full analysis set (FAS) includes all patients randomized.</w:t>
      </w:r>
    </w:p>
    <w:p w:rsidR="00295C4B" w:rsidRPr="00A953D0" w:rsidRDefault="00295C4B" w:rsidP="00295C4B">
      <w:pPr>
        <w:spacing w:before="0"/>
        <w:rPr>
          <w:rFonts w:ascii="Cambria" w:hAnsi="Cambria"/>
          <w:sz w:val="18"/>
          <w:szCs w:val="18"/>
        </w:rPr>
      </w:pPr>
      <w:proofErr w:type="gramStart"/>
      <w:r w:rsidRPr="00A953D0">
        <w:rPr>
          <w:rFonts w:ascii="Cambria" w:hAnsi="Cambria"/>
          <w:sz w:val="18"/>
          <w:szCs w:val="18"/>
          <w:vertAlign w:val="superscript"/>
        </w:rPr>
        <w:t>b</w:t>
      </w:r>
      <w:proofErr w:type="gramEnd"/>
      <w:r w:rsidR="0017737B" w:rsidRPr="00A953D0">
        <w:rPr>
          <w:rFonts w:ascii="Cambria" w:hAnsi="Cambria"/>
          <w:sz w:val="18"/>
          <w:szCs w:val="18"/>
          <w:vertAlign w:val="superscript"/>
        </w:rPr>
        <w:t xml:space="preserve"> </w:t>
      </w:r>
      <w:r w:rsidR="0017737B" w:rsidRPr="00A953D0">
        <w:rPr>
          <w:rFonts w:ascii="Cambria" w:hAnsi="Cambria"/>
          <w:sz w:val="18"/>
          <w:szCs w:val="18"/>
        </w:rPr>
        <w:t>Responder was defined as a patient with IGA 0 or 1 (“clear” or “almost clear”) with a reduction of &gt; 2 points on a 0-4 IGA scale.</w:t>
      </w:r>
    </w:p>
    <w:p w:rsidR="00295C4B" w:rsidRPr="00A953D0" w:rsidRDefault="00295C4B" w:rsidP="00295C4B">
      <w:pPr>
        <w:spacing w:before="0"/>
        <w:rPr>
          <w:rFonts w:ascii="Cambria" w:hAnsi="Cambria"/>
          <w:sz w:val="18"/>
          <w:szCs w:val="18"/>
        </w:rPr>
      </w:pPr>
      <w:proofErr w:type="gramStart"/>
      <w:r w:rsidRPr="00A953D0">
        <w:rPr>
          <w:rFonts w:ascii="Cambria" w:hAnsi="Cambria"/>
          <w:sz w:val="18"/>
          <w:szCs w:val="18"/>
          <w:vertAlign w:val="superscript"/>
        </w:rPr>
        <w:t>c</w:t>
      </w:r>
      <w:proofErr w:type="gramEnd"/>
      <w:r w:rsidRPr="00A953D0">
        <w:rPr>
          <w:rFonts w:ascii="Cambria" w:hAnsi="Cambria"/>
          <w:sz w:val="18"/>
          <w:szCs w:val="18"/>
        </w:rPr>
        <w:t xml:space="preserve"> Patients who received rescue treatment or with missing data were considered as non-responders.</w:t>
      </w:r>
    </w:p>
    <w:p w:rsidR="00E9570D" w:rsidRPr="00A953D0" w:rsidRDefault="00E9570D" w:rsidP="00295C4B">
      <w:pPr>
        <w:spacing w:before="0"/>
        <w:rPr>
          <w:rFonts w:ascii="Cambria" w:hAnsi="Cambria"/>
          <w:sz w:val="18"/>
          <w:szCs w:val="18"/>
        </w:rPr>
      </w:pPr>
      <w:proofErr w:type="gramStart"/>
      <w:r w:rsidRPr="00A953D0">
        <w:rPr>
          <w:rFonts w:ascii="Cambria" w:hAnsi="Cambria"/>
          <w:sz w:val="18"/>
          <w:szCs w:val="18"/>
          <w:vertAlign w:val="superscript"/>
        </w:rPr>
        <w:t>d</w:t>
      </w:r>
      <w:proofErr w:type="gramEnd"/>
      <w:r w:rsidRPr="00A953D0">
        <w:rPr>
          <w:rFonts w:ascii="Cambria" w:hAnsi="Cambria"/>
        </w:rPr>
        <w:t xml:space="preserve"> </w:t>
      </w:r>
      <w:r w:rsidRPr="00A953D0">
        <w:rPr>
          <w:rFonts w:ascii="Cambria" w:hAnsi="Cambria"/>
          <w:sz w:val="18"/>
          <w:szCs w:val="18"/>
        </w:rPr>
        <w:t xml:space="preserve">a significantly greater proportion of patients on </w:t>
      </w:r>
      <w:proofErr w:type="spellStart"/>
      <w:r w:rsidRPr="00A953D0">
        <w:rPr>
          <w:rFonts w:ascii="Cambria" w:hAnsi="Cambria"/>
          <w:sz w:val="18"/>
          <w:szCs w:val="18"/>
        </w:rPr>
        <w:t>Dupixent</w:t>
      </w:r>
      <w:proofErr w:type="spellEnd"/>
      <w:r w:rsidRPr="00A953D0">
        <w:rPr>
          <w:rFonts w:ascii="Cambria" w:hAnsi="Cambria"/>
          <w:sz w:val="18"/>
          <w:szCs w:val="18"/>
        </w:rPr>
        <w:t xml:space="preserve"> had improvement in pruritus NRS of ≥4 points compared to placebo at week 2 (p&lt;0.01).</w:t>
      </w:r>
    </w:p>
    <w:p w:rsidR="00C16963" w:rsidRPr="00A953D0" w:rsidRDefault="00C16963" w:rsidP="00295C4B">
      <w:pPr>
        <w:spacing w:before="0"/>
        <w:rPr>
          <w:rFonts w:ascii="Cambria" w:hAnsi="Cambria"/>
          <w:sz w:val="18"/>
          <w:szCs w:val="18"/>
        </w:rPr>
      </w:pPr>
      <w:r w:rsidRPr="00A953D0">
        <w:rPr>
          <w:rFonts w:ascii="Cambria" w:hAnsi="Cambria"/>
          <w:sz w:val="18"/>
          <w:szCs w:val="18"/>
        </w:rPr>
        <w:t>*p-value &lt;0.0001</w:t>
      </w:r>
    </w:p>
    <w:p w:rsidR="00295C4B" w:rsidRPr="00A953D0" w:rsidRDefault="00295C4B" w:rsidP="00295C4B">
      <w:pPr>
        <w:spacing w:before="0"/>
        <w:rPr>
          <w:rFonts w:ascii="Cambria" w:hAnsi="Cambria"/>
          <w:sz w:val="18"/>
          <w:szCs w:val="18"/>
        </w:rPr>
      </w:pPr>
      <w:r w:rsidRPr="00A953D0">
        <w:rPr>
          <w:rFonts w:ascii="Cambria" w:hAnsi="Cambria"/>
          <w:sz w:val="18"/>
          <w:szCs w:val="18"/>
        </w:rPr>
        <w:t>LS = least squares</w:t>
      </w:r>
      <w:r w:rsidR="00451D7A" w:rsidRPr="00A953D0">
        <w:rPr>
          <w:rFonts w:ascii="Cambria" w:hAnsi="Cambria"/>
          <w:sz w:val="18"/>
          <w:szCs w:val="18"/>
        </w:rPr>
        <w:t xml:space="preserve"> SE= standard error</w:t>
      </w:r>
    </w:p>
    <w:p w:rsidR="00451D7A" w:rsidRPr="00A953D0" w:rsidRDefault="00451D7A" w:rsidP="00295C4B">
      <w:pPr>
        <w:spacing w:before="0"/>
        <w:rPr>
          <w:rFonts w:ascii="Cambria" w:hAnsi="Cambria"/>
          <w:sz w:val="18"/>
          <w:szCs w:val="18"/>
        </w:rPr>
      </w:pPr>
    </w:p>
    <w:p w:rsidR="00451D7A" w:rsidRPr="00A953D0" w:rsidRDefault="00451D7A" w:rsidP="00451D7A">
      <w:pPr>
        <w:spacing w:before="0"/>
        <w:rPr>
          <w:rFonts w:ascii="Cambria" w:hAnsi="Cambria"/>
          <w:color w:val="0000FF"/>
        </w:rPr>
      </w:pPr>
    </w:p>
    <w:p w:rsidR="00451D7A" w:rsidRPr="00A953D0" w:rsidRDefault="004B68E7" w:rsidP="00085019">
      <w:pPr>
        <w:pStyle w:val="Caption"/>
        <w:rPr>
          <w:rFonts w:ascii="Cambria" w:hAnsi="Cambria"/>
          <w:vertAlign w:val="superscript"/>
        </w:rPr>
      </w:pPr>
      <w:bookmarkStart w:id="22" w:name="_Toc456607006"/>
      <w:r w:rsidRPr="00A953D0">
        <w:rPr>
          <w:rFonts w:ascii="Cambria" w:hAnsi="Cambria"/>
        </w:rPr>
        <w:lastRenderedPageBreak/>
        <w:t>Figure </w:t>
      </w:r>
      <w:r w:rsidRPr="00A953D0">
        <w:rPr>
          <w:rFonts w:ascii="Cambria" w:hAnsi="Cambria"/>
        </w:rPr>
        <w:fldChar w:fldCharType="begin"/>
      </w:r>
      <w:r w:rsidRPr="00A953D0">
        <w:rPr>
          <w:rFonts w:ascii="Cambria" w:hAnsi="Cambria"/>
        </w:rPr>
        <w:instrText xml:space="preserve"> SEQ Figure \* ARABIC </w:instrText>
      </w:r>
      <w:r w:rsidRPr="00A953D0">
        <w:rPr>
          <w:rFonts w:ascii="Cambria" w:hAnsi="Cambria"/>
        </w:rPr>
        <w:fldChar w:fldCharType="separate"/>
      </w:r>
      <w:r w:rsidR="001A3761">
        <w:rPr>
          <w:rFonts w:ascii="Cambria" w:hAnsi="Cambria"/>
          <w:noProof/>
        </w:rPr>
        <w:t>1</w:t>
      </w:r>
      <w:r w:rsidRPr="00A953D0">
        <w:rPr>
          <w:rFonts w:ascii="Cambria" w:hAnsi="Cambria"/>
        </w:rPr>
        <w:fldChar w:fldCharType="end"/>
      </w:r>
      <w:r w:rsidRPr="00A953D0">
        <w:rPr>
          <w:rFonts w:ascii="Cambria" w:hAnsi="Cambria"/>
        </w:rPr>
        <w:t xml:space="preserve"> ­ </w:t>
      </w:r>
      <w:r w:rsidR="00295C4B" w:rsidRPr="00A953D0">
        <w:rPr>
          <w:rFonts w:ascii="Cambria" w:hAnsi="Cambria"/>
        </w:rPr>
        <w:t>Proporti</w:t>
      </w:r>
      <w:r w:rsidR="00451EE7" w:rsidRPr="00A953D0">
        <w:rPr>
          <w:rFonts w:ascii="Cambria" w:hAnsi="Cambria"/>
        </w:rPr>
        <w:t>on of Patients with IGA 0 or 1</w:t>
      </w:r>
      <w:r w:rsidR="00451EE7" w:rsidRPr="00A953D0">
        <w:rPr>
          <w:rFonts w:ascii="Cambria" w:hAnsi="Cambria"/>
          <w:vertAlign w:val="superscript"/>
        </w:rPr>
        <w:t>a</w:t>
      </w:r>
      <w:r w:rsidR="00295C4B" w:rsidRPr="00A953D0">
        <w:rPr>
          <w:rFonts w:ascii="Cambria" w:hAnsi="Cambria"/>
        </w:rPr>
        <w:t xml:space="preserve"> in </w:t>
      </w:r>
      <w:r w:rsidR="004A25BC" w:rsidRPr="00A953D0">
        <w:rPr>
          <w:rFonts w:ascii="Cambria" w:hAnsi="Cambria"/>
        </w:rPr>
        <w:t xml:space="preserve">Study 1334 </w:t>
      </w:r>
      <w:r w:rsidR="00295C4B" w:rsidRPr="00A953D0">
        <w:rPr>
          <w:rFonts w:ascii="Cambria" w:hAnsi="Cambria"/>
        </w:rPr>
        <w:t xml:space="preserve">and </w:t>
      </w:r>
      <w:r w:rsidR="004A25BC" w:rsidRPr="00A953D0">
        <w:rPr>
          <w:rFonts w:ascii="Cambria" w:hAnsi="Cambria"/>
        </w:rPr>
        <w:t>Study 1416</w:t>
      </w:r>
      <w:r w:rsidR="00295C4B" w:rsidRPr="00A953D0">
        <w:rPr>
          <w:rFonts w:ascii="Cambria" w:hAnsi="Cambria"/>
        </w:rPr>
        <w:t xml:space="preserve"> (FAS</w:t>
      </w:r>
      <w:bookmarkEnd w:id="22"/>
      <w:r w:rsidR="00451EE7" w:rsidRPr="00A953D0">
        <w:rPr>
          <w:rFonts w:ascii="Cambria" w:hAnsi="Cambria"/>
        </w:rPr>
        <w:t>)</w:t>
      </w:r>
    </w:p>
    <w:p w:rsidR="00085019" w:rsidRPr="00A953D0" w:rsidRDefault="00A17E41" w:rsidP="00085019">
      <w:pPr>
        <w:spacing w:before="0"/>
        <w:jc w:val="center"/>
        <w:rPr>
          <w:rFonts w:ascii="Cambria" w:hAnsi="Cambria"/>
          <w:noProof/>
          <w:lang w:val="en-AU" w:eastAsia="en-AU"/>
        </w:rPr>
      </w:pPr>
      <w:r>
        <w:rPr>
          <w:rFonts w:ascii="Cambria" w:hAnsi="Cambria"/>
          <w:noProof/>
          <w:lang w:val="en-AU" w:eastAsia="en-AU"/>
        </w:rPr>
        <w:drawing>
          <wp:inline distT="0" distB="0" distL="0" distR="0">
            <wp:extent cx="5943600" cy="3105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05150"/>
                    </a:xfrm>
                    <a:prstGeom prst="rect">
                      <a:avLst/>
                    </a:prstGeom>
                    <a:noFill/>
                    <a:ln>
                      <a:noFill/>
                    </a:ln>
                  </pic:spPr>
                </pic:pic>
              </a:graphicData>
            </a:graphic>
          </wp:inline>
        </w:drawing>
      </w:r>
    </w:p>
    <w:p w:rsidR="00186D3D" w:rsidRPr="00A953D0" w:rsidRDefault="00186D3D" w:rsidP="00186D3D">
      <w:pPr>
        <w:spacing w:before="0"/>
        <w:rPr>
          <w:rFonts w:ascii="Cambria" w:hAnsi="Cambria"/>
          <w:sz w:val="16"/>
          <w:szCs w:val="16"/>
        </w:rPr>
      </w:pPr>
      <w:proofErr w:type="gramStart"/>
      <w:r w:rsidRPr="00A953D0">
        <w:rPr>
          <w:rFonts w:ascii="Cambria" w:hAnsi="Cambria"/>
          <w:sz w:val="16"/>
          <w:szCs w:val="16"/>
        </w:rPr>
        <w:t>a</w:t>
      </w:r>
      <w:proofErr w:type="gramEnd"/>
      <w:r w:rsidRPr="00A953D0">
        <w:rPr>
          <w:rFonts w:ascii="Cambria" w:hAnsi="Cambria"/>
          <w:sz w:val="16"/>
          <w:szCs w:val="16"/>
        </w:rPr>
        <w:t xml:space="preserve"> Responder was defined as a patient with IGA 0 or 1 (“clear” or “almost clear”) with a reduction of ≥ 2 points on a 0-4 IGA scale.</w:t>
      </w:r>
    </w:p>
    <w:p w:rsidR="00186D3D" w:rsidRPr="00A953D0" w:rsidRDefault="00186D3D" w:rsidP="00186D3D">
      <w:pPr>
        <w:spacing w:before="0"/>
        <w:rPr>
          <w:rFonts w:ascii="Cambria" w:hAnsi="Cambria"/>
          <w:sz w:val="16"/>
          <w:szCs w:val="16"/>
        </w:rPr>
      </w:pPr>
      <w:proofErr w:type="spellStart"/>
      <w:proofErr w:type="gramStart"/>
      <w:r w:rsidRPr="00A953D0">
        <w:rPr>
          <w:rFonts w:ascii="Cambria" w:hAnsi="Cambria"/>
          <w:sz w:val="16"/>
          <w:szCs w:val="16"/>
        </w:rPr>
        <w:t>bIn</w:t>
      </w:r>
      <w:proofErr w:type="spellEnd"/>
      <w:proofErr w:type="gramEnd"/>
      <w:r w:rsidRPr="00A953D0">
        <w:rPr>
          <w:rFonts w:ascii="Cambria" w:hAnsi="Cambria"/>
          <w:sz w:val="16"/>
          <w:szCs w:val="16"/>
        </w:rPr>
        <w:t xml:space="preserve"> the primary analyses of the efficacy endpoints (solid line above), patients who received rescue treatment were considered non-responders</w:t>
      </w:r>
      <w:r w:rsidR="00AE2884" w:rsidRPr="00A953D0">
        <w:rPr>
          <w:rFonts w:ascii="Cambria" w:hAnsi="Cambria"/>
          <w:sz w:val="16"/>
          <w:szCs w:val="16"/>
        </w:rPr>
        <w:t xml:space="preserve"> for the purpose of this statistical analysis</w:t>
      </w:r>
      <w:r w:rsidRPr="00A953D0">
        <w:rPr>
          <w:rFonts w:ascii="Cambria" w:hAnsi="Cambria"/>
          <w:sz w:val="16"/>
          <w:szCs w:val="16"/>
        </w:rPr>
        <w:t>. The as-observed analyses (dotted line above) included all data regardless of rescue treatment. In both cases, patients with missing data were considered as non-responders.</w:t>
      </w:r>
    </w:p>
    <w:p w:rsidR="00295C4B" w:rsidRPr="00A953D0" w:rsidRDefault="00186D3D" w:rsidP="00186D3D">
      <w:pPr>
        <w:spacing w:before="0"/>
        <w:rPr>
          <w:rFonts w:ascii="Cambria" w:hAnsi="Cambria"/>
          <w:sz w:val="16"/>
          <w:szCs w:val="16"/>
        </w:rPr>
      </w:pPr>
      <w:proofErr w:type="spellStart"/>
      <w:proofErr w:type="gramStart"/>
      <w:r w:rsidRPr="00A953D0">
        <w:rPr>
          <w:rFonts w:ascii="Cambria" w:hAnsi="Cambria"/>
          <w:sz w:val="16"/>
          <w:szCs w:val="16"/>
        </w:rPr>
        <w:t>cFull</w:t>
      </w:r>
      <w:proofErr w:type="spellEnd"/>
      <w:proofErr w:type="gramEnd"/>
      <w:r w:rsidRPr="00A953D0">
        <w:rPr>
          <w:rFonts w:ascii="Cambria" w:hAnsi="Cambria"/>
          <w:sz w:val="16"/>
          <w:szCs w:val="16"/>
        </w:rPr>
        <w:t xml:space="preserve"> analysis set (FAS) includes all patients randomized.  </w:t>
      </w:r>
    </w:p>
    <w:p w:rsidR="00295C4B" w:rsidRPr="00A953D0" w:rsidRDefault="00295C4B" w:rsidP="00295C4B">
      <w:pPr>
        <w:pStyle w:val="Caption"/>
        <w:spacing w:before="0" w:after="0"/>
        <w:jc w:val="left"/>
        <w:rPr>
          <w:rFonts w:ascii="Cambria" w:hAnsi="Cambria"/>
          <w:sz w:val="18"/>
          <w:szCs w:val="18"/>
        </w:rPr>
      </w:pPr>
    </w:p>
    <w:p w:rsidR="00186D3D" w:rsidRPr="00A953D0" w:rsidRDefault="00186D3D" w:rsidP="00295C4B">
      <w:pPr>
        <w:pStyle w:val="Caption"/>
        <w:spacing w:before="0" w:after="0"/>
        <w:jc w:val="left"/>
        <w:rPr>
          <w:rFonts w:ascii="Cambria" w:hAnsi="Cambria"/>
        </w:rPr>
      </w:pPr>
      <w:bookmarkStart w:id="23" w:name="_Toc456607007"/>
    </w:p>
    <w:bookmarkEnd w:id="23"/>
    <w:p w:rsidR="0042040D" w:rsidRPr="00A953D0" w:rsidRDefault="001D03B1" w:rsidP="001D03B1">
      <w:pPr>
        <w:pStyle w:val="Caption"/>
        <w:spacing w:before="0"/>
        <w:rPr>
          <w:rFonts w:ascii="Cambria" w:hAnsi="Cambria"/>
        </w:rPr>
      </w:pPr>
      <w:r>
        <w:rPr>
          <w:rFonts w:ascii="Cambria" w:hAnsi="Cambria"/>
        </w:rPr>
        <w:t xml:space="preserve"> </w:t>
      </w:r>
      <w:r>
        <w:t>Figure </w:t>
      </w:r>
      <w:r>
        <w:fldChar w:fldCharType="begin"/>
      </w:r>
      <w:r>
        <w:instrText xml:space="preserve"> SEQ Figure \* ARABIC </w:instrText>
      </w:r>
      <w:r>
        <w:fldChar w:fldCharType="separate"/>
      </w:r>
      <w:r w:rsidR="001A3761">
        <w:rPr>
          <w:noProof/>
        </w:rPr>
        <w:t>2</w:t>
      </w:r>
      <w:r>
        <w:fldChar w:fldCharType="end"/>
      </w:r>
      <w:r>
        <w:t xml:space="preserve"> ­ </w:t>
      </w:r>
      <w:bookmarkStart w:id="24" w:name="_Toc456607008"/>
      <w:r w:rsidRPr="00A953D0">
        <w:rPr>
          <w:rFonts w:ascii="Cambria" w:hAnsi="Cambria"/>
        </w:rPr>
        <w:t>Proportion of Patients with EASI-75 in Study 1334 and Study 1416 (</w:t>
      </w:r>
      <w:proofErr w:type="spellStart"/>
      <w:r w:rsidRPr="00A953D0">
        <w:rPr>
          <w:rFonts w:ascii="Cambria" w:hAnsi="Cambria"/>
        </w:rPr>
        <w:t>FAS</w:t>
      </w:r>
      <w:r w:rsidRPr="001D03B1">
        <w:rPr>
          <w:rFonts w:ascii="Cambria" w:hAnsi="Cambria"/>
          <w:vertAlign w:val="superscript"/>
        </w:rPr>
        <w:t>b</w:t>
      </w:r>
      <w:proofErr w:type="spellEnd"/>
      <w:r w:rsidRPr="00A953D0">
        <w:rPr>
          <w:rFonts w:ascii="Cambria" w:hAnsi="Cambria"/>
        </w:rPr>
        <w:t>)</w:t>
      </w:r>
      <w:bookmarkEnd w:id="24"/>
    </w:p>
    <w:tbl>
      <w:tblPr>
        <w:tblW w:w="9572" w:type="dxa"/>
        <w:tblLook w:val="04A0" w:firstRow="1" w:lastRow="0" w:firstColumn="1" w:lastColumn="0" w:noHBand="0" w:noVBand="1"/>
      </w:tblPr>
      <w:tblGrid>
        <w:gridCol w:w="4786"/>
        <w:gridCol w:w="4786"/>
      </w:tblGrid>
      <w:tr w:rsidR="00295C4B" w:rsidRPr="00A953D0" w:rsidTr="003D745C">
        <w:tc>
          <w:tcPr>
            <w:tcW w:w="4786" w:type="dxa"/>
            <w:shd w:val="clear" w:color="auto" w:fill="auto"/>
          </w:tcPr>
          <w:p w:rsidR="00295C4B" w:rsidRPr="00A953D0" w:rsidRDefault="00295C4B" w:rsidP="003D745C">
            <w:pPr>
              <w:pStyle w:val="C-BodyText"/>
              <w:keepNext/>
              <w:keepLines/>
              <w:jc w:val="center"/>
              <w:rPr>
                <w:rFonts w:ascii="Cambria" w:hAnsi="Cambria"/>
                <w:color w:val="000000"/>
                <w:vertAlign w:val="superscript"/>
              </w:rPr>
            </w:pPr>
            <w:r w:rsidRPr="00A953D0">
              <w:rPr>
                <w:rFonts w:ascii="Cambria" w:hAnsi="Cambria"/>
                <w:b/>
                <w:color w:val="000000"/>
              </w:rPr>
              <w:t>SOLO 1</w:t>
            </w:r>
            <w:r w:rsidR="004A25BC" w:rsidRPr="00A953D0">
              <w:rPr>
                <w:rFonts w:ascii="Cambria" w:hAnsi="Cambria"/>
                <w:b/>
                <w:color w:val="000000"/>
              </w:rPr>
              <w:t xml:space="preserve"> </w:t>
            </w:r>
          </w:p>
        </w:tc>
        <w:tc>
          <w:tcPr>
            <w:tcW w:w="4786" w:type="dxa"/>
            <w:shd w:val="clear" w:color="auto" w:fill="auto"/>
          </w:tcPr>
          <w:p w:rsidR="00295C4B" w:rsidRPr="00A953D0" w:rsidRDefault="00295C4B" w:rsidP="003D745C">
            <w:pPr>
              <w:pStyle w:val="C-BodyText"/>
              <w:keepNext/>
              <w:keepLines/>
              <w:jc w:val="center"/>
              <w:rPr>
                <w:rFonts w:ascii="Cambria" w:hAnsi="Cambria"/>
                <w:color w:val="000000"/>
                <w:vertAlign w:val="superscript"/>
              </w:rPr>
            </w:pPr>
            <w:r w:rsidRPr="00A953D0">
              <w:rPr>
                <w:rFonts w:ascii="Cambria" w:hAnsi="Cambria"/>
                <w:b/>
                <w:color w:val="000000"/>
              </w:rPr>
              <w:t>SOLO 2</w:t>
            </w:r>
          </w:p>
        </w:tc>
      </w:tr>
    </w:tbl>
    <w:p w:rsidR="00295C4B" w:rsidRPr="00A953D0" w:rsidRDefault="00A17E41" w:rsidP="00F93488">
      <w:pPr>
        <w:spacing w:before="0"/>
        <w:jc w:val="center"/>
        <w:rPr>
          <w:rFonts w:ascii="Cambria" w:hAnsi="Cambria"/>
          <w:noProof/>
          <w:lang w:val="en-AU" w:eastAsia="en-AU"/>
        </w:rPr>
      </w:pPr>
      <w:r>
        <w:rPr>
          <w:rFonts w:ascii="Cambria" w:hAnsi="Cambria"/>
          <w:noProof/>
          <w:lang w:val="en-AU" w:eastAsia="en-AU"/>
        </w:rPr>
        <w:drawing>
          <wp:inline distT="0" distB="0" distL="0" distR="0">
            <wp:extent cx="5561330" cy="302958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1330" cy="3029585"/>
                    </a:xfrm>
                    <a:prstGeom prst="rect">
                      <a:avLst/>
                    </a:prstGeom>
                    <a:noFill/>
                    <a:ln>
                      <a:noFill/>
                    </a:ln>
                  </pic:spPr>
                </pic:pic>
              </a:graphicData>
            </a:graphic>
          </wp:inline>
        </w:drawing>
      </w:r>
    </w:p>
    <w:p w:rsidR="00295C4B" w:rsidRPr="00A953D0" w:rsidRDefault="00295C4B" w:rsidP="00295C4B">
      <w:pPr>
        <w:spacing w:before="0"/>
        <w:rPr>
          <w:rFonts w:ascii="Cambria" w:hAnsi="Cambria"/>
          <w:sz w:val="18"/>
          <w:szCs w:val="18"/>
        </w:rPr>
      </w:pPr>
      <w:proofErr w:type="spellStart"/>
      <w:proofErr w:type="gramStart"/>
      <w:r w:rsidRPr="00A953D0">
        <w:rPr>
          <w:rFonts w:ascii="Cambria" w:hAnsi="Cambria"/>
          <w:sz w:val="18"/>
          <w:szCs w:val="18"/>
          <w:vertAlign w:val="superscript"/>
        </w:rPr>
        <w:lastRenderedPageBreak/>
        <w:t>a</w:t>
      </w:r>
      <w:r w:rsidRPr="00A953D0">
        <w:rPr>
          <w:rFonts w:ascii="Cambria" w:hAnsi="Cambria"/>
          <w:sz w:val="18"/>
          <w:szCs w:val="18"/>
        </w:rPr>
        <w:t>In</w:t>
      </w:r>
      <w:proofErr w:type="spellEnd"/>
      <w:proofErr w:type="gramEnd"/>
      <w:r w:rsidRPr="00A953D0">
        <w:rPr>
          <w:rFonts w:ascii="Cambria" w:hAnsi="Cambria"/>
          <w:sz w:val="18"/>
          <w:szCs w:val="18"/>
        </w:rPr>
        <w:t xml:space="preserve"> the primary analyses of the efficacy endpoints (solid line above), patients who received rescue treatment were considered non-responders</w:t>
      </w:r>
      <w:r w:rsidR="00AE2884" w:rsidRPr="00A953D0">
        <w:rPr>
          <w:rFonts w:ascii="Cambria" w:hAnsi="Cambria"/>
          <w:sz w:val="18"/>
          <w:szCs w:val="18"/>
        </w:rPr>
        <w:t xml:space="preserve"> for the purpose of this statistical analysis</w:t>
      </w:r>
      <w:r w:rsidRPr="00A953D0">
        <w:rPr>
          <w:rFonts w:ascii="Cambria" w:hAnsi="Cambria"/>
          <w:sz w:val="18"/>
          <w:szCs w:val="18"/>
        </w:rPr>
        <w:t>. The as-observed analyses (dotted line</w:t>
      </w:r>
      <w:r w:rsidR="006D27B3" w:rsidRPr="00A953D0">
        <w:rPr>
          <w:rFonts w:ascii="Cambria" w:hAnsi="Cambria"/>
          <w:sz w:val="18"/>
          <w:szCs w:val="18"/>
        </w:rPr>
        <w:t xml:space="preserve"> above</w:t>
      </w:r>
      <w:r w:rsidRPr="00A953D0">
        <w:rPr>
          <w:rFonts w:ascii="Cambria" w:hAnsi="Cambria"/>
          <w:sz w:val="18"/>
          <w:szCs w:val="18"/>
        </w:rPr>
        <w:t>) included all data regardless of rescue treatment. In both cases, patients with missing data were considered as non-responders.</w:t>
      </w:r>
    </w:p>
    <w:p w:rsidR="0042040D" w:rsidRPr="00A953D0" w:rsidRDefault="00295C4B" w:rsidP="00295C4B">
      <w:pPr>
        <w:spacing w:before="0"/>
        <w:rPr>
          <w:rFonts w:ascii="Cambria" w:hAnsi="Cambria"/>
          <w:sz w:val="18"/>
          <w:szCs w:val="18"/>
        </w:rPr>
      </w:pPr>
      <w:proofErr w:type="spellStart"/>
      <w:proofErr w:type="gramStart"/>
      <w:r w:rsidRPr="00A953D0">
        <w:rPr>
          <w:rFonts w:ascii="Cambria" w:hAnsi="Cambria"/>
          <w:sz w:val="18"/>
          <w:szCs w:val="18"/>
          <w:vertAlign w:val="superscript"/>
        </w:rPr>
        <w:t>b</w:t>
      </w:r>
      <w:r w:rsidRPr="00A953D0">
        <w:rPr>
          <w:rFonts w:ascii="Cambria" w:hAnsi="Cambria"/>
          <w:sz w:val="18"/>
          <w:szCs w:val="18"/>
        </w:rPr>
        <w:t>Full</w:t>
      </w:r>
      <w:proofErr w:type="spellEnd"/>
      <w:proofErr w:type="gramEnd"/>
      <w:r w:rsidRPr="00A953D0">
        <w:rPr>
          <w:rFonts w:ascii="Cambria" w:hAnsi="Cambria"/>
          <w:sz w:val="18"/>
          <w:szCs w:val="18"/>
        </w:rPr>
        <w:t xml:space="preserve"> analysis set (FAS) includes all patients randomized.</w:t>
      </w:r>
    </w:p>
    <w:p w:rsidR="006D27B3" w:rsidRPr="00A953D0" w:rsidRDefault="006D27B3" w:rsidP="00295C4B">
      <w:pPr>
        <w:spacing w:before="0"/>
        <w:rPr>
          <w:rFonts w:ascii="Cambria" w:hAnsi="Cambria"/>
          <w:sz w:val="18"/>
          <w:szCs w:val="18"/>
        </w:rPr>
      </w:pPr>
    </w:p>
    <w:p w:rsidR="00F4465B" w:rsidRPr="00A953D0" w:rsidRDefault="0042040D" w:rsidP="0042040D">
      <w:pPr>
        <w:spacing w:before="0"/>
        <w:rPr>
          <w:rFonts w:ascii="Cambria" w:hAnsi="Cambria"/>
          <w:noProof/>
        </w:rPr>
      </w:pPr>
      <w:r w:rsidRPr="00A953D0">
        <w:rPr>
          <w:rFonts w:ascii="Cambria" w:hAnsi="Cambria"/>
          <w:noProof/>
        </w:rPr>
        <w:t xml:space="preserve">Treatment effects in subgroups (weight, age, gender, race, and background treatment, including immunosuppressants) in </w:t>
      </w:r>
      <w:r w:rsidR="004A25BC" w:rsidRPr="00A953D0">
        <w:rPr>
          <w:rFonts w:ascii="Cambria" w:hAnsi="Cambria"/>
          <w:noProof/>
        </w:rPr>
        <w:t>Study 1334</w:t>
      </w:r>
      <w:r w:rsidRPr="00A953D0">
        <w:rPr>
          <w:rFonts w:ascii="Cambria" w:hAnsi="Cambria"/>
          <w:noProof/>
        </w:rPr>
        <w:t xml:space="preserve"> and </w:t>
      </w:r>
      <w:r w:rsidR="004A25BC" w:rsidRPr="00A953D0">
        <w:rPr>
          <w:rFonts w:ascii="Cambria" w:hAnsi="Cambria"/>
          <w:noProof/>
        </w:rPr>
        <w:t>Study 1416</w:t>
      </w:r>
      <w:r w:rsidRPr="00A953D0">
        <w:rPr>
          <w:rFonts w:ascii="Cambria" w:hAnsi="Cambria"/>
          <w:noProof/>
        </w:rPr>
        <w:t xml:space="preserve"> were in general consistent with the results in the overall study population.</w:t>
      </w:r>
    </w:p>
    <w:p w:rsidR="0042040D" w:rsidRPr="00A953D0" w:rsidRDefault="0042040D" w:rsidP="00186D3D">
      <w:pPr>
        <w:pStyle w:val="Heading4"/>
        <w:numPr>
          <w:ilvl w:val="0"/>
          <w:numId w:val="0"/>
        </w:numPr>
        <w:rPr>
          <w:rFonts w:ascii="Cambria" w:hAnsi="Cambria"/>
        </w:rPr>
      </w:pPr>
      <w:bookmarkStart w:id="25" w:name="_Toc456606951"/>
      <w:r w:rsidRPr="00A953D0">
        <w:rPr>
          <w:rFonts w:ascii="Cambria" w:hAnsi="Cambria"/>
        </w:rPr>
        <w:t>52-Week Concomitant TCS Study (</w:t>
      </w:r>
      <w:r w:rsidR="004A25BC" w:rsidRPr="00A953D0">
        <w:rPr>
          <w:rFonts w:ascii="Cambria" w:hAnsi="Cambria"/>
        </w:rPr>
        <w:t>Study 1224</w:t>
      </w:r>
      <w:r w:rsidRPr="00A953D0">
        <w:rPr>
          <w:rFonts w:ascii="Cambria" w:hAnsi="Cambria"/>
        </w:rPr>
        <w:t>)</w:t>
      </w:r>
      <w:bookmarkEnd w:id="25"/>
    </w:p>
    <w:p w:rsidR="001806C1" w:rsidRPr="00A953D0" w:rsidRDefault="0042040D" w:rsidP="0042040D">
      <w:pPr>
        <w:rPr>
          <w:rFonts w:ascii="Cambria" w:hAnsi="Cambria"/>
        </w:rPr>
      </w:pPr>
      <w:r w:rsidRPr="00A953D0">
        <w:rPr>
          <w:rFonts w:ascii="Cambria" w:hAnsi="Cambria"/>
        </w:rPr>
        <w:t xml:space="preserve">In </w:t>
      </w:r>
      <w:r w:rsidR="004A25BC" w:rsidRPr="00A953D0">
        <w:rPr>
          <w:rFonts w:ascii="Cambria" w:hAnsi="Cambria"/>
        </w:rPr>
        <w:t>Study 1224)</w:t>
      </w:r>
      <w:r w:rsidRPr="00A953D0">
        <w:rPr>
          <w:rFonts w:ascii="Cambria" w:hAnsi="Cambria"/>
        </w:rPr>
        <w:t xml:space="preserve">, a significantly greater proportion of patients randomized to </w:t>
      </w:r>
      <w:proofErr w:type="spellStart"/>
      <w:r w:rsidR="009031DB" w:rsidRPr="00A953D0">
        <w:rPr>
          <w:rFonts w:ascii="Cambria" w:hAnsi="Cambria"/>
        </w:rPr>
        <w:t>Dupixent</w:t>
      </w:r>
      <w:proofErr w:type="spellEnd"/>
      <w:r w:rsidR="00653269" w:rsidRPr="00A953D0">
        <w:rPr>
          <w:rFonts w:ascii="Cambria" w:hAnsi="Cambria"/>
        </w:rPr>
        <w:t xml:space="preserve"> </w:t>
      </w:r>
      <w:r w:rsidRPr="00A953D0">
        <w:rPr>
          <w:rFonts w:ascii="Cambria" w:hAnsi="Cambria"/>
        </w:rPr>
        <w:t xml:space="preserve">300 mg Q2W + TCS achieved an IGA 0 or 1 response, EASI-75, and/or an improvement of </w:t>
      </w:r>
      <w:r w:rsidR="00451EE7" w:rsidRPr="00A953D0">
        <w:rPr>
          <w:rFonts w:ascii="Cambria" w:hAnsi="Cambria"/>
        </w:rPr>
        <w:t>≥</w:t>
      </w:r>
      <w:r w:rsidRPr="00A953D0">
        <w:rPr>
          <w:rFonts w:ascii="Cambria" w:hAnsi="Cambria"/>
        </w:rPr>
        <w:t xml:space="preserve"> 4 points on the </w:t>
      </w:r>
      <w:proofErr w:type="spellStart"/>
      <w:r w:rsidRPr="00A953D0">
        <w:rPr>
          <w:rFonts w:ascii="Cambria" w:hAnsi="Cambria"/>
        </w:rPr>
        <w:t>pruritis</w:t>
      </w:r>
      <w:proofErr w:type="spellEnd"/>
      <w:r w:rsidRPr="00A953D0">
        <w:rPr>
          <w:rFonts w:ascii="Cambria" w:hAnsi="Cambria"/>
        </w:rPr>
        <w:t xml:space="preserve"> NRS from baseline to week 16 and week 52 compared to placebo + TCS  (see Table </w:t>
      </w:r>
      <w:r w:rsidR="000E5F7B">
        <w:rPr>
          <w:rFonts w:ascii="Cambria" w:hAnsi="Cambria"/>
        </w:rPr>
        <w:t>4</w:t>
      </w:r>
      <w:r w:rsidRPr="00A953D0">
        <w:rPr>
          <w:rFonts w:ascii="Cambria" w:hAnsi="Cambria"/>
        </w:rPr>
        <w:t xml:space="preserve">). </w:t>
      </w:r>
    </w:p>
    <w:p w:rsidR="0042040D" w:rsidRPr="00A953D0" w:rsidRDefault="0042040D" w:rsidP="0042040D">
      <w:pPr>
        <w:rPr>
          <w:rFonts w:ascii="Cambria" w:hAnsi="Cambria"/>
        </w:rPr>
      </w:pPr>
      <w:r w:rsidRPr="00A953D0">
        <w:rPr>
          <w:rFonts w:ascii="Cambria" w:hAnsi="Cambria"/>
        </w:rPr>
        <w:t xml:space="preserve">A significantly greater proportion of patients randomized to </w:t>
      </w:r>
      <w:proofErr w:type="spellStart"/>
      <w:r w:rsidR="009031DB" w:rsidRPr="00A953D0">
        <w:rPr>
          <w:rFonts w:ascii="Cambria" w:hAnsi="Cambria"/>
        </w:rPr>
        <w:t>Dupixent</w:t>
      </w:r>
      <w:proofErr w:type="spellEnd"/>
      <w:r w:rsidR="00183F13" w:rsidRPr="00A953D0">
        <w:rPr>
          <w:rFonts w:ascii="Cambria" w:hAnsi="Cambria"/>
        </w:rPr>
        <w:t xml:space="preserve"> </w:t>
      </w:r>
      <w:r w:rsidRPr="00A953D0">
        <w:rPr>
          <w:rFonts w:ascii="Cambria" w:hAnsi="Cambria"/>
        </w:rPr>
        <w:t>+ TC</w:t>
      </w:r>
      <w:r w:rsidR="00AE2884" w:rsidRPr="00A953D0">
        <w:rPr>
          <w:rFonts w:ascii="Cambria" w:hAnsi="Cambria"/>
        </w:rPr>
        <w:t>S achieved a rapid improvement i</w:t>
      </w:r>
      <w:r w:rsidRPr="00A953D0">
        <w:rPr>
          <w:rFonts w:ascii="Cambria" w:hAnsi="Cambria"/>
        </w:rPr>
        <w:t>n the pruritus NRS compared to placebo + TCS (defined</w:t>
      </w:r>
      <w:r w:rsidR="001806C1" w:rsidRPr="00A953D0">
        <w:rPr>
          <w:rFonts w:ascii="Cambria" w:hAnsi="Cambria"/>
        </w:rPr>
        <w:t xml:space="preserve"> as </w:t>
      </w:r>
      <w:r w:rsidR="00451EE7" w:rsidRPr="00A953D0">
        <w:rPr>
          <w:rFonts w:ascii="Cambria" w:hAnsi="Cambria"/>
        </w:rPr>
        <w:t>≥</w:t>
      </w:r>
      <w:r w:rsidR="001806C1" w:rsidRPr="00A953D0">
        <w:rPr>
          <w:rFonts w:ascii="Cambria" w:hAnsi="Cambria"/>
        </w:rPr>
        <w:t>4-point</w:t>
      </w:r>
      <w:r w:rsidRPr="00A953D0">
        <w:rPr>
          <w:rFonts w:ascii="Cambria" w:hAnsi="Cambria"/>
        </w:rPr>
        <w:t xml:space="preserve"> improvement </w:t>
      </w:r>
      <w:r w:rsidR="00AE2884" w:rsidRPr="00A953D0">
        <w:rPr>
          <w:rFonts w:ascii="Cambria" w:hAnsi="Cambria"/>
        </w:rPr>
        <w:t xml:space="preserve">as </w:t>
      </w:r>
      <w:r w:rsidRPr="00A953D0">
        <w:rPr>
          <w:rFonts w:ascii="Cambria" w:hAnsi="Cambria"/>
        </w:rPr>
        <w:t>early as week 2</w:t>
      </w:r>
      <w:r w:rsidR="00AD5675" w:rsidRPr="00A953D0">
        <w:rPr>
          <w:rFonts w:ascii="Cambria" w:hAnsi="Cambria"/>
        </w:rPr>
        <w:t>;</w:t>
      </w:r>
      <w:r w:rsidR="00AE2884" w:rsidRPr="00A953D0">
        <w:rPr>
          <w:rFonts w:ascii="Cambria" w:hAnsi="Cambria"/>
        </w:rPr>
        <w:t xml:space="preserve"> p &lt;0.05</w:t>
      </w:r>
      <w:r w:rsidRPr="00A953D0">
        <w:rPr>
          <w:rFonts w:ascii="Cambria" w:hAnsi="Cambria"/>
        </w:rPr>
        <w:t>) and the proportion of patients responding on the pruritus NRS continued to increase through the treatment period</w:t>
      </w:r>
      <w:r w:rsidR="004A31E5">
        <w:rPr>
          <w:rFonts w:ascii="Cambria" w:hAnsi="Cambria"/>
        </w:rPr>
        <w:t xml:space="preserve">. </w:t>
      </w:r>
      <w:r w:rsidRPr="00A953D0">
        <w:rPr>
          <w:rFonts w:ascii="Cambria" w:hAnsi="Cambria"/>
        </w:rPr>
        <w:t xml:space="preserve">The improvement in pruritus NRS occurred in conjunction with the improvement of objective signs of atopic dermatitis. </w:t>
      </w:r>
    </w:p>
    <w:p w:rsidR="0042040D" w:rsidRPr="00A953D0" w:rsidRDefault="0042040D" w:rsidP="0042040D">
      <w:pPr>
        <w:rPr>
          <w:rFonts w:ascii="Cambria" w:hAnsi="Cambria"/>
        </w:rPr>
      </w:pPr>
      <w:r w:rsidRPr="00A953D0">
        <w:rPr>
          <w:rFonts w:ascii="Cambria" w:hAnsi="Cambria"/>
        </w:rPr>
        <w:t xml:space="preserve">Figure </w:t>
      </w:r>
      <w:r w:rsidR="005478FF" w:rsidRPr="004A31E5">
        <w:rPr>
          <w:rFonts w:ascii="Cambria" w:hAnsi="Cambria"/>
        </w:rPr>
        <w:t>3</w:t>
      </w:r>
      <w:r w:rsidRPr="00A953D0">
        <w:rPr>
          <w:rFonts w:ascii="Cambria" w:hAnsi="Cambria"/>
        </w:rPr>
        <w:t xml:space="preserve"> and Figure </w:t>
      </w:r>
      <w:r w:rsidR="005478FF" w:rsidRPr="004A31E5">
        <w:rPr>
          <w:rFonts w:ascii="Cambria" w:hAnsi="Cambria"/>
        </w:rPr>
        <w:t>4</w:t>
      </w:r>
      <w:r w:rsidRPr="00A953D0">
        <w:rPr>
          <w:rFonts w:ascii="Cambria" w:hAnsi="Cambria"/>
        </w:rPr>
        <w:t xml:space="preserve"> show the proportion of patients who achieved an IGA 0 or 1 response and EASI 75, respectively, up to Week 52 in </w:t>
      </w:r>
      <w:r w:rsidR="004A25BC" w:rsidRPr="00A953D0">
        <w:rPr>
          <w:rFonts w:ascii="Cambria" w:hAnsi="Cambria"/>
        </w:rPr>
        <w:t>Study 1224</w:t>
      </w:r>
      <w:r w:rsidRPr="00A953D0">
        <w:rPr>
          <w:rFonts w:ascii="Cambria" w:hAnsi="Cambria"/>
        </w:rPr>
        <w:t>.</w:t>
      </w:r>
    </w:p>
    <w:p w:rsidR="00186D3D" w:rsidRPr="00A953D0" w:rsidRDefault="00451EE7" w:rsidP="00451EE7">
      <w:pPr>
        <w:pStyle w:val="Caption"/>
        <w:jc w:val="left"/>
        <w:rPr>
          <w:rFonts w:ascii="Cambria" w:eastAsia="MS Mincho" w:hAnsi="Cambria" w:cs="Times New Roman"/>
          <w:b w:val="0"/>
          <w:bCs w:val="0"/>
          <w:color w:val="000000"/>
          <w:sz w:val="24"/>
          <w:szCs w:val="24"/>
        </w:rPr>
      </w:pPr>
      <w:r w:rsidRPr="00A953D0">
        <w:rPr>
          <w:rFonts w:ascii="Cambria" w:eastAsia="MS Mincho" w:hAnsi="Cambria" w:cs="Times New Roman"/>
          <w:b w:val="0"/>
          <w:bCs w:val="0"/>
          <w:color w:val="000000"/>
          <w:sz w:val="24"/>
          <w:szCs w:val="24"/>
        </w:rPr>
        <w:t xml:space="preserve">EASI-90 response was achieved in 15.5% of patients in the placebo group, 50.6% in the </w:t>
      </w:r>
      <w:proofErr w:type="spellStart"/>
      <w:r w:rsidR="009031DB" w:rsidRPr="00A953D0">
        <w:rPr>
          <w:rFonts w:ascii="Cambria" w:eastAsia="MS Mincho" w:hAnsi="Cambria" w:cs="Times New Roman"/>
          <w:b w:val="0"/>
          <w:bCs w:val="0"/>
          <w:color w:val="000000"/>
          <w:sz w:val="24"/>
          <w:szCs w:val="24"/>
        </w:rPr>
        <w:t>Dupixent</w:t>
      </w:r>
      <w:proofErr w:type="spellEnd"/>
      <w:r w:rsidRPr="00A953D0">
        <w:rPr>
          <w:rFonts w:ascii="Cambria" w:eastAsia="MS Mincho" w:hAnsi="Cambria" w:cs="Times New Roman"/>
          <w:b w:val="0"/>
          <w:bCs w:val="0"/>
          <w:color w:val="000000"/>
          <w:sz w:val="24"/>
          <w:szCs w:val="24"/>
        </w:rPr>
        <w:t xml:space="preserve"> 300 mg Q2W group, and 50.7% in the </w:t>
      </w:r>
      <w:proofErr w:type="spellStart"/>
      <w:r w:rsidR="009031DB" w:rsidRPr="00A953D0">
        <w:rPr>
          <w:rFonts w:ascii="Cambria" w:eastAsia="MS Mincho" w:hAnsi="Cambria" w:cs="Times New Roman"/>
          <w:b w:val="0"/>
          <w:bCs w:val="0"/>
          <w:color w:val="000000"/>
          <w:sz w:val="24"/>
          <w:szCs w:val="24"/>
        </w:rPr>
        <w:t>Dupixent</w:t>
      </w:r>
      <w:proofErr w:type="spellEnd"/>
      <w:r w:rsidR="00CC54AE" w:rsidRPr="00A953D0">
        <w:rPr>
          <w:rFonts w:ascii="Cambria" w:eastAsia="MS Mincho" w:hAnsi="Cambria" w:cs="Times New Roman"/>
          <w:b w:val="0"/>
          <w:bCs w:val="0"/>
          <w:color w:val="000000"/>
          <w:sz w:val="24"/>
          <w:szCs w:val="24"/>
        </w:rPr>
        <w:t xml:space="preserve"> </w:t>
      </w:r>
      <w:r w:rsidR="008E1426" w:rsidRPr="00A953D0">
        <w:rPr>
          <w:rFonts w:ascii="Cambria" w:eastAsia="MS Mincho" w:hAnsi="Cambria" w:cs="Times New Roman"/>
          <w:b w:val="0"/>
          <w:bCs w:val="0"/>
          <w:color w:val="000000"/>
          <w:sz w:val="24"/>
          <w:szCs w:val="24"/>
        </w:rPr>
        <w:t xml:space="preserve">300 </w:t>
      </w:r>
      <w:r w:rsidRPr="00A953D0">
        <w:rPr>
          <w:rFonts w:ascii="Cambria" w:eastAsia="MS Mincho" w:hAnsi="Cambria" w:cs="Times New Roman"/>
          <w:b w:val="0"/>
          <w:bCs w:val="0"/>
          <w:color w:val="000000"/>
          <w:sz w:val="24"/>
          <w:szCs w:val="24"/>
        </w:rPr>
        <w:t xml:space="preserve">mg QW group, respectively in the </w:t>
      </w:r>
      <w:r w:rsidR="004A25BC" w:rsidRPr="00A953D0">
        <w:rPr>
          <w:rFonts w:ascii="Cambria" w:eastAsia="MS Mincho" w:hAnsi="Cambria" w:cs="Times New Roman"/>
          <w:b w:val="0"/>
          <w:bCs w:val="0"/>
          <w:color w:val="000000"/>
          <w:sz w:val="24"/>
          <w:szCs w:val="24"/>
        </w:rPr>
        <w:t>Study 1224</w:t>
      </w:r>
      <w:r w:rsidRPr="00A953D0">
        <w:rPr>
          <w:rFonts w:ascii="Cambria" w:eastAsia="MS Mincho" w:hAnsi="Cambria" w:cs="Times New Roman"/>
          <w:b w:val="0"/>
          <w:bCs w:val="0"/>
          <w:color w:val="000000"/>
          <w:sz w:val="24"/>
          <w:szCs w:val="24"/>
        </w:rPr>
        <w:t xml:space="preserve"> study at Week 52.</w:t>
      </w:r>
    </w:p>
    <w:p w:rsidR="00451EE7" w:rsidRPr="00A953D0" w:rsidRDefault="00451EE7" w:rsidP="00451EE7">
      <w:pPr>
        <w:pStyle w:val="Caption"/>
        <w:jc w:val="left"/>
        <w:rPr>
          <w:rFonts w:ascii="Cambria" w:eastAsia="MS Mincho" w:hAnsi="Cambria" w:cs="Times New Roman"/>
          <w:b w:val="0"/>
          <w:bCs w:val="0"/>
          <w:color w:val="000000"/>
          <w:sz w:val="24"/>
          <w:szCs w:val="24"/>
        </w:rPr>
      </w:pPr>
      <w:r w:rsidRPr="00A953D0">
        <w:rPr>
          <w:rFonts w:ascii="Cambria" w:eastAsia="MS Mincho" w:hAnsi="Cambria" w:cs="Times New Roman"/>
          <w:b w:val="0"/>
          <w:bCs w:val="0"/>
          <w:color w:val="000000"/>
          <w:sz w:val="24"/>
          <w:szCs w:val="24"/>
        </w:rPr>
        <w:t xml:space="preserve">EASI-50 response was achieved 29.9% of patients in the placebo group, 70.7% in the </w:t>
      </w:r>
      <w:proofErr w:type="spellStart"/>
      <w:r w:rsidR="009031DB" w:rsidRPr="00A953D0">
        <w:rPr>
          <w:rFonts w:ascii="Cambria" w:eastAsia="MS Mincho" w:hAnsi="Cambria" w:cs="Times New Roman"/>
          <w:b w:val="0"/>
          <w:bCs w:val="0"/>
          <w:color w:val="000000"/>
          <w:sz w:val="24"/>
          <w:szCs w:val="24"/>
        </w:rPr>
        <w:t>Dupixent</w:t>
      </w:r>
      <w:proofErr w:type="spellEnd"/>
      <w:r w:rsidR="00CC54AE" w:rsidRPr="00A953D0">
        <w:rPr>
          <w:rFonts w:ascii="Cambria" w:eastAsia="MS Mincho" w:hAnsi="Cambria" w:cs="Times New Roman"/>
          <w:b w:val="0"/>
          <w:bCs w:val="0"/>
          <w:color w:val="000000"/>
          <w:sz w:val="24"/>
          <w:szCs w:val="24"/>
        </w:rPr>
        <w:t xml:space="preserve"> </w:t>
      </w:r>
      <w:r w:rsidRPr="00A953D0">
        <w:rPr>
          <w:rFonts w:ascii="Cambria" w:eastAsia="MS Mincho" w:hAnsi="Cambria" w:cs="Times New Roman"/>
          <w:b w:val="0"/>
          <w:bCs w:val="0"/>
          <w:color w:val="000000"/>
          <w:sz w:val="24"/>
          <w:szCs w:val="24"/>
        </w:rPr>
        <w:t xml:space="preserve">300 mg Q2W group, and 70.0% in the </w:t>
      </w:r>
      <w:proofErr w:type="spellStart"/>
      <w:r w:rsidR="009031DB" w:rsidRPr="00A953D0">
        <w:rPr>
          <w:rFonts w:ascii="Cambria" w:eastAsia="MS Mincho" w:hAnsi="Cambria" w:cs="Times New Roman"/>
          <w:b w:val="0"/>
          <w:bCs w:val="0"/>
          <w:color w:val="000000"/>
          <w:sz w:val="24"/>
          <w:szCs w:val="24"/>
        </w:rPr>
        <w:t>Dupixent</w:t>
      </w:r>
      <w:proofErr w:type="spellEnd"/>
      <w:r w:rsidR="00CC54AE" w:rsidRPr="00A953D0">
        <w:rPr>
          <w:rFonts w:ascii="Cambria" w:eastAsia="MS Mincho" w:hAnsi="Cambria" w:cs="Times New Roman"/>
          <w:b w:val="0"/>
          <w:bCs w:val="0"/>
          <w:color w:val="000000"/>
          <w:sz w:val="24"/>
          <w:szCs w:val="24"/>
        </w:rPr>
        <w:t xml:space="preserve"> </w:t>
      </w:r>
      <w:r w:rsidRPr="00A953D0">
        <w:rPr>
          <w:rFonts w:ascii="Cambria" w:eastAsia="MS Mincho" w:hAnsi="Cambria" w:cs="Times New Roman"/>
          <w:b w:val="0"/>
          <w:bCs w:val="0"/>
          <w:color w:val="000000"/>
          <w:sz w:val="24"/>
          <w:szCs w:val="24"/>
        </w:rPr>
        <w:t xml:space="preserve">300 mg QW group, respectively in </w:t>
      </w:r>
      <w:r w:rsidR="004A25BC" w:rsidRPr="00A953D0">
        <w:rPr>
          <w:rFonts w:ascii="Cambria" w:eastAsia="MS Mincho" w:hAnsi="Cambria" w:cs="Times New Roman"/>
          <w:b w:val="0"/>
          <w:bCs w:val="0"/>
          <w:color w:val="000000"/>
          <w:sz w:val="24"/>
          <w:szCs w:val="24"/>
        </w:rPr>
        <w:t>Study 1224</w:t>
      </w:r>
      <w:r w:rsidRPr="00A953D0">
        <w:rPr>
          <w:rFonts w:ascii="Cambria" w:eastAsia="MS Mincho" w:hAnsi="Cambria" w:cs="Times New Roman"/>
          <w:b w:val="0"/>
          <w:bCs w:val="0"/>
          <w:color w:val="000000"/>
          <w:sz w:val="24"/>
          <w:szCs w:val="24"/>
        </w:rPr>
        <w:t xml:space="preserve"> at Week 52.</w:t>
      </w:r>
      <w:r w:rsidR="0042040D" w:rsidRPr="00A953D0">
        <w:rPr>
          <w:rFonts w:ascii="Cambria" w:hAnsi="Cambria"/>
        </w:rPr>
        <w:t xml:space="preserve"> </w:t>
      </w:r>
      <w:bookmarkStart w:id="26" w:name="_Toc456607002"/>
    </w:p>
    <w:p w:rsidR="0042040D" w:rsidRPr="00A953D0" w:rsidRDefault="0042040D" w:rsidP="00451EE7">
      <w:pPr>
        <w:pStyle w:val="Caption"/>
        <w:rPr>
          <w:rFonts w:ascii="Cambria" w:hAnsi="Cambria"/>
        </w:rPr>
      </w:pPr>
      <w:r w:rsidRPr="00A953D0">
        <w:rPr>
          <w:rFonts w:ascii="Cambria" w:hAnsi="Cambria"/>
        </w:rPr>
        <w:t>Table </w:t>
      </w:r>
      <w:r w:rsidRPr="00A953D0">
        <w:rPr>
          <w:rFonts w:ascii="Cambria" w:hAnsi="Cambria"/>
        </w:rPr>
        <w:fldChar w:fldCharType="begin"/>
      </w:r>
      <w:r w:rsidRPr="00A953D0">
        <w:rPr>
          <w:rFonts w:ascii="Cambria" w:hAnsi="Cambria"/>
        </w:rPr>
        <w:instrText xml:space="preserve"> SEQ Table \* ARABIC </w:instrText>
      </w:r>
      <w:r w:rsidRPr="00A953D0">
        <w:rPr>
          <w:rFonts w:ascii="Cambria" w:hAnsi="Cambria"/>
        </w:rPr>
        <w:fldChar w:fldCharType="separate"/>
      </w:r>
      <w:r w:rsidR="001A3761">
        <w:rPr>
          <w:rFonts w:ascii="Cambria" w:hAnsi="Cambria"/>
          <w:noProof/>
        </w:rPr>
        <w:t>4</w:t>
      </w:r>
      <w:r w:rsidRPr="00A953D0">
        <w:rPr>
          <w:rFonts w:ascii="Cambria" w:hAnsi="Cambria"/>
        </w:rPr>
        <w:fldChar w:fldCharType="end"/>
      </w:r>
      <w:r w:rsidRPr="00A953D0">
        <w:rPr>
          <w:rFonts w:ascii="Cambria" w:hAnsi="Cambria"/>
        </w:rPr>
        <w:t xml:space="preserve"> ­ Efficacy Results of </w:t>
      </w:r>
      <w:proofErr w:type="spellStart"/>
      <w:r w:rsidR="009031DB" w:rsidRPr="00A953D0">
        <w:rPr>
          <w:rFonts w:ascii="Cambria" w:hAnsi="Cambria"/>
        </w:rPr>
        <w:t>Dupixent</w:t>
      </w:r>
      <w:proofErr w:type="spellEnd"/>
      <w:r w:rsidRPr="00A953D0">
        <w:rPr>
          <w:rFonts w:ascii="Cambria" w:hAnsi="Cambria"/>
        </w:rPr>
        <w:t xml:space="preserve"> with Concomitant </w:t>
      </w:r>
      <w:proofErr w:type="spellStart"/>
      <w:r w:rsidRPr="00A953D0">
        <w:rPr>
          <w:rFonts w:ascii="Cambria" w:hAnsi="Cambria"/>
        </w:rPr>
        <w:t>TCS</w:t>
      </w:r>
      <w:r w:rsidRPr="00A953D0">
        <w:rPr>
          <w:rFonts w:ascii="Cambria" w:hAnsi="Cambria"/>
          <w:vertAlign w:val="superscript"/>
        </w:rPr>
        <w:t>a</w:t>
      </w:r>
      <w:proofErr w:type="spellEnd"/>
      <w:r w:rsidRPr="00A953D0">
        <w:rPr>
          <w:rFonts w:ascii="Cambria" w:hAnsi="Cambria"/>
        </w:rPr>
        <w:t xml:space="preserve"> at Week 16 and Week 52 in </w:t>
      </w:r>
      <w:bookmarkEnd w:id="26"/>
      <w:r w:rsidR="004A25BC" w:rsidRPr="00A953D0">
        <w:rPr>
          <w:rFonts w:ascii="Cambria" w:hAnsi="Cambria"/>
        </w:rPr>
        <w:t>Study 1224</w:t>
      </w:r>
    </w:p>
    <w:tbl>
      <w:tblPr>
        <w:tblW w:w="0" w:type="auto"/>
        <w:jc w:val="center"/>
        <w:tblBorders>
          <w:top w:val="single" w:sz="2" w:space="0" w:color="000000"/>
        </w:tblBorders>
        <w:tblLook w:val="04A0" w:firstRow="1" w:lastRow="0" w:firstColumn="1" w:lastColumn="0" w:noHBand="0" w:noVBand="1"/>
      </w:tblPr>
      <w:tblGrid>
        <w:gridCol w:w="2464"/>
        <w:gridCol w:w="1078"/>
        <w:gridCol w:w="1284"/>
        <w:gridCol w:w="1254"/>
        <w:gridCol w:w="1067"/>
        <w:gridCol w:w="1284"/>
        <w:gridCol w:w="1254"/>
      </w:tblGrid>
      <w:tr w:rsidR="001806C1" w:rsidRPr="00A953D0" w:rsidTr="001806C1">
        <w:trPr>
          <w:cantSplit/>
          <w:tblHeader/>
          <w:jc w:val="center"/>
        </w:trPr>
        <w:tc>
          <w:tcPr>
            <w:tcW w:w="0" w:type="auto"/>
            <w:tcBorders>
              <w:top w:val="single" w:sz="4" w:space="0" w:color="000000"/>
              <w:bottom w:val="single" w:sz="4" w:space="0" w:color="000000"/>
            </w:tcBorders>
            <w:shd w:val="clear" w:color="auto" w:fill="auto"/>
          </w:tcPr>
          <w:p w:rsidR="001806C1" w:rsidRPr="00A953D0" w:rsidRDefault="001806C1" w:rsidP="001806C1">
            <w:pPr>
              <w:pStyle w:val="TblHeadingCenter"/>
              <w:rPr>
                <w:rFonts w:ascii="Cambria" w:hAnsi="Cambria"/>
              </w:rPr>
            </w:pPr>
          </w:p>
        </w:tc>
        <w:tc>
          <w:tcPr>
            <w:tcW w:w="0" w:type="auto"/>
            <w:gridSpan w:val="3"/>
            <w:tcBorders>
              <w:top w:val="single" w:sz="4" w:space="0" w:color="000000"/>
              <w:bottom w:val="single" w:sz="4" w:space="0" w:color="000000"/>
            </w:tcBorders>
            <w:shd w:val="clear" w:color="auto" w:fill="auto"/>
          </w:tcPr>
          <w:p w:rsidR="001806C1" w:rsidRPr="00A953D0" w:rsidRDefault="001806C1" w:rsidP="001806C1">
            <w:pPr>
              <w:pStyle w:val="TblHeadingCenter"/>
              <w:rPr>
                <w:rFonts w:ascii="Cambria" w:hAnsi="Cambria"/>
                <w:vertAlign w:val="superscript"/>
              </w:rPr>
            </w:pPr>
            <w:r w:rsidRPr="00A953D0">
              <w:rPr>
                <w:rFonts w:ascii="Cambria" w:hAnsi="Cambria"/>
              </w:rPr>
              <w:t>Week 16 (FAS)</w:t>
            </w:r>
            <w:r w:rsidRPr="00A953D0">
              <w:rPr>
                <w:rFonts w:ascii="Cambria" w:hAnsi="Cambria"/>
                <w:vertAlign w:val="superscript"/>
              </w:rPr>
              <w:t>b</w:t>
            </w:r>
          </w:p>
        </w:tc>
        <w:tc>
          <w:tcPr>
            <w:tcW w:w="0" w:type="auto"/>
            <w:gridSpan w:val="3"/>
            <w:tcBorders>
              <w:top w:val="single" w:sz="4" w:space="0" w:color="000000"/>
              <w:bottom w:val="single" w:sz="4" w:space="0" w:color="000000"/>
            </w:tcBorders>
            <w:shd w:val="clear" w:color="auto" w:fill="auto"/>
          </w:tcPr>
          <w:p w:rsidR="001806C1" w:rsidRPr="00A953D0" w:rsidRDefault="001806C1" w:rsidP="001806C1">
            <w:pPr>
              <w:pStyle w:val="TblHeadingCenter"/>
              <w:rPr>
                <w:rFonts w:ascii="Cambria" w:hAnsi="Cambria"/>
                <w:vertAlign w:val="superscript"/>
              </w:rPr>
            </w:pPr>
            <w:r w:rsidRPr="00A953D0">
              <w:rPr>
                <w:rFonts w:ascii="Cambria" w:hAnsi="Cambria"/>
              </w:rPr>
              <w:t>Week 52 (FAS Week 52)</w:t>
            </w:r>
            <w:r w:rsidRPr="00A953D0">
              <w:rPr>
                <w:rFonts w:ascii="Cambria" w:hAnsi="Cambria"/>
                <w:vertAlign w:val="superscript"/>
              </w:rPr>
              <w:t>b</w:t>
            </w:r>
          </w:p>
        </w:tc>
      </w:tr>
      <w:tr w:rsidR="00451EE7" w:rsidRPr="00A953D0" w:rsidTr="001806C1">
        <w:trPr>
          <w:cantSplit/>
          <w:tblHeader/>
          <w:jc w:val="center"/>
        </w:trPr>
        <w:tc>
          <w:tcPr>
            <w:tcW w:w="0" w:type="auto"/>
            <w:tcBorders>
              <w:top w:val="single" w:sz="4" w:space="0" w:color="000000"/>
            </w:tcBorders>
            <w:shd w:val="clear" w:color="auto" w:fill="auto"/>
          </w:tcPr>
          <w:p w:rsidR="001806C1" w:rsidRPr="00A953D0" w:rsidRDefault="001806C1" w:rsidP="000D5787">
            <w:pPr>
              <w:pStyle w:val="TblTextCenter"/>
              <w:jc w:val="left"/>
              <w:rPr>
                <w:rFonts w:ascii="Cambria" w:hAnsi="Cambria"/>
              </w:rPr>
            </w:pPr>
          </w:p>
        </w:tc>
        <w:tc>
          <w:tcPr>
            <w:tcW w:w="0" w:type="auto"/>
            <w:tcBorders>
              <w:top w:val="single" w:sz="4" w:space="0" w:color="000000"/>
            </w:tcBorders>
            <w:shd w:val="clear" w:color="auto" w:fill="auto"/>
          </w:tcPr>
          <w:p w:rsidR="001806C1" w:rsidRPr="00A953D0" w:rsidRDefault="001806C1" w:rsidP="001806C1">
            <w:pPr>
              <w:pStyle w:val="TblTextCenter"/>
              <w:rPr>
                <w:rFonts w:ascii="Cambria" w:hAnsi="Cambria"/>
                <w:b/>
              </w:rPr>
            </w:pPr>
            <w:r w:rsidRPr="00A953D0">
              <w:rPr>
                <w:rFonts w:ascii="Cambria" w:hAnsi="Cambria"/>
                <w:b/>
              </w:rPr>
              <w:t>Placebo + TCS</w:t>
            </w:r>
          </w:p>
        </w:tc>
        <w:tc>
          <w:tcPr>
            <w:tcW w:w="0" w:type="auto"/>
            <w:tcBorders>
              <w:top w:val="single" w:sz="4" w:space="0" w:color="000000"/>
            </w:tcBorders>
            <w:shd w:val="clear" w:color="auto" w:fill="auto"/>
          </w:tcPr>
          <w:p w:rsidR="001806C1" w:rsidRPr="00A953D0" w:rsidRDefault="009031DB" w:rsidP="001806C1">
            <w:pPr>
              <w:pStyle w:val="TblTextCenter"/>
              <w:rPr>
                <w:rFonts w:ascii="Cambria" w:hAnsi="Cambria"/>
                <w:b/>
              </w:rPr>
            </w:pPr>
            <w:proofErr w:type="spellStart"/>
            <w:r w:rsidRPr="00A953D0">
              <w:rPr>
                <w:rFonts w:ascii="Cambria" w:hAnsi="Cambria"/>
                <w:b/>
              </w:rPr>
              <w:t>Dupixent</w:t>
            </w:r>
            <w:proofErr w:type="spellEnd"/>
          </w:p>
          <w:p w:rsidR="001806C1" w:rsidRPr="00A953D0" w:rsidRDefault="001806C1" w:rsidP="001806C1">
            <w:pPr>
              <w:pStyle w:val="TblTextCenter"/>
              <w:rPr>
                <w:rFonts w:ascii="Cambria" w:hAnsi="Cambria"/>
                <w:b/>
              </w:rPr>
            </w:pPr>
            <w:r w:rsidRPr="00A953D0">
              <w:rPr>
                <w:rFonts w:ascii="Cambria" w:hAnsi="Cambria"/>
                <w:b/>
              </w:rPr>
              <w:t>300 mg Q2W + TCS</w:t>
            </w:r>
          </w:p>
        </w:tc>
        <w:tc>
          <w:tcPr>
            <w:tcW w:w="0" w:type="auto"/>
            <w:tcBorders>
              <w:top w:val="single" w:sz="4" w:space="0" w:color="000000"/>
            </w:tcBorders>
            <w:shd w:val="clear" w:color="auto" w:fill="auto"/>
          </w:tcPr>
          <w:p w:rsidR="00451EE7" w:rsidRPr="00A953D0" w:rsidRDefault="009031DB" w:rsidP="001806C1">
            <w:pPr>
              <w:pStyle w:val="TblTextCenter"/>
              <w:rPr>
                <w:rFonts w:ascii="Cambria" w:hAnsi="Cambria"/>
                <w:b/>
              </w:rPr>
            </w:pPr>
            <w:proofErr w:type="spellStart"/>
            <w:r w:rsidRPr="00A953D0">
              <w:rPr>
                <w:rFonts w:ascii="Cambria" w:hAnsi="Cambria"/>
                <w:b/>
              </w:rPr>
              <w:t>Dupixent</w:t>
            </w:r>
            <w:proofErr w:type="spellEnd"/>
          </w:p>
          <w:p w:rsidR="001806C1" w:rsidRPr="00A953D0" w:rsidRDefault="001806C1" w:rsidP="001806C1">
            <w:pPr>
              <w:pStyle w:val="TblTextCenter"/>
              <w:rPr>
                <w:rFonts w:ascii="Cambria" w:hAnsi="Cambria"/>
                <w:b/>
              </w:rPr>
            </w:pPr>
            <w:r w:rsidRPr="00A953D0">
              <w:rPr>
                <w:rFonts w:ascii="Cambria" w:hAnsi="Cambria"/>
                <w:b/>
              </w:rPr>
              <w:t>300 mg QW + TCS</w:t>
            </w:r>
          </w:p>
        </w:tc>
        <w:tc>
          <w:tcPr>
            <w:tcW w:w="0" w:type="auto"/>
            <w:tcBorders>
              <w:top w:val="single" w:sz="4" w:space="0" w:color="000000"/>
            </w:tcBorders>
            <w:shd w:val="clear" w:color="auto" w:fill="auto"/>
          </w:tcPr>
          <w:p w:rsidR="001806C1" w:rsidRPr="00A953D0" w:rsidRDefault="001806C1" w:rsidP="001806C1">
            <w:pPr>
              <w:pStyle w:val="TblTextCenter"/>
              <w:rPr>
                <w:rFonts w:ascii="Cambria" w:hAnsi="Cambria"/>
                <w:b/>
              </w:rPr>
            </w:pPr>
            <w:r w:rsidRPr="00A953D0">
              <w:rPr>
                <w:rFonts w:ascii="Cambria" w:hAnsi="Cambria"/>
                <w:b/>
              </w:rPr>
              <w:t xml:space="preserve">Placebo + </w:t>
            </w:r>
          </w:p>
          <w:p w:rsidR="001806C1" w:rsidRPr="00A953D0" w:rsidRDefault="001806C1" w:rsidP="001806C1">
            <w:pPr>
              <w:pStyle w:val="TblTextCenter"/>
              <w:rPr>
                <w:rFonts w:ascii="Cambria" w:hAnsi="Cambria"/>
                <w:b/>
              </w:rPr>
            </w:pPr>
            <w:r w:rsidRPr="00A953D0">
              <w:rPr>
                <w:rFonts w:ascii="Cambria" w:hAnsi="Cambria"/>
                <w:b/>
              </w:rPr>
              <w:t>TCS</w:t>
            </w:r>
          </w:p>
        </w:tc>
        <w:tc>
          <w:tcPr>
            <w:tcW w:w="0" w:type="auto"/>
            <w:tcBorders>
              <w:top w:val="single" w:sz="4" w:space="0" w:color="000000"/>
            </w:tcBorders>
            <w:shd w:val="clear" w:color="auto" w:fill="auto"/>
          </w:tcPr>
          <w:p w:rsidR="00451EE7" w:rsidRPr="00A953D0" w:rsidRDefault="009031DB" w:rsidP="001806C1">
            <w:pPr>
              <w:pStyle w:val="TblTextCenter"/>
              <w:rPr>
                <w:rFonts w:ascii="Cambria" w:hAnsi="Cambria"/>
                <w:b/>
              </w:rPr>
            </w:pPr>
            <w:proofErr w:type="spellStart"/>
            <w:r w:rsidRPr="00A953D0">
              <w:rPr>
                <w:rFonts w:ascii="Cambria" w:hAnsi="Cambria"/>
                <w:b/>
              </w:rPr>
              <w:t>Dupixent</w:t>
            </w:r>
            <w:proofErr w:type="spellEnd"/>
          </w:p>
          <w:p w:rsidR="001806C1" w:rsidRPr="00A953D0" w:rsidRDefault="001806C1" w:rsidP="001806C1">
            <w:pPr>
              <w:pStyle w:val="TblTextCenter"/>
              <w:rPr>
                <w:rFonts w:ascii="Cambria" w:hAnsi="Cambria"/>
                <w:b/>
              </w:rPr>
            </w:pPr>
            <w:r w:rsidRPr="00A953D0">
              <w:rPr>
                <w:rFonts w:ascii="Cambria" w:hAnsi="Cambria"/>
                <w:b/>
              </w:rPr>
              <w:t>300 mg Q2W + TCS</w:t>
            </w:r>
          </w:p>
        </w:tc>
        <w:tc>
          <w:tcPr>
            <w:tcW w:w="0" w:type="auto"/>
            <w:tcBorders>
              <w:top w:val="single" w:sz="4" w:space="0" w:color="000000"/>
            </w:tcBorders>
            <w:shd w:val="clear" w:color="auto" w:fill="auto"/>
          </w:tcPr>
          <w:p w:rsidR="00451EE7" w:rsidRPr="00A953D0" w:rsidRDefault="009031DB" w:rsidP="001806C1">
            <w:pPr>
              <w:pStyle w:val="TblTextCenter"/>
              <w:rPr>
                <w:rFonts w:ascii="Cambria" w:hAnsi="Cambria"/>
                <w:b/>
              </w:rPr>
            </w:pPr>
            <w:proofErr w:type="spellStart"/>
            <w:r w:rsidRPr="00A953D0">
              <w:rPr>
                <w:rFonts w:ascii="Cambria" w:hAnsi="Cambria"/>
                <w:b/>
              </w:rPr>
              <w:t>Dupixent</w:t>
            </w:r>
            <w:proofErr w:type="spellEnd"/>
          </w:p>
          <w:p w:rsidR="001806C1" w:rsidRPr="00A953D0" w:rsidRDefault="001806C1" w:rsidP="001806C1">
            <w:pPr>
              <w:pStyle w:val="TblTextCenter"/>
              <w:rPr>
                <w:rFonts w:ascii="Cambria" w:hAnsi="Cambria"/>
                <w:b/>
              </w:rPr>
            </w:pPr>
            <w:r w:rsidRPr="00A953D0">
              <w:rPr>
                <w:rFonts w:ascii="Cambria" w:hAnsi="Cambria"/>
                <w:b/>
              </w:rPr>
              <w:t>300 mg QW + TCS</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b/>
              </w:rPr>
            </w:pPr>
            <w:r w:rsidRPr="00A953D0">
              <w:rPr>
                <w:rFonts w:ascii="Cambria" w:hAnsi="Cambria"/>
                <w:b/>
              </w:rPr>
              <w:t>Patients randomized</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315</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106</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319</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264</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89</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270</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rPr>
            </w:pPr>
            <w:r w:rsidRPr="00A953D0">
              <w:rPr>
                <w:rFonts w:ascii="Cambria" w:hAnsi="Cambria"/>
              </w:rPr>
              <w:t>IGA 0 or 1</w:t>
            </w:r>
            <w:r w:rsidRPr="00A953D0">
              <w:rPr>
                <w:rFonts w:ascii="Cambria" w:hAnsi="Cambria"/>
                <w:vertAlign w:val="superscript"/>
              </w:rPr>
              <w:t>c</w:t>
            </w:r>
            <w:r w:rsidRPr="00A953D0">
              <w:rPr>
                <w:rFonts w:ascii="Cambria" w:hAnsi="Cambria"/>
              </w:rPr>
              <w:t xml:space="preserve">, % responders </w:t>
            </w:r>
            <w:r w:rsidRPr="00A953D0">
              <w:rPr>
                <w:rFonts w:ascii="Cambria" w:hAnsi="Cambria"/>
                <w:vertAlign w:val="superscript"/>
              </w:rPr>
              <w:t>d</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12.4 %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38.7 %*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39.2 %*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12.5 %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36.0%*</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40.0 %*</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rPr>
            </w:pPr>
            <w:r w:rsidRPr="00A953D0">
              <w:rPr>
                <w:rFonts w:ascii="Cambria" w:hAnsi="Cambria"/>
              </w:rPr>
              <w:lastRenderedPageBreak/>
              <w:t xml:space="preserve">EASI-75, % responders </w:t>
            </w:r>
            <w:r w:rsidRPr="00A953D0">
              <w:rPr>
                <w:rFonts w:ascii="Cambria" w:hAnsi="Cambria"/>
                <w:vertAlign w:val="superscript"/>
              </w:rPr>
              <w:t>d</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23.2 %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68.9 %*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63.9 %*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21.6 %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65.2 %*</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64.1 %*</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rPr>
            </w:pPr>
            <w:r w:rsidRPr="00A953D0">
              <w:rPr>
                <w:rFonts w:ascii="Cambria" w:hAnsi="Cambria"/>
              </w:rPr>
              <w:t>EASI, LS mean % change from baseline (+/- SE)</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-48.4 % (3.82)</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-80.5 %* (6.34)</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-81.5 %* (5.78)</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-60.9 % (4.29)</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-84.9 %# (6.73)</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-87.8 % ‡ (6.19)</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rPr>
            </w:pPr>
            <w:r w:rsidRPr="00A953D0">
              <w:rPr>
                <w:rFonts w:ascii="Cambria" w:hAnsi="Cambria"/>
              </w:rPr>
              <w:t>Pruritus NRS, LS mean % change from baseline (+/- SE)</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-30.3</w:t>
            </w:r>
          </w:p>
          <w:p w:rsidR="001806C1" w:rsidRPr="00A953D0" w:rsidRDefault="001806C1" w:rsidP="001806C1">
            <w:pPr>
              <w:pStyle w:val="TblTextCenter"/>
              <w:rPr>
                <w:rFonts w:ascii="Cambria" w:hAnsi="Cambria"/>
              </w:rPr>
            </w:pPr>
            <w:r w:rsidRPr="00A953D0">
              <w:rPr>
                <w:rFonts w:ascii="Cambria" w:hAnsi="Cambria"/>
              </w:rPr>
              <w:t>(2.36)</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-56.6*</w:t>
            </w:r>
          </w:p>
          <w:p w:rsidR="001806C1" w:rsidRPr="00A953D0" w:rsidRDefault="001806C1" w:rsidP="001806C1">
            <w:pPr>
              <w:pStyle w:val="TblTextCenter"/>
              <w:rPr>
                <w:rFonts w:ascii="Cambria" w:hAnsi="Cambria"/>
              </w:rPr>
            </w:pPr>
            <w:r w:rsidRPr="00A953D0">
              <w:rPr>
                <w:rFonts w:ascii="Cambria" w:hAnsi="Cambria"/>
              </w:rPr>
              <w:t>(3.95)</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-57.1</w:t>
            </w:r>
          </w:p>
          <w:p w:rsidR="001806C1" w:rsidRPr="00A953D0" w:rsidRDefault="001806C1" w:rsidP="001806C1">
            <w:pPr>
              <w:pStyle w:val="TblTextCenter"/>
              <w:rPr>
                <w:rFonts w:ascii="Cambria" w:hAnsi="Cambria"/>
              </w:rPr>
            </w:pPr>
            <w:r w:rsidRPr="00A953D0">
              <w:rPr>
                <w:rFonts w:ascii="Cambria" w:hAnsi="Cambria"/>
              </w:rPr>
              <w:t>(2.11)</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-31.7</w:t>
            </w:r>
          </w:p>
          <w:p w:rsidR="001806C1" w:rsidRPr="00A953D0" w:rsidRDefault="001806C1" w:rsidP="001806C1">
            <w:pPr>
              <w:pStyle w:val="TblTextCenter"/>
              <w:rPr>
                <w:rFonts w:ascii="Cambria" w:hAnsi="Cambria"/>
              </w:rPr>
            </w:pPr>
            <w:r w:rsidRPr="00A953D0">
              <w:rPr>
                <w:rFonts w:ascii="Cambria" w:hAnsi="Cambria"/>
              </w:rPr>
              <w:t>(3.95)</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-57.0§</w:t>
            </w:r>
          </w:p>
          <w:p w:rsidR="001806C1" w:rsidRPr="00A953D0" w:rsidRDefault="001806C1" w:rsidP="001806C1">
            <w:pPr>
              <w:pStyle w:val="TblTextCenter"/>
              <w:rPr>
                <w:rFonts w:ascii="Cambria" w:hAnsi="Cambria"/>
              </w:rPr>
            </w:pPr>
            <w:r w:rsidRPr="00A953D0">
              <w:rPr>
                <w:rFonts w:ascii="Cambria" w:hAnsi="Cambria"/>
              </w:rPr>
              <w:t>(6.17)</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-56.5</w:t>
            </w:r>
          </w:p>
          <w:p w:rsidR="001806C1" w:rsidRPr="00A953D0" w:rsidRDefault="001806C1" w:rsidP="001806C1">
            <w:pPr>
              <w:pStyle w:val="TblTextCenter"/>
              <w:rPr>
                <w:rFonts w:ascii="Cambria" w:hAnsi="Cambria"/>
              </w:rPr>
            </w:pPr>
            <w:r w:rsidRPr="00A953D0">
              <w:rPr>
                <w:rFonts w:ascii="Cambria" w:hAnsi="Cambria"/>
              </w:rPr>
              <w:t>(3.26)</w:t>
            </w:r>
          </w:p>
        </w:tc>
      </w:tr>
      <w:tr w:rsidR="00451EE7" w:rsidRPr="00A953D0" w:rsidTr="001806C1">
        <w:trPr>
          <w:cantSplit/>
          <w:jc w:val="center"/>
        </w:trPr>
        <w:tc>
          <w:tcPr>
            <w:tcW w:w="0" w:type="auto"/>
            <w:shd w:val="clear" w:color="auto" w:fill="auto"/>
          </w:tcPr>
          <w:p w:rsidR="001806C1" w:rsidRPr="00A953D0" w:rsidRDefault="001806C1" w:rsidP="000D5787">
            <w:pPr>
              <w:pStyle w:val="TblTextCenter"/>
              <w:jc w:val="left"/>
              <w:rPr>
                <w:rFonts w:ascii="Cambria" w:hAnsi="Cambria"/>
                <w:b/>
              </w:rPr>
            </w:pPr>
            <w:r w:rsidRPr="00A953D0">
              <w:rPr>
                <w:rFonts w:ascii="Cambria" w:hAnsi="Cambria"/>
                <w:b/>
              </w:rPr>
              <w:t xml:space="preserve">Number of patients with baseline pruritus NRS score </w:t>
            </w:r>
            <w:r w:rsidR="00F75E5C" w:rsidRPr="00A953D0">
              <w:rPr>
                <w:rFonts w:ascii="Cambria" w:hAnsi="Cambria"/>
                <w:b/>
              </w:rPr>
              <w:t>≥</w:t>
            </w:r>
            <w:r w:rsidRPr="00A953D0">
              <w:rPr>
                <w:rFonts w:ascii="Cambria" w:hAnsi="Cambria"/>
                <w:b/>
              </w:rPr>
              <w:t xml:space="preserve"> 4</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299</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102</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295</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249</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86</w:t>
            </w:r>
          </w:p>
        </w:tc>
        <w:tc>
          <w:tcPr>
            <w:tcW w:w="0" w:type="auto"/>
            <w:shd w:val="clear" w:color="auto" w:fill="auto"/>
          </w:tcPr>
          <w:p w:rsidR="001806C1" w:rsidRPr="00A953D0" w:rsidRDefault="001806C1" w:rsidP="001806C1">
            <w:pPr>
              <w:pStyle w:val="TblTextCenter"/>
              <w:rPr>
                <w:rFonts w:ascii="Cambria" w:hAnsi="Cambria"/>
              </w:rPr>
            </w:pPr>
            <w:r w:rsidRPr="00A953D0">
              <w:rPr>
                <w:rFonts w:ascii="Cambria" w:hAnsi="Cambria"/>
              </w:rPr>
              <w:t>249</w:t>
            </w:r>
          </w:p>
        </w:tc>
      </w:tr>
      <w:tr w:rsidR="00451EE7" w:rsidRPr="00A953D0" w:rsidTr="001806C1">
        <w:trPr>
          <w:cantSplit/>
          <w:jc w:val="center"/>
        </w:trPr>
        <w:tc>
          <w:tcPr>
            <w:tcW w:w="0" w:type="auto"/>
            <w:tcBorders>
              <w:bottom w:val="single" w:sz="12" w:space="0" w:color="auto"/>
            </w:tcBorders>
            <w:shd w:val="clear" w:color="auto" w:fill="auto"/>
          </w:tcPr>
          <w:p w:rsidR="001806C1" w:rsidRPr="00A953D0" w:rsidRDefault="001806C1" w:rsidP="00AE2884">
            <w:pPr>
              <w:pStyle w:val="TblTextCenter"/>
              <w:jc w:val="left"/>
              <w:rPr>
                <w:rFonts w:ascii="Cambria" w:hAnsi="Cambria"/>
              </w:rPr>
            </w:pPr>
            <w:r w:rsidRPr="00A953D0">
              <w:rPr>
                <w:rFonts w:ascii="Cambria" w:hAnsi="Cambria"/>
              </w:rPr>
              <w:t xml:space="preserve">Pruritus NRS (&gt;4-point </w:t>
            </w:r>
            <w:r w:rsidR="00AE2884" w:rsidRPr="00A953D0">
              <w:rPr>
                <w:rFonts w:ascii="Cambria" w:hAnsi="Cambria"/>
              </w:rPr>
              <w:t>improvement</w:t>
            </w:r>
            <w:r w:rsidRPr="00A953D0">
              <w:rPr>
                <w:rFonts w:ascii="Cambria" w:hAnsi="Cambria"/>
              </w:rPr>
              <w:t xml:space="preserve">), % responders </w:t>
            </w:r>
            <w:r w:rsidRPr="00A953D0">
              <w:rPr>
                <w:rFonts w:ascii="Cambria" w:hAnsi="Cambria"/>
                <w:vertAlign w:val="superscript"/>
              </w:rPr>
              <w:t>d</w:t>
            </w:r>
            <w:r w:rsidR="00AE2884" w:rsidRPr="00A953D0">
              <w:rPr>
                <w:rFonts w:ascii="Cambria" w:hAnsi="Cambria"/>
                <w:vertAlign w:val="superscript"/>
              </w:rPr>
              <w:t xml:space="preserve"> e</w:t>
            </w:r>
            <w:r w:rsidRPr="00A953D0">
              <w:rPr>
                <w:rFonts w:ascii="Cambria" w:hAnsi="Cambria"/>
              </w:rPr>
              <w:t xml:space="preserve"> </w:t>
            </w: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19.7 %</w:t>
            </w:r>
          </w:p>
          <w:p w:rsidR="001806C1" w:rsidRPr="00A953D0" w:rsidRDefault="001806C1" w:rsidP="001806C1">
            <w:pPr>
              <w:pStyle w:val="TblTextCenter"/>
              <w:rPr>
                <w:rFonts w:ascii="Cambria" w:hAnsi="Cambria"/>
              </w:rPr>
            </w:pP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58.8 %*</w:t>
            </w:r>
          </w:p>
          <w:p w:rsidR="001806C1" w:rsidRPr="00A953D0" w:rsidRDefault="001806C1" w:rsidP="001806C1">
            <w:pPr>
              <w:pStyle w:val="TblTextCenter"/>
              <w:rPr>
                <w:rFonts w:ascii="Cambria" w:hAnsi="Cambria"/>
              </w:rPr>
            </w:pP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 xml:space="preserve">50.8 %* </w:t>
            </w: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12.9 %</w:t>
            </w:r>
          </w:p>
          <w:p w:rsidR="001806C1" w:rsidRPr="00A953D0" w:rsidRDefault="001806C1" w:rsidP="001806C1">
            <w:pPr>
              <w:pStyle w:val="TblTextCenter"/>
              <w:rPr>
                <w:rFonts w:ascii="Cambria" w:hAnsi="Cambria"/>
              </w:rPr>
            </w:pP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51.2 %*</w:t>
            </w:r>
          </w:p>
          <w:p w:rsidR="001806C1" w:rsidRPr="00A953D0" w:rsidRDefault="001806C1" w:rsidP="001806C1">
            <w:pPr>
              <w:pStyle w:val="TblTextCenter"/>
              <w:rPr>
                <w:rFonts w:ascii="Cambria" w:hAnsi="Cambria"/>
              </w:rPr>
            </w:pPr>
          </w:p>
        </w:tc>
        <w:tc>
          <w:tcPr>
            <w:tcW w:w="0" w:type="auto"/>
            <w:tcBorders>
              <w:bottom w:val="single" w:sz="12" w:space="0" w:color="auto"/>
            </w:tcBorders>
            <w:shd w:val="clear" w:color="auto" w:fill="auto"/>
          </w:tcPr>
          <w:p w:rsidR="001806C1" w:rsidRPr="00A953D0" w:rsidRDefault="001806C1" w:rsidP="001806C1">
            <w:pPr>
              <w:pStyle w:val="TblTextCenter"/>
              <w:rPr>
                <w:rFonts w:ascii="Cambria" w:hAnsi="Cambria"/>
              </w:rPr>
            </w:pPr>
            <w:r w:rsidRPr="00A953D0">
              <w:rPr>
                <w:rFonts w:ascii="Cambria" w:hAnsi="Cambria"/>
              </w:rPr>
              <w:t>39.0 %*</w:t>
            </w:r>
          </w:p>
          <w:p w:rsidR="001806C1" w:rsidRPr="00A953D0" w:rsidRDefault="001806C1" w:rsidP="001806C1">
            <w:pPr>
              <w:pStyle w:val="TblTextCenter"/>
              <w:rPr>
                <w:rFonts w:ascii="Cambria" w:hAnsi="Cambria"/>
              </w:rPr>
            </w:pPr>
          </w:p>
        </w:tc>
      </w:tr>
      <w:tr w:rsidR="001806C1" w:rsidRPr="00A953D0" w:rsidTr="001806C1">
        <w:trPr>
          <w:cantSplit/>
          <w:jc w:val="center"/>
        </w:trPr>
        <w:tc>
          <w:tcPr>
            <w:tcW w:w="0" w:type="auto"/>
            <w:gridSpan w:val="7"/>
            <w:tcBorders>
              <w:top w:val="single" w:sz="12" w:space="0" w:color="auto"/>
            </w:tcBorders>
            <w:shd w:val="clear" w:color="auto" w:fill="auto"/>
          </w:tcPr>
          <w:p w:rsidR="001806C1" w:rsidRPr="00A953D0" w:rsidRDefault="001806C1" w:rsidP="001806C1">
            <w:pPr>
              <w:pStyle w:val="TblFigFootnote"/>
              <w:rPr>
                <w:rFonts w:ascii="Cambria" w:hAnsi="Cambria"/>
              </w:rPr>
            </w:pPr>
          </w:p>
        </w:tc>
      </w:tr>
    </w:tbl>
    <w:p w:rsidR="0042040D" w:rsidRPr="00A953D0" w:rsidRDefault="0042040D" w:rsidP="0042040D">
      <w:pPr>
        <w:spacing w:before="0"/>
        <w:rPr>
          <w:rFonts w:ascii="Cambria" w:hAnsi="Cambria"/>
          <w:sz w:val="18"/>
          <w:szCs w:val="18"/>
        </w:rPr>
      </w:pPr>
      <w:r w:rsidRPr="00A953D0">
        <w:rPr>
          <w:rFonts w:ascii="Cambria" w:hAnsi="Cambria"/>
          <w:sz w:val="18"/>
          <w:szCs w:val="18"/>
        </w:rPr>
        <w:t xml:space="preserve">* </w:t>
      </w:r>
      <w:proofErr w:type="gramStart"/>
      <w:r w:rsidRPr="00A953D0">
        <w:rPr>
          <w:rFonts w:ascii="Cambria" w:hAnsi="Cambria"/>
          <w:sz w:val="18"/>
          <w:szCs w:val="18"/>
        </w:rPr>
        <w:t>p-value</w:t>
      </w:r>
      <w:proofErr w:type="gramEnd"/>
      <w:r w:rsidRPr="00A953D0">
        <w:rPr>
          <w:rFonts w:ascii="Cambria" w:hAnsi="Cambria"/>
          <w:sz w:val="18"/>
          <w:szCs w:val="18"/>
        </w:rPr>
        <w:t xml:space="preserve"> &lt;0.0001, </w:t>
      </w:r>
    </w:p>
    <w:p w:rsidR="0042040D" w:rsidRPr="00A953D0" w:rsidRDefault="0042040D" w:rsidP="0042040D">
      <w:pPr>
        <w:spacing w:before="0"/>
        <w:rPr>
          <w:rFonts w:ascii="Cambria" w:hAnsi="Cambria"/>
          <w:sz w:val="18"/>
          <w:szCs w:val="18"/>
        </w:rPr>
      </w:pPr>
      <w:r w:rsidRPr="00A953D0">
        <w:rPr>
          <w:rFonts w:ascii="Cambria" w:hAnsi="Cambria"/>
          <w:sz w:val="18"/>
          <w:szCs w:val="18"/>
        </w:rPr>
        <w:t xml:space="preserve">‡ </w:t>
      </w:r>
      <w:proofErr w:type="gramStart"/>
      <w:r w:rsidRPr="00A953D0">
        <w:rPr>
          <w:rFonts w:ascii="Cambria" w:hAnsi="Cambria"/>
          <w:sz w:val="18"/>
          <w:szCs w:val="18"/>
        </w:rPr>
        <w:t>p-value</w:t>
      </w:r>
      <w:proofErr w:type="gramEnd"/>
      <w:r w:rsidRPr="00A953D0">
        <w:rPr>
          <w:rFonts w:ascii="Cambria" w:hAnsi="Cambria"/>
          <w:sz w:val="18"/>
          <w:szCs w:val="18"/>
        </w:rPr>
        <w:t xml:space="preserve"> = 0.0003,</w:t>
      </w:r>
    </w:p>
    <w:p w:rsidR="0042040D" w:rsidRPr="00A953D0" w:rsidRDefault="0042040D" w:rsidP="0042040D">
      <w:pPr>
        <w:spacing w:before="0"/>
        <w:rPr>
          <w:rFonts w:ascii="Cambria" w:hAnsi="Cambria"/>
          <w:sz w:val="18"/>
          <w:szCs w:val="18"/>
        </w:rPr>
      </w:pPr>
      <w:r w:rsidRPr="00A953D0">
        <w:rPr>
          <w:rFonts w:ascii="Cambria" w:hAnsi="Cambria"/>
          <w:sz w:val="18"/>
          <w:szCs w:val="18"/>
        </w:rPr>
        <w:t xml:space="preserve">§ </w:t>
      </w:r>
      <w:proofErr w:type="gramStart"/>
      <w:r w:rsidRPr="00A953D0">
        <w:rPr>
          <w:rFonts w:ascii="Cambria" w:hAnsi="Cambria"/>
          <w:sz w:val="18"/>
          <w:szCs w:val="18"/>
        </w:rPr>
        <w:t>p-value</w:t>
      </w:r>
      <w:proofErr w:type="gramEnd"/>
      <w:r w:rsidRPr="00A953D0">
        <w:rPr>
          <w:rFonts w:ascii="Cambria" w:hAnsi="Cambria"/>
          <w:sz w:val="18"/>
          <w:szCs w:val="18"/>
        </w:rPr>
        <w:t xml:space="preserve"> = 0.0005,</w:t>
      </w:r>
    </w:p>
    <w:p w:rsidR="0042040D" w:rsidRPr="00A953D0" w:rsidRDefault="0042040D" w:rsidP="001806C1">
      <w:pPr>
        <w:spacing w:before="0"/>
        <w:rPr>
          <w:rFonts w:ascii="Cambria" w:hAnsi="Cambria"/>
          <w:sz w:val="18"/>
          <w:szCs w:val="18"/>
        </w:rPr>
      </w:pPr>
      <w:r w:rsidRPr="00A953D0">
        <w:rPr>
          <w:rFonts w:ascii="Cambria" w:hAnsi="Cambria"/>
          <w:sz w:val="18"/>
          <w:szCs w:val="18"/>
        </w:rPr>
        <w:t># p-value = 0.0015</w:t>
      </w:r>
    </w:p>
    <w:p w:rsidR="0042040D" w:rsidRPr="00A953D0" w:rsidRDefault="0042040D" w:rsidP="001806C1">
      <w:pPr>
        <w:spacing w:before="0" w:after="100" w:afterAutospacing="1"/>
        <w:rPr>
          <w:rFonts w:ascii="Cambria" w:hAnsi="Cambria"/>
          <w:sz w:val="18"/>
          <w:szCs w:val="18"/>
        </w:rPr>
      </w:pPr>
      <w:proofErr w:type="spellStart"/>
      <w:proofErr w:type="gramStart"/>
      <w:r w:rsidRPr="00A953D0">
        <w:rPr>
          <w:rFonts w:ascii="Cambria" w:hAnsi="Cambria"/>
          <w:sz w:val="18"/>
          <w:szCs w:val="18"/>
          <w:vertAlign w:val="superscript"/>
        </w:rPr>
        <w:t>a</w:t>
      </w:r>
      <w:proofErr w:type="spellEnd"/>
      <w:proofErr w:type="gramEnd"/>
      <w:r w:rsidRPr="00A953D0">
        <w:rPr>
          <w:rFonts w:ascii="Cambria" w:hAnsi="Cambria"/>
          <w:sz w:val="18"/>
          <w:szCs w:val="18"/>
        </w:rPr>
        <w:t xml:space="preserve"> All patients were on background TCS therapy and patients were permitted to use topical </w:t>
      </w:r>
      <w:proofErr w:type="spellStart"/>
      <w:r w:rsidRPr="00A953D0">
        <w:rPr>
          <w:rFonts w:ascii="Cambria" w:hAnsi="Cambria"/>
          <w:sz w:val="18"/>
          <w:szCs w:val="18"/>
        </w:rPr>
        <w:t>calcineurin</w:t>
      </w:r>
      <w:proofErr w:type="spellEnd"/>
      <w:r w:rsidRPr="00A953D0">
        <w:rPr>
          <w:rFonts w:ascii="Cambria" w:hAnsi="Cambria"/>
          <w:sz w:val="18"/>
          <w:szCs w:val="18"/>
        </w:rPr>
        <w:t xml:space="preserve"> inhibitors.</w:t>
      </w:r>
    </w:p>
    <w:p w:rsidR="001806C1" w:rsidRPr="00A953D0" w:rsidRDefault="001806C1" w:rsidP="002F4F6D">
      <w:pPr>
        <w:spacing w:before="0" w:line="0" w:lineRule="atLeast"/>
        <w:rPr>
          <w:rFonts w:ascii="Cambria" w:hAnsi="Cambria"/>
          <w:sz w:val="18"/>
          <w:szCs w:val="18"/>
        </w:rPr>
      </w:pPr>
      <w:proofErr w:type="spellStart"/>
      <w:proofErr w:type="gramStart"/>
      <w:r w:rsidRPr="00A953D0">
        <w:rPr>
          <w:rFonts w:ascii="Cambria" w:hAnsi="Cambria"/>
          <w:sz w:val="18"/>
          <w:szCs w:val="18"/>
          <w:vertAlign w:val="superscript"/>
        </w:rPr>
        <w:t>b</w:t>
      </w:r>
      <w:r w:rsidRPr="00A953D0">
        <w:rPr>
          <w:rFonts w:ascii="Cambria" w:hAnsi="Cambria"/>
          <w:sz w:val="18"/>
          <w:szCs w:val="18"/>
        </w:rPr>
        <w:t>Full</w:t>
      </w:r>
      <w:proofErr w:type="spellEnd"/>
      <w:proofErr w:type="gramEnd"/>
      <w:r w:rsidRPr="00A953D0">
        <w:rPr>
          <w:rFonts w:ascii="Cambria" w:hAnsi="Cambria"/>
          <w:sz w:val="18"/>
          <w:szCs w:val="18"/>
        </w:rPr>
        <w:t xml:space="preserve"> analysis set (FAS) includes all patients randomized. FAS Week 52 includes all patients randomized at least one year before the cutoff date of the primary analysis. </w:t>
      </w:r>
    </w:p>
    <w:p w:rsidR="001806C1" w:rsidRPr="00A953D0" w:rsidRDefault="001806C1" w:rsidP="002F4F6D">
      <w:pPr>
        <w:spacing w:before="0" w:line="0" w:lineRule="atLeast"/>
        <w:rPr>
          <w:rFonts w:ascii="Cambria" w:hAnsi="Cambria"/>
          <w:sz w:val="18"/>
          <w:szCs w:val="18"/>
        </w:rPr>
      </w:pPr>
      <w:proofErr w:type="gramStart"/>
      <w:r w:rsidRPr="00A953D0">
        <w:rPr>
          <w:rFonts w:ascii="Cambria" w:hAnsi="Cambria"/>
          <w:sz w:val="18"/>
          <w:szCs w:val="18"/>
          <w:vertAlign w:val="superscript"/>
        </w:rPr>
        <w:t>c</w:t>
      </w:r>
      <w:proofErr w:type="gramEnd"/>
      <w:r w:rsidRPr="00A953D0">
        <w:rPr>
          <w:rFonts w:ascii="Cambria" w:hAnsi="Cambria"/>
          <w:sz w:val="18"/>
          <w:szCs w:val="18"/>
        </w:rPr>
        <w:t xml:space="preserve"> Responder was defined as a patient with IGA 0 or 1 (“clear” or “almost clear”) with a reduction of </w:t>
      </w:r>
      <w:r w:rsidR="00F75E5C" w:rsidRPr="00A953D0">
        <w:rPr>
          <w:rFonts w:ascii="Cambria" w:hAnsi="Cambria"/>
          <w:sz w:val="18"/>
          <w:szCs w:val="18"/>
        </w:rPr>
        <w:t>≥</w:t>
      </w:r>
      <w:r w:rsidRPr="00A953D0">
        <w:rPr>
          <w:rFonts w:ascii="Cambria" w:hAnsi="Cambria"/>
          <w:sz w:val="18"/>
          <w:szCs w:val="18"/>
        </w:rPr>
        <w:t xml:space="preserve"> 2 points on a 0-4 IGA scale.</w:t>
      </w:r>
    </w:p>
    <w:p w:rsidR="00AE2884" w:rsidRPr="00A953D0" w:rsidRDefault="00AE2884" w:rsidP="002F4F6D">
      <w:pPr>
        <w:spacing w:before="0" w:line="0" w:lineRule="atLeast"/>
        <w:rPr>
          <w:rFonts w:ascii="Cambria" w:hAnsi="Cambria"/>
          <w:sz w:val="18"/>
          <w:szCs w:val="18"/>
        </w:rPr>
      </w:pPr>
    </w:p>
    <w:p w:rsidR="001806C1" w:rsidRPr="00A953D0" w:rsidRDefault="001806C1" w:rsidP="002F4F6D">
      <w:pPr>
        <w:spacing w:before="0" w:line="0" w:lineRule="atLeast"/>
        <w:rPr>
          <w:rFonts w:ascii="Cambria" w:hAnsi="Cambria"/>
          <w:sz w:val="18"/>
          <w:szCs w:val="18"/>
        </w:rPr>
      </w:pPr>
      <w:proofErr w:type="gramStart"/>
      <w:r w:rsidRPr="00A953D0">
        <w:rPr>
          <w:rFonts w:ascii="Cambria" w:hAnsi="Cambria"/>
          <w:sz w:val="18"/>
          <w:szCs w:val="18"/>
          <w:vertAlign w:val="superscript"/>
        </w:rPr>
        <w:t>d</w:t>
      </w:r>
      <w:proofErr w:type="gramEnd"/>
      <w:r w:rsidRPr="00A953D0">
        <w:rPr>
          <w:rFonts w:ascii="Cambria" w:hAnsi="Cambria"/>
          <w:sz w:val="18"/>
          <w:szCs w:val="18"/>
        </w:rPr>
        <w:t xml:space="preserve"> Patients who received rescue treatment or with missing data were considered as non-responders.</w:t>
      </w:r>
    </w:p>
    <w:p w:rsidR="00AE2884" w:rsidRPr="00A953D0" w:rsidRDefault="00AE2884" w:rsidP="002F4F6D">
      <w:pPr>
        <w:spacing w:before="0" w:line="0" w:lineRule="atLeast"/>
        <w:rPr>
          <w:rFonts w:ascii="Cambria" w:hAnsi="Cambria"/>
          <w:sz w:val="18"/>
          <w:szCs w:val="18"/>
        </w:rPr>
      </w:pPr>
      <w:proofErr w:type="gramStart"/>
      <w:r w:rsidRPr="00A953D0">
        <w:rPr>
          <w:rFonts w:ascii="Cambria" w:hAnsi="Cambria"/>
          <w:sz w:val="18"/>
          <w:szCs w:val="18"/>
          <w:vertAlign w:val="superscript"/>
        </w:rPr>
        <w:t>e</w:t>
      </w:r>
      <w:proofErr w:type="gramEnd"/>
      <w:r w:rsidRPr="00A953D0">
        <w:rPr>
          <w:rFonts w:ascii="Cambria" w:hAnsi="Cambria"/>
        </w:rPr>
        <w:t xml:space="preserve"> </w:t>
      </w:r>
      <w:r w:rsidRPr="00A953D0">
        <w:rPr>
          <w:rFonts w:ascii="Cambria" w:hAnsi="Cambria"/>
          <w:sz w:val="18"/>
          <w:szCs w:val="18"/>
        </w:rPr>
        <w:t xml:space="preserve">a significantly greater proportion of patients on </w:t>
      </w:r>
      <w:proofErr w:type="spellStart"/>
      <w:r w:rsidRPr="00A953D0">
        <w:rPr>
          <w:rFonts w:ascii="Cambria" w:hAnsi="Cambria"/>
          <w:sz w:val="18"/>
          <w:szCs w:val="18"/>
        </w:rPr>
        <w:t>Dupixent</w:t>
      </w:r>
      <w:proofErr w:type="spellEnd"/>
      <w:r w:rsidRPr="00A953D0">
        <w:rPr>
          <w:rFonts w:ascii="Cambria" w:hAnsi="Cambria"/>
          <w:sz w:val="18"/>
          <w:szCs w:val="18"/>
        </w:rPr>
        <w:t xml:space="preserve"> had improvement in pruritus NRS of ≥4 points compared to placebo at week 2 (p&lt;0.05).</w:t>
      </w:r>
    </w:p>
    <w:p w:rsidR="0042040D" w:rsidRPr="00A953D0" w:rsidRDefault="001806C1" w:rsidP="002F4F6D">
      <w:pPr>
        <w:spacing w:before="0" w:line="0" w:lineRule="atLeast"/>
        <w:rPr>
          <w:rFonts w:ascii="Cambria" w:hAnsi="Cambria"/>
          <w:sz w:val="18"/>
          <w:szCs w:val="18"/>
        </w:rPr>
      </w:pPr>
      <w:r w:rsidRPr="00A953D0">
        <w:rPr>
          <w:rFonts w:ascii="Cambria" w:hAnsi="Cambria"/>
          <w:sz w:val="18"/>
          <w:szCs w:val="18"/>
        </w:rPr>
        <w:t xml:space="preserve">LS = least </w:t>
      </w:r>
      <w:proofErr w:type="gramStart"/>
      <w:r w:rsidRPr="00A953D0">
        <w:rPr>
          <w:rFonts w:ascii="Cambria" w:hAnsi="Cambria"/>
          <w:sz w:val="18"/>
          <w:szCs w:val="18"/>
        </w:rPr>
        <w:t>square</w:t>
      </w:r>
      <w:r w:rsidR="00F75E5C" w:rsidRPr="00A953D0">
        <w:rPr>
          <w:rFonts w:ascii="Cambria" w:hAnsi="Cambria"/>
          <w:sz w:val="18"/>
          <w:szCs w:val="18"/>
        </w:rPr>
        <w:t xml:space="preserve">  SE</w:t>
      </w:r>
      <w:proofErr w:type="gramEnd"/>
      <w:r w:rsidR="00F75E5C" w:rsidRPr="00A953D0">
        <w:rPr>
          <w:rFonts w:ascii="Cambria" w:hAnsi="Cambria"/>
          <w:sz w:val="18"/>
          <w:szCs w:val="18"/>
        </w:rPr>
        <w:t xml:space="preserve"> = standard error</w:t>
      </w:r>
    </w:p>
    <w:p w:rsidR="00EE013E" w:rsidRPr="00A953D0" w:rsidRDefault="00EE013E" w:rsidP="002F4F6D">
      <w:pPr>
        <w:spacing w:before="0" w:line="0" w:lineRule="atLeast"/>
        <w:rPr>
          <w:rFonts w:ascii="Cambria" w:hAnsi="Cambria"/>
          <w:sz w:val="18"/>
          <w:szCs w:val="18"/>
        </w:rPr>
      </w:pPr>
    </w:p>
    <w:p w:rsidR="00F136D3" w:rsidRPr="00A953D0" w:rsidRDefault="004B6D3B" w:rsidP="004B6D3B">
      <w:pPr>
        <w:pStyle w:val="Caption"/>
        <w:rPr>
          <w:rFonts w:ascii="Cambria" w:hAnsi="Cambria"/>
          <w:noProof/>
          <w:lang w:val="en-AU" w:eastAsia="en-AU"/>
        </w:rPr>
      </w:pPr>
      <w:r>
        <w:rPr>
          <w:rFonts w:ascii="Cambria" w:hAnsi="Cambria"/>
          <w:noProof/>
          <w:lang w:val="en-AU" w:eastAsia="en-AU"/>
        </w:rPr>
        <w:lastRenderedPageBreak/>
        <w:t xml:space="preserve"> </w:t>
      </w:r>
      <w:r>
        <w:t>Figure </w:t>
      </w:r>
      <w:r>
        <w:fldChar w:fldCharType="begin"/>
      </w:r>
      <w:r>
        <w:instrText xml:space="preserve"> SEQ Figure \* ARABIC </w:instrText>
      </w:r>
      <w:r>
        <w:fldChar w:fldCharType="separate"/>
      </w:r>
      <w:r w:rsidR="001A3761">
        <w:rPr>
          <w:noProof/>
        </w:rPr>
        <w:t>3</w:t>
      </w:r>
      <w:r>
        <w:fldChar w:fldCharType="end"/>
      </w:r>
      <w:r>
        <w:t xml:space="preserve"> ­ </w:t>
      </w:r>
      <w:r w:rsidRPr="004B6D3B">
        <w:rPr>
          <w:lang w:val="en-AU"/>
        </w:rPr>
        <w:t>Proportion of Patients with IGA 0 or 1a in Study 1224 (FAS Week 52c)</w:t>
      </w:r>
      <w:r w:rsidR="00A17E41">
        <w:rPr>
          <w:rFonts w:ascii="Cambria" w:hAnsi="Cambria"/>
          <w:noProof/>
          <w:lang w:val="en-AU" w:eastAsia="en-AU"/>
        </w:rPr>
        <w:drawing>
          <wp:inline distT="0" distB="0" distL="0" distR="0">
            <wp:extent cx="4688205" cy="2579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205" cy="2579370"/>
                    </a:xfrm>
                    <a:prstGeom prst="rect">
                      <a:avLst/>
                    </a:prstGeom>
                    <a:noFill/>
                    <a:ln>
                      <a:noFill/>
                    </a:ln>
                  </pic:spPr>
                </pic:pic>
              </a:graphicData>
            </a:graphic>
          </wp:inline>
        </w:drawing>
      </w:r>
    </w:p>
    <w:p w:rsidR="005F3409" w:rsidRPr="00A953D0" w:rsidRDefault="002F4F6D" w:rsidP="00186D3D">
      <w:pPr>
        <w:spacing w:before="0"/>
        <w:jc w:val="center"/>
        <w:rPr>
          <w:rFonts w:ascii="Cambria" w:hAnsi="Cambria"/>
          <w:noProof/>
        </w:rPr>
      </w:pPr>
      <w:proofErr w:type="gramStart"/>
      <w:r w:rsidRPr="00A953D0">
        <w:rPr>
          <w:rFonts w:ascii="Cambria" w:hAnsi="Cambria"/>
          <w:sz w:val="18"/>
          <w:szCs w:val="18"/>
          <w:vertAlign w:val="superscript"/>
        </w:rPr>
        <w:t>a</w:t>
      </w:r>
      <w:proofErr w:type="gramEnd"/>
      <w:r w:rsidR="005F3409" w:rsidRPr="00A953D0">
        <w:rPr>
          <w:rFonts w:ascii="Cambria" w:hAnsi="Cambria"/>
          <w:sz w:val="18"/>
          <w:szCs w:val="18"/>
        </w:rPr>
        <w:t xml:space="preserve"> Responder was defined as a patient with IGA 0 or 1 (“clear” or “almost clear”) with a reduction of </w:t>
      </w:r>
      <w:r w:rsidR="003F4F26" w:rsidRPr="00A953D0">
        <w:rPr>
          <w:rFonts w:ascii="Cambria" w:hAnsi="Cambria"/>
          <w:sz w:val="18"/>
          <w:szCs w:val="18"/>
        </w:rPr>
        <w:t>≥</w:t>
      </w:r>
      <w:r w:rsidR="005F3409" w:rsidRPr="00A953D0">
        <w:rPr>
          <w:rFonts w:ascii="Cambria" w:hAnsi="Cambria"/>
          <w:sz w:val="18"/>
          <w:szCs w:val="18"/>
        </w:rPr>
        <w:t xml:space="preserve"> 2 points on a 0-4 IGA scale.</w:t>
      </w:r>
    </w:p>
    <w:p w:rsidR="002F4F6D" w:rsidRPr="00A953D0" w:rsidRDefault="002F4F6D" w:rsidP="002F4F6D">
      <w:pPr>
        <w:spacing w:before="0"/>
        <w:rPr>
          <w:rFonts w:ascii="Cambria" w:hAnsi="Cambria"/>
          <w:sz w:val="18"/>
          <w:szCs w:val="18"/>
        </w:rPr>
      </w:pPr>
      <w:proofErr w:type="spellStart"/>
      <w:proofErr w:type="gramStart"/>
      <w:r w:rsidRPr="00A953D0">
        <w:rPr>
          <w:rFonts w:ascii="Cambria" w:hAnsi="Cambria"/>
          <w:sz w:val="18"/>
          <w:szCs w:val="18"/>
          <w:vertAlign w:val="superscript"/>
        </w:rPr>
        <w:t>b</w:t>
      </w:r>
      <w:r w:rsidRPr="00A953D0">
        <w:rPr>
          <w:rFonts w:ascii="Cambria" w:hAnsi="Cambria"/>
          <w:sz w:val="18"/>
          <w:szCs w:val="18"/>
        </w:rPr>
        <w:t>In</w:t>
      </w:r>
      <w:proofErr w:type="spellEnd"/>
      <w:proofErr w:type="gramEnd"/>
      <w:r w:rsidRPr="00A953D0">
        <w:rPr>
          <w:rFonts w:ascii="Cambria" w:hAnsi="Cambria"/>
          <w:sz w:val="18"/>
          <w:szCs w:val="18"/>
        </w:rPr>
        <w:t xml:space="preserve"> the primary analyses of the efficacy endpoints (solid line above), patients who received rescue treatment were considered non-responders</w:t>
      </w:r>
      <w:r w:rsidR="008A4B3C" w:rsidRPr="00A953D0">
        <w:rPr>
          <w:rFonts w:ascii="Cambria" w:hAnsi="Cambria"/>
          <w:sz w:val="18"/>
          <w:szCs w:val="18"/>
        </w:rPr>
        <w:t xml:space="preserve"> for the purpose of this statistical analysis</w:t>
      </w:r>
      <w:r w:rsidRPr="00A953D0">
        <w:rPr>
          <w:rFonts w:ascii="Cambria" w:hAnsi="Cambria"/>
          <w:sz w:val="18"/>
          <w:szCs w:val="18"/>
        </w:rPr>
        <w:t>. The as-observed analyses (dotted line) included all data regardless of rescue treatment. In both cases, patients with missing data were considered as non-responders.</w:t>
      </w:r>
    </w:p>
    <w:p w:rsidR="005F3409" w:rsidRPr="00A953D0" w:rsidRDefault="002F4F6D" w:rsidP="002F4F6D">
      <w:pPr>
        <w:spacing w:before="0"/>
        <w:rPr>
          <w:rFonts w:ascii="Cambria" w:hAnsi="Cambria"/>
          <w:sz w:val="18"/>
          <w:szCs w:val="18"/>
        </w:rPr>
      </w:pPr>
      <w:proofErr w:type="spellStart"/>
      <w:proofErr w:type="gramStart"/>
      <w:r w:rsidRPr="00A953D0">
        <w:rPr>
          <w:rFonts w:ascii="Cambria" w:hAnsi="Cambria"/>
          <w:sz w:val="18"/>
          <w:szCs w:val="18"/>
          <w:vertAlign w:val="superscript"/>
        </w:rPr>
        <w:t>c</w:t>
      </w:r>
      <w:r w:rsidRPr="00A953D0">
        <w:rPr>
          <w:rFonts w:ascii="Cambria" w:hAnsi="Cambria"/>
          <w:sz w:val="18"/>
          <w:szCs w:val="18"/>
        </w:rPr>
        <w:t>FAS</w:t>
      </w:r>
      <w:proofErr w:type="spellEnd"/>
      <w:proofErr w:type="gramEnd"/>
      <w:r w:rsidRPr="00A953D0">
        <w:rPr>
          <w:rFonts w:ascii="Cambria" w:hAnsi="Cambria"/>
          <w:sz w:val="18"/>
          <w:szCs w:val="18"/>
        </w:rPr>
        <w:t xml:space="preserve"> Week 52 includes all patients randomized at least one year before the cutoff date of the primary analysis. </w:t>
      </w:r>
    </w:p>
    <w:p w:rsidR="00A210D4" w:rsidRPr="00A953D0" w:rsidRDefault="004B6D3B" w:rsidP="004B6D3B">
      <w:pPr>
        <w:pStyle w:val="Caption"/>
        <w:rPr>
          <w:rFonts w:ascii="Cambria" w:hAnsi="Cambria"/>
          <w:noProof/>
          <w:lang w:val="en-AU" w:eastAsia="en-AU"/>
        </w:rPr>
      </w:pPr>
      <w:r>
        <w:rPr>
          <w:rFonts w:ascii="Cambria" w:hAnsi="Cambria"/>
          <w:noProof/>
          <w:lang w:val="en-AU" w:eastAsia="en-AU"/>
        </w:rPr>
        <w:t xml:space="preserve"> </w:t>
      </w:r>
      <w:r>
        <w:t>Figure </w:t>
      </w:r>
      <w:r>
        <w:fldChar w:fldCharType="begin"/>
      </w:r>
      <w:r>
        <w:instrText xml:space="preserve"> SEQ Figure \* ARABIC </w:instrText>
      </w:r>
      <w:r>
        <w:fldChar w:fldCharType="separate"/>
      </w:r>
      <w:r w:rsidR="001A3761">
        <w:rPr>
          <w:noProof/>
        </w:rPr>
        <w:t>4</w:t>
      </w:r>
      <w:r>
        <w:fldChar w:fldCharType="end"/>
      </w:r>
      <w:r>
        <w:t xml:space="preserve"> ­ </w:t>
      </w:r>
      <w:r w:rsidRPr="004B6D3B">
        <w:rPr>
          <w:lang w:val="en-AU"/>
        </w:rPr>
        <w:t>Proportion of Patients with EASI-75 in Study 1224 (FAS Week 52b)</w:t>
      </w:r>
      <w:r w:rsidR="00A17E41">
        <w:rPr>
          <w:rFonts w:ascii="Cambria" w:hAnsi="Cambria"/>
          <w:noProof/>
          <w:lang w:val="en-AU" w:eastAsia="en-AU"/>
        </w:rPr>
        <w:drawing>
          <wp:inline distT="0" distB="0" distL="0" distR="0">
            <wp:extent cx="4899660" cy="2675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9660" cy="2675255"/>
                    </a:xfrm>
                    <a:prstGeom prst="rect">
                      <a:avLst/>
                    </a:prstGeom>
                    <a:noFill/>
                    <a:ln>
                      <a:noFill/>
                    </a:ln>
                  </pic:spPr>
                </pic:pic>
              </a:graphicData>
            </a:graphic>
          </wp:inline>
        </w:drawing>
      </w:r>
    </w:p>
    <w:p w:rsidR="003D745C" w:rsidRPr="00A953D0" w:rsidRDefault="003D745C" w:rsidP="003D745C">
      <w:pPr>
        <w:spacing w:before="0"/>
        <w:rPr>
          <w:rFonts w:ascii="Cambria" w:hAnsi="Cambria"/>
          <w:sz w:val="16"/>
          <w:szCs w:val="16"/>
        </w:rPr>
      </w:pPr>
      <w:proofErr w:type="spellStart"/>
      <w:proofErr w:type="gramStart"/>
      <w:r w:rsidRPr="00A953D0">
        <w:rPr>
          <w:rFonts w:ascii="Cambria" w:hAnsi="Cambria"/>
          <w:sz w:val="16"/>
          <w:szCs w:val="16"/>
          <w:vertAlign w:val="superscript"/>
        </w:rPr>
        <w:t>a</w:t>
      </w:r>
      <w:r w:rsidRPr="00A953D0">
        <w:rPr>
          <w:rFonts w:ascii="Cambria" w:hAnsi="Cambria"/>
          <w:sz w:val="16"/>
          <w:szCs w:val="16"/>
        </w:rPr>
        <w:t>In</w:t>
      </w:r>
      <w:proofErr w:type="spellEnd"/>
      <w:proofErr w:type="gramEnd"/>
      <w:r w:rsidRPr="00A953D0">
        <w:rPr>
          <w:rFonts w:ascii="Cambria" w:hAnsi="Cambria"/>
          <w:sz w:val="16"/>
          <w:szCs w:val="16"/>
        </w:rPr>
        <w:t xml:space="preserve"> the primary analyses of the efficacy endpoints (solid line above), patients who received rescue treatment were considered non-responders</w:t>
      </w:r>
      <w:r w:rsidR="008A4B3C" w:rsidRPr="00A953D0">
        <w:rPr>
          <w:rFonts w:ascii="Cambria" w:hAnsi="Cambria"/>
          <w:sz w:val="16"/>
          <w:szCs w:val="16"/>
        </w:rPr>
        <w:t xml:space="preserve"> for the purpose of this statistical analysis</w:t>
      </w:r>
      <w:r w:rsidRPr="00A953D0">
        <w:rPr>
          <w:rFonts w:ascii="Cambria" w:hAnsi="Cambria"/>
          <w:sz w:val="16"/>
          <w:szCs w:val="16"/>
        </w:rPr>
        <w:t>. The as-observed analyses (dotted line) included all data regardless of rescue treatment. In both cases, patients with missing data were considered as non-responders.</w:t>
      </w:r>
    </w:p>
    <w:p w:rsidR="002F4F6D" w:rsidRPr="00A953D0" w:rsidRDefault="003D745C" w:rsidP="003D745C">
      <w:pPr>
        <w:spacing w:before="0"/>
        <w:rPr>
          <w:rFonts w:ascii="Cambria" w:hAnsi="Cambria"/>
          <w:sz w:val="16"/>
          <w:szCs w:val="16"/>
        </w:rPr>
      </w:pPr>
      <w:proofErr w:type="spellStart"/>
      <w:proofErr w:type="gramStart"/>
      <w:r w:rsidRPr="00A953D0">
        <w:rPr>
          <w:rFonts w:ascii="Cambria" w:hAnsi="Cambria"/>
          <w:sz w:val="16"/>
          <w:szCs w:val="16"/>
          <w:vertAlign w:val="superscript"/>
        </w:rPr>
        <w:t>b</w:t>
      </w:r>
      <w:r w:rsidRPr="00A953D0">
        <w:rPr>
          <w:rFonts w:ascii="Cambria" w:hAnsi="Cambria"/>
          <w:sz w:val="16"/>
          <w:szCs w:val="16"/>
        </w:rPr>
        <w:t>FAS</w:t>
      </w:r>
      <w:proofErr w:type="spellEnd"/>
      <w:proofErr w:type="gramEnd"/>
      <w:r w:rsidRPr="00A953D0">
        <w:rPr>
          <w:rFonts w:ascii="Cambria" w:hAnsi="Cambria"/>
          <w:sz w:val="16"/>
          <w:szCs w:val="16"/>
        </w:rPr>
        <w:t xml:space="preserve"> Week 52 includes all patients randomized at least one year before the cutoff date of the primary analysis.</w:t>
      </w:r>
    </w:p>
    <w:p w:rsidR="00FB1D86" w:rsidRPr="00A953D0" w:rsidRDefault="00FB1D86" w:rsidP="003D745C">
      <w:pPr>
        <w:spacing w:before="0"/>
        <w:rPr>
          <w:rFonts w:ascii="Cambria" w:hAnsi="Cambria"/>
          <w:sz w:val="16"/>
          <w:szCs w:val="16"/>
        </w:rPr>
      </w:pPr>
    </w:p>
    <w:p w:rsidR="003D745C" w:rsidRPr="00A953D0" w:rsidRDefault="003D745C" w:rsidP="003D745C">
      <w:pPr>
        <w:spacing w:before="0"/>
        <w:rPr>
          <w:rFonts w:ascii="Cambria" w:hAnsi="Cambria"/>
          <w:sz w:val="16"/>
          <w:szCs w:val="16"/>
        </w:rPr>
      </w:pPr>
    </w:p>
    <w:p w:rsidR="00386226" w:rsidRPr="00A953D0" w:rsidRDefault="005F3409" w:rsidP="003D745C">
      <w:pPr>
        <w:spacing w:before="0"/>
        <w:rPr>
          <w:rFonts w:ascii="Cambria" w:hAnsi="Cambria"/>
        </w:rPr>
      </w:pPr>
      <w:r w:rsidRPr="00A953D0">
        <w:rPr>
          <w:rFonts w:ascii="Cambria" w:hAnsi="Cambria"/>
        </w:rPr>
        <w:lastRenderedPageBreak/>
        <w:t>Treatment effects in evaluable subgroups (weight, age, gender, race, and background treatment, including</w:t>
      </w:r>
      <w:r w:rsidR="008E1D21" w:rsidRPr="00A953D0">
        <w:rPr>
          <w:rFonts w:ascii="Cambria" w:hAnsi="Cambria"/>
        </w:rPr>
        <w:t xml:space="preserve"> </w:t>
      </w:r>
      <w:proofErr w:type="spellStart"/>
      <w:r w:rsidR="008E1D21" w:rsidRPr="00A953D0">
        <w:rPr>
          <w:rFonts w:ascii="Cambria" w:hAnsi="Cambria"/>
        </w:rPr>
        <w:t>immunosuppressants</w:t>
      </w:r>
      <w:proofErr w:type="spellEnd"/>
      <w:r w:rsidR="008E1D21" w:rsidRPr="00A953D0">
        <w:rPr>
          <w:rFonts w:ascii="Cambria" w:hAnsi="Cambria"/>
        </w:rPr>
        <w:t xml:space="preserve">) in </w:t>
      </w:r>
      <w:r w:rsidR="004A25BC" w:rsidRPr="00A953D0">
        <w:rPr>
          <w:rFonts w:ascii="Cambria" w:hAnsi="Cambria"/>
        </w:rPr>
        <w:t>Study 1224</w:t>
      </w:r>
      <w:r w:rsidR="004A25BC" w:rsidRPr="00A953D0">
        <w:rPr>
          <w:rFonts w:ascii="Cambria" w:hAnsi="Cambria"/>
          <w:b/>
          <w:bCs/>
        </w:rPr>
        <w:t xml:space="preserve"> </w:t>
      </w:r>
      <w:r w:rsidRPr="00A953D0">
        <w:rPr>
          <w:rFonts w:ascii="Cambria" w:hAnsi="Cambria"/>
        </w:rPr>
        <w:t>were in general consistent with the results in the overall study population.</w:t>
      </w:r>
    </w:p>
    <w:p w:rsidR="00386226" w:rsidRPr="00A953D0" w:rsidRDefault="00386226" w:rsidP="00386226">
      <w:pPr>
        <w:pStyle w:val="Heading2"/>
        <w:rPr>
          <w:rFonts w:ascii="Cambria" w:hAnsi="Cambria"/>
        </w:rPr>
      </w:pPr>
      <w:r w:rsidRPr="00A953D0">
        <w:rPr>
          <w:rFonts w:ascii="Cambria" w:hAnsi="Cambria"/>
        </w:rPr>
        <w:t>PHARMACOKINETIC PROPERTIES</w:t>
      </w:r>
    </w:p>
    <w:p w:rsidR="00386226" w:rsidRPr="00A953D0" w:rsidRDefault="00386226" w:rsidP="00386226">
      <w:pPr>
        <w:rPr>
          <w:rFonts w:ascii="Cambria" w:hAnsi="Cambria"/>
          <w:b/>
          <w:i/>
        </w:rPr>
      </w:pPr>
      <w:bookmarkStart w:id="27" w:name="_Toc456606933"/>
      <w:r w:rsidRPr="00A953D0">
        <w:rPr>
          <w:rFonts w:ascii="Cambria" w:hAnsi="Cambria"/>
          <w:b/>
          <w:i/>
        </w:rPr>
        <w:t>Absorption</w:t>
      </w:r>
      <w:bookmarkEnd w:id="27"/>
    </w:p>
    <w:p w:rsidR="00386226" w:rsidRPr="00A953D0" w:rsidRDefault="00386226" w:rsidP="00386226">
      <w:pPr>
        <w:rPr>
          <w:rFonts w:ascii="Cambria" w:hAnsi="Cambria"/>
        </w:rPr>
      </w:pPr>
      <w:r w:rsidRPr="00A953D0">
        <w:rPr>
          <w:rFonts w:ascii="Cambria" w:hAnsi="Cambria"/>
        </w:rPr>
        <w:t xml:space="preserve">After a single subcutaneous (SC) dose of 75-600 mg </w:t>
      </w:r>
      <w:proofErr w:type="spellStart"/>
      <w:r w:rsidRPr="00A953D0">
        <w:rPr>
          <w:rFonts w:ascii="Cambria" w:hAnsi="Cambria"/>
        </w:rPr>
        <w:t>dupilumab</w:t>
      </w:r>
      <w:proofErr w:type="spellEnd"/>
      <w:r w:rsidRPr="00A953D0">
        <w:rPr>
          <w:rFonts w:ascii="Cambria" w:hAnsi="Cambria"/>
        </w:rPr>
        <w:t>, median times to maximum concentration in serum (</w:t>
      </w:r>
      <w:proofErr w:type="spellStart"/>
      <w:r w:rsidRPr="00A953D0">
        <w:rPr>
          <w:rFonts w:ascii="Cambria" w:hAnsi="Cambria"/>
        </w:rPr>
        <w:t>t</w:t>
      </w:r>
      <w:r w:rsidRPr="00A953D0">
        <w:rPr>
          <w:rFonts w:ascii="Cambria" w:hAnsi="Cambria"/>
          <w:vertAlign w:val="subscript"/>
        </w:rPr>
        <w:t>max</w:t>
      </w:r>
      <w:proofErr w:type="spellEnd"/>
      <w:r w:rsidRPr="00A953D0">
        <w:rPr>
          <w:rFonts w:ascii="Cambria" w:hAnsi="Cambria"/>
        </w:rPr>
        <w:t xml:space="preserve">) were 3-7 days. The absolute bioavailability of </w:t>
      </w:r>
      <w:proofErr w:type="spellStart"/>
      <w:r w:rsidRPr="00A953D0">
        <w:rPr>
          <w:rFonts w:ascii="Cambria" w:hAnsi="Cambria"/>
        </w:rPr>
        <w:t>dupilumab</w:t>
      </w:r>
      <w:proofErr w:type="spellEnd"/>
      <w:r w:rsidRPr="00A953D0">
        <w:rPr>
          <w:rFonts w:ascii="Cambria" w:hAnsi="Cambria"/>
        </w:rPr>
        <w:t xml:space="preserve"> following a SC dose is estimated to be 64%, as determined by a population pharmacokinetics (PK) analysis. </w:t>
      </w:r>
    </w:p>
    <w:p w:rsidR="00386226" w:rsidRPr="00A953D0" w:rsidRDefault="00386226" w:rsidP="00386226">
      <w:pPr>
        <w:rPr>
          <w:rFonts w:ascii="Cambria" w:hAnsi="Cambria"/>
        </w:rPr>
      </w:pPr>
      <w:r w:rsidRPr="00A953D0">
        <w:rPr>
          <w:rFonts w:ascii="Cambria" w:hAnsi="Cambria"/>
        </w:rPr>
        <w:t xml:space="preserve">Administration of a single loading dose of 600 mg on Day 1 leads to rapid attainment of clinically effective concentrations within 2 weeks. </w:t>
      </w:r>
    </w:p>
    <w:p w:rsidR="00386226" w:rsidRPr="00A953D0" w:rsidRDefault="00386226" w:rsidP="00386226">
      <w:pPr>
        <w:rPr>
          <w:rFonts w:ascii="Cambria" w:hAnsi="Cambria"/>
        </w:rPr>
      </w:pPr>
      <w:r w:rsidRPr="00A953D0">
        <w:rPr>
          <w:rFonts w:ascii="Cambria" w:hAnsi="Cambria"/>
        </w:rPr>
        <w:t xml:space="preserve">For every other week dosing (Q2W) with 300 mg, starting with a loading dose of 600 mg, population PK analysis determined steady state concentrations to be achieved after 10 weeks in a typical patient. Mean steady state trough concentration was 74 mg/L. </w:t>
      </w:r>
    </w:p>
    <w:p w:rsidR="00386226" w:rsidRPr="00A953D0" w:rsidRDefault="00386226" w:rsidP="00386226">
      <w:pPr>
        <w:rPr>
          <w:rFonts w:ascii="Cambria" w:hAnsi="Cambria"/>
        </w:rPr>
      </w:pPr>
      <w:r w:rsidRPr="00A953D0">
        <w:rPr>
          <w:rFonts w:ascii="Cambria" w:hAnsi="Cambria"/>
        </w:rPr>
        <w:t xml:space="preserve">For weekly dosing (QW) with 300 mg, starting with a loading dose of 600 mg, population PK analysis determined steady state concentrations to be achieved after 13 weeks in a typical patient. Mean steady state trough concentration was 189 mg/L. </w:t>
      </w:r>
    </w:p>
    <w:p w:rsidR="00C873D5" w:rsidRPr="00A953D0" w:rsidRDefault="00C873D5" w:rsidP="00C873D5">
      <w:pPr>
        <w:rPr>
          <w:rFonts w:ascii="Cambria" w:hAnsi="Cambria"/>
          <w:b/>
          <w:i/>
        </w:rPr>
      </w:pPr>
      <w:bookmarkStart w:id="28" w:name="_Toc456606935"/>
      <w:r w:rsidRPr="00A953D0">
        <w:rPr>
          <w:rFonts w:ascii="Cambria" w:hAnsi="Cambria"/>
          <w:b/>
          <w:i/>
        </w:rPr>
        <w:t>Distribution</w:t>
      </w:r>
      <w:bookmarkEnd w:id="28"/>
    </w:p>
    <w:p w:rsidR="00C873D5" w:rsidRPr="00A953D0" w:rsidRDefault="00C873D5" w:rsidP="00C873D5">
      <w:pPr>
        <w:rPr>
          <w:rFonts w:ascii="Cambria" w:hAnsi="Cambria"/>
        </w:rPr>
      </w:pPr>
      <w:r w:rsidRPr="00A953D0">
        <w:rPr>
          <w:rFonts w:ascii="Cambria" w:hAnsi="Cambria"/>
        </w:rPr>
        <w:t xml:space="preserve">A volume of distribution for </w:t>
      </w:r>
      <w:proofErr w:type="spellStart"/>
      <w:r w:rsidRPr="00A953D0">
        <w:rPr>
          <w:rFonts w:ascii="Cambria" w:hAnsi="Cambria"/>
        </w:rPr>
        <w:t>dupilumab</w:t>
      </w:r>
      <w:proofErr w:type="spellEnd"/>
      <w:r w:rsidRPr="00A953D0">
        <w:rPr>
          <w:rFonts w:ascii="Cambria" w:hAnsi="Cambria"/>
        </w:rPr>
        <w:t xml:space="preserve"> of approximately 4.6L was estimated by population PK analysis, indicating that </w:t>
      </w:r>
      <w:proofErr w:type="spellStart"/>
      <w:r w:rsidRPr="00A953D0">
        <w:rPr>
          <w:rFonts w:ascii="Cambria" w:hAnsi="Cambria"/>
        </w:rPr>
        <w:t>dupilumab</w:t>
      </w:r>
      <w:proofErr w:type="spellEnd"/>
      <w:r w:rsidRPr="00A953D0">
        <w:rPr>
          <w:rFonts w:ascii="Cambria" w:hAnsi="Cambria"/>
        </w:rPr>
        <w:t xml:space="preserve"> is distributed primarily in the vascular system.</w:t>
      </w:r>
    </w:p>
    <w:p w:rsidR="00C873D5" w:rsidRPr="00A953D0" w:rsidRDefault="00C873D5" w:rsidP="00C873D5">
      <w:pPr>
        <w:rPr>
          <w:rFonts w:ascii="Cambria" w:hAnsi="Cambria"/>
          <w:b/>
          <w:i/>
        </w:rPr>
      </w:pPr>
      <w:bookmarkStart w:id="29" w:name="_Toc456606936"/>
      <w:r w:rsidRPr="00A953D0">
        <w:rPr>
          <w:rFonts w:ascii="Cambria" w:hAnsi="Cambria"/>
          <w:b/>
          <w:i/>
        </w:rPr>
        <w:t>Metabolism</w:t>
      </w:r>
      <w:bookmarkEnd w:id="29"/>
    </w:p>
    <w:p w:rsidR="00C873D5" w:rsidRPr="00A953D0" w:rsidRDefault="00C873D5" w:rsidP="00C873D5">
      <w:pPr>
        <w:rPr>
          <w:rFonts w:ascii="Cambria" w:hAnsi="Cambria"/>
        </w:rPr>
      </w:pPr>
      <w:r w:rsidRPr="00A953D0">
        <w:rPr>
          <w:rFonts w:ascii="Cambria" w:hAnsi="Cambria"/>
        </w:rPr>
        <w:t xml:space="preserve">Specific metabolism studies were not conducted, because </w:t>
      </w:r>
      <w:proofErr w:type="spellStart"/>
      <w:r w:rsidRPr="00A953D0">
        <w:rPr>
          <w:rFonts w:ascii="Cambria" w:hAnsi="Cambria"/>
        </w:rPr>
        <w:t>dupilumab</w:t>
      </w:r>
      <w:proofErr w:type="spellEnd"/>
      <w:r w:rsidRPr="00A953D0">
        <w:rPr>
          <w:rFonts w:ascii="Cambria" w:hAnsi="Cambria"/>
        </w:rPr>
        <w:t xml:space="preserve"> is a protein. </w:t>
      </w:r>
      <w:proofErr w:type="spellStart"/>
      <w:r w:rsidRPr="00A953D0">
        <w:rPr>
          <w:rFonts w:ascii="Cambria" w:hAnsi="Cambria"/>
        </w:rPr>
        <w:t>Dupilumab</w:t>
      </w:r>
      <w:proofErr w:type="spellEnd"/>
      <w:r w:rsidRPr="00A953D0">
        <w:rPr>
          <w:rFonts w:ascii="Cambria" w:hAnsi="Cambria"/>
        </w:rPr>
        <w:t xml:space="preserve"> is expected to degrade to small peptides and individual amino acids.</w:t>
      </w:r>
    </w:p>
    <w:p w:rsidR="00C873D5" w:rsidRPr="00A953D0" w:rsidRDefault="00C873D5" w:rsidP="00386226">
      <w:pPr>
        <w:rPr>
          <w:rFonts w:ascii="Cambria" w:hAnsi="Cambria"/>
          <w:b/>
          <w:i/>
        </w:rPr>
      </w:pPr>
      <w:r w:rsidRPr="00A953D0">
        <w:rPr>
          <w:rFonts w:ascii="Cambria" w:hAnsi="Cambria"/>
          <w:b/>
          <w:i/>
        </w:rPr>
        <w:t>Excretion</w:t>
      </w:r>
    </w:p>
    <w:p w:rsidR="00386226" w:rsidRPr="00A953D0" w:rsidRDefault="00386226" w:rsidP="00386226">
      <w:pPr>
        <w:rPr>
          <w:rFonts w:ascii="Cambria" w:hAnsi="Cambria"/>
        </w:rPr>
      </w:pPr>
      <w:proofErr w:type="spellStart"/>
      <w:r w:rsidRPr="00A953D0">
        <w:rPr>
          <w:rFonts w:ascii="Cambria" w:hAnsi="Cambria"/>
        </w:rPr>
        <w:t>Dupilumab</w:t>
      </w:r>
      <w:proofErr w:type="spellEnd"/>
      <w:r w:rsidRPr="00A953D0">
        <w:rPr>
          <w:rFonts w:ascii="Cambria" w:hAnsi="Cambria"/>
        </w:rPr>
        <w:t xml:space="preserve"> elimination is mediated by parallel linear and nonlinear pathways. At higher concentrations, </w:t>
      </w:r>
      <w:proofErr w:type="spellStart"/>
      <w:r w:rsidRPr="00A953D0">
        <w:rPr>
          <w:rFonts w:ascii="Cambria" w:hAnsi="Cambria"/>
        </w:rPr>
        <w:t>dupilumab</w:t>
      </w:r>
      <w:proofErr w:type="spellEnd"/>
      <w:r w:rsidRPr="00A953D0">
        <w:rPr>
          <w:rFonts w:ascii="Cambria" w:hAnsi="Cambria"/>
        </w:rPr>
        <w:t xml:space="preserve"> elimination is primarily through a non-</w:t>
      </w:r>
      <w:proofErr w:type="spellStart"/>
      <w:r w:rsidRPr="00A953D0">
        <w:rPr>
          <w:rFonts w:ascii="Cambria" w:hAnsi="Cambria"/>
        </w:rPr>
        <w:t>saturable</w:t>
      </w:r>
      <w:proofErr w:type="spellEnd"/>
      <w:r w:rsidRPr="00A953D0">
        <w:rPr>
          <w:rFonts w:ascii="Cambria" w:hAnsi="Cambria"/>
        </w:rPr>
        <w:t xml:space="preserve"> proteolytic pathway, while at lower concentrations, the non-linear </w:t>
      </w:r>
      <w:proofErr w:type="spellStart"/>
      <w:r w:rsidRPr="00A953D0">
        <w:rPr>
          <w:rFonts w:ascii="Cambria" w:hAnsi="Cambria"/>
        </w:rPr>
        <w:t>saturable</w:t>
      </w:r>
      <w:proofErr w:type="spellEnd"/>
      <w:r w:rsidRPr="00A953D0">
        <w:rPr>
          <w:rFonts w:ascii="Cambria" w:hAnsi="Cambria"/>
        </w:rPr>
        <w:t xml:space="preserve"> IL-4R α target-mediated elimination predominates.  </w:t>
      </w:r>
    </w:p>
    <w:p w:rsidR="00386226" w:rsidRPr="00A953D0" w:rsidRDefault="00386226" w:rsidP="00386226">
      <w:pPr>
        <w:rPr>
          <w:rFonts w:ascii="Cambria" w:hAnsi="Cambria"/>
        </w:rPr>
      </w:pPr>
      <w:r w:rsidRPr="00A953D0">
        <w:rPr>
          <w:rFonts w:ascii="Cambria" w:hAnsi="Cambria"/>
        </w:rPr>
        <w:t xml:space="preserve">After the last steady state dose, the median time for </w:t>
      </w:r>
      <w:proofErr w:type="spellStart"/>
      <w:r w:rsidRPr="00A953D0">
        <w:rPr>
          <w:rFonts w:ascii="Cambria" w:hAnsi="Cambria"/>
        </w:rPr>
        <w:t>dupilumab</w:t>
      </w:r>
      <w:proofErr w:type="spellEnd"/>
      <w:r w:rsidRPr="00A953D0">
        <w:rPr>
          <w:rFonts w:ascii="Cambria" w:hAnsi="Cambria"/>
        </w:rPr>
        <w:t xml:space="preserve"> concentrations to decrease below the lower limit of detection, determined by population PK analysis, was 10 weeks for the 300 mg Q2W regimen and 13 weeks for the 300 mg QW regimen.</w:t>
      </w:r>
    </w:p>
    <w:p w:rsidR="00C873D5" w:rsidRPr="00A953D0" w:rsidRDefault="00C873D5" w:rsidP="00C873D5">
      <w:pPr>
        <w:rPr>
          <w:rFonts w:ascii="Cambria" w:hAnsi="Cambria"/>
          <w:b/>
          <w:i/>
        </w:rPr>
      </w:pPr>
      <w:bookmarkStart w:id="30" w:name="_Toc456606934"/>
      <w:r w:rsidRPr="00A953D0">
        <w:rPr>
          <w:rFonts w:ascii="Cambria" w:hAnsi="Cambria"/>
          <w:b/>
          <w:i/>
        </w:rPr>
        <w:lastRenderedPageBreak/>
        <w:t>Dose Linearity</w:t>
      </w:r>
      <w:bookmarkEnd w:id="30"/>
    </w:p>
    <w:p w:rsidR="00C873D5" w:rsidRPr="00A953D0" w:rsidRDefault="00C873D5" w:rsidP="00386226">
      <w:pPr>
        <w:rPr>
          <w:rFonts w:ascii="Cambria" w:hAnsi="Cambria"/>
        </w:rPr>
      </w:pPr>
      <w:r w:rsidRPr="00A953D0">
        <w:rPr>
          <w:rFonts w:ascii="Cambria" w:hAnsi="Cambria"/>
        </w:rPr>
        <w:t xml:space="preserve">Due to nonlinear clearance, </w:t>
      </w:r>
      <w:proofErr w:type="spellStart"/>
      <w:r w:rsidRPr="00A953D0">
        <w:rPr>
          <w:rFonts w:ascii="Cambria" w:hAnsi="Cambria"/>
        </w:rPr>
        <w:t>dupilumab</w:t>
      </w:r>
      <w:proofErr w:type="spellEnd"/>
      <w:r w:rsidRPr="00A953D0">
        <w:rPr>
          <w:rFonts w:ascii="Cambria" w:hAnsi="Cambria"/>
        </w:rPr>
        <w:t xml:space="preserve"> exposure, as measured by area under the concentration-time curve, increases with dose in a greater than proportional manner following single SC doses from 75-600 mg.</w:t>
      </w:r>
    </w:p>
    <w:p w:rsidR="00386226" w:rsidRPr="00A953D0" w:rsidRDefault="00386226" w:rsidP="00386226">
      <w:pPr>
        <w:rPr>
          <w:rFonts w:ascii="Cambria" w:hAnsi="Cambria"/>
          <w:b/>
        </w:rPr>
      </w:pPr>
      <w:bookmarkStart w:id="31" w:name="_Toc456606939"/>
      <w:r w:rsidRPr="00A953D0">
        <w:rPr>
          <w:rFonts w:ascii="Cambria" w:hAnsi="Cambria"/>
          <w:b/>
        </w:rPr>
        <w:t>Special Populations</w:t>
      </w:r>
      <w:bookmarkEnd w:id="31"/>
    </w:p>
    <w:p w:rsidR="00386226" w:rsidRPr="00A953D0" w:rsidRDefault="00386226" w:rsidP="00386226">
      <w:pPr>
        <w:rPr>
          <w:rFonts w:ascii="Cambria" w:hAnsi="Cambria"/>
          <w:b/>
          <w:i/>
        </w:rPr>
      </w:pPr>
      <w:bookmarkStart w:id="32" w:name="_Toc456606940"/>
      <w:r w:rsidRPr="00A953D0">
        <w:rPr>
          <w:rFonts w:ascii="Cambria" w:hAnsi="Cambria"/>
          <w:b/>
          <w:i/>
        </w:rPr>
        <w:t>Gender</w:t>
      </w:r>
      <w:bookmarkEnd w:id="32"/>
      <w:r w:rsidRPr="00A953D0">
        <w:rPr>
          <w:rFonts w:ascii="Cambria" w:hAnsi="Cambria"/>
          <w:b/>
          <w:i/>
        </w:rPr>
        <w:t xml:space="preserve"> </w:t>
      </w:r>
    </w:p>
    <w:p w:rsidR="00386226" w:rsidRPr="00A953D0" w:rsidRDefault="00386226" w:rsidP="00386226">
      <w:pPr>
        <w:rPr>
          <w:rFonts w:ascii="Cambria" w:hAnsi="Cambria"/>
        </w:rPr>
      </w:pPr>
      <w:r w:rsidRPr="00A953D0">
        <w:rPr>
          <w:rFonts w:ascii="Cambria" w:hAnsi="Cambria"/>
        </w:rPr>
        <w:t xml:space="preserve">Gender was not found to be associated with any clinically meaningful impact on the systemic exposure of </w:t>
      </w:r>
      <w:proofErr w:type="spellStart"/>
      <w:r w:rsidRPr="00A953D0">
        <w:rPr>
          <w:rFonts w:ascii="Cambria" w:hAnsi="Cambria"/>
        </w:rPr>
        <w:t>Dupixent</w:t>
      </w:r>
      <w:proofErr w:type="spellEnd"/>
      <w:r w:rsidRPr="00A953D0">
        <w:rPr>
          <w:rFonts w:ascii="Cambria" w:hAnsi="Cambria"/>
        </w:rPr>
        <w:t xml:space="preserve"> determined by population PK analysis.</w:t>
      </w:r>
    </w:p>
    <w:p w:rsidR="00386226" w:rsidRPr="00A953D0" w:rsidRDefault="00386226" w:rsidP="00386226">
      <w:pPr>
        <w:rPr>
          <w:rFonts w:ascii="Cambria" w:hAnsi="Cambria"/>
          <w:b/>
          <w:i/>
        </w:rPr>
      </w:pPr>
      <w:bookmarkStart w:id="33" w:name="_Toc456606941"/>
      <w:r w:rsidRPr="00A953D0">
        <w:rPr>
          <w:rFonts w:ascii="Cambria" w:hAnsi="Cambria"/>
          <w:b/>
          <w:i/>
        </w:rPr>
        <w:t>Elderly</w:t>
      </w:r>
      <w:bookmarkEnd w:id="33"/>
    </w:p>
    <w:p w:rsidR="00386226" w:rsidRPr="00A953D0" w:rsidRDefault="00386226" w:rsidP="00386226">
      <w:pPr>
        <w:rPr>
          <w:rFonts w:ascii="Cambria" w:hAnsi="Cambria"/>
        </w:rPr>
      </w:pPr>
      <w:r w:rsidRPr="00A953D0">
        <w:rPr>
          <w:rFonts w:ascii="Cambria" w:hAnsi="Cambria"/>
        </w:rPr>
        <w:t xml:space="preserve">Age was not found to be associated with any clinically meaningful impact on the systemic exposure of </w:t>
      </w:r>
      <w:proofErr w:type="spellStart"/>
      <w:r w:rsidRPr="00A953D0">
        <w:rPr>
          <w:rFonts w:ascii="Cambria" w:hAnsi="Cambria"/>
        </w:rPr>
        <w:t>Dupixent</w:t>
      </w:r>
      <w:proofErr w:type="spellEnd"/>
      <w:r w:rsidRPr="00A953D0">
        <w:rPr>
          <w:rFonts w:ascii="Cambria" w:hAnsi="Cambria"/>
        </w:rPr>
        <w:t xml:space="preserve"> determined by population PK analysis.</w:t>
      </w:r>
    </w:p>
    <w:p w:rsidR="00386226" w:rsidRPr="00A953D0" w:rsidRDefault="00386226" w:rsidP="00386226">
      <w:pPr>
        <w:rPr>
          <w:rFonts w:ascii="Cambria" w:hAnsi="Cambria"/>
          <w:b/>
          <w:i/>
        </w:rPr>
      </w:pPr>
      <w:bookmarkStart w:id="34" w:name="_Toc456606942"/>
      <w:r w:rsidRPr="00A953D0">
        <w:rPr>
          <w:rFonts w:ascii="Cambria" w:hAnsi="Cambria"/>
          <w:b/>
          <w:i/>
        </w:rPr>
        <w:t>Race</w:t>
      </w:r>
      <w:bookmarkEnd w:id="34"/>
    </w:p>
    <w:p w:rsidR="00386226" w:rsidRPr="00A953D0" w:rsidRDefault="00386226" w:rsidP="00386226">
      <w:pPr>
        <w:rPr>
          <w:rFonts w:ascii="Cambria" w:hAnsi="Cambria"/>
        </w:rPr>
      </w:pPr>
      <w:r w:rsidRPr="00A953D0">
        <w:rPr>
          <w:rFonts w:ascii="Cambria" w:hAnsi="Cambria"/>
        </w:rPr>
        <w:t xml:space="preserve">Race was not found to be associated with any clinically meaningful impact on the systemic exposure of </w:t>
      </w:r>
      <w:proofErr w:type="spellStart"/>
      <w:r w:rsidRPr="00A953D0">
        <w:rPr>
          <w:rFonts w:ascii="Cambria" w:hAnsi="Cambria"/>
        </w:rPr>
        <w:t>Dupixent</w:t>
      </w:r>
      <w:proofErr w:type="spellEnd"/>
      <w:r w:rsidRPr="00A953D0">
        <w:rPr>
          <w:rFonts w:ascii="Cambria" w:hAnsi="Cambria"/>
        </w:rPr>
        <w:t xml:space="preserve"> by population PK analysis.</w:t>
      </w:r>
    </w:p>
    <w:p w:rsidR="00386226" w:rsidRPr="00A953D0" w:rsidRDefault="00386226" w:rsidP="00386226">
      <w:pPr>
        <w:rPr>
          <w:rFonts w:ascii="Cambria" w:hAnsi="Cambria"/>
          <w:b/>
          <w:i/>
        </w:rPr>
      </w:pPr>
      <w:bookmarkStart w:id="35" w:name="_Toc456606943"/>
      <w:proofErr w:type="spellStart"/>
      <w:r w:rsidRPr="00A953D0">
        <w:rPr>
          <w:rFonts w:ascii="Cambria" w:hAnsi="Cambria"/>
          <w:b/>
          <w:i/>
        </w:rPr>
        <w:t>Paediatric</w:t>
      </w:r>
      <w:proofErr w:type="spellEnd"/>
      <w:r w:rsidRPr="00A953D0">
        <w:rPr>
          <w:rFonts w:ascii="Cambria" w:hAnsi="Cambria"/>
          <w:b/>
          <w:i/>
        </w:rPr>
        <w:t xml:space="preserve"> Patients</w:t>
      </w:r>
      <w:bookmarkEnd w:id="35"/>
    </w:p>
    <w:p w:rsidR="00386226" w:rsidRPr="00A953D0" w:rsidRDefault="00386226" w:rsidP="00386226">
      <w:pPr>
        <w:rPr>
          <w:rFonts w:ascii="Cambria" w:hAnsi="Cambria"/>
        </w:rPr>
      </w:pPr>
      <w:r w:rsidRPr="00A953D0">
        <w:rPr>
          <w:rFonts w:ascii="Cambria" w:hAnsi="Cambria"/>
        </w:rPr>
        <w:t xml:space="preserve">The pharmacokinetics of </w:t>
      </w:r>
      <w:proofErr w:type="spellStart"/>
      <w:r w:rsidRPr="00A953D0">
        <w:rPr>
          <w:rFonts w:ascii="Cambria" w:hAnsi="Cambria"/>
        </w:rPr>
        <w:t>dupilumab</w:t>
      </w:r>
      <w:proofErr w:type="spellEnd"/>
      <w:r w:rsidRPr="00A953D0">
        <w:rPr>
          <w:rFonts w:ascii="Cambria" w:hAnsi="Cambria"/>
        </w:rPr>
        <w:t xml:space="preserve"> in </w:t>
      </w:r>
      <w:proofErr w:type="spellStart"/>
      <w:r w:rsidRPr="00A953D0">
        <w:rPr>
          <w:rFonts w:ascii="Cambria" w:hAnsi="Cambria"/>
        </w:rPr>
        <w:t>paediatric</w:t>
      </w:r>
      <w:proofErr w:type="spellEnd"/>
      <w:r w:rsidRPr="00A953D0">
        <w:rPr>
          <w:rFonts w:ascii="Cambria" w:hAnsi="Cambria"/>
        </w:rPr>
        <w:t xml:space="preserve"> patients </w:t>
      </w:r>
      <w:proofErr w:type="gramStart"/>
      <w:r w:rsidRPr="00A953D0">
        <w:rPr>
          <w:rFonts w:ascii="Cambria" w:hAnsi="Cambria"/>
        </w:rPr>
        <w:t>have</w:t>
      </w:r>
      <w:proofErr w:type="gramEnd"/>
      <w:r w:rsidRPr="00A953D0">
        <w:rPr>
          <w:rFonts w:ascii="Cambria" w:hAnsi="Cambria"/>
        </w:rPr>
        <w:t xml:space="preserve"> not been studied.</w:t>
      </w:r>
    </w:p>
    <w:p w:rsidR="00386226" w:rsidRPr="00A953D0" w:rsidRDefault="00386226" w:rsidP="00386226">
      <w:pPr>
        <w:rPr>
          <w:rFonts w:ascii="Cambria" w:hAnsi="Cambria"/>
          <w:b/>
          <w:i/>
        </w:rPr>
      </w:pPr>
      <w:bookmarkStart w:id="36" w:name="_Toc456606944"/>
      <w:r w:rsidRPr="00A953D0">
        <w:rPr>
          <w:rFonts w:ascii="Cambria" w:hAnsi="Cambria"/>
          <w:b/>
          <w:i/>
        </w:rPr>
        <w:t>Hepatic Impairment</w:t>
      </w:r>
      <w:bookmarkEnd w:id="36"/>
    </w:p>
    <w:p w:rsidR="00386226" w:rsidRPr="00A953D0" w:rsidRDefault="00386226" w:rsidP="00386226">
      <w:pPr>
        <w:rPr>
          <w:rFonts w:ascii="Cambria" w:hAnsi="Cambria"/>
        </w:rPr>
      </w:pPr>
      <w:proofErr w:type="spellStart"/>
      <w:r w:rsidRPr="00A953D0">
        <w:rPr>
          <w:rFonts w:ascii="Cambria" w:hAnsi="Cambria"/>
        </w:rPr>
        <w:t>Dupilumab</w:t>
      </w:r>
      <w:proofErr w:type="spellEnd"/>
      <w:r w:rsidRPr="00A953D0">
        <w:rPr>
          <w:rFonts w:ascii="Cambria" w:hAnsi="Cambria"/>
        </w:rPr>
        <w:t xml:space="preserve">, as a monoclonal antibody, is not expected to undergo significant hepatic elimination. No clinical studies have been conducted to evaluate the effect of hepatic impairment on the pharmacokinetics of </w:t>
      </w:r>
      <w:proofErr w:type="spellStart"/>
      <w:r w:rsidRPr="00A953D0">
        <w:rPr>
          <w:rFonts w:ascii="Cambria" w:hAnsi="Cambria"/>
        </w:rPr>
        <w:t>dupilumab</w:t>
      </w:r>
      <w:proofErr w:type="spellEnd"/>
      <w:r w:rsidRPr="00A953D0">
        <w:rPr>
          <w:rFonts w:ascii="Cambria" w:hAnsi="Cambria"/>
        </w:rPr>
        <w:t>.</w:t>
      </w:r>
    </w:p>
    <w:p w:rsidR="00386226" w:rsidRPr="00A953D0" w:rsidRDefault="00386226" w:rsidP="00386226">
      <w:pPr>
        <w:rPr>
          <w:rFonts w:ascii="Cambria" w:hAnsi="Cambria"/>
          <w:b/>
          <w:i/>
        </w:rPr>
      </w:pPr>
      <w:bookmarkStart w:id="37" w:name="_Toc456606945"/>
      <w:r w:rsidRPr="00A953D0">
        <w:rPr>
          <w:rFonts w:ascii="Cambria" w:hAnsi="Cambria"/>
          <w:b/>
          <w:i/>
        </w:rPr>
        <w:t>Renal Impairment</w:t>
      </w:r>
      <w:bookmarkEnd w:id="37"/>
    </w:p>
    <w:p w:rsidR="00386226" w:rsidRPr="00A953D0" w:rsidRDefault="00386226" w:rsidP="00386226">
      <w:pPr>
        <w:rPr>
          <w:rFonts w:ascii="Cambria" w:hAnsi="Cambria"/>
        </w:rPr>
      </w:pPr>
      <w:proofErr w:type="spellStart"/>
      <w:r w:rsidRPr="00A953D0">
        <w:rPr>
          <w:rFonts w:ascii="Cambria" w:hAnsi="Cambria"/>
        </w:rPr>
        <w:t>Dupilumab</w:t>
      </w:r>
      <w:proofErr w:type="spellEnd"/>
      <w:r w:rsidRPr="00A953D0">
        <w:rPr>
          <w:rFonts w:ascii="Cambria" w:hAnsi="Cambria"/>
        </w:rPr>
        <w:t xml:space="preserve">, as a monoclonal antibody, is not expected to undergo significant renal elimination.  No clinical studies have been conducted to evaluate the effect of renal impairment on the pharmacokinetics of </w:t>
      </w:r>
      <w:proofErr w:type="spellStart"/>
      <w:r w:rsidRPr="00A953D0">
        <w:rPr>
          <w:rFonts w:ascii="Cambria" w:hAnsi="Cambria"/>
        </w:rPr>
        <w:t>dupilumab</w:t>
      </w:r>
      <w:proofErr w:type="spellEnd"/>
      <w:r w:rsidRPr="00A953D0">
        <w:rPr>
          <w:rFonts w:ascii="Cambria" w:hAnsi="Cambria"/>
        </w:rPr>
        <w:t xml:space="preserve">. Population PK analysis did not identify mild or moderate renal impairment as having a clinically meaningful influence on the systemic exposure of </w:t>
      </w:r>
      <w:proofErr w:type="spellStart"/>
      <w:r w:rsidRPr="00A953D0">
        <w:rPr>
          <w:rFonts w:ascii="Cambria" w:hAnsi="Cambria"/>
        </w:rPr>
        <w:t>Dupixent</w:t>
      </w:r>
      <w:proofErr w:type="spellEnd"/>
      <w:r w:rsidRPr="00A953D0">
        <w:rPr>
          <w:rFonts w:ascii="Cambria" w:hAnsi="Cambria"/>
        </w:rPr>
        <w:t>. No data are available in patients with severe renal impairment.</w:t>
      </w:r>
    </w:p>
    <w:p w:rsidR="00254C36" w:rsidRPr="00A953D0" w:rsidRDefault="00C873D5" w:rsidP="00C873D5">
      <w:pPr>
        <w:pStyle w:val="Heading2"/>
        <w:rPr>
          <w:rFonts w:ascii="Cambria" w:hAnsi="Cambria"/>
        </w:rPr>
      </w:pPr>
      <w:r w:rsidRPr="00A953D0">
        <w:rPr>
          <w:rFonts w:ascii="Cambria" w:hAnsi="Cambria"/>
        </w:rPr>
        <w:lastRenderedPageBreak/>
        <w:t>PRECLINICAL SAFETY DATA</w:t>
      </w:r>
    </w:p>
    <w:p w:rsidR="003020BF" w:rsidRPr="00A953D0" w:rsidRDefault="003020BF" w:rsidP="003020BF">
      <w:pPr>
        <w:pStyle w:val="Heading2"/>
        <w:numPr>
          <w:ilvl w:val="0"/>
          <w:numId w:val="0"/>
        </w:numPr>
        <w:rPr>
          <w:rFonts w:ascii="Cambria" w:hAnsi="Cambria"/>
        </w:rPr>
      </w:pPr>
      <w:bookmarkStart w:id="38" w:name="_Toc456606964"/>
      <w:r w:rsidRPr="00A953D0">
        <w:rPr>
          <w:rFonts w:ascii="Cambria" w:hAnsi="Cambria"/>
        </w:rPr>
        <w:t>genotoxicity</w:t>
      </w:r>
      <w:bookmarkEnd w:id="38"/>
    </w:p>
    <w:p w:rsidR="003020BF" w:rsidRPr="00A953D0" w:rsidRDefault="006A748D" w:rsidP="003020BF">
      <w:pPr>
        <w:rPr>
          <w:rFonts w:ascii="Cambria" w:hAnsi="Cambria"/>
        </w:rPr>
      </w:pPr>
      <w:r w:rsidRPr="00A953D0">
        <w:rPr>
          <w:rFonts w:ascii="Cambria" w:hAnsi="Cambria"/>
        </w:rPr>
        <w:t>No genotoxicity studies were conducted.</w:t>
      </w:r>
      <w:r w:rsidR="001557A9" w:rsidRPr="00A953D0">
        <w:rPr>
          <w:rFonts w:ascii="Cambria" w:hAnsi="Cambria"/>
        </w:rPr>
        <w:t xml:space="preserve"> As a monoclonal antibody, </w:t>
      </w:r>
      <w:proofErr w:type="spellStart"/>
      <w:r w:rsidR="001557A9" w:rsidRPr="00A953D0">
        <w:rPr>
          <w:rFonts w:ascii="Cambria" w:hAnsi="Cambria"/>
        </w:rPr>
        <w:t>dupilumab</w:t>
      </w:r>
      <w:proofErr w:type="spellEnd"/>
      <w:r w:rsidR="001557A9" w:rsidRPr="00A953D0">
        <w:rPr>
          <w:rFonts w:ascii="Cambria" w:hAnsi="Cambria"/>
        </w:rPr>
        <w:t xml:space="preserve"> is not expected to interact with DNA or other chromosomal material.</w:t>
      </w:r>
    </w:p>
    <w:p w:rsidR="003020BF" w:rsidRPr="00A953D0" w:rsidRDefault="003020BF" w:rsidP="003020BF">
      <w:pPr>
        <w:pStyle w:val="Heading2"/>
        <w:numPr>
          <w:ilvl w:val="0"/>
          <w:numId w:val="0"/>
        </w:numPr>
        <w:rPr>
          <w:rFonts w:ascii="Cambria" w:hAnsi="Cambria"/>
        </w:rPr>
      </w:pPr>
      <w:bookmarkStart w:id="39" w:name="_Toc456606967"/>
      <w:r w:rsidRPr="00A953D0">
        <w:rPr>
          <w:rFonts w:ascii="Cambria" w:hAnsi="Cambria"/>
        </w:rPr>
        <w:t>carcinogenicity</w:t>
      </w:r>
      <w:bookmarkEnd w:id="39"/>
    </w:p>
    <w:p w:rsidR="003020BF" w:rsidRPr="00A953D0" w:rsidRDefault="006A748D" w:rsidP="003020BF">
      <w:pPr>
        <w:rPr>
          <w:rFonts w:ascii="Cambria" w:hAnsi="Cambria"/>
        </w:rPr>
      </w:pPr>
      <w:r w:rsidRPr="00A953D0">
        <w:rPr>
          <w:rFonts w:ascii="Cambria" w:hAnsi="Cambria"/>
        </w:rPr>
        <w:t xml:space="preserve">Carcinogenicity studies have not been conducted with </w:t>
      </w:r>
      <w:proofErr w:type="spellStart"/>
      <w:r w:rsidRPr="00A953D0">
        <w:rPr>
          <w:rFonts w:ascii="Cambria" w:hAnsi="Cambria"/>
        </w:rPr>
        <w:t>dupilumab</w:t>
      </w:r>
      <w:proofErr w:type="spellEnd"/>
      <w:r w:rsidRPr="00A953D0">
        <w:rPr>
          <w:rFonts w:ascii="Cambria" w:hAnsi="Cambria"/>
        </w:rPr>
        <w:t xml:space="preserve">. An evaluation of the available evidence related to IL-4Rα inhibition and animal toxicology data with surrogate antibodies does not suggest an increased risk of cancer for </w:t>
      </w:r>
      <w:proofErr w:type="spellStart"/>
      <w:r w:rsidRPr="00A953D0">
        <w:rPr>
          <w:rFonts w:ascii="Cambria" w:hAnsi="Cambria"/>
        </w:rPr>
        <w:t>dupilumab</w:t>
      </w:r>
      <w:proofErr w:type="spellEnd"/>
      <w:r w:rsidRPr="00A953D0">
        <w:rPr>
          <w:rFonts w:ascii="Cambria" w:hAnsi="Cambria"/>
        </w:rPr>
        <w:t>.</w:t>
      </w:r>
    </w:p>
    <w:p w:rsidR="00C873D5" w:rsidRPr="00A953D0" w:rsidRDefault="00C873D5" w:rsidP="00C873D5">
      <w:pPr>
        <w:pStyle w:val="Heading1"/>
        <w:pageBreakBefore w:val="0"/>
        <w:rPr>
          <w:rFonts w:ascii="Cambria" w:hAnsi="Cambria"/>
        </w:rPr>
      </w:pPr>
      <w:r w:rsidRPr="00A953D0">
        <w:rPr>
          <w:rFonts w:ascii="Cambria" w:hAnsi="Cambria"/>
        </w:rPr>
        <w:t>PHARMACEUTICAL PARTICULARS</w:t>
      </w:r>
    </w:p>
    <w:p w:rsidR="00C873D5" w:rsidRPr="00A953D0" w:rsidRDefault="00C873D5" w:rsidP="00C873D5">
      <w:pPr>
        <w:pStyle w:val="Heading2"/>
        <w:rPr>
          <w:rFonts w:ascii="Cambria" w:hAnsi="Cambria"/>
        </w:rPr>
      </w:pPr>
      <w:r w:rsidRPr="00A953D0">
        <w:rPr>
          <w:rFonts w:ascii="Cambria" w:hAnsi="Cambria"/>
        </w:rPr>
        <w:t>LIST OF EXCIPIENTS</w:t>
      </w:r>
    </w:p>
    <w:p w:rsidR="00C873D5" w:rsidRPr="00A953D0" w:rsidRDefault="00496F0D" w:rsidP="00C873D5">
      <w:pPr>
        <w:rPr>
          <w:rFonts w:ascii="Cambria" w:hAnsi="Cambria"/>
        </w:rPr>
      </w:pPr>
      <w:proofErr w:type="gramStart"/>
      <w:r w:rsidRPr="00A953D0">
        <w:rPr>
          <w:rFonts w:ascii="Cambria" w:hAnsi="Cambria"/>
        </w:rPr>
        <w:t xml:space="preserve">Arginine hydrochloride (25 </w:t>
      </w:r>
      <w:proofErr w:type="spellStart"/>
      <w:r w:rsidRPr="00A953D0">
        <w:rPr>
          <w:rFonts w:ascii="Cambria" w:hAnsi="Cambria"/>
        </w:rPr>
        <w:t>mM</w:t>
      </w:r>
      <w:proofErr w:type="spellEnd"/>
      <w:r w:rsidRPr="00A953D0">
        <w:rPr>
          <w:rFonts w:ascii="Cambria" w:hAnsi="Cambria"/>
        </w:rPr>
        <w:t xml:space="preserve">), histidine (20 </w:t>
      </w:r>
      <w:proofErr w:type="spellStart"/>
      <w:r w:rsidRPr="00A953D0">
        <w:rPr>
          <w:rFonts w:ascii="Cambria" w:hAnsi="Cambria"/>
        </w:rPr>
        <w:t>mM</w:t>
      </w:r>
      <w:proofErr w:type="spellEnd"/>
      <w:r w:rsidRPr="00A953D0">
        <w:rPr>
          <w:rFonts w:ascii="Cambria" w:hAnsi="Cambria"/>
        </w:rPr>
        <w:t xml:space="preserve">), </w:t>
      </w:r>
      <w:proofErr w:type="spellStart"/>
      <w:r w:rsidRPr="00A953D0">
        <w:rPr>
          <w:rFonts w:ascii="Cambria" w:hAnsi="Cambria"/>
        </w:rPr>
        <w:t>polysorbate</w:t>
      </w:r>
      <w:proofErr w:type="spellEnd"/>
      <w:r w:rsidRPr="00A953D0">
        <w:rPr>
          <w:rFonts w:ascii="Cambria" w:hAnsi="Cambria"/>
        </w:rPr>
        <w:t xml:space="preserve"> 80 (0.2% (w/v)), sodium acetate (12.5 </w:t>
      </w:r>
      <w:proofErr w:type="spellStart"/>
      <w:r w:rsidRPr="00A953D0">
        <w:rPr>
          <w:rFonts w:ascii="Cambria" w:hAnsi="Cambria"/>
        </w:rPr>
        <w:t>mM</w:t>
      </w:r>
      <w:proofErr w:type="spellEnd"/>
      <w:r w:rsidRPr="00A953D0">
        <w:rPr>
          <w:rFonts w:ascii="Cambria" w:hAnsi="Cambria"/>
        </w:rPr>
        <w:t>), sucrose (5% (w/v)), and water for injections, adjusted to pH 5.9 with acetic acid.</w:t>
      </w:r>
      <w:proofErr w:type="gramEnd"/>
    </w:p>
    <w:p w:rsidR="00496F0D" w:rsidRPr="00A953D0" w:rsidRDefault="00496F0D" w:rsidP="00496F0D">
      <w:pPr>
        <w:pStyle w:val="Heading2"/>
        <w:rPr>
          <w:rFonts w:ascii="Cambria" w:hAnsi="Cambria"/>
        </w:rPr>
      </w:pPr>
      <w:r w:rsidRPr="00A953D0">
        <w:rPr>
          <w:rFonts w:ascii="Cambria" w:hAnsi="Cambria"/>
        </w:rPr>
        <w:t>INCOMPATIBILITIES</w:t>
      </w:r>
    </w:p>
    <w:p w:rsidR="00496F0D" w:rsidRPr="00A953D0" w:rsidRDefault="00496F0D" w:rsidP="00496F0D">
      <w:pPr>
        <w:rPr>
          <w:rFonts w:ascii="Cambria" w:hAnsi="Cambria"/>
        </w:rPr>
      </w:pPr>
      <w:r w:rsidRPr="00A953D0">
        <w:rPr>
          <w:rFonts w:ascii="Cambria" w:hAnsi="Cambria"/>
        </w:rPr>
        <w:t>Incompatibilities were either not assessed or not identified as part of the registration of this medicine.</w:t>
      </w:r>
    </w:p>
    <w:p w:rsidR="00496F0D" w:rsidRPr="00A953D0" w:rsidRDefault="00496F0D" w:rsidP="00496F0D">
      <w:pPr>
        <w:pStyle w:val="Heading2"/>
        <w:rPr>
          <w:rFonts w:ascii="Cambria" w:hAnsi="Cambria"/>
        </w:rPr>
      </w:pPr>
      <w:bookmarkStart w:id="40" w:name="_Toc456606994"/>
      <w:r w:rsidRPr="00A953D0">
        <w:rPr>
          <w:rFonts w:ascii="Cambria" w:hAnsi="Cambria"/>
        </w:rPr>
        <w:t>SHELF LIFE</w:t>
      </w:r>
    </w:p>
    <w:p w:rsidR="00496F0D" w:rsidRPr="00A953D0" w:rsidRDefault="00496F0D" w:rsidP="00496F0D">
      <w:pPr>
        <w:rPr>
          <w:rFonts w:ascii="Cambria" w:hAnsi="Cambria"/>
        </w:rPr>
      </w:pPr>
      <w:r w:rsidRPr="00A953D0">
        <w:rPr>
          <w:rFonts w:ascii="Cambria" w:hAnsi="Cambria"/>
        </w:rPr>
        <w:t>The expiry date can be found on the packaging.</w:t>
      </w:r>
    </w:p>
    <w:p w:rsidR="00496F0D" w:rsidRPr="00A953D0" w:rsidRDefault="00496F0D" w:rsidP="00496F0D">
      <w:pPr>
        <w:pStyle w:val="Heading2"/>
        <w:rPr>
          <w:rFonts w:ascii="Cambria" w:hAnsi="Cambria"/>
        </w:rPr>
      </w:pPr>
      <w:r w:rsidRPr="00A953D0">
        <w:rPr>
          <w:rFonts w:ascii="Cambria" w:hAnsi="Cambria"/>
        </w:rPr>
        <w:t>SPECIAL PRECAUTIONS FOR STORAGE</w:t>
      </w:r>
    </w:p>
    <w:p w:rsidR="00496F0D" w:rsidRPr="00A953D0" w:rsidRDefault="00496F0D" w:rsidP="00496F0D">
      <w:pPr>
        <w:rPr>
          <w:rFonts w:ascii="Cambria" w:hAnsi="Cambria"/>
        </w:rPr>
      </w:pPr>
      <w:proofErr w:type="gramStart"/>
      <w:r w:rsidRPr="00A953D0">
        <w:rPr>
          <w:rFonts w:ascii="Cambria" w:hAnsi="Cambria"/>
        </w:rPr>
        <w:t>Store in the refrigerator at 2°C to 8°C in the original carton to protect from light.</w:t>
      </w:r>
      <w:proofErr w:type="gramEnd"/>
      <w:r w:rsidRPr="00A953D0">
        <w:rPr>
          <w:rFonts w:ascii="Cambria" w:hAnsi="Cambria"/>
        </w:rPr>
        <w:t xml:space="preserve"> Do not freeze. Do not expose to heat. Do not shake. </w:t>
      </w:r>
    </w:p>
    <w:p w:rsidR="00496F0D" w:rsidRPr="00A953D0" w:rsidRDefault="00496F0D" w:rsidP="00496F0D">
      <w:pPr>
        <w:rPr>
          <w:rFonts w:ascii="Cambria" w:hAnsi="Cambria"/>
        </w:rPr>
      </w:pPr>
      <w:r w:rsidRPr="00A953D0">
        <w:rPr>
          <w:rFonts w:ascii="Cambria" w:hAnsi="Cambria"/>
        </w:rPr>
        <w:t>Do not use after the expiry date stamped on the carton and container label.</w:t>
      </w:r>
    </w:p>
    <w:p w:rsidR="00496F0D" w:rsidRPr="00A953D0" w:rsidRDefault="00496F0D" w:rsidP="00496F0D">
      <w:pPr>
        <w:pStyle w:val="Heading2"/>
        <w:rPr>
          <w:rFonts w:ascii="Cambria" w:hAnsi="Cambria"/>
        </w:rPr>
      </w:pPr>
      <w:r w:rsidRPr="00A953D0">
        <w:rPr>
          <w:rFonts w:ascii="Cambria" w:hAnsi="Cambria"/>
        </w:rPr>
        <w:lastRenderedPageBreak/>
        <w:t>NATURE AND CONTENTS OF CONTAINER</w:t>
      </w:r>
    </w:p>
    <w:bookmarkEnd w:id="40"/>
    <w:p w:rsidR="00060C46" w:rsidRPr="00A953D0" w:rsidRDefault="009031DB" w:rsidP="00060C46">
      <w:pPr>
        <w:rPr>
          <w:rFonts w:ascii="Cambria" w:hAnsi="Cambria"/>
        </w:rPr>
      </w:pPr>
      <w:proofErr w:type="spellStart"/>
      <w:r w:rsidRPr="00DF7494">
        <w:rPr>
          <w:rFonts w:ascii="Cambria" w:hAnsi="Cambria"/>
        </w:rPr>
        <w:t>Dupixent</w:t>
      </w:r>
      <w:proofErr w:type="spellEnd"/>
      <w:r w:rsidR="00060C46" w:rsidRPr="00DF7494">
        <w:rPr>
          <w:rFonts w:ascii="Cambria" w:hAnsi="Cambria"/>
        </w:rPr>
        <w:t xml:space="preserve"> is supplied as a sterile, preservative-free, clear to slightly opalescent, colorless to pale yellow solution for subcutaneous injection</w:t>
      </w:r>
      <w:r w:rsidR="00060C46" w:rsidRPr="00A953D0">
        <w:rPr>
          <w:rFonts w:ascii="Cambria" w:hAnsi="Cambria"/>
        </w:rPr>
        <w:t xml:space="preserve">. </w:t>
      </w:r>
      <w:proofErr w:type="spellStart"/>
      <w:r w:rsidRPr="00A953D0">
        <w:rPr>
          <w:rFonts w:ascii="Cambria" w:hAnsi="Cambria"/>
        </w:rPr>
        <w:t>Dupixent</w:t>
      </w:r>
      <w:proofErr w:type="spellEnd"/>
      <w:r w:rsidR="00060C46" w:rsidRPr="00A953D0">
        <w:rPr>
          <w:rFonts w:ascii="Cambria" w:hAnsi="Cambria"/>
        </w:rPr>
        <w:t xml:space="preserve"> is provided as a single dose in a 2.25-mL siliconized clear Type-1 glass pre-filled syringe with a fixed 27 gauge ½ inch, thin wall s</w:t>
      </w:r>
      <w:r w:rsidR="00E3399E" w:rsidRPr="00A953D0">
        <w:rPr>
          <w:rFonts w:ascii="Cambria" w:hAnsi="Cambria"/>
        </w:rPr>
        <w:t>tainless steel staked needle</w:t>
      </w:r>
      <w:r w:rsidR="00060C46" w:rsidRPr="00A953D0">
        <w:rPr>
          <w:rFonts w:ascii="Cambria" w:hAnsi="Cambria"/>
        </w:rPr>
        <w:t xml:space="preserve">. </w:t>
      </w:r>
      <w:r w:rsidR="00AB547F" w:rsidRPr="00A953D0">
        <w:rPr>
          <w:rFonts w:ascii="Cambria" w:hAnsi="Cambria"/>
        </w:rPr>
        <w:t>The needle cap is not made with natural rubber latex.</w:t>
      </w:r>
    </w:p>
    <w:p w:rsidR="00EC57E4" w:rsidRPr="00A953D0" w:rsidRDefault="009031DB" w:rsidP="00060C46">
      <w:pPr>
        <w:rPr>
          <w:rFonts w:ascii="Cambria" w:hAnsi="Cambria"/>
        </w:rPr>
      </w:pPr>
      <w:proofErr w:type="spellStart"/>
      <w:r w:rsidRPr="00A953D0">
        <w:rPr>
          <w:rFonts w:ascii="Cambria" w:hAnsi="Cambria"/>
        </w:rPr>
        <w:t>Dupixent</w:t>
      </w:r>
      <w:proofErr w:type="spellEnd"/>
      <w:r w:rsidR="00EC57E4" w:rsidRPr="00A953D0">
        <w:rPr>
          <w:rFonts w:ascii="Cambria" w:hAnsi="Cambria"/>
        </w:rPr>
        <w:t xml:space="preserve"> is av</w:t>
      </w:r>
      <w:r w:rsidR="005271E8" w:rsidRPr="00A953D0">
        <w:rPr>
          <w:rFonts w:ascii="Cambria" w:hAnsi="Cambria"/>
        </w:rPr>
        <w:t xml:space="preserve">ailable in pack sizes of 1* or 2, 3* and 6* </w:t>
      </w:r>
      <w:r w:rsidR="00EC57E4" w:rsidRPr="00A953D0">
        <w:rPr>
          <w:rFonts w:ascii="Cambria" w:hAnsi="Cambria"/>
        </w:rPr>
        <w:t>per carton in the following presentations.</w:t>
      </w:r>
    </w:p>
    <w:p w:rsidR="00060C46" w:rsidRPr="00A953D0" w:rsidRDefault="00060C46" w:rsidP="00060C46">
      <w:pPr>
        <w:pStyle w:val="Heading3"/>
        <w:numPr>
          <w:ilvl w:val="0"/>
          <w:numId w:val="30"/>
        </w:numPr>
        <w:rPr>
          <w:rFonts w:ascii="Cambria" w:hAnsi="Cambria"/>
        </w:rPr>
      </w:pPr>
      <w:bookmarkStart w:id="41" w:name="_Toc456606996"/>
      <w:r w:rsidRPr="00A953D0">
        <w:rPr>
          <w:rFonts w:ascii="Cambria" w:hAnsi="Cambria"/>
        </w:rPr>
        <w:t>Pre-filled Syringe</w:t>
      </w:r>
      <w:bookmarkEnd w:id="41"/>
    </w:p>
    <w:p w:rsidR="00E3399E" w:rsidRPr="00A953D0" w:rsidRDefault="00E3399E" w:rsidP="00DA2006">
      <w:pPr>
        <w:numPr>
          <w:ilvl w:val="0"/>
          <w:numId w:val="30"/>
        </w:numPr>
        <w:rPr>
          <w:rFonts w:ascii="Cambria" w:hAnsi="Cambria"/>
        </w:rPr>
      </w:pPr>
      <w:r w:rsidRPr="00A953D0">
        <w:rPr>
          <w:rFonts w:ascii="Cambria" w:eastAsia="MS Gothic" w:hAnsi="Cambria" w:cs="Arial"/>
          <w:b/>
          <w:color w:val="auto"/>
          <w:kern w:val="32"/>
          <w:sz w:val="22"/>
          <w:szCs w:val="26"/>
        </w:rPr>
        <w:t>Pre</w:t>
      </w:r>
      <w:r w:rsidRPr="00A953D0">
        <w:rPr>
          <w:rFonts w:ascii="Cambria" w:hAnsi="Cambria"/>
          <w:b/>
        </w:rPr>
        <w:t>-</w:t>
      </w:r>
      <w:r w:rsidRPr="00A953D0">
        <w:rPr>
          <w:rFonts w:ascii="Cambria" w:eastAsia="MS Gothic" w:hAnsi="Cambria" w:cs="Arial"/>
          <w:b/>
          <w:color w:val="auto"/>
          <w:kern w:val="32"/>
          <w:sz w:val="22"/>
          <w:szCs w:val="26"/>
        </w:rPr>
        <w:t>Filled Syringe with needle shield</w:t>
      </w:r>
      <w:r w:rsidR="00DA2006" w:rsidRPr="00A953D0">
        <w:rPr>
          <w:rFonts w:ascii="Cambria" w:hAnsi="Cambria"/>
        </w:rPr>
        <w:t xml:space="preserve"> - t</w:t>
      </w:r>
      <w:r w:rsidRPr="00A953D0">
        <w:rPr>
          <w:rFonts w:ascii="Cambria" w:hAnsi="Cambria"/>
        </w:rPr>
        <w:t>he pre-filled syring</w:t>
      </w:r>
      <w:r w:rsidR="006D0F6A" w:rsidRPr="00A953D0">
        <w:rPr>
          <w:rFonts w:ascii="Cambria" w:hAnsi="Cambria"/>
        </w:rPr>
        <w:t xml:space="preserve">e has a </w:t>
      </w:r>
      <w:r w:rsidRPr="00A953D0">
        <w:rPr>
          <w:rFonts w:ascii="Cambria" w:hAnsi="Cambria"/>
        </w:rPr>
        <w:t>needle shield to reduce the r</w:t>
      </w:r>
      <w:r w:rsidR="00836698" w:rsidRPr="00A953D0">
        <w:rPr>
          <w:rFonts w:ascii="Cambria" w:hAnsi="Cambria"/>
        </w:rPr>
        <w:t>isk of accidental needle stick</w:t>
      </w:r>
      <w:r w:rsidR="00DA2006" w:rsidRPr="00A953D0">
        <w:rPr>
          <w:rFonts w:ascii="Cambria" w:hAnsi="Cambria"/>
        </w:rPr>
        <w:t xml:space="preserve"> injuries</w:t>
      </w:r>
      <w:r w:rsidRPr="00A953D0">
        <w:rPr>
          <w:rFonts w:ascii="Cambria" w:hAnsi="Cambria"/>
        </w:rPr>
        <w:t>.</w:t>
      </w:r>
    </w:p>
    <w:p w:rsidR="005271E8" w:rsidRPr="00A953D0" w:rsidRDefault="005271E8" w:rsidP="00630027">
      <w:pPr>
        <w:rPr>
          <w:rFonts w:ascii="Cambria" w:hAnsi="Cambria"/>
        </w:rPr>
      </w:pPr>
      <w:r w:rsidRPr="00A953D0">
        <w:rPr>
          <w:rFonts w:ascii="Cambria" w:hAnsi="Cambria"/>
        </w:rPr>
        <w:t>* Presentations currently not marketed</w:t>
      </w:r>
    </w:p>
    <w:p w:rsidR="00496F0D" w:rsidRPr="00A953D0" w:rsidRDefault="00496F0D" w:rsidP="00496F0D">
      <w:pPr>
        <w:pStyle w:val="Heading2"/>
        <w:rPr>
          <w:rFonts w:ascii="Cambria" w:hAnsi="Cambria"/>
        </w:rPr>
      </w:pPr>
      <w:r w:rsidRPr="00A953D0">
        <w:rPr>
          <w:rFonts w:ascii="Cambria" w:hAnsi="Cambria"/>
        </w:rPr>
        <w:t>SPECIAL PRECAUTIONS FOR DISPOSAL</w:t>
      </w:r>
    </w:p>
    <w:p w:rsidR="00496F0D" w:rsidRPr="00A953D0" w:rsidRDefault="00B64C7F" w:rsidP="00496F0D">
      <w:pPr>
        <w:rPr>
          <w:rFonts w:ascii="Cambria" w:hAnsi="Cambria"/>
        </w:rPr>
      </w:pPr>
      <w:r w:rsidRPr="00DF7494">
        <w:rPr>
          <w:rFonts w:ascii="Cambria" w:hAnsi="Cambria"/>
        </w:rPr>
        <w:t>A</w:t>
      </w:r>
      <w:r w:rsidR="00496F0D" w:rsidRPr="00DF7494">
        <w:rPr>
          <w:rFonts w:ascii="Cambria" w:hAnsi="Cambria"/>
        </w:rPr>
        <w:t>ny unused medicine should be disposed of by taking to your local pharmacy.</w:t>
      </w:r>
      <w:r w:rsidRPr="00DF7494">
        <w:rPr>
          <w:rFonts w:ascii="Cambria" w:hAnsi="Cambria"/>
        </w:rPr>
        <w:t xml:space="preserve"> The syringe and the needle cap should be disposed of in a sharps container.</w:t>
      </w:r>
      <w:r w:rsidRPr="00A953D0">
        <w:rPr>
          <w:rFonts w:ascii="Cambria" w:hAnsi="Cambria"/>
        </w:rPr>
        <w:t xml:space="preserve"> </w:t>
      </w:r>
    </w:p>
    <w:p w:rsidR="00496F0D" w:rsidRPr="00A953D0" w:rsidRDefault="00496F0D" w:rsidP="00496F0D">
      <w:pPr>
        <w:pStyle w:val="Heading2"/>
        <w:rPr>
          <w:rFonts w:ascii="Cambria" w:hAnsi="Cambria"/>
        </w:rPr>
      </w:pPr>
      <w:r w:rsidRPr="00A953D0">
        <w:rPr>
          <w:rFonts w:ascii="Cambria" w:hAnsi="Cambria"/>
        </w:rPr>
        <w:t>PHYSICOCHEMICAL PROPERTIES</w:t>
      </w:r>
    </w:p>
    <w:p w:rsidR="0005735D" w:rsidRPr="00A953D0" w:rsidRDefault="0005735D" w:rsidP="0005735D">
      <w:pPr>
        <w:rPr>
          <w:rFonts w:ascii="Cambria" w:hAnsi="Cambria"/>
          <w:b/>
          <w:i/>
        </w:rPr>
      </w:pPr>
      <w:r w:rsidRPr="00A953D0">
        <w:rPr>
          <w:rFonts w:ascii="Cambria" w:hAnsi="Cambria"/>
          <w:b/>
          <w:i/>
        </w:rPr>
        <w:t>Chemical structure</w:t>
      </w:r>
    </w:p>
    <w:p w:rsidR="0005735D" w:rsidRPr="00A953D0" w:rsidRDefault="0005735D" w:rsidP="0005735D">
      <w:pPr>
        <w:rPr>
          <w:rFonts w:ascii="Cambria" w:hAnsi="Cambria"/>
        </w:rPr>
      </w:pPr>
      <w:proofErr w:type="spellStart"/>
      <w:r w:rsidRPr="00A953D0">
        <w:rPr>
          <w:rFonts w:ascii="Cambria" w:hAnsi="Cambria"/>
        </w:rPr>
        <w:t>Dupixent</w:t>
      </w:r>
      <w:proofErr w:type="spellEnd"/>
      <w:r w:rsidRPr="00A953D0">
        <w:rPr>
          <w:rFonts w:ascii="Cambria" w:hAnsi="Cambria"/>
        </w:rPr>
        <w:t xml:space="preserve"> is a covalent </w:t>
      </w:r>
      <w:proofErr w:type="spellStart"/>
      <w:r w:rsidRPr="00A953D0">
        <w:rPr>
          <w:rFonts w:ascii="Cambria" w:hAnsi="Cambria"/>
        </w:rPr>
        <w:t>heterotetramer</w:t>
      </w:r>
      <w:proofErr w:type="spellEnd"/>
      <w:r w:rsidRPr="00A953D0">
        <w:rPr>
          <w:rFonts w:ascii="Cambria" w:hAnsi="Cambria"/>
        </w:rPr>
        <w:t xml:space="preserve"> consisting of two disulfide-linked human heavy chains, each covalently linked through a disulfide bond to a human kappa light chain. There is a single N-linked glycosylation site in each heavy chain, located within the CH2 domain of the Fc constant region of the molecule. The </w:t>
      </w:r>
      <w:proofErr w:type="spellStart"/>
      <w:r w:rsidRPr="00A953D0">
        <w:rPr>
          <w:rFonts w:ascii="Cambria" w:hAnsi="Cambria"/>
        </w:rPr>
        <w:t>Dupixent</w:t>
      </w:r>
      <w:proofErr w:type="spellEnd"/>
      <w:r w:rsidRPr="00A953D0">
        <w:rPr>
          <w:rFonts w:ascii="Cambria" w:hAnsi="Cambria"/>
        </w:rPr>
        <w:t xml:space="preserve"> heavy chain has an immunoglobulin (Ig) G4</w:t>
      </w:r>
      <w:r w:rsidRPr="00A953D0">
        <w:rPr>
          <w:rFonts w:ascii="Cambria" w:hAnsi="Cambria"/>
          <w:vertAlign w:val="superscript"/>
        </w:rPr>
        <w:t>P</w:t>
      </w:r>
      <w:r w:rsidRPr="00A953D0">
        <w:rPr>
          <w:rFonts w:ascii="Cambria" w:hAnsi="Cambria"/>
        </w:rPr>
        <w:t xml:space="preserve"> isotype constant region. IgG4</w:t>
      </w:r>
      <w:r w:rsidRPr="00A953D0">
        <w:rPr>
          <w:rFonts w:ascii="Cambria" w:hAnsi="Cambria"/>
          <w:vertAlign w:val="superscript"/>
        </w:rPr>
        <w:t>P</w:t>
      </w:r>
      <w:r w:rsidRPr="00A953D0">
        <w:rPr>
          <w:rFonts w:ascii="Cambria" w:hAnsi="Cambria"/>
        </w:rPr>
        <w:t xml:space="preserve"> is an IgG4 constant region with a single amino acid substitution in the hinge region that recreates the IgG1 hinge sequence in order to stabilize IgG4 dimer formation. The variable domains of the heavy and light chains combine to form the IL-4Rα binding site within the antibody. </w:t>
      </w:r>
      <w:proofErr w:type="spellStart"/>
      <w:r w:rsidRPr="00A953D0">
        <w:rPr>
          <w:rFonts w:ascii="Cambria" w:hAnsi="Cambria"/>
        </w:rPr>
        <w:t>Dupilumab</w:t>
      </w:r>
      <w:proofErr w:type="spellEnd"/>
      <w:r w:rsidRPr="00A953D0">
        <w:rPr>
          <w:rFonts w:ascii="Cambria" w:hAnsi="Cambria"/>
        </w:rPr>
        <w:t xml:space="preserve"> has a molecular weight of approximately 147 </w:t>
      </w:r>
      <w:proofErr w:type="spellStart"/>
      <w:r w:rsidRPr="00A953D0">
        <w:rPr>
          <w:rFonts w:ascii="Cambria" w:hAnsi="Cambria"/>
        </w:rPr>
        <w:t>kDa</w:t>
      </w:r>
      <w:proofErr w:type="spellEnd"/>
      <w:r w:rsidRPr="00A953D0">
        <w:rPr>
          <w:rFonts w:ascii="Cambria" w:hAnsi="Cambria"/>
        </w:rPr>
        <w:t>.</w:t>
      </w:r>
    </w:p>
    <w:p w:rsidR="0005735D" w:rsidRPr="00A953D0" w:rsidRDefault="00A17E41" w:rsidP="0005735D">
      <w:pPr>
        <w:jc w:val="center"/>
        <w:rPr>
          <w:rFonts w:ascii="Cambria" w:hAnsi="Cambria"/>
        </w:rPr>
      </w:pPr>
      <w:r>
        <w:rPr>
          <w:rFonts w:ascii="Cambria" w:hAnsi="Cambria"/>
          <w:noProof/>
          <w:lang w:val="en-AU" w:eastAsia="en-AU"/>
        </w:rPr>
        <w:lastRenderedPageBreak/>
        <w:drawing>
          <wp:inline distT="0" distB="0" distL="0" distR="0">
            <wp:extent cx="1972310" cy="2183765"/>
            <wp:effectExtent l="0" t="0" r="8890" b="6985"/>
            <wp:docPr id="6"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2310" cy="2183765"/>
                    </a:xfrm>
                    <a:prstGeom prst="rect">
                      <a:avLst/>
                    </a:prstGeom>
                    <a:noFill/>
                    <a:ln>
                      <a:noFill/>
                    </a:ln>
                  </pic:spPr>
                </pic:pic>
              </a:graphicData>
            </a:graphic>
          </wp:inline>
        </w:drawing>
      </w:r>
    </w:p>
    <w:p w:rsidR="0005735D" w:rsidRPr="00A953D0" w:rsidRDefault="0005735D" w:rsidP="0005735D">
      <w:pPr>
        <w:rPr>
          <w:rFonts w:ascii="Cambria" w:hAnsi="Cambria"/>
          <w:i/>
        </w:rPr>
      </w:pPr>
      <w:bookmarkStart w:id="42" w:name="_Toc456606927"/>
      <w:r w:rsidRPr="00A953D0">
        <w:rPr>
          <w:rFonts w:ascii="Cambria" w:eastAsia="MS Gothic" w:hAnsi="Cambria" w:cs="Arial"/>
          <w:b/>
          <w:i/>
          <w:color w:val="auto"/>
          <w:kern w:val="32"/>
          <w:sz w:val="22"/>
          <w:szCs w:val="26"/>
        </w:rPr>
        <w:t xml:space="preserve">CAS </w:t>
      </w:r>
      <w:r w:rsidR="004E31EC" w:rsidRPr="00A953D0">
        <w:rPr>
          <w:rFonts w:ascii="Cambria" w:eastAsia="MS Gothic" w:hAnsi="Cambria" w:cs="Arial"/>
          <w:b/>
          <w:i/>
          <w:color w:val="auto"/>
          <w:kern w:val="32"/>
          <w:sz w:val="22"/>
          <w:szCs w:val="26"/>
        </w:rPr>
        <w:t>n</w:t>
      </w:r>
      <w:r w:rsidRPr="00A953D0">
        <w:rPr>
          <w:rFonts w:ascii="Cambria" w:eastAsia="MS Gothic" w:hAnsi="Cambria" w:cs="Arial"/>
          <w:b/>
          <w:i/>
          <w:color w:val="auto"/>
          <w:kern w:val="32"/>
          <w:sz w:val="22"/>
          <w:szCs w:val="26"/>
        </w:rPr>
        <w:t>umber</w:t>
      </w:r>
      <w:bookmarkEnd w:id="42"/>
      <w:r w:rsidRPr="00A953D0">
        <w:rPr>
          <w:rFonts w:ascii="Cambria" w:hAnsi="Cambria"/>
          <w:i/>
        </w:rPr>
        <w:t xml:space="preserve">  </w:t>
      </w:r>
    </w:p>
    <w:p w:rsidR="0005735D" w:rsidRPr="00A953D0" w:rsidRDefault="0005735D" w:rsidP="0005735D">
      <w:pPr>
        <w:rPr>
          <w:rFonts w:ascii="Cambria" w:hAnsi="Cambria"/>
        </w:rPr>
      </w:pPr>
      <w:r w:rsidRPr="00A953D0">
        <w:rPr>
          <w:rFonts w:ascii="Cambria" w:hAnsi="Cambria"/>
        </w:rPr>
        <w:t>1190264-60-8</w:t>
      </w:r>
    </w:p>
    <w:p w:rsidR="00496F0D" w:rsidRPr="00A953D0" w:rsidRDefault="004E31EC" w:rsidP="004E31EC">
      <w:pPr>
        <w:pStyle w:val="Heading1"/>
        <w:pageBreakBefore w:val="0"/>
        <w:rPr>
          <w:rFonts w:ascii="Cambria" w:hAnsi="Cambria"/>
          <w:lang w:val="en"/>
        </w:rPr>
      </w:pPr>
      <w:r w:rsidRPr="00A953D0">
        <w:rPr>
          <w:rFonts w:ascii="Cambria" w:hAnsi="Cambria"/>
          <w:lang w:val="en"/>
        </w:rPr>
        <w:t>MEDICINE SCHEDULE (POISONS STANDARD)</w:t>
      </w:r>
    </w:p>
    <w:p w:rsidR="004E31EC" w:rsidRPr="00A953D0" w:rsidRDefault="004E31EC" w:rsidP="004E31EC">
      <w:pPr>
        <w:rPr>
          <w:rFonts w:ascii="Cambria" w:hAnsi="Cambria"/>
          <w:lang w:val="en"/>
        </w:rPr>
      </w:pPr>
      <w:r w:rsidRPr="00A953D0">
        <w:rPr>
          <w:rFonts w:ascii="Cambria" w:hAnsi="Cambria"/>
          <w:lang w:val="en"/>
        </w:rPr>
        <w:t>Schedule 4 (Prescription Only Medicine)</w:t>
      </w:r>
    </w:p>
    <w:p w:rsidR="003020BF" w:rsidRPr="00A953D0" w:rsidRDefault="003020BF" w:rsidP="004E31EC">
      <w:pPr>
        <w:pStyle w:val="Heading1"/>
        <w:pageBreakBefore w:val="0"/>
        <w:rPr>
          <w:rFonts w:ascii="Cambria" w:hAnsi="Cambria"/>
        </w:rPr>
      </w:pPr>
      <w:bookmarkStart w:id="43" w:name="_Toc456606997"/>
      <w:r w:rsidRPr="00A953D0">
        <w:rPr>
          <w:rFonts w:ascii="Cambria" w:hAnsi="Cambria"/>
        </w:rPr>
        <w:t>sponsor</w:t>
      </w:r>
      <w:bookmarkEnd w:id="43"/>
    </w:p>
    <w:p w:rsidR="003020BF" w:rsidRPr="00A953D0" w:rsidRDefault="00E54613" w:rsidP="003020BF">
      <w:pPr>
        <w:rPr>
          <w:rFonts w:ascii="Cambria" w:hAnsi="Cambria"/>
          <w:lang w:val="it-IT"/>
        </w:rPr>
      </w:pPr>
      <w:r w:rsidRPr="00A953D0">
        <w:rPr>
          <w:rFonts w:ascii="Cambria" w:hAnsi="Cambria"/>
          <w:lang w:val="it-IT"/>
        </w:rPr>
        <w:t>AUSTRALIA</w:t>
      </w:r>
      <w:r w:rsidRPr="00A953D0">
        <w:rPr>
          <w:rFonts w:ascii="Cambria" w:hAnsi="Cambria"/>
          <w:lang w:val="it-IT"/>
        </w:rPr>
        <w:br/>
      </w:r>
      <w:r w:rsidR="003020BF" w:rsidRPr="00A953D0">
        <w:rPr>
          <w:rFonts w:ascii="Cambria" w:hAnsi="Cambria"/>
          <w:lang w:val="it-IT"/>
        </w:rPr>
        <w:t>sanofi-aventis australia pty ltd</w:t>
      </w:r>
      <w:r w:rsidR="003020BF" w:rsidRPr="00A953D0">
        <w:rPr>
          <w:rFonts w:ascii="Cambria" w:hAnsi="Cambria"/>
          <w:lang w:val="it-IT"/>
        </w:rPr>
        <w:br/>
        <w:t>12-24 Talavera Road</w:t>
      </w:r>
      <w:r w:rsidR="003020BF" w:rsidRPr="00A953D0">
        <w:rPr>
          <w:rFonts w:ascii="Cambria" w:hAnsi="Cambria"/>
          <w:lang w:val="it-IT"/>
        </w:rPr>
        <w:br/>
        <w:t>Macquarie Park NSW 2113</w:t>
      </w:r>
    </w:p>
    <w:p w:rsidR="00E54613" w:rsidRPr="00A953D0" w:rsidRDefault="00E54613" w:rsidP="003020BF">
      <w:pPr>
        <w:rPr>
          <w:rFonts w:ascii="Cambria" w:hAnsi="Cambria"/>
          <w:lang w:val="it-IT"/>
        </w:rPr>
      </w:pPr>
      <w:r w:rsidRPr="00A953D0">
        <w:rPr>
          <w:rFonts w:ascii="Cambria" w:hAnsi="Cambria"/>
          <w:lang w:val="it-IT"/>
        </w:rPr>
        <w:t>NEW ZEALAND</w:t>
      </w:r>
    </w:p>
    <w:p w:rsidR="00E54613" w:rsidRPr="00A953D0" w:rsidRDefault="00E54613" w:rsidP="00E54613">
      <w:pPr>
        <w:spacing w:before="0"/>
        <w:rPr>
          <w:rFonts w:ascii="Cambria" w:hAnsi="Cambria"/>
          <w:lang w:val="it-IT"/>
        </w:rPr>
      </w:pPr>
      <w:r w:rsidRPr="00A953D0">
        <w:rPr>
          <w:rFonts w:ascii="Cambria" w:hAnsi="Cambria"/>
          <w:lang w:val="it-IT"/>
        </w:rPr>
        <w:t>sanofi-aventis new zealand limited</w:t>
      </w:r>
    </w:p>
    <w:p w:rsidR="00E54613" w:rsidRPr="00A953D0" w:rsidRDefault="00E54613" w:rsidP="00E54613">
      <w:pPr>
        <w:spacing w:before="0"/>
        <w:rPr>
          <w:rFonts w:ascii="Cambria" w:hAnsi="Cambria"/>
          <w:lang w:val="it-IT"/>
        </w:rPr>
      </w:pPr>
      <w:r w:rsidRPr="00A953D0">
        <w:rPr>
          <w:rFonts w:ascii="Cambria" w:hAnsi="Cambria"/>
          <w:lang w:val="it-IT"/>
        </w:rPr>
        <w:t>Level 8, James and Wells Tower</w:t>
      </w:r>
    </w:p>
    <w:p w:rsidR="00E54613" w:rsidRPr="00A953D0" w:rsidRDefault="00E54613" w:rsidP="00E54613">
      <w:pPr>
        <w:spacing w:before="0"/>
        <w:rPr>
          <w:rFonts w:ascii="Cambria" w:hAnsi="Cambria"/>
          <w:lang w:val="it-IT"/>
        </w:rPr>
      </w:pPr>
      <w:r w:rsidRPr="00A953D0">
        <w:rPr>
          <w:rFonts w:ascii="Cambria" w:hAnsi="Cambria"/>
          <w:lang w:val="it-IT"/>
        </w:rPr>
        <w:t>56 Cawley Street, Ellerslie,</w:t>
      </w:r>
    </w:p>
    <w:p w:rsidR="00E54613" w:rsidRPr="00A953D0" w:rsidRDefault="00E54613" w:rsidP="00E54613">
      <w:pPr>
        <w:spacing w:before="0"/>
        <w:rPr>
          <w:rFonts w:ascii="Cambria" w:hAnsi="Cambria"/>
          <w:lang w:val="it-IT"/>
        </w:rPr>
      </w:pPr>
      <w:r w:rsidRPr="00A953D0">
        <w:rPr>
          <w:rFonts w:ascii="Cambria" w:hAnsi="Cambria"/>
          <w:lang w:val="it-IT"/>
        </w:rPr>
        <w:t>Auckland</w:t>
      </w:r>
    </w:p>
    <w:p w:rsidR="00E54613" w:rsidRPr="00A953D0" w:rsidRDefault="00E54613" w:rsidP="00E54613">
      <w:pPr>
        <w:spacing w:before="0"/>
        <w:rPr>
          <w:rFonts w:ascii="Cambria" w:hAnsi="Cambria"/>
          <w:lang w:val="it-IT"/>
        </w:rPr>
      </w:pPr>
      <w:r w:rsidRPr="00A953D0">
        <w:rPr>
          <w:rFonts w:ascii="Cambria" w:hAnsi="Cambria"/>
          <w:lang w:val="it-IT"/>
        </w:rPr>
        <w:t>New Zealand</w:t>
      </w:r>
    </w:p>
    <w:p w:rsidR="004E31EC" w:rsidRDefault="004E31EC" w:rsidP="004E31EC">
      <w:pPr>
        <w:pStyle w:val="Heading1"/>
        <w:pageBreakBefore w:val="0"/>
        <w:rPr>
          <w:rFonts w:ascii="Cambria" w:hAnsi="Cambria"/>
        </w:rPr>
      </w:pPr>
      <w:r w:rsidRPr="00A953D0">
        <w:rPr>
          <w:rFonts w:ascii="Cambria" w:hAnsi="Cambria"/>
        </w:rPr>
        <w:t>DATE OF FIRST APPROVAL</w:t>
      </w:r>
    </w:p>
    <w:p w:rsidR="001558E1" w:rsidRPr="001558E1" w:rsidRDefault="001558E1" w:rsidP="001558E1">
      <w:r>
        <w:t>24 January 2018</w:t>
      </w:r>
    </w:p>
    <w:p w:rsidR="004E31EC" w:rsidRDefault="004E31EC" w:rsidP="004E31EC">
      <w:pPr>
        <w:pStyle w:val="Heading1"/>
        <w:pageBreakBefore w:val="0"/>
        <w:rPr>
          <w:rFonts w:ascii="Cambria" w:hAnsi="Cambria"/>
        </w:rPr>
      </w:pPr>
      <w:r w:rsidRPr="00A953D0">
        <w:rPr>
          <w:rFonts w:ascii="Cambria" w:hAnsi="Cambria"/>
        </w:rPr>
        <w:lastRenderedPageBreak/>
        <w:t>DATE OF REVISION</w:t>
      </w:r>
    </w:p>
    <w:p w:rsidR="001558E1" w:rsidRPr="001558E1" w:rsidRDefault="001A3761" w:rsidP="001558E1">
      <w:r>
        <w:t>15 March 2018</w:t>
      </w:r>
    </w:p>
    <w:p w:rsidR="004E31EC" w:rsidRPr="00B51975" w:rsidRDefault="004E31EC" w:rsidP="004E31EC">
      <w:pPr>
        <w:rPr>
          <w:rFonts w:ascii="Cambria" w:eastAsia="MS Gothic" w:hAnsi="Cambria" w:cs="Arial"/>
          <w:b/>
          <w:bCs/>
          <w:caps/>
          <w:color w:val="auto"/>
          <w:kern w:val="32"/>
        </w:rPr>
      </w:pPr>
      <w:r w:rsidRPr="00B51975">
        <w:rPr>
          <w:rFonts w:ascii="Cambria" w:eastAsia="MS Gothic" w:hAnsi="Cambria" w:cs="Arial"/>
          <w:b/>
          <w:bCs/>
          <w:caps/>
          <w:color w:val="auto"/>
          <w:kern w:val="32"/>
        </w:rPr>
        <w:t>Summary table of changes</w:t>
      </w:r>
    </w:p>
    <w:p w:rsidR="004E31EC" w:rsidRPr="00A953D0" w:rsidRDefault="004E31EC" w:rsidP="004E31EC">
      <w:pPr>
        <w:rPr>
          <w:rFonts w:ascii="Cambria" w:eastAsia="MS Gothic" w:hAnsi="Cambria" w:cs="Arial"/>
          <w:b/>
          <w:bCs/>
          <w:caps/>
          <w:color w:val="auto"/>
          <w:kern w:val="32"/>
          <w:sz w:val="28"/>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734"/>
      </w:tblGrid>
      <w:tr w:rsidR="004E31EC" w:rsidRPr="00A953D0" w:rsidTr="00B51975">
        <w:trPr>
          <w:cantSplit/>
          <w:tblHeader/>
          <w:jc w:val="center"/>
        </w:trPr>
        <w:tc>
          <w:tcPr>
            <w:tcW w:w="1951" w:type="dxa"/>
            <w:shd w:val="clear" w:color="auto" w:fill="auto"/>
          </w:tcPr>
          <w:p w:rsidR="004E31EC" w:rsidRPr="00A953D0" w:rsidRDefault="00B51975" w:rsidP="00045804">
            <w:pPr>
              <w:pStyle w:val="TblHeadingCenter"/>
              <w:rPr>
                <w:rFonts w:ascii="Cambria" w:hAnsi="Cambria"/>
              </w:rPr>
            </w:pPr>
            <w:r>
              <w:rPr>
                <w:rFonts w:ascii="Cambria" w:hAnsi="Cambria"/>
                <w:bCs/>
                <w:lang w:val="en-AU"/>
              </w:rPr>
              <w:t>Section C</w:t>
            </w:r>
            <w:r w:rsidR="004E31EC" w:rsidRPr="00A953D0">
              <w:rPr>
                <w:rFonts w:ascii="Cambria" w:hAnsi="Cambria"/>
                <w:bCs/>
                <w:lang w:val="en-AU"/>
              </w:rPr>
              <w:t>hanged</w:t>
            </w:r>
          </w:p>
        </w:tc>
        <w:tc>
          <w:tcPr>
            <w:tcW w:w="7734" w:type="dxa"/>
            <w:shd w:val="clear" w:color="auto" w:fill="auto"/>
          </w:tcPr>
          <w:p w:rsidR="004E31EC" w:rsidRPr="00A953D0" w:rsidRDefault="004E31EC" w:rsidP="00045804">
            <w:pPr>
              <w:pStyle w:val="TblHeadingCenter"/>
              <w:rPr>
                <w:rFonts w:ascii="Cambria" w:hAnsi="Cambria"/>
              </w:rPr>
            </w:pPr>
            <w:r w:rsidRPr="00A953D0">
              <w:rPr>
                <w:rFonts w:ascii="Cambria" w:hAnsi="Cambria"/>
                <w:bCs/>
                <w:lang w:val="en-AU"/>
              </w:rPr>
              <w:t>Summary of new information</w:t>
            </w:r>
          </w:p>
        </w:tc>
      </w:tr>
      <w:tr w:rsidR="004E31EC" w:rsidRPr="00A953D0" w:rsidTr="00B51975">
        <w:trPr>
          <w:cantSplit/>
          <w:jc w:val="center"/>
        </w:trPr>
        <w:tc>
          <w:tcPr>
            <w:tcW w:w="1951" w:type="dxa"/>
            <w:shd w:val="clear" w:color="auto" w:fill="auto"/>
          </w:tcPr>
          <w:p w:rsidR="004E31EC" w:rsidRPr="004A31E5" w:rsidRDefault="00720541" w:rsidP="004A31E5">
            <w:pPr>
              <w:rPr>
                <w:rFonts w:ascii="Cambria" w:hAnsi="Cambria"/>
                <w:lang w:val="it-IT"/>
              </w:rPr>
            </w:pPr>
            <w:r w:rsidRPr="004A31E5">
              <w:rPr>
                <w:rFonts w:ascii="Cambria" w:hAnsi="Cambria"/>
                <w:lang w:val="it-IT"/>
              </w:rPr>
              <w:t>5.1</w:t>
            </w:r>
          </w:p>
        </w:tc>
        <w:tc>
          <w:tcPr>
            <w:tcW w:w="7734" w:type="dxa"/>
            <w:shd w:val="clear" w:color="auto" w:fill="auto"/>
          </w:tcPr>
          <w:p w:rsidR="004E31EC" w:rsidRPr="004A31E5" w:rsidRDefault="00CE549B" w:rsidP="004A31E5">
            <w:pPr>
              <w:rPr>
                <w:rFonts w:ascii="Cambria" w:hAnsi="Cambria"/>
                <w:lang w:val="it-IT"/>
              </w:rPr>
            </w:pPr>
            <w:r w:rsidRPr="004A31E5">
              <w:rPr>
                <w:rFonts w:ascii="Cambria" w:hAnsi="Cambria"/>
                <w:lang w:val="it-IT"/>
              </w:rPr>
              <w:t xml:space="preserve">Minor editorial change - </w:t>
            </w:r>
            <w:r w:rsidR="00720541" w:rsidRPr="004A31E5">
              <w:rPr>
                <w:rFonts w:ascii="Cambria" w:hAnsi="Cambria"/>
                <w:lang w:val="it-IT"/>
              </w:rPr>
              <w:t>Reference to the deleted figure</w:t>
            </w:r>
            <w:r w:rsidR="00F979D1" w:rsidRPr="004A31E5">
              <w:rPr>
                <w:rFonts w:ascii="Cambria" w:hAnsi="Cambria"/>
                <w:lang w:val="it-IT"/>
              </w:rPr>
              <w:t>s</w:t>
            </w:r>
            <w:r w:rsidR="00720541" w:rsidRPr="004A31E5">
              <w:rPr>
                <w:rFonts w:ascii="Cambria" w:hAnsi="Cambria"/>
                <w:lang w:val="it-IT"/>
              </w:rPr>
              <w:t xml:space="preserve"> was removed</w:t>
            </w:r>
          </w:p>
        </w:tc>
      </w:tr>
      <w:tr w:rsidR="004E31EC" w:rsidRPr="00A953D0" w:rsidTr="00B51975">
        <w:trPr>
          <w:cantSplit/>
          <w:jc w:val="center"/>
        </w:trPr>
        <w:tc>
          <w:tcPr>
            <w:tcW w:w="1951" w:type="dxa"/>
            <w:shd w:val="clear" w:color="auto" w:fill="auto"/>
          </w:tcPr>
          <w:p w:rsidR="004E31EC" w:rsidRPr="00A953D0" w:rsidRDefault="004E31EC" w:rsidP="00045804">
            <w:pPr>
              <w:pStyle w:val="TblTextCenter"/>
              <w:rPr>
                <w:rFonts w:ascii="Cambria" w:hAnsi="Cambria"/>
              </w:rPr>
            </w:pPr>
          </w:p>
        </w:tc>
        <w:tc>
          <w:tcPr>
            <w:tcW w:w="7734" w:type="dxa"/>
            <w:shd w:val="clear" w:color="auto" w:fill="auto"/>
          </w:tcPr>
          <w:p w:rsidR="004E31EC" w:rsidRPr="00A953D0" w:rsidRDefault="004E31EC" w:rsidP="00045804">
            <w:pPr>
              <w:pStyle w:val="TblTextCenter"/>
              <w:rPr>
                <w:rFonts w:ascii="Cambria" w:hAnsi="Cambria"/>
              </w:rPr>
            </w:pPr>
          </w:p>
        </w:tc>
      </w:tr>
      <w:tr w:rsidR="004E31EC" w:rsidRPr="00A953D0" w:rsidTr="00B51975">
        <w:trPr>
          <w:cantSplit/>
          <w:jc w:val="center"/>
        </w:trPr>
        <w:tc>
          <w:tcPr>
            <w:tcW w:w="1951" w:type="dxa"/>
            <w:shd w:val="clear" w:color="auto" w:fill="auto"/>
          </w:tcPr>
          <w:p w:rsidR="004E31EC" w:rsidRPr="00A953D0" w:rsidRDefault="004E31EC" w:rsidP="00045804">
            <w:pPr>
              <w:pStyle w:val="TblTextCenter"/>
              <w:rPr>
                <w:rFonts w:ascii="Cambria" w:hAnsi="Cambria"/>
              </w:rPr>
            </w:pPr>
          </w:p>
        </w:tc>
        <w:tc>
          <w:tcPr>
            <w:tcW w:w="7734" w:type="dxa"/>
            <w:shd w:val="clear" w:color="auto" w:fill="auto"/>
          </w:tcPr>
          <w:p w:rsidR="004E31EC" w:rsidRPr="00A953D0" w:rsidRDefault="004E31EC" w:rsidP="00045804">
            <w:pPr>
              <w:pStyle w:val="TblTextCenter"/>
              <w:rPr>
                <w:rFonts w:ascii="Cambria" w:hAnsi="Cambria"/>
              </w:rPr>
            </w:pPr>
          </w:p>
        </w:tc>
      </w:tr>
    </w:tbl>
    <w:p w:rsidR="004E31EC" w:rsidRPr="00A953D0" w:rsidRDefault="004E31EC" w:rsidP="004E31EC">
      <w:pPr>
        <w:rPr>
          <w:rFonts w:ascii="Cambria" w:eastAsia="MS Gothic" w:hAnsi="Cambria" w:cs="Arial"/>
          <w:b/>
          <w:bCs/>
          <w:caps/>
          <w:color w:val="auto"/>
          <w:kern w:val="32"/>
          <w:sz w:val="28"/>
          <w:szCs w:val="32"/>
        </w:rPr>
      </w:pPr>
    </w:p>
    <w:p w:rsidR="00BC52A5" w:rsidRPr="00A953D0" w:rsidRDefault="00BC52A5" w:rsidP="00BC52A5">
      <w:pPr>
        <w:rPr>
          <w:rFonts w:ascii="Cambria" w:hAnsi="Cambria"/>
        </w:rPr>
      </w:pPr>
    </w:p>
    <w:sectPr w:rsidR="00BC52A5" w:rsidRPr="00A953D0" w:rsidSect="005F6F30">
      <w:headerReference w:type="default" r:id="rId14"/>
      <w:footerReference w:type="default" r:id="rId15"/>
      <w:pgSz w:w="11906" w:h="16838" w:code="9"/>
      <w:pgMar w:top="1814" w:right="850" w:bottom="2154" w:left="1587" w:header="1134"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EDE" w:rsidRDefault="00620EDE">
      <w:r>
        <w:separator/>
      </w:r>
    </w:p>
  </w:endnote>
  <w:endnote w:type="continuationSeparator" w:id="0">
    <w:p w:rsidR="00620EDE" w:rsidRDefault="0062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710" w:rsidRDefault="001E7710">
    <w:pPr>
      <w:pStyle w:val="Footer"/>
    </w:pPr>
    <w:r>
      <w:t>Property of the Sanofi group - strictly confidential</w:t>
    </w:r>
  </w:p>
  <w:p w:rsidR="001E7710" w:rsidRDefault="00A6469E">
    <w:pPr>
      <w:pStyle w:val="Footer"/>
    </w:pPr>
    <w:r>
      <w:t>Dupixent-</w:t>
    </w:r>
    <w:r w:rsidRPr="00D855B6">
      <w:t>ccdsv2-piv</w:t>
    </w:r>
    <w:r w:rsidR="001A3761">
      <w:t>2</w:t>
    </w:r>
    <w:r w:rsidR="00D855B6" w:rsidRPr="00D855B6">
      <w:t>-</w:t>
    </w:r>
    <w:r w:rsidR="001A3761">
      <w:t>15mar</w:t>
    </w:r>
    <w:r w:rsidR="005F4484">
      <w:t>18</w:t>
    </w:r>
    <w:r w:rsidR="001E7710">
      <w:tab/>
      <w:t xml:space="preserve">Page </w:t>
    </w:r>
    <w:r w:rsidR="001E7710">
      <w:fldChar w:fldCharType="begin"/>
    </w:r>
    <w:r w:rsidR="001E7710">
      <w:instrText xml:space="preserve"> PAGE  \* MERGEFORMAT </w:instrText>
    </w:r>
    <w:r w:rsidR="001E7710">
      <w:fldChar w:fldCharType="separate"/>
    </w:r>
    <w:r w:rsidR="009B3ABF">
      <w:rPr>
        <w:noProof/>
      </w:rPr>
      <w:t>1</w:t>
    </w:r>
    <w:r w:rsidR="001E771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EDE" w:rsidRDefault="00620EDE">
      <w:r>
        <w:separator/>
      </w:r>
    </w:p>
  </w:footnote>
  <w:footnote w:type="continuationSeparator" w:id="0">
    <w:p w:rsidR="00620EDE" w:rsidRDefault="00620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B3ABF" w:rsidRPr="001C184C" w:rsidTr="00583242">
      <w:tc>
        <w:tcPr>
          <w:tcW w:w="8720" w:type="dxa"/>
          <w:shd w:val="clear" w:color="auto" w:fill="E4F2E0"/>
        </w:tcPr>
        <w:p w:rsidR="009B3ABF" w:rsidRPr="001C184C" w:rsidRDefault="009B3ABF" w:rsidP="00583242">
          <w:pPr>
            <w:pStyle w:val="Footer"/>
            <w:rPr>
              <w:b/>
              <w:szCs w:val="18"/>
            </w:rPr>
          </w:pPr>
          <w:r w:rsidRPr="001C184C">
            <w:rPr>
              <w:b/>
              <w:szCs w:val="18"/>
            </w:rPr>
            <w:t xml:space="preserve">Attachment 1: Product information for AusPAR </w:t>
          </w:r>
          <w:proofErr w:type="spellStart"/>
          <w:r w:rsidRPr="001C184C">
            <w:rPr>
              <w:b/>
              <w:szCs w:val="18"/>
            </w:rPr>
            <w:t>Dupixent</w:t>
          </w:r>
          <w:proofErr w:type="spellEnd"/>
          <w:r w:rsidRPr="001C184C">
            <w:rPr>
              <w:b/>
              <w:szCs w:val="18"/>
            </w:rPr>
            <w:t xml:space="preserve"> </w:t>
          </w:r>
          <w:proofErr w:type="spellStart"/>
          <w:r w:rsidRPr="001C184C">
            <w:rPr>
              <w:b/>
              <w:szCs w:val="18"/>
            </w:rPr>
            <w:t>dupilumab</w:t>
          </w:r>
          <w:proofErr w:type="spellEnd"/>
          <w:r w:rsidRPr="001C184C">
            <w:rPr>
              <w:b/>
              <w:szCs w:val="18"/>
            </w:rPr>
            <w:t xml:space="preserve"> Sanofi-Aventis Australia Pty Ltd PM-2016-04087-1-1 Final 12 June 2018. This Product information was approved at the time this AusPAR was published.</w:t>
          </w:r>
        </w:p>
      </w:tc>
    </w:tr>
  </w:tbl>
  <w:p w:rsidR="009B3ABF" w:rsidRDefault="009B3ABF">
    <w:pPr>
      <w:pStyle w:val="Header"/>
    </w:pPr>
  </w:p>
  <w:p w:rsidR="001E7710" w:rsidRDefault="00DB6979">
    <w:pPr>
      <w:pStyle w:val="Header"/>
    </w:pPr>
    <w:fldSimple w:instr=" DOCPROPERTY &quot;Document Type&quot;  \* MERGEFORMAT ">
      <w:r w:rsidR="001A3761">
        <w:t>PRODUCT INFORMATION</w:t>
      </w:r>
    </w:fldSimple>
    <w:r w:rsidR="001E7710">
      <w:t xml:space="preserve"> </w:t>
    </w:r>
    <w:r w:rsidR="001E7710">
      <w:tab/>
    </w:r>
  </w:p>
  <w:p w:rsidR="001E7710" w:rsidRDefault="00DB6979">
    <w:pPr>
      <w:pStyle w:val="Header"/>
    </w:pPr>
    <w:r>
      <w:fldChar w:fldCharType="begin"/>
    </w:r>
    <w:r>
      <w:instrText xml:space="preserve"> DOCPROPERTY "Product Code"  \* MERGEFORMAT </w:instrText>
    </w:r>
    <w:r>
      <w:fldChar w:fldCharType="separate"/>
    </w:r>
    <w:proofErr w:type="spellStart"/>
    <w:r w:rsidR="001A3761">
      <w:t>Dupixent</w:t>
    </w:r>
    <w:proofErr w:type="spellEnd"/>
    <w:r>
      <w:fldChar w:fldCharType="end"/>
    </w:r>
    <w:r w:rsidR="001E7710">
      <w:t xml:space="preserve"> - </w:t>
    </w:r>
    <w:r>
      <w:fldChar w:fldCharType="begin"/>
    </w:r>
    <w:r>
      <w:instrText xml:space="preserve"> DOCPROPERTY "INN"  \* MERGEFORMAT </w:instrText>
    </w:r>
    <w:r>
      <w:fldChar w:fldCharType="separate"/>
    </w:r>
    <w:proofErr w:type="spellStart"/>
    <w:r w:rsidR="001A3761">
      <w:t>dupilumab</w:t>
    </w:r>
    <w:proofErr w:type="spellEnd"/>
    <w:r w:rsidR="001A3761">
      <w:t xml:space="preserve"> -solution for injection</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66814"/>
    <w:multiLevelType w:val="hybridMultilevel"/>
    <w:tmpl w:val="37367C82"/>
    <w:name w:val="LT_Heading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0268D4"/>
    <w:multiLevelType w:val="multilevel"/>
    <w:tmpl w:val="AA983218"/>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3">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4">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6">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7">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8">
    <w:nsid w:val="2E4C6419"/>
    <w:multiLevelType w:val="multilevel"/>
    <w:tmpl w:val="A5202C14"/>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9">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2">
    <w:nsid w:val="390118C7"/>
    <w:multiLevelType w:val="multilevel"/>
    <w:tmpl w:val="3BF6B8A0"/>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3">
    <w:nsid w:val="398B4D5B"/>
    <w:multiLevelType w:val="hybridMultilevel"/>
    <w:tmpl w:val="AC0E0E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BFC04FA"/>
    <w:multiLevelType w:val="multilevel"/>
    <w:tmpl w:val="A120DF16"/>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5">
    <w:nsid w:val="3EB7290F"/>
    <w:multiLevelType w:val="multilevel"/>
    <w:tmpl w:val="CF42B98A"/>
    <w:lvl w:ilvl="0">
      <w:start w:val="1"/>
      <w:numFmt w:val="bullet"/>
      <w:lvlRestart w:val="0"/>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6">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7">
    <w:nsid w:val="5C225032"/>
    <w:multiLevelType w:val="hybridMultilevel"/>
    <w:tmpl w:val="87D8CF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2331808"/>
    <w:multiLevelType w:val="multilevel"/>
    <w:tmpl w:val="F1BEA42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7D6C59A9"/>
    <w:multiLevelType w:val="multilevel"/>
    <w:tmpl w:val="5B240ADE"/>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cs="Times New Roman" w:hint="default"/>
        <w:sz w:val="21"/>
      </w:rPr>
    </w:lvl>
    <w:lvl w:ilvl="2">
      <w:start w:val="1"/>
      <w:numFmt w:val="bullet"/>
      <w:lvlText w:val=""/>
      <w:lvlJc w:val="left"/>
      <w:pPr>
        <w:tabs>
          <w:tab w:val="num" w:pos="1440"/>
        </w:tabs>
        <w:ind w:left="1440" w:hanging="357"/>
      </w:pPr>
      <w:rPr>
        <w:rFonts w:ascii="Symbol" w:hAnsi="Symbol" w:cs="Times New Roman"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22">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4"/>
  </w:num>
  <w:num w:numId="2">
    <w:abstractNumId w:val="19"/>
  </w:num>
  <w:num w:numId="3">
    <w:abstractNumId w:val="9"/>
  </w:num>
  <w:num w:numId="4">
    <w:abstractNumId w:val="7"/>
  </w:num>
  <w:num w:numId="5">
    <w:abstractNumId w:val="3"/>
  </w:num>
  <w:num w:numId="6">
    <w:abstractNumId w:val="0"/>
  </w:num>
  <w:num w:numId="7">
    <w:abstractNumId w:val="21"/>
  </w:num>
  <w:num w:numId="8">
    <w:abstractNumId w:val="11"/>
  </w:num>
  <w:num w:numId="9">
    <w:abstractNumId w:val="20"/>
  </w:num>
  <w:num w:numId="10">
    <w:abstractNumId w:val="19"/>
  </w:num>
  <w:num w:numId="11">
    <w:abstractNumId w:val="19"/>
  </w:num>
  <w:num w:numId="12">
    <w:abstractNumId w:val="19"/>
  </w:num>
  <w:num w:numId="13">
    <w:abstractNumId w:val="4"/>
  </w:num>
  <w:num w:numId="14">
    <w:abstractNumId w:val="4"/>
  </w:num>
  <w:num w:numId="15">
    <w:abstractNumId w:val="21"/>
  </w:num>
  <w:num w:numId="16">
    <w:abstractNumId w:val="21"/>
  </w:num>
  <w:num w:numId="17">
    <w:abstractNumId w:val="13"/>
  </w:num>
  <w:num w:numId="18">
    <w:abstractNumId w:val="17"/>
  </w:num>
  <w:num w:numId="19">
    <w:abstractNumId w:val="2"/>
  </w:num>
  <w:num w:numId="20">
    <w:abstractNumId w:val="14"/>
  </w:num>
  <w:num w:numId="21">
    <w:abstractNumId w:val="14"/>
    <w:lvlOverride w:ilvl="0">
      <w:lvl w:ilvl="0">
        <w:start w:val="1"/>
        <w:numFmt w:val="bullet"/>
        <w:lvlRestart w:val="0"/>
        <w:lvlText w:val=""/>
        <w:lvlJc w:val="left"/>
        <w:pPr>
          <w:tabs>
            <w:tab w:val="num" w:pos="720"/>
          </w:tabs>
          <w:ind w:left="720" w:hanging="357"/>
        </w:pPr>
        <w:rPr>
          <w:rFonts w:ascii="Symbol" w:hAnsi="Symbol" w:hint="default"/>
          <w:sz w:val="24"/>
        </w:rPr>
      </w:lvl>
    </w:lvlOverride>
    <w:lvlOverride w:ilvl="1">
      <w:lvl w:ilvl="1">
        <w:start w:val="1"/>
        <w:numFmt w:val="bullet"/>
        <w:lvlText w:val=""/>
        <w:lvlJc w:val="left"/>
        <w:pPr>
          <w:tabs>
            <w:tab w:val="num" w:pos="1083"/>
          </w:tabs>
          <w:ind w:left="1083" w:hanging="363"/>
        </w:pPr>
        <w:rPr>
          <w:rFonts w:ascii="Symbol" w:hAnsi="Symbol" w:hint="default"/>
          <w:sz w:val="21"/>
        </w:rPr>
      </w:lvl>
    </w:lvlOverride>
    <w:lvlOverride w:ilvl="2">
      <w:lvl w:ilvl="2">
        <w:start w:val="1"/>
        <w:numFmt w:val="bullet"/>
        <w:lvlText w:val=""/>
        <w:lvlJc w:val="left"/>
        <w:pPr>
          <w:tabs>
            <w:tab w:val="num" w:pos="1440"/>
          </w:tabs>
          <w:ind w:left="1440" w:hanging="357"/>
        </w:pPr>
        <w:rPr>
          <w:rFonts w:ascii="Symbol" w:hAnsi="Symbol" w:hint="default"/>
          <w:sz w:val="21"/>
        </w:rPr>
      </w:lvl>
    </w:lvlOverride>
    <w:lvlOverride w:ilvl="3">
      <w:lvl w:ilvl="3">
        <w:start w:val="1"/>
        <w:numFmt w:val="bullet"/>
        <w:lvlText w:val=""/>
        <w:lvlJc w:val="left"/>
        <w:pPr>
          <w:tabs>
            <w:tab w:val="num" w:pos="1803"/>
          </w:tabs>
          <w:ind w:left="1803" w:hanging="363"/>
        </w:pPr>
        <w:rPr>
          <w:rFonts w:ascii="Symbol" w:hAnsi="Symbol" w:hint="default"/>
        </w:rPr>
      </w:lvl>
    </w:lvlOverride>
    <w:lvlOverride w:ilvl="4">
      <w:lvl w:ilvl="4">
        <w:start w:val="1"/>
        <w:numFmt w:val="bullet"/>
        <w:lvlText w:val=""/>
        <w:lvlJc w:val="left"/>
        <w:pPr>
          <w:tabs>
            <w:tab w:val="num" w:pos="2160"/>
          </w:tabs>
          <w:ind w:left="2160" w:hanging="357"/>
        </w:pPr>
        <w:rPr>
          <w:rFonts w:ascii="Symbol" w:hAnsi="Symbol" w:hint="default"/>
        </w:rPr>
      </w:lvl>
    </w:lvlOverride>
    <w:lvlOverride w:ilvl="5">
      <w:lvl w:ilvl="5">
        <w:start w:val="1"/>
        <w:numFmt w:val="bullet"/>
        <w:lvlText w:val=""/>
        <w:lvlJc w:val="left"/>
        <w:pPr>
          <w:tabs>
            <w:tab w:val="num" w:pos="2523"/>
          </w:tabs>
          <w:ind w:left="2523" w:hanging="363"/>
        </w:pPr>
        <w:rPr>
          <w:rFonts w:ascii="Symbol" w:hAnsi="Symbol" w:hint="default"/>
        </w:rPr>
      </w:lvl>
    </w:lvlOverride>
    <w:lvlOverride w:ilvl="6">
      <w:lvl w:ilvl="6">
        <w:start w:val="1"/>
        <w:numFmt w:val="bullet"/>
        <w:lvlText w:val=""/>
        <w:lvlJc w:val="left"/>
        <w:pPr>
          <w:tabs>
            <w:tab w:val="num" w:pos="2880"/>
          </w:tabs>
          <w:ind w:left="2880" w:hanging="357"/>
        </w:pPr>
        <w:rPr>
          <w:rFonts w:ascii="Symbol" w:hAnsi="Symbol" w:hint="default"/>
        </w:rPr>
      </w:lvl>
    </w:lvlOverride>
    <w:lvlOverride w:ilvl="7">
      <w:lvl w:ilvl="7">
        <w:start w:val="1"/>
        <w:numFmt w:val="bullet"/>
        <w:lvlText w:val=""/>
        <w:lvlJc w:val="left"/>
        <w:pPr>
          <w:tabs>
            <w:tab w:val="num" w:pos="3243"/>
          </w:tabs>
          <w:ind w:left="3243" w:hanging="363"/>
        </w:pPr>
        <w:rPr>
          <w:rFonts w:ascii="Symbol" w:hAnsi="Symbol" w:hint="default"/>
        </w:rPr>
      </w:lvl>
    </w:lvlOverride>
    <w:lvlOverride w:ilvl="8">
      <w:lvl w:ilvl="8">
        <w:start w:val="1"/>
        <w:numFmt w:val="bullet"/>
        <w:lvlText w:val=""/>
        <w:lvlJc w:val="left"/>
        <w:pPr>
          <w:tabs>
            <w:tab w:val="num" w:pos="3600"/>
          </w:tabs>
          <w:ind w:left="3600" w:hanging="357"/>
        </w:pPr>
        <w:rPr>
          <w:rFonts w:ascii="Symbol" w:hAnsi="Symbol" w:hint="default"/>
        </w:rPr>
      </w:lvl>
    </w:lvlOverride>
  </w:num>
  <w:num w:numId="22">
    <w:abstractNumId w:val="14"/>
    <w:lvlOverride w:ilvl="0">
      <w:lvl w:ilvl="0">
        <w:start w:val="1"/>
        <w:numFmt w:val="bullet"/>
        <w:lvlRestart w:val="0"/>
        <w:lvlText w:val=""/>
        <w:lvlJc w:val="left"/>
        <w:pPr>
          <w:tabs>
            <w:tab w:val="num" w:pos="720"/>
          </w:tabs>
          <w:ind w:left="720" w:hanging="357"/>
        </w:pPr>
        <w:rPr>
          <w:rFonts w:ascii="Symbol" w:hAnsi="Symbol" w:hint="default"/>
          <w:sz w:val="24"/>
        </w:rPr>
      </w:lvl>
    </w:lvlOverride>
    <w:lvlOverride w:ilvl="1">
      <w:lvl w:ilvl="1">
        <w:start w:val="1"/>
        <w:numFmt w:val="bullet"/>
        <w:lvlText w:val=""/>
        <w:lvlJc w:val="left"/>
        <w:pPr>
          <w:tabs>
            <w:tab w:val="num" w:pos="1083"/>
          </w:tabs>
          <w:ind w:left="1083" w:hanging="363"/>
        </w:pPr>
        <w:rPr>
          <w:rFonts w:ascii="Symbol" w:hAnsi="Symbol" w:hint="default"/>
          <w:sz w:val="21"/>
        </w:rPr>
      </w:lvl>
    </w:lvlOverride>
    <w:lvlOverride w:ilvl="2">
      <w:lvl w:ilvl="2">
        <w:start w:val="1"/>
        <w:numFmt w:val="bullet"/>
        <w:lvlText w:val=""/>
        <w:lvlJc w:val="left"/>
        <w:pPr>
          <w:tabs>
            <w:tab w:val="num" w:pos="1440"/>
          </w:tabs>
          <w:ind w:left="1440" w:hanging="357"/>
        </w:pPr>
        <w:rPr>
          <w:rFonts w:ascii="Symbol" w:hAnsi="Symbol" w:hint="default"/>
          <w:sz w:val="21"/>
        </w:rPr>
      </w:lvl>
    </w:lvlOverride>
    <w:lvlOverride w:ilvl="3">
      <w:lvl w:ilvl="3">
        <w:start w:val="1"/>
        <w:numFmt w:val="bullet"/>
        <w:lvlText w:val=""/>
        <w:lvlJc w:val="left"/>
        <w:pPr>
          <w:tabs>
            <w:tab w:val="num" w:pos="1803"/>
          </w:tabs>
          <w:ind w:left="1803" w:hanging="363"/>
        </w:pPr>
        <w:rPr>
          <w:rFonts w:ascii="Symbol" w:hAnsi="Symbol" w:hint="default"/>
        </w:rPr>
      </w:lvl>
    </w:lvlOverride>
    <w:lvlOverride w:ilvl="4">
      <w:lvl w:ilvl="4">
        <w:start w:val="1"/>
        <w:numFmt w:val="bullet"/>
        <w:lvlText w:val=""/>
        <w:lvlJc w:val="left"/>
        <w:pPr>
          <w:tabs>
            <w:tab w:val="num" w:pos="2160"/>
          </w:tabs>
          <w:ind w:left="2160" w:hanging="357"/>
        </w:pPr>
        <w:rPr>
          <w:rFonts w:ascii="Symbol" w:hAnsi="Symbol" w:hint="default"/>
        </w:rPr>
      </w:lvl>
    </w:lvlOverride>
    <w:lvlOverride w:ilvl="5">
      <w:lvl w:ilvl="5">
        <w:start w:val="1"/>
        <w:numFmt w:val="bullet"/>
        <w:lvlText w:val=""/>
        <w:lvlJc w:val="left"/>
        <w:pPr>
          <w:tabs>
            <w:tab w:val="num" w:pos="2523"/>
          </w:tabs>
          <w:ind w:left="2523" w:hanging="363"/>
        </w:pPr>
        <w:rPr>
          <w:rFonts w:ascii="Symbol" w:hAnsi="Symbol" w:hint="default"/>
        </w:rPr>
      </w:lvl>
    </w:lvlOverride>
    <w:lvlOverride w:ilvl="6">
      <w:lvl w:ilvl="6">
        <w:start w:val="1"/>
        <w:numFmt w:val="bullet"/>
        <w:lvlText w:val=""/>
        <w:lvlJc w:val="left"/>
        <w:pPr>
          <w:tabs>
            <w:tab w:val="num" w:pos="2880"/>
          </w:tabs>
          <w:ind w:left="2880" w:hanging="357"/>
        </w:pPr>
        <w:rPr>
          <w:rFonts w:ascii="Symbol" w:hAnsi="Symbol" w:hint="default"/>
        </w:rPr>
      </w:lvl>
    </w:lvlOverride>
    <w:lvlOverride w:ilvl="7">
      <w:lvl w:ilvl="7">
        <w:start w:val="1"/>
        <w:numFmt w:val="bullet"/>
        <w:lvlText w:val=""/>
        <w:lvlJc w:val="left"/>
        <w:pPr>
          <w:tabs>
            <w:tab w:val="num" w:pos="3243"/>
          </w:tabs>
          <w:ind w:left="3243" w:hanging="363"/>
        </w:pPr>
        <w:rPr>
          <w:rFonts w:ascii="Symbol" w:hAnsi="Symbol" w:hint="default"/>
        </w:rPr>
      </w:lvl>
    </w:lvlOverride>
    <w:lvlOverride w:ilvl="8">
      <w:lvl w:ilvl="8">
        <w:start w:val="1"/>
        <w:numFmt w:val="bullet"/>
        <w:lvlText w:val=""/>
        <w:lvlJc w:val="left"/>
        <w:pPr>
          <w:tabs>
            <w:tab w:val="num" w:pos="3600"/>
          </w:tabs>
          <w:ind w:left="3600" w:hanging="357"/>
        </w:pPr>
        <w:rPr>
          <w:rFonts w:ascii="Symbol" w:hAnsi="Symbol" w:hint="default"/>
        </w:rPr>
      </w:lvl>
    </w:lvlOverride>
  </w:num>
  <w:num w:numId="23">
    <w:abstractNumId w:val="14"/>
    <w:lvlOverride w:ilvl="0">
      <w:lvl w:ilvl="0">
        <w:start w:val="1"/>
        <w:numFmt w:val="bullet"/>
        <w:lvlRestart w:val="0"/>
        <w:lvlText w:val=""/>
        <w:lvlJc w:val="left"/>
        <w:pPr>
          <w:tabs>
            <w:tab w:val="num" w:pos="720"/>
          </w:tabs>
          <w:ind w:left="720" w:hanging="357"/>
        </w:pPr>
        <w:rPr>
          <w:rFonts w:ascii="Symbol" w:hAnsi="Symbol" w:hint="default"/>
          <w:sz w:val="24"/>
        </w:rPr>
      </w:lvl>
    </w:lvlOverride>
    <w:lvlOverride w:ilvl="1">
      <w:lvl w:ilvl="1">
        <w:start w:val="1"/>
        <w:numFmt w:val="bullet"/>
        <w:lvlText w:val=""/>
        <w:lvlJc w:val="left"/>
        <w:pPr>
          <w:tabs>
            <w:tab w:val="num" w:pos="1083"/>
          </w:tabs>
          <w:ind w:left="1083" w:hanging="363"/>
        </w:pPr>
        <w:rPr>
          <w:rFonts w:ascii="Symbol" w:hAnsi="Symbol" w:hint="default"/>
          <w:sz w:val="21"/>
        </w:rPr>
      </w:lvl>
    </w:lvlOverride>
    <w:lvlOverride w:ilvl="2">
      <w:lvl w:ilvl="2">
        <w:start w:val="1"/>
        <w:numFmt w:val="bullet"/>
        <w:lvlText w:val=""/>
        <w:lvlJc w:val="left"/>
        <w:pPr>
          <w:tabs>
            <w:tab w:val="num" w:pos="1440"/>
          </w:tabs>
          <w:ind w:left="1440" w:hanging="357"/>
        </w:pPr>
        <w:rPr>
          <w:rFonts w:ascii="Symbol" w:hAnsi="Symbol" w:hint="default"/>
          <w:sz w:val="21"/>
        </w:rPr>
      </w:lvl>
    </w:lvlOverride>
    <w:lvlOverride w:ilvl="3">
      <w:lvl w:ilvl="3">
        <w:start w:val="1"/>
        <w:numFmt w:val="bullet"/>
        <w:lvlText w:val=""/>
        <w:lvlJc w:val="left"/>
        <w:pPr>
          <w:tabs>
            <w:tab w:val="num" w:pos="1803"/>
          </w:tabs>
          <w:ind w:left="1803" w:hanging="363"/>
        </w:pPr>
        <w:rPr>
          <w:rFonts w:ascii="Symbol" w:hAnsi="Symbol" w:hint="default"/>
        </w:rPr>
      </w:lvl>
    </w:lvlOverride>
    <w:lvlOverride w:ilvl="4">
      <w:lvl w:ilvl="4">
        <w:start w:val="1"/>
        <w:numFmt w:val="bullet"/>
        <w:lvlText w:val=""/>
        <w:lvlJc w:val="left"/>
        <w:pPr>
          <w:tabs>
            <w:tab w:val="num" w:pos="2160"/>
          </w:tabs>
          <w:ind w:left="2160" w:hanging="357"/>
        </w:pPr>
        <w:rPr>
          <w:rFonts w:ascii="Symbol" w:hAnsi="Symbol" w:hint="default"/>
        </w:rPr>
      </w:lvl>
    </w:lvlOverride>
    <w:lvlOverride w:ilvl="5">
      <w:lvl w:ilvl="5">
        <w:start w:val="1"/>
        <w:numFmt w:val="bullet"/>
        <w:lvlText w:val=""/>
        <w:lvlJc w:val="left"/>
        <w:pPr>
          <w:tabs>
            <w:tab w:val="num" w:pos="2523"/>
          </w:tabs>
          <w:ind w:left="2523" w:hanging="363"/>
        </w:pPr>
        <w:rPr>
          <w:rFonts w:ascii="Symbol" w:hAnsi="Symbol" w:hint="default"/>
        </w:rPr>
      </w:lvl>
    </w:lvlOverride>
    <w:lvlOverride w:ilvl="6">
      <w:lvl w:ilvl="6">
        <w:start w:val="1"/>
        <w:numFmt w:val="bullet"/>
        <w:lvlText w:val=""/>
        <w:lvlJc w:val="left"/>
        <w:pPr>
          <w:tabs>
            <w:tab w:val="num" w:pos="2880"/>
          </w:tabs>
          <w:ind w:left="2880" w:hanging="357"/>
        </w:pPr>
        <w:rPr>
          <w:rFonts w:ascii="Symbol" w:hAnsi="Symbol" w:hint="default"/>
        </w:rPr>
      </w:lvl>
    </w:lvlOverride>
    <w:lvlOverride w:ilvl="7">
      <w:lvl w:ilvl="7">
        <w:start w:val="1"/>
        <w:numFmt w:val="bullet"/>
        <w:lvlText w:val=""/>
        <w:lvlJc w:val="left"/>
        <w:pPr>
          <w:tabs>
            <w:tab w:val="num" w:pos="3243"/>
          </w:tabs>
          <w:ind w:left="3243" w:hanging="363"/>
        </w:pPr>
        <w:rPr>
          <w:rFonts w:ascii="Symbol" w:hAnsi="Symbol" w:hint="default"/>
        </w:rPr>
      </w:lvl>
    </w:lvlOverride>
    <w:lvlOverride w:ilvl="8">
      <w:lvl w:ilvl="8">
        <w:start w:val="1"/>
        <w:numFmt w:val="bullet"/>
        <w:lvlText w:val=""/>
        <w:lvlJc w:val="left"/>
        <w:pPr>
          <w:tabs>
            <w:tab w:val="num" w:pos="3600"/>
          </w:tabs>
          <w:ind w:left="3600" w:hanging="357"/>
        </w:pPr>
        <w:rPr>
          <w:rFonts w:ascii="Symbol" w:hAnsi="Symbol" w:hint="default"/>
        </w:rPr>
      </w:lvl>
    </w:lvlOverride>
  </w:num>
  <w:num w:numId="24">
    <w:abstractNumId w:val="15"/>
  </w:num>
  <w:num w:numId="25">
    <w:abstractNumId w:val="8"/>
  </w:num>
  <w:num w:numId="26">
    <w:abstractNumId w:val="8"/>
    <w:lvlOverride w:ilvl="0">
      <w:lvl w:ilvl="0">
        <w:start w:val="1"/>
        <w:numFmt w:val="bullet"/>
        <w:lvlRestart w:val="0"/>
        <w:lvlText w:val=""/>
        <w:lvlJc w:val="left"/>
        <w:pPr>
          <w:tabs>
            <w:tab w:val="num" w:pos="720"/>
          </w:tabs>
          <w:ind w:left="720" w:hanging="357"/>
        </w:pPr>
        <w:rPr>
          <w:rFonts w:ascii="Symbol" w:hAnsi="Symbol" w:hint="default"/>
          <w:sz w:val="24"/>
        </w:rPr>
      </w:lvl>
    </w:lvlOverride>
    <w:lvlOverride w:ilvl="1">
      <w:lvl w:ilvl="1">
        <w:start w:val="1"/>
        <w:numFmt w:val="bullet"/>
        <w:lvlText w:val=""/>
        <w:lvlJc w:val="left"/>
        <w:pPr>
          <w:tabs>
            <w:tab w:val="num" w:pos="1083"/>
          </w:tabs>
          <w:ind w:left="1083" w:hanging="363"/>
        </w:pPr>
        <w:rPr>
          <w:rFonts w:ascii="Symbol" w:hAnsi="Symbol" w:hint="default"/>
          <w:sz w:val="21"/>
        </w:rPr>
      </w:lvl>
    </w:lvlOverride>
    <w:lvlOverride w:ilvl="2">
      <w:lvl w:ilvl="2">
        <w:start w:val="1"/>
        <w:numFmt w:val="bullet"/>
        <w:lvlText w:val=""/>
        <w:lvlJc w:val="left"/>
        <w:pPr>
          <w:tabs>
            <w:tab w:val="num" w:pos="1440"/>
          </w:tabs>
          <w:ind w:left="1440" w:hanging="357"/>
        </w:pPr>
        <w:rPr>
          <w:rFonts w:ascii="Symbol" w:hAnsi="Symbol" w:hint="default"/>
          <w:sz w:val="21"/>
        </w:rPr>
      </w:lvl>
    </w:lvlOverride>
    <w:lvlOverride w:ilvl="3">
      <w:lvl w:ilvl="3">
        <w:start w:val="1"/>
        <w:numFmt w:val="bullet"/>
        <w:lvlText w:val=""/>
        <w:lvlJc w:val="left"/>
        <w:pPr>
          <w:tabs>
            <w:tab w:val="num" w:pos="1803"/>
          </w:tabs>
          <w:ind w:left="1803" w:hanging="363"/>
        </w:pPr>
        <w:rPr>
          <w:rFonts w:ascii="Symbol" w:hAnsi="Symbol" w:hint="default"/>
        </w:rPr>
      </w:lvl>
    </w:lvlOverride>
    <w:lvlOverride w:ilvl="4">
      <w:lvl w:ilvl="4">
        <w:start w:val="1"/>
        <w:numFmt w:val="bullet"/>
        <w:lvlText w:val=""/>
        <w:lvlJc w:val="left"/>
        <w:pPr>
          <w:tabs>
            <w:tab w:val="num" w:pos="2160"/>
          </w:tabs>
          <w:ind w:left="2160" w:hanging="357"/>
        </w:pPr>
        <w:rPr>
          <w:rFonts w:ascii="Symbol" w:hAnsi="Symbol" w:hint="default"/>
        </w:rPr>
      </w:lvl>
    </w:lvlOverride>
    <w:lvlOverride w:ilvl="5">
      <w:lvl w:ilvl="5">
        <w:start w:val="1"/>
        <w:numFmt w:val="bullet"/>
        <w:lvlText w:val=""/>
        <w:lvlJc w:val="left"/>
        <w:pPr>
          <w:tabs>
            <w:tab w:val="num" w:pos="2523"/>
          </w:tabs>
          <w:ind w:left="2523" w:hanging="363"/>
        </w:pPr>
        <w:rPr>
          <w:rFonts w:ascii="Symbol" w:hAnsi="Symbol" w:hint="default"/>
        </w:rPr>
      </w:lvl>
    </w:lvlOverride>
    <w:lvlOverride w:ilvl="6">
      <w:lvl w:ilvl="6">
        <w:start w:val="1"/>
        <w:numFmt w:val="bullet"/>
        <w:lvlText w:val=""/>
        <w:lvlJc w:val="left"/>
        <w:pPr>
          <w:tabs>
            <w:tab w:val="num" w:pos="2880"/>
          </w:tabs>
          <w:ind w:left="2880" w:hanging="357"/>
        </w:pPr>
        <w:rPr>
          <w:rFonts w:ascii="Symbol" w:hAnsi="Symbol" w:hint="default"/>
        </w:rPr>
      </w:lvl>
    </w:lvlOverride>
    <w:lvlOverride w:ilvl="7">
      <w:lvl w:ilvl="7">
        <w:start w:val="1"/>
        <w:numFmt w:val="bullet"/>
        <w:lvlText w:val=""/>
        <w:lvlJc w:val="left"/>
        <w:pPr>
          <w:tabs>
            <w:tab w:val="num" w:pos="3243"/>
          </w:tabs>
          <w:ind w:left="3243" w:hanging="363"/>
        </w:pPr>
        <w:rPr>
          <w:rFonts w:ascii="Symbol" w:hAnsi="Symbol" w:hint="default"/>
        </w:rPr>
      </w:lvl>
    </w:lvlOverride>
    <w:lvlOverride w:ilvl="8">
      <w:lvl w:ilvl="8">
        <w:start w:val="1"/>
        <w:numFmt w:val="bullet"/>
        <w:lvlText w:val=""/>
        <w:lvlJc w:val="left"/>
        <w:pPr>
          <w:tabs>
            <w:tab w:val="num" w:pos="3600"/>
          </w:tabs>
          <w:ind w:left="3600" w:hanging="357"/>
        </w:pPr>
        <w:rPr>
          <w:rFonts w:ascii="Symbol" w:hAnsi="Symbol" w:hint="default"/>
        </w:rPr>
      </w:lvl>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lagShowHiddenText" w:val="1"/>
  </w:docVars>
  <w:rsids>
    <w:rsidRoot w:val="004E23E5"/>
    <w:rsid w:val="00002EBD"/>
    <w:rsid w:val="000034BB"/>
    <w:rsid w:val="00010D55"/>
    <w:rsid w:val="00015582"/>
    <w:rsid w:val="00015C6B"/>
    <w:rsid w:val="00017171"/>
    <w:rsid w:val="000171B6"/>
    <w:rsid w:val="000235B0"/>
    <w:rsid w:val="000265DC"/>
    <w:rsid w:val="00031A64"/>
    <w:rsid w:val="00034DDE"/>
    <w:rsid w:val="00036300"/>
    <w:rsid w:val="000451AF"/>
    <w:rsid w:val="00045804"/>
    <w:rsid w:val="00051715"/>
    <w:rsid w:val="000521B3"/>
    <w:rsid w:val="0005735D"/>
    <w:rsid w:val="00060C46"/>
    <w:rsid w:val="00061AF5"/>
    <w:rsid w:val="00062124"/>
    <w:rsid w:val="000643F9"/>
    <w:rsid w:val="00064EF4"/>
    <w:rsid w:val="0006683D"/>
    <w:rsid w:val="00066E9E"/>
    <w:rsid w:val="000707AA"/>
    <w:rsid w:val="00082CB5"/>
    <w:rsid w:val="00084A6E"/>
    <w:rsid w:val="00085019"/>
    <w:rsid w:val="00090F9E"/>
    <w:rsid w:val="000941A0"/>
    <w:rsid w:val="00095939"/>
    <w:rsid w:val="00096C80"/>
    <w:rsid w:val="000A13E8"/>
    <w:rsid w:val="000A1A9B"/>
    <w:rsid w:val="000A20D0"/>
    <w:rsid w:val="000A2BC2"/>
    <w:rsid w:val="000A536B"/>
    <w:rsid w:val="000B3CBB"/>
    <w:rsid w:val="000B4FCF"/>
    <w:rsid w:val="000B6334"/>
    <w:rsid w:val="000B6B46"/>
    <w:rsid w:val="000C3410"/>
    <w:rsid w:val="000C6807"/>
    <w:rsid w:val="000D3178"/>
    <w:rsid w:val="000D38B2"/>
    <w:rsid w:val="000D567B"/>
    <w:rsid w:val="000D5787"/>
    <w:rsid w:val="000E1B95"/>
    <w:rsid w:val="000E1C2D"/>
    <w:rsid w:val="000E5F7B"/>
    <w:rsid w:val="000E66EB"/>
    <w:rsid w:val="000F099C"/>
    <w:rsid w:val="000F4C31"/>
    <w:rsid w:val="00101DB3"/>
    <w:rsid w:val="00102478"/>
    <w:rsid w:val="001033E2"/>
    <w:rsid w:val="0010528F"/>
    <w:rsid w:val="00106280"/>
    <w:rsid w:val="00107C54"/>
    <w:rsid w:val="00112530"/>
    <w:rsid w:val="001132DD"/>
    <w:rsid w:val="00113739"/>
    <w:rsid w:val="0012540A"/>
    <w:rsid w:val="001275B9"/>
    <w:rsid w:val="00127E8C"/>
    <w:rsid w:val="00133495"/>
    <w:rsid w:val="00142D57"/>
    <w:rsid w:val="00145877"/>
    <w:rsid w:val="00146D87"/>
    <w:rsid w:val="001540F6"/>
    <w:rsid w:val="001557A9"/>
    <w:rsid w:val="001558E1"/>
    <w:rsid w:val="001648E2"/>
    <w:rsid w:val="0016780C"/>
    <w:rsid w:val="00170FF1"/>
    <w:rsid w:val="00172491"/>
    <w:rsid w:val="001725DA"/>
    <w:rsid w:val="0017737B"/>
    <w:rsid w:val="001806C1"/>
    <w:rsid w:val="00181277"/>
    <w:rsid w:val="00183B03"/>
    <w:rsid w:val="00183F13"/>
    <w:rsid w:val="00186D3D"/>
    <w:rsid w:val="001911AF"/>
    <w:rsid w:val="00191E94"/>
    <w:rsid w:val="00192E88"/>
    <w:rsid w:val="0019780F"/>
    <w:rsid w:val="00197854"/>
    <w:rsid w:val="001A2DF6"/>
    <w:rsid w:val="001A3761"/>
    <w:rsid w:val="001A56BA"/>
    <w:rsid w:val="001B7565"/>
    <w:rsid w:val="001C47E9"/>
    <w:rsid w:val="001D03B1"/>
    <w:rsid w:val="001D1961"/>
    <w:rsid w:val="001D2408"/>
    <w:rsid w:val="001E10B9"/>
    <w:rsid w:val="001E603B"/>
    <w:rsid w:val="001E69B5"/>
    <w:rsid w:val="001E75B9"/>
    <w:rsid w:val="001E7710"/>
    <w:rsid w:val="001F2CE8"/>
    <w:rsid w:val="001F3DBD"/>
    <w:rsid w:val="001F6A62"/>
    <w:rsid w:val="002069DA"/>
    <w:rsid w:val="00210BFE"/>
    <w:rsid w:val="00214788"/>
    <w:rsid w:val="00215215"/>
    <w:rsid w:val="0022246F"/>
    <w:rsid w:val="00224A4F"/>
    <w:rsid w:val="0022601E"/>
    <w:rsid w:val="002316BC"/>
    <w:rsid w:val="00233B4F"/>
    <w:rsid w:val="00233E11"/>
    <w:rsid w:val="00235120"/>
    <w:rsid w:val="00242CD2"/>
    <w:rsid w:val="00244199"/>
    <w:rsid w:val="0024485E"/>
    <w:rsid w:val="002528F6"/>
    <w:rsid w:val="00253ABB"/>
    <w:rsid w:val="00254C36"/>
    <w:rsid w:val="002622C1"/>
    <w:rsid w:val="0026349F"/>
    <w:rsid w:val="002638DC"/>
    <w:rsid w:val="00265915"/>
    <w:rsid w:val="00270A0E"/>
    <w:rsid w:val="00281D70"/>
    <w:rsid w:val="00283D6E"/>
    <w:rsid w:val="00294C5E"/>
    <w:rsid w:val="00295C4B"/>
    <w:rsid w:val="002A3929"/>
    <w:rsid w:val="002B0C35"/>
    <w:rsid w:val="002B3BE0"/>
    <w:rsid w:val="002B53CC"/>
    <w:rsid w:val="002B695D"/>
    <w:rsid w:val="002C79A4"/>
    <w:rsid w:val="002D36D8"/>
    <w:rsid w:val="002D4443"/>
    <w:rsid w:val="002D5BF0"/>
    <w:rsid w:val="002E1147"/>
    <w:rsid w:val="002F29AB"/>
    <w:rsid w:val="002F38D4"/>
    <w:rsid w:val="002F4F6D"/>
    <w:rsid w:val="002F508D"/>
    <w:rsid w:val="003020BF"/>
    <w:rsid w:val="00313D32"/>
    <w:rsid w:val="00314C9B"/>
    <w:rsid w:val="00315B11"/>
    <w:rsid w:val="00316D4F"/>
    <w:rsid w:val="00343BBC"/>
    <w:rsid w:val="00347DCE"/>
    <w:rsid w:val="00351AAD"/>
    <w:rsid w:val="00351D24"/>
    <w:rsid w:val="00353721"/>
    <w:rsid w:val="00354C3F"/>
    <w:rsid w:val="00355486"/>
    <w:rsid w:val="00355F3C"/>
    <w:rsid w:val="00362DEA"/>
    <w:rsid w:val="00364FF1"/>
    <w:rsid w:val="003653DA"/>
    <w:rsid w:val="00381066"/>
    <w:rsid w:val="003817BE"/>
    <w:rsid w:val="00383443"/>
    <w:rsid w:val="003837BA"/>
    <w:rsid w:val="00386226"/>
    <w:rsid w:val="003862EC"/>
    <w:rsid w:val="00391584"/>
    <w:rsid w:val="00395B46"/>
    <w:rsid w:val="0039637A"/>
    <w:rsid w:val="00396EE5"/>
    <w:rsid w:val="003A50D1"/>
    <w:rsid w:val="003B0A20"/>
    <w:rsid w:val="003B6C0E"/>
    <w:rsid w:val="003B6CFC"/>
    <w:rsid w:val="003C2958"/>
    <w:rsid w:val="003C3B8A"/>
    <w:rsid w:val="003C5665"/>
    <w:rsid w:val="003C6D66"/>
    <w:rsid w:val="003D3048"/>
    <w:rsid w:val="003D5F28"/>
    <w:rsid w:val="003D745C"/>
    <w:rsid w:val="003E75A7"/>
    <w:rsid w:val="003E7CED"/>
    <w:rsid w:val="003F1555"/>
    <w:rsid w:val="003F1F6E"/>
    <w:rsid w:val="003F322B"/>
    <w:rsid w:val="003F4DD1"/>
    <w:rsid w:val="003F4F26"/>
    <w:rsid w:val="00411451"/>
    <w:rsid w:val="00413587"/>
    <w:rsid w:val="00414CFA"/>
    <w:rsid w:val="00420253"/>
    <w:rsid w:val="0042040D"/>
    <w:rsid w:val="00421146"/>
    <w:rsid w:val="004245FE"/>
    <w:rsid w:val="00425DCE"/>
    <w:rsid w:val="00426B70"/>
    <w:rsid w:val="00427905"/>
    <w:rsid w:val="00430DAA"/>
    <w:rsid w:val="00431272"/>
    <w:rsid w:val="00432A82"/>
    <w:rsid w:val="004334ED"/>
    <w:rsid w:val="00436A25"/>
    <w:rsid w:val="00440FC3"/>
    <w:rsid w:val="004422F8"/>
    <w:rsid w:val="004430D0"/>
    <w:rsid w:val="00444BCE"/>
    <w:rsid w:val="00445B23"/>
    <w:rsid w:val="0044653A"/>
    <w:rsid w:val="00451896"/>
    <w:rsid w:val="00451D7A"/>
    <w:rsid w:val="00451EE7"/>
    <w:rsid w:val="0045319F"/>
    <w:rsid w:val="00456D14"/>
    <w:rsid w:val="00457139"/>
    <w:rsid w:val="004571E9"/>
    <w:rsid w:val="00461B19"/>
    <w:rsid w:val="00471EEB"/>
    <w:rsid w:val="004731F2"/>
    <w:rsid w:val="0047380D"/>
    <w:rsid w:val="00476BD9"/>
    <w:rsid w:val="00476F04"/>
    <w:rsid w:val="00477C06"/>
    <w:rsid w:val="00481C67"/>
    <w:rsid w:val="004847B1"/>
    <w:rsid w:val="0048703B"/>
    <w:rsid w:val="00494BEF"/>
    <w:rsid w:val="00496F0D"/>
    <w:rsid w:val="004A25BC"/>
    <w:rsid w:val="004A31E5"/>
    <w:rsid w:val="004B34DE"/>
    <w:rsid w:val="004B3B1B"/>
    <w:rsid w:val="004B68E7"/>
    <w:rsid w:val="004B6D3B"/>
    <w:rsid w:val="004C04A2"/>
    <w:rsid w:val="004C0964"/>
    <w:rsid w:val="004C1F47"/>
    <w:rsid w:val="004C4F72"/>
    <w:rsid w:val="004C7FF1"/>
    <w:rsid w:val="004D08A8"/>
    <w:rsid w:val="004D1E55"/>
    <w:rsid w:val="004E14CE"/>
    <w:rsid w:val="004E23E5"/>
    <w:rsid w:val="004E31EC"/>
    <w:rsid w:val="004E68E3"/>
    <w:rsid w:val="00500133"/>
    <w:rsid w:val="00511170"/>
    <w:rsid w:val="00515D9A"/>
    <w:rsid w:val="00521192"/>
    <w:rsid w:val="00521D72"/>
    <w:rsid w:val="00525A80"/>
    <w:rsid w:val="005271E8"/>
    <w:rsid w:val="00533653"/>
    <w:rsid w:val="00540852"/>
    <w:rsid w:val="00543184"/>
    <w:rsid w:val="0054374A"/>
    <w:rsid w:val="005478FF"/>
    <w:rsid w:val="00554364"/>
    <w:rsid w:val="005600F1"/>
    <w:rsid w:val="00563FF3"/>
    <w:rsid w:val="00566795"/>
    <w:rsid w:val="00570019"/>
    <w:rsid w:val="0058066B"/>
    <w:rsid w:val="00583830"/>
    <w:rsid w:val="00585A1B"/>
    <w:rsid w:val="00586B0A"/>
    <w:rsid w:val="00590004"/>
    <w:rsid w:val="0059033A"/>
    <w:rsid w:val="00594DFD"/>
    <w:rsid w:val="005950BB"/>
    <w:rsid w:val="005972E2"/>
    <w:rsid w:val="005A0446"/>
    <w:rsid w:val="005A4B61"/>
    <w:rsid w:val="005A7DC0"/>
    <w:rsid w:val="005B38FD"/>
    <w:rsid w:val="005C207E"/>
    <w:rsid w:val="005C33A5"/>
    <w:rsid w:val="005C3820"/>
    <w:rsid w:val="005C6DA5"/>
    <w:rsid w:val="005D6364"/>
    <w:rsid w:val="005E252D"/>
    <w:rsid w:val="005E2983"/>
    <w:rsid w:val="005E39A7"/>
    <w:rsid w:val="005F0F3F"/>
    <w:rsid w:val="005F12F9"/>
    <w:rsid w:val="005F23D9"/>
    <w:rsid w:val="005F3409"/>
    <w:rsid w:val="005F4484"/>
    <w:rsid w:val="005F6F30"/>
    <w:rsid w:val="00604C3A"/>
    <w:rsid w:val="00605A94"/>
    <w:rsid w:val="006064F9"/>
    <w:rsid w:val="00615F13"/>
    <w:rsid w:val="00620EDE"/>
    <w:rsid w:val="00620FA0"/>
    <w:rsid w:val="00622F5F"/>
    <w:rsid w:val="00630027"/>
    <w:rsid w:val="00630472"/>
    <w:rsid w:val="00630B5F"/>
    <w:rsid w:val="00646109"/>
    <w:rsid w:val="00650EB1"/>
    <w:rsid w:val="006512FB"/>
    <w:rsid w:val="00653269"/>
    <w:rsid w:val="0066130D"/>
    <w:rsid w:val="00661DF2"/>
    <w:rsid w:val="00664D3B"/>
    <w:rsid w:val="00665D17"/>
    <w:rsid w:val="0067082B"/>
    <w:rsid w:val="00683540"/>
    <w:rsid w:val="00693B62"/>
    <w:rsid w:val="00694638"/>
    <w:rsid w:val="006A1FB7"/>
    <w:rsid w:val="006A5E8D"/>
    <w:rsid w:val="006A748D"/>
    <w:rsid w:val="006A7A3F"/>
    <w:rsid w:val="006B34AD"/>
    <w:rsid w:val="006B7F48"/>
    <w:rsid w:val="006C14C1"/>
    <w:rsid w:val="006C4644"/>
    <w:rsid w:val="006C65E5"/>
    <w:rsid w:val="006C7E32"/>
    <w:rsid w:val="006D0E2B"/>
    <w:rsid w:val="006D0F6A"/>
    <w:rsid w:val="006D1D1F"/>
    <w:rsid w:val="006D27B3"/>
    <w:rsid w:val="006D5801"/>
    <w:rsid w:val="006E6255"/>
    <w:rsid w:val="006F47B7"/>
    <w:rsid w:val="006F59F4"/>
    <w:rsid w:val="0070064B"/>
    <w:rsid w:val="00700B58"/>
    <w:rsid w:val="00704E5E"/>
    <w:rsid w:val="00704F2D"/>
    <w:rsid w:val="00707380"/>
    <w:rsid w:val="00712905"/>
    <w:rsid w:val="00717BAE"/>
    <w:rsid w:val="00717C2F"/>
    <w:rsid w:val="00720541"/>
    <w:rsid w:val="00723446"/>
    <w:rsid w:val="00733760"/>
    <w:rsid w:val="007345F0"/>
    <w:rsid w:val="00735740"/>
    <w:rsid w:val="007433B8"/>
    <w:rsid w:val="00743C44"/>
    <w:rsid w:val="00754273"/>
    <w:rsid w:val="00760408"/>
    <w:rsid w:val="007649CB"/>
    <w:rsid w:val="00767569"/>
    <w:rsid w:val="007728AB"/>
    <w:rsid w:val="007751F6"/>
    <w:rsid w:val="00777DFD"/>
    <w:rsid w:val="007818D3"/>
    <w:rsid w:val="0078713B"/>
    <w:rsid w:val="00797358"/>
    <w:rsid w:val="00797B42"/>
    <w:rsid w:val="007A5E9C"/>
    <w:rsid w:val="007B22BD"/>
    <w:rsid w:val="007C5DCE"/>
    <w:rsid w:val="007D7C2C"/>
    <w:rsid w:val="007E0AC8"/>
    <w:rsid w:val="007E0FB1"/>
    <w:rsid w:val="007E2CA7"/>
    <w:rsid w:val="007E4FA9"/>
    <w:rsid w:val="007E55D0"/>
    <w:rsid w:val="007F02F1"/>
    <w:rsid w:val="007F08C7"/>
    <w:rsid w:val="007F1BDB"/>
    <w:rsid w:val="007F7A47"/>
    <w:rsid w:val="00801E67"/>
    <w:rsid w:val="008048CB"/>
    <w:rsid w:val="00806F62"/>
    <w:rsid w:val="00811132"/>
    <w:rsid w:val="00813C8F"/>
    <w:rsid w:val="00815661"/>
    <w:rsid w:val="00817A6E"/>
    <w:rsid w:val="0082709A"/>
    <w:rsid w:val="00834D4B"/>
    <w:rsid w:val="00836698"/>
    <w:rsid w:val="00844D59"/>
    <w:rsid w:val="008450C6"/>
    <w:rsid w:val="008453E7"/>
    <w:rsid w:val="00846699"/>
    <w:rsid w:val="00855604"/>
    <w:rsid w:val="00856022"/>
    <w:rsid w:val="008565D0"/>
    <w:rsid w:val="008644A7"/>
    <w:rsid w:val="00865AA4"/>
    <w:rsid w:val="0086640C"/>
    <w:rsid w:val="008726F4"/>
    <w:rsid w:val="008758FC"/>
    <w:rsid w:val="008821D3"/>
    <w:rsid w:val="00882C3B"/>
    <w:rsid w:val="00893B64"/>
    <w:rsid w:val="00894EC3"/>
    <w:rsid w:val="00895123"/>
    <w:rsid w:val="008A4B3C"/>
    <w:rsid w:val="008A6EEA"/>
    <w:rsid w:val="008A7053"/>
    <w:rsid w:val="008B0F2D"/>
    <w:rsid w:val="008B2382"/>
    <w:rsid w:val="008B502C"/>
    <w:rsid w:val="008C0FBC"/>
    <w:rsid w:val="008C63A6"/>
    <w:rsid w:val="008D0441"/>
    <w:rsid w:val="008D7294"/>
    <w:rsid w:val="008E032A"/>
    <w:rsid w:val="008E1426"/>
    <w:rsid w:val="008E1D21"/>
    <w:rsid w:val="008E2A1D"/>
    <w:rsid w:val="008F54C9"/>
    <w:rsid w:val="008F7C6C"/>
    <w:rsid w:val="009031DB"/>
    <w:rsid w:val="00905A4D"/>
    <w:rsid w:val="00914EC8"/>
    <w:rsid w:val="00921B67"/>
    <w:rsid w:val="00923380"/>
    <w:rsid w:val="009239C2"/>
    <w:rsid w:val="00932B0A"/>
    <w:rsid w:val="00933D38"/>
    <w:rsid w:val="00937FF6"/>
    <w:rsid w:val="00940DEB"/>
    <w:rsid w:val="00942084"/>
    <w:rsid w:val="00950237"/>
    <w:rsid w:val="00967413"/>
    <w:rsid w:val="00975A5F"/>
    <w:rsid w:val="00982341"/>
    <w:rsid w:val="00983167"/>
    <w:rsid w:val="00984449"/>
    <w:rsid w:val="0099070F"/>
    <w:rsid w:val="009926BC"/>
    <w:rsid w:val="00996444"/>
    <w:rsid w:val="00996CBD"/>
    <w:rsid w:val="009A01EB"/>
    <w:rsid w:val="009B22A1"/>
    <w:rsid w:val="009B2F62"/>
    <w:rsid w:val="009B3ABF"/>
    <w:rsid w:val="009B4747"/>
    <w:rsid w:val="009B581A"/>
    <w:rsid w:val="009B7758"/>
    <w:rsid w:val="009C11C6"/>
    <w:rsid w:val="009C4FFA"/>
    <w:rsid w:val="009C5518"/>
    <w:rsid w:val="009D1A48"/>
    <w:rsid w:val="009D1CEB"/>
    <w:rsid w:val="009D2175"/>
    <w:rsid w:val="009D3CD2"/>
    <w:rsid w:val="009D4CDA"/>
    <w:rsid w:val="009E304D"/>
    <w:rsid w:val="009E35F6"/>
    <w:rsid w:val="009E7C64"/>
    <w:rsid w:val="009F0E64"/>
    <w:rsid w:val="009F1153"/>
    <w:rsid w:val="009F5958"/>
    <w:rsid w:val="00A0426D"/>
    <w:rsid w:val="00A109A5"/>
    <w:rsid w:val="00A11A56"/>
    <w:rsid w:val="00A17E41"/>
    <w:rsid w:val="00A210D4"/>
    <w:rsid w:val="00A21DBF"/>
    <w:rsid w:val="00A2360E"/>
    <w:rsid w:val="00A26F9E"/>
    <w:rsid w:val="00A340F5"/>
    <w:rsid w:val="00A35F65"/>
    <w:rsid w:val="00A36A4F"/>
    <w:rsid w:val="00A36D4E"/>
    <w:rsid w:val="00A43BEB"/>
    <w:rsid w:val="00A50058"/>
    <w:rsid w:val="00A51657"/>
    <w:rsid w:val="00A51CA2"/>
    <w:rsid w:val="00A53A8B"/>
    <w:rsid w:val="00A60505"/>
    <w:rsid w:val="00A61A53"/>
    <w:rsid w:val="00A6469E"/>
    <w:rsid w:val="00A66419"/>
    <w:rsid w:val="00A7021F"/>
    <w:rsid w:val="00A72D20"/>
    <w:rsid w:val="00A73B1F"/>
    <w:rsid w:val="00A74F57"/>
    <w:rsid w:val="00A85826"/>
    <w:rsid w:val="00A929C8"/>
    <w:rsid w:val="00A93B2C"/>
    <w:rsid w:val="00A953D0"/>
    <w:rsid w:val="00A97C46"/>
    <w:rsid w:val="00AA2A20"/>
    <w:rsid w:val="00AA3DFF"/>
    <w:rsid w:val="00AB2E80"/>
    <w:rsid w:val="00AB547F"/>
    <w:rsid w:val="00AB7578"/>
    <w:rsid w:val="00AB7932"/>
    <w:rsid w:val="00AC2EBF"/>
    <w:rsid w:val="00AC664C"/>
    <w:rsid w:val="00AD02BF"/>
    <w:rsid w:val="00AD1FC3"/>
    <w:rsid w:val="00AD5675"/>
    <w:rsid w:val="00AD64CC"/>
    <w:rsid w:val="00AE0535"/>
    <w:rsid w:val="00AE2884"/>
    <w:rsid w:val="00AF3ADF"/>
    <w:rsid w:val="00AF4562"/>
    <w:rsid w:val="00AF676E"/>
    <w:rsid w:val="00B0067E"/>
    <w:rsid w:val="00B01B6D"/>
    <w:rsid w:val="00B04F60"/>
    <w:rsid w:val="00B0629B"/>
    <w:rsid w:val="00B07FD9"/>
    <w:rsid w:val="00B102BB"/>
    <w:rsid w:val="00B14BB3"/>
    <w:rsid w:val="00B2144E"/>
    <w:rsid w:val="00B228B8"/>
    <w:rsid w:val="00B2360B"/>
    <w:rsid w:val="00B323E6"/>
    <w:rsid w:val="00B32F33"/>
    <w:rsid w:val="00B36841"/>
    <w:rsid w:val="00B400E7"/>
    <w:rsid w:val="00B42126"/>
    <w:rsid w:val="00B43ECE"/>
    <w:rsid w:val="00B45DA9"/>
    <w:rsid w:val="00B477AB"/>
    <w:rsid w:val="00B51975"/>
    <w:rsid w:val="00B521F3"/>
    <w:rsid w:val="00B64C7F"/>
    <w:rsid w:val="00B65C04"/>
    <w:rsid w:val="00B73F0C"/>
    <w:rsid w:val="00B74051"/>
    <w:rsid w:val="00B74DE3"/>
    <w:rsid w:val="00B833B4"/>
    <w:rsid w:val="00B911D6"/>
    <w:rsid w:val="00B91BB9"/>
    <w:rsid w:val="00B97F99"/>
    <w:rsid w:val="00BB09EB"/>
    <w:rsid w:val="00BB5F75"/>
    <w:rsid w:val="00BC52A5"/>
    <w:rsid w:val="00BC583C"/>
    <w:rsid w:val="00BC615A"/>
    <w:rsid w:val="00BD0049"/>
    <w:rsid w:val="00BD1B66"/>
    <w:rsid w:val="00BD6688"/>
    <w:rsid w:val="00BE04BD"/>
    <w:rsid w:val="00BE0AD3"/>
    <w:rsid w:val="00BE24AC"/>
    <w:rsid w:val="00BE30F5"/>
    <w:rsid w:val="00BE4B94"/>
    <w:rsid w:val="00BF648B"/>
    <w:rsid w:val="00C0454A"/>
    <w:rsid w:val="00C06D93"/>
    <w:rsid w:val="00C074BE"/>
    <w:rsid w:val="00C128B5"/>
    <w:rsid w:val="00C16963"/>
    <w:rsid w:val="00C20AF3"/>
    <w:rsid w:val="00C332B1"/>
    <w:rsid w:val="00C3512D"/>
    <w:rsid w:val="00C366B2"/>
    <w:rsid w:val="00C4295D"/>
    <w:rsid w:val="00C43306"/>
    <w:rsid w:val="00C4406F"/>
    <w:rsid w:val="00C51848"/>
    <w:rsid w:val="00C655F9"/>
    <w:rsid w:val="00C66699"/>
    <w:rsid w:val="00C67069"/>
    <w:rsid w:val="00C67FFE"/>
    <w:rsid w:val="00C81179"/>
    <w:rsid w:val="00C82177"/>
    <w:rsid w:val="00C8565F"/>
    <w:rsid w:val="00C873D5"/>
    <w:rsid w:val="00C90ED8"/>
    <w:rsid w:val="00C92FA3"/>
    <w:rsid w:val="00C9373D"/>
    <w:rsid w:val="00C95765"/>
    <w:rsid w:val="00CA4508"/>
    <w:rsid w:val="00CA51BE"/>
    <w:rsid w:val="00CA6318"/>
    <w:rsid w:val="00CA7DB8"/>
    <w:rsid w:val="00CB0EB7"/>
    <w:rsid w:val="00CC033F"/>
    <w:rsid w:val="00CC3CBB"/>
    <w:rsid w:val="00CC512C"/>
    <w:rsid w:val="00CC54AE"/>
    <w:rsid w:val="00CD3824"/>
    <w:rsid w:val="00CE1718"/>
    <w:rsid w:val="00CE1AF8"/>
    <w:rsid w:val="00CE549B"/>
    <w:rsid w:val="00CF0F2D"/>
    <w:rsid w:val="00CF3EE2"/>
    <w:rsid w:val="00CF7968"/>
    <w:rsid w:val="00D00D37"/>
    <w:rsid w:val="00D12094"/>
    <w:rsid w:val="00D12E69"/>
    <w:rsid w:val="00D14F0D"/>
    <w:rsid w:val="00D25272"/>
    <w:rsid w:val="00D25C57"/>
    <w:rsid w:val="00D25D5E"/>
    <w:rsid w:val="00D32DC0"/>
    <w:rsid w:val="00D34E74"/>
    <w:rsid w:val="00D375CA"/>
    <w:rsid w:val="00D37741"/>
    <w:rsid w:val="00D437CE"/>
    <w:rsid w:val="00D445F9"/>
    <w:rsid w:val="00D52764"/>
    <w:rsid w:val="00D54213"/>
    <w:rsid w:val="00D57FE5"/>
    <w:rsid w:val="00D6041C"/>
    <w:rsid w:val="00D62235"/>
    <w:rsid w:val="00D73C9F"/>
    <w:rsid w:val="00D76F00"/>
    <w:rsid w:val="00D77745"/>
    <w:rsid w:val="00D819CC"/>
    <w:rsid w:val="00D82F0D"/>
    <w:rsid w:val="00D8347D"/>
    <w:rsid w:val="00D855B6"/>
    <w:rsid w:val="00D858C0"/>
    <w:rsid w:val="00D961BB"/>
    <w:rsid w:val="00DA2006"/>
    <w:rsid w:val="00DA23AB"/>
    <w:rsid w:val="00DA2B48"/>
    <w:rsid w:val="00DB0DA5"/>
    <w:rsid w:val="00DB375A"/>
    <w:rsid w:val="00DB3A3F"/>
    <w:rsid w:val="00DB6979"/>
    <w:rsid w:val="00DB7C95"/>
    <w:rsid w:val="00DC2BFD"/>
    <w:rsid w:val="00DC321D"/>
    <w:rsid w:val="00DC438B"/>
    <w:rsid w:val="00DE256D"/>
    <w:rsid w:val="00DE2727"/>
    <w:rsid w:val="00DE2FAF"/>
    <w:rsid w:val="00DF24FD"/>
    <w:rsid w:val="00DF7494"/>
    <w:rsid w:val="00E035DB"/>
    <w:rsid w:val="00E04B18"/>
    <w:rsid w:val="00E068C3"/>
    <w:rsid w:val="00E2519E"/>
    <w:rsid w:val="00E27A21"/>
    <w:rsid w:val="00E31492"/>
    <w:rsid w:val="00E3399E"/>
    <w:rsid w:val="00E40949"/>
    <w:rsid w:val="00E438A7"/>
    <w:rsid w:val="00E43F3A"/>
    <w:rsid w:val="00E44D7C"/>
    <w:rsid w:val="00E50A99"/>
    <w:rsid w:val="00E50CE0"/>
    <w:rsid w:val="00E51516"/>
    <w:rsid w:val="00E54613"/>
    <w:rsid w:val="00E5610A"/>
    <w:rsid w:val="00E56C8E"/>
    <w:rsid w:val="00E630AF"/>
    <w:rsid w:val="00E672A6"/>
    <w:rsid w:val="00E725E1"/>
    <w:rsid w:val="00E72E3E"/>
    <w:rsid w:val="00E9018B"/>
    <w:rsid w:val="00E9570D"/>
    <w:rsid w:val="00EA0659"/>
    <w:rsid w:val="00EA2130"/>
    <w:rsid w:val="00EA52D0"/>
    <w:rsid w:val="00EB0D6E"/>
    <w:rsid w:val="00EB21BA"/>
    <w:rsid w:val="00EB2881"/>
    <w:rsid w:val="00EB69C8"/>
    <w:rsid w:val="00EC57E4"/>
    <w:rsid w:val="00EC59B2"/>
    <w:rsid w:val="00ED0674"/>
    <w:rsid w:val="00ED0853"/>
    <w:rsid w:val="00ED7DA0"/>
    <w:rsid w:val="00EE013E"/>
    <w:rsid w:val="00EE246D"/>
    <w:rsid w:val="00F00CCD"/>
    <w:rsid w:val="00F04D14"/>
    <w:rsid w:val="00F136D3"/>
    <w:rsid w:val="00F20B6C"/>
    <w:rsid w:val="00F36434"/>
    <w:rsid w:val="00F379D4"/>
    <w:rsid w:val="00F4465B"/>
    <w:rsid w:val="00F50FBD"/>
    <w:rsid w:val="00F52A47"/>
    <w:rsid w:val="00F5763B"/>
    <w:rsid w:val="00F64CF7"/>
    <w:rsid w:val="00F72397"/>
    <w:rsid w:val="00F74DD3"/>
    <w:rsid w:val="00F75E5C"/>
    <w:rsid w:val="00F859F0"/>
    <w:rsid w:val="00F92E22"/>
    <w:rsid w:val="00F93488"/>
    <w:rsid w:val="00F94526"/>
    <w:rsid w:val="00F95B58"/>
    <w:rsid w:val="00F96FE6"/>
    <w:rsid w:val="00F979D1"/>
    <w:rsid w:val="00FA1D8F"/>
    <w:rsid w:val="00FA2AD0"/>
    <w:rsid w:val="00FB1D86"/>
    <w:rsid w:val="00FB3FC0"/>
    <w:rsid w:val="00FB5B12"/>
    <w:rsid w:val="00FD0CFE"/>
    <w:rsid w:val="00FD5A43"/>
    <w:rsid w:val="00FD6146"/>
    <w:rsid w:val="00FE2455"/>
    <w:rsid w:val="00FE5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420253"/>
    <w:pPr>
      <w:spacing w:before="240"/>
    </w:pPr>
    <w:rPr>
      <w:rFonts w:eastAsia="MS Mincho"/>
      <w:color w:val="000000"/>
      <w:sz w:val="24"/>
      <w:szCs w:val="24"/>
      <w:lang w:val="en-US" w:eastAsia="en-US"/>
    </w:rPr>
  </w:style>
  <w:style w:type="paragraph" w:styleId="Heading1">
    <w:name w:val="heading 1"/>
    <w:next w:val="Normal"/>
    <w:link w:val="Heading1Char"/>
    <w:qFormat/>
    <w:locked/>
    <w:rsid w:val="001A3761"/>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A3761"/>
    <w:pPr>
      <w:pageBreakBefore w:val="0"/>
      <w:numPr>
        <w:ilvl w:val="1"/>
      </w:numPr>
      <w:outlineLvl w:val="1"/>
    </w:pPr>
    <w:rPr>
      <w:bCs w:val="0"/>
      <w:iCs/>
      <w:sz w:val="22"/>
      <w:szCs w:val="28"/>
    </w:rPr>
  </w:style>
  <w:style w:type="paragraph" w:styleId="Heading3">
    <w:name w:val="heading 3"/>
    <w:basedOn w:val="Heading1"/>
    <w:next w:val="Normal"/>
    <w:link w:val="Heading3Char"/>
    <w:qFormat/>
    <w:rsid w:val="001A3761"/>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1A3761"/>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1A3761"/>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A3761"/>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A3761"/>
    <w:pPr>
      <w:numPr>
        <w:ilvl w:val="6"/>
      </w:numPr>
      <w:outlineLvl w:val="6"/>
    </w:pPr>
  </w:style>
  <w:style w:type="paragraph" w:styleId="Heading8">
    <w:name w:val="heading 8"/>
    <w:basedOn w:val="Heading6"/>
    <w:next w:val="Normal"/>
    <w:qFormat/>
    <w:rsid w:val="001A3761"/>
    <w:pPr>
      <w:numPr>
        <w:ilvl w:val="7"/>
      </w:numPr>
      <w:outlineLvl w:val="7"/>
    </w:pPr>
    <w:rPr>
      <w:iCs/>
    </w:rPr>
  </w:style>
  <w:style w:type="paragraph" w:styleId="Heading9">
    <w:name w:val="heading 9"/>
    <w:basedOn w:val="Heading6"/>
    <w:next w:val="Normal"/>
    <w:qFormat/>
    <w:rsid w:val="001A3761"/>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420253"/>
    <w:pPr>
      <w:tabs>
        <w:tab w:val="left" w:pos="4536"/>
        <w:tab w:val="right" w:pos="9480"/>
      </w:tabs>
    </w:pPr>
    <w:rPr>
      <w:rFonts w:ascii="Arial" w:eastAsia="MS Gothic" w:hAnsi="Arial"/>
      <w:sz w:val="18"/>
      <w:lang w:val="en-US" w:eastAsia="en-US"/>
    </w:rPr>
  </w:style>
  <w:style w:type="paragraph" w:styleId="Footer">
    <w:name w:val="footer"/>
    <w:link w:val="FooterChar"/>
    <w:rsid w:val="00420253"/>
    <w:pPr>
      <w:tabs>
        <w:tab w:val="right" w:pos="9469"/>
      </w:tabs>
    </w:pPr>
    <w:rPr>
      <w:rFonts w:ascii="Arial" w:eastAsia="MS Gothic" w:hAnsi="Arial"/>
      <w:sz w:val="18"/>
      <w:lang w:val="en-US" w:eastAsia="en-US"/>
    </w:rPr>
  </w:style>
  <w:style w:type="paragraph" w:customStyle="1" w:styleId="Heading1NoTOC">
    <w:name w:val="Heading 1 NoTOC"/>
    <w:basedOn w:val="Heading1"/>
    <w:rsid w:val="00420253"/>
    <w:pPr>
      <w:numPr>
        <w:numId w:val="0"/>
      </w:numPr>
      <w:outlineLvl w:val="9"/>
    </w:pPr>
  </w:style>
  <w:style w:type="paragraph" w:styleId="Title">
    <w:name w:val="Title"/>
    <w:next w:val="Normal"/>
    <w:qFormat/>
    <w:rsid w:val="00420253"/>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420253"/>
    <w:pPr>
      <w:outlineLvl w:val="9"/>
    </w:pPr>
  </w:style>
  <w:style w:type="character" w:customStyle="1" w:styleId="InstructionsTextChar">
    <w:name w:val="Instructions Text Char"/>
    <w:link w:val="InstructionsText"/>
    <w:rsid w:val="00420253"/>
    <w:rPr>
      <w:rFonts w:eastAsia="MS Mincho"/>
      <w:color w:val="000000"/>
      <w:sz w:val="24"/>
      <w:szCs w:val="24"/>
      <w:shd w:val="clear" w:color="auto" w:fill="FFCC66"/>
      <w:lang w:val="en-US" w:eastAsia="en-US"/>
    </w:rPr>
  </w:style>
  <w:style w:type="paragraph" w:customStyle="1" w:styleId="ListNumbered">
    <w:name w:val="List Numbered"/>
    <w:basedOn w:val="Normal"/>
    <w:rsid w:val="00420253"/>
    <w:pPr>
      <w:numPr>
        <w:numId w:val="4"/>
      </w:numPr>
      <w:spacing w:before="120"/>
    </w:pPr>
  </w:style>
  <w:style w:type="paragraph" w:customStyle="1" w:styleId="ListBulletLevel1">
    <w:name w:val="List Bullet Level 1"/>
    <w:basedOn w:val="Normal"/>
    <w:rsid w:val="00420253"/>
    <w:pPr>
      <w:numPr>
        <w:numId w:val="16"/>
      </w:numPr>
      <w:spacing w:before="120"/>
    </w:pPr>
  </w:style>
  <w:style w:type="paragraph" w:customStyle="1" w:styleId="ListAlphabeticalLevel1">
    <w:name w:val="List Alphabetical Level 1"/>
    <w:basedOn w:val="Normal"/>
    <w:rsid w:val="00420253"/>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420253"/>
    <w:pPr>
      <w:numPr>
        <w:numId w:val="8"/>
      </w:numPr>
      <w:spacing w:before="120"/>
    </w:pPr>
    <w:rPr>
      <w:szCs w:val="20"/>
    </w:rPr>
  </w:style>
  <w:style w:type="paragraph" w:styleId="Caption">
    <w:name w:val="caption"/>
    <w:next w:val="Normal"/>
    <w:qFormat/>
    <w:rsid w:val="00420253"/>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420253"/>
    <w:pPr>
      <w:shd w:val="clear" w:color="auto" w:fill="FFCC66"/>
      <w:spacing w:before="40" w:after="40"/>
    </w:pPr>
  </w:style>
  <w:style w:type="character" w:styleId="FootnoteReference">
    <w:name w:val="footnote reference"/>
    <w:rsid w:val="00420253"/>
    <w:rPr>
      <w:rFonts w:ascii="Times New Roman" w:eastAsia="MS Mincho" w:hAnsi="Times New Roman"/>
      <w:color w:val="0000FF"/>
      <w:sz w:val="18"/>
      <w:vertAlign w:val="superscript"/>
    </w:rPr>
  </w:style>
  <w:style w:type="paragraph" w:styleId="FootnoteText">
    <w:name w:val="footnote text"/>
    <w:basedOn w:val="Normal"/>
    <w:rsid w:val="00420253"/>
    <w:pPr>
      <w:spacing w:before="20"/>
      <w:ind w:left="113" w:hanging="113"/>
    </w:pPr>
    <w:rPr>
      <w:sz w:val="22"/>
      <w:szCs w:val="20"/>
    </w:rPr>
  </w:style>
  <w:style w:type="paragraph" w:customStyle="1" w:styleId="Heading1NoNumbering">
    <w:name w:val="Heading 1 NoNumbering"/>
    <w:basedOn w:val="Heading1"/>
    <w:next w:val="Normal"/>
    <w:rsid w:val="00420253"/>
    <w:pPr>
      <w:numPr>
        <w:numId w:val="14"/>
      </w:numPr>
    </w:pPr>
  </w:style>
  <w:style w:type="paragraph" w:customStyle="1" w:styleId="TblTextCenter">
    <w:name w:val="Tbl Text Center"/>
    <w:basedOn w:val="TblTextLeft"/>
    <w:rsid w:val="00420253"/>
    <w:pPr>
      <w:jc w:val="center"/>
    </w:pPr>
  </w:style>
  <w:style w:type="paragraph" w:customStyle="1" w:styleId="TblTextLeft">
    <w:name w:val="Tbl Text Left"/>
    <w:rsid w:val="00420253"/>
    <w:pPr>
      <w:spacing w:before="60" w:after="60"/>
    </w:pPr>
    <w:rPr>
      <w:rFonts w:ascii="Arial Narrow" w:eastAsia="MS Gothic" w:hAnsi="Arial Narrow"/>
      <w:lang w:val="en-US" w:eastAsia="en-US"/>
    </w:rPr>
  </w:style>
  <w:style w:type="paragraph" w:customStyle="1" w:styleId="TblHeadingLeft">
    <w:name w:val="Tbl Heading Left"/>
    <w:rsid w:val="00420253"/>
    <w:pPr>
      <w:spacing w:before="60" w:after="60"/>
    </w:pPr>
    <w:rPr>
      <w:rFonts w:ascii="Arial" w:eastAsia="MS Gothic" w:hAnsi="Arial" w:cs="Arial"/>
      <w:b/>
      <w:noProof/>
      <w:lang w:val="de-DE" w:eastAsia="en-US"/>
    </w:rPr>
  </w:style>
  <w:style w:type="paragraph" w:customStyle="1" w:styleId="TblFigFootnote">
    <w:name w:val="Tbl Fig Footnote"/>
    <w:rsid w:val="0042025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420253"/>
    <w:pPr>
      <w:jc w:val="center"/>
    </w:pPr>
  </w:style>
  <w:style w:type="paragraph" w:customStyle="1" w:styleId="HeaderLandscape">
    <w:name w:val="Header Landscape"/>
    <w:basedOn w:val="Header"/>
    <w:rsid w:val="00420253"/>
    <w:pPr>
      <w:tabs>
        <w:tab w:val="clear" w:pos="4536"/>
        <w:tab w:val="clear" w:pos="9480"/>
        <w:tab w:val="left" w:pos="6804"/>
        <w:tab w:val="right" w:pos="14118"/>
      </w:tabs>
    </w:pPr>
  </w:style>
  <w:style w:type="paragraph" w:customStyle="1" w:styleId="FooterLandscape">
    <w:name w:val="Footer Landscape"/>
    <w:basedOn w:val="Footer"/>
    <w:rsid w:val="00420253"/>
    <w:pPr>
      <w:tabs>
        <w:tab w:val="clear" w:pos="9469"/>
        <w:tab w:val="right" w:pos="14118"/>
      </w:tabs>
    </w:pPr>
  </w:style>
  <w:style w:type="character" w:customStyle="1" w:styleId="TblFigFootnoteReference">
    <w:name w:val="Tbl Fig Footnote Reference"/>
    <w:rsid w:val="00420253"/>
    <w:rPr>
      <w:rFonts w:ascii="Arial Narrow" w:eastAsia="MS Gothic" w:hAnsi="Arial Narrow"/>
      <w:i/>
      <w:dstrike w:val="0"/>
      <w:noProof w:val="0"/>
      <w:position w:val="6"/>
      <w:sz w:val="18"/>
      <w:vertAlign w:val="baseline"/>
      <w:lang w:val="en-US"/>
    </w:rPr>
  </w:style>
  <w:style w:type="paragraph" w:customStyle="1" w:styleId="xCover">
    <w:name w:val="xCover"/>
    <w:rsid w:val="00420253"/>
    <w:pPr>
      <w:spacing w:before="120"/>
    </w:pPr>
    <w:rPr>
      <w:rFonts w:ascii="Arial" w:eastAsia="MS Gothic" w:hAnsi="Arial"/>
      <w:lang w:val="en-US" w:eastAsia="en-US"/>
    </w:rPr>
  </w:style>
  <w:style w:type="paragraph" w:customStyle="1" w:styleId="xCoverAddress">
    <w:name w:val="xCoverAddress"/>
    <w:basedOn w:val="xCover"/>
    <w:rsid w:val="00420253"/>
    <w:pPr>
      <w:spacing w:before="0"/>
    </w:pPr>
  </w:style>
  <w:style w:type="paragraph" w:customStyle="1" w:styleId="xCoverDocType">
    <w:name w:val="xCoverDocType"/>
    <w:basedOn w:val="xCover"/>
    <w:rsid w:val="00420253"/>
    <w:pPr>
      <w:spacing w:before="360"/>
      <w:jc w:val="center"/>
    </w:pPr>
    <w:rPr>
      <w:b/>
      <w:caps/>
      <w:sz w:val="28"/>
    </w:rPr>
  </w:style>
  <w:style w:type="paragraph" w:customStyle="1" w:styleId="xCoverDocTitle">
    <w:name w:val="xCoverDocTitle"/>
    <w:basedOn w:val="xCover"/>
    <w:rsid w:val="00420253"/>
    <w:pPr>
      <w:spacing w:before="240"/>
      <w:jc w:val="center"/>
    </w:pPr>
    <w:rPr>
      <w:b/>
      <w:sz w:val="24"/>
    </w:rPr>
  </w:style>
  <w:style w:type="paragraph" w:customStyle="1" w:styleId="C-BodyText">
    <w:name w:val="C-Body Text"/>
    <w:link w:val="C-BodyTextChar"/>
    <w:rsid w:val="00295C4B"/>
    <w:pPr>
      <w:spacing w:before="120" w:after="120" w:line="280" w:lineRule="atLeast"/>
    </w:pPr>
    <w:rPr>
      <w:sz w:val="24"/>
      <w:lang w:val="en-US" w:eastAsia="en-US"/>
    </w:rPr>
  </w:style>
  <w:style w:type="paragraph" w:styleId="EndnoteText">
    <w:name w:val="endnote text"/>
    <w:basedOn w:val="Normal"/>
    <w:semiHidden/>
    <w:rsid w:val="00420253"/>
    <w:rPr>
      <w:sz w:val="22"/>
      <w:szCs w:val="20"/>
    </w:rPr>
  </w:style>
  <w:style w:type="character" w:styleId="EndnoteReference">
    <w:name w:val="endnote reference"/>
    <w:semiHidden/>
    <w:rsid w:val="00420253"/>
    <w:rPr>
      <w:vertAlign w:val="superscript"/>
    </w:rPr>
  </w:style>
  <w:style w:type="paragraph" w:styleId="MacroText">
    <w:name w:val="macro"/>
    <w:semiHidden/>
    <w:rsid w:val="004202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rsid w:val="00420253"/>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420253"/>
    <w:pPr>
      <w:ind w:left="240" w:hanging="240"/>
    </w:pPr>
  </w:style>
  <w:style w:type="character" w:styleId="Hyperlink">
    <w:name w:val="Hyperlink"/>
    <w:uiPriority w:val="99"/>
    <w:rsid w:val="00420253"/>
    <w:rPr>
      <w:color w:val="0000FF"/>
      <w:u w:val="single"/>
    </w:rPr>
  </w:style>
  <w:style w:type="paragraph" w:styleId="Bibliography">
    <w:name w:val="Bibliography"/>
    <w:basedOn w:val="Normal"/>
    <w:next w:val="Normal"/>
    <w:rsid w:val="00420253"/>
    <w:pPr>
      <w:ind w:left="357" w:hanging="357"/>
    </w:pPr>
  </w:style>
  <w:style w:type="character" w:customStyle="1" w:styleId="ReplaceText">
    <w:name w:val="Replace Text"/>
    <w:rsid w:val="00420253"/>
    <w:rPr>
      <w:color w:val="FF00FF"/>
    </w:rPr>
  </w:style>
  <w:style w:type="paragraph" w:styleId="TOC1">
    <w:name w:val="toc 1"/>
    <w:next w:val="Normal"/>
    <w:uiPriority w:val="39"/>
    <w:rsid w:val="00420253"/>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420253"/>
    <w:pPr>
      <w:numPr>
        <w:numId w:val="5"/>
      </w:numPr>
    </w:pPr>
  </w:style>
  <w:style w:type="paragraph" w:styleId="Index1">
    <w:name w:val="index 1"/>
    <w:basedOn w:val="Normal"/>
    <w:next w:val="Normal"/>
    <w:semiHidden/>
    <w:rsid w:val="00420253"/>
    <w:pPr>
      <w:tabs>
        <w:tab w:val="left" w:pos="1701"/>
        <w:tab w:val="left" w:pos="3402"/>
        <w:tab w:val="left" w:pos="5103"/>
      </w:tabs>
      <w:spacing w:before="0"/>
      <w:ind w:left="1701" w:hanging="1701"/>
    </w:pPr>
  </w:style>
  <w:style w:type="paragraph" w:styleId="TOAHeading">
    <w:name w:val="toa heading"/>
    <w:basedOn w:val="Normal"/>
    <w:next w:val="Normal"/>
    <w:semiHidden/>
    <w:rsid w:val="00420253"/>
    <w:pPr>
      <w:spacing w:before="120"/>
    </w:pPr>
    <w:rPr>
      <w:rFonts w:ascii="Arial" w:hAnsi="Arial" w:cs="Arial"/>
      <w:b/>
      <w:bCs/>
    </w:rPr>
  </w:style>
  <w:style w:type="character" w:customStyle="1" w:styleId="Reference">
    <w:name w:val="Reference"/>
    <w:rsid w:val="00420253"/>
    <w:rPr>
      <w:color w:val="0000FF"/>
    </w:rPr>
  </w:style>
  <w:style w:type="paragraph" w:customStyle="1" w:styleId="TblTextbulletedlist">
    <w:name w:val="Tbl Text bulleted list"/>
    <w:basedOn w:val="TblTextLeft"/>
    <w:rsid w:val="00420253"/>
    <w:pPr>
      <w:numPr>
        <w:numId w:val="9"/>
      </w:numPr>
      <w:tabs>
        <w:tab w:val="clear" w:pos="360"/>
        <w:tab w:val="left" w:pos="216"/>
      </w:tabs>
      <w:spacing w:before="0" w:after="0"/>
      <w:ind w:left="216" w:hanging="216"/>
    </w:pPr>
  </w:style>
  <w:style w:type="paragraph" w:styleId="TOC2">
    <w:name w:val="toc 2"/>
    <w:basedOn w:val="TOC1"/>
    <w:next w:val="Normal"/>
    <w:rsid w:val="00420253"/>
    <w:rPr>
      <w:b w:val="0"/>
    </w:rPr>
  </w:style>
  <w:style w:type="character" w:styleId="PageNumber">
    <w:name w:val="page number"/>
    <w:rsid w:val="00420253"/>
  </w:style>
  <w:style w:type="paragraph" w:styleId="ListBullet">
    <w:name w:val="List Bullet"/>
    <w:basedOn w:val="Normal"/>
    <w:rsid w:val="00420253"/>
    <w:pPr>
      <w:numPr>
        <w:numId w:val="6"/>
      </w:numPr>
    </w:pPr>
  </w:style>
  <w:style w:type="paragraph" w:styleId="TOC3">
    <w:name w:val="toc 3"/>
    <w:basedOn w:val="TOC1"/>
    <w:next w:val="Normal"/>
    <w:rsid w:val="00420253"/>
    <w:pPr>
      <w:spacing w:before="120"/>
    </w:pPr>
    <w:rPr>
      <w:b w:val="0"/>
      <w:caps w:val="0"/>
    </w:rPr>
  </w:style>
  <w:style w:type="paragraph" w:styleId="TOC4">
    <w:name w:val="toc 4"/>
    <w:basedOn w:val="TOC1"/>
    <w:next w:val="Normal"/>
    <w:rsid w:val="00420253"/>
    <w:pPr>
      <w:spacing w:before="40"/>
    </w:pPr>
    <w:rPr>
      <w:b w:val="0"/>
      <w:caps w:val="0"/>
      <w:szCs w:val="22"/>
    </w:rPr>
  </w:style>
  <w:style w:type="paragraph" w:styleId="TOC5">
    <w:name w:val="toc 5"/>
    <w:basedOn w:val="TOC1"/>
    <w:next w:val="Normal"/>
    <w:semiHidden/>
    <w:rsid w:val="00420253"/>
    <w:pPr>
      <w:spacing w:before="0"/>
    </w:pPr>
    <w:rPr>
      <w:b w:val="0"/>
      <w:caps w:val="0"/>
    </w:rPr>
  </w:style>
  <w:style w:type="paragraph" w:styleId="TOC6">
    <w:name w:val="toc 6"/>
    <w:basedOn w:val="TOC1"/>
    <w:next w:val="Normal"/>
    <w:semiHidden/>
    <w:rsid w:val="00420253"/>
    <w:pPr>
      <w:spacing w:before="0"/>
    </w:pPr>
    <w:rPr>
      <w:b w:val="0"/>
      <w:caps w:val="0"/>
    </w:rPr>
  </w:style>
  <w:style w:type="paragraph" w:styleId="TOC7">
    <w:name w:val="toc 7"/>
    <w:basedOn w:val="TOC6"/>
    <w:next w:val="Normal"/>
    <w:semiHidden/>
    <w:rsid w:val="00420253"/>
  </w:style>
  <w:style w:type="paragraph" w:styleId="TOC8">
    <w:name w:val="toc 8"/>
    <w:basedOn w:val="TOC6"/>
    <w:next w:val="Normal"/>
    <w:semiHidden/>
    <w:rsid w:val="00420253"/>
  </w:style>
  <w:style w:type="paragraph" w:styleId="TOC9">
    <w:name w:val="toc 9"/>
    <w:basedOn w:val="TOC6"/>
    <w:next w:val="Normal"/>
    <w:semiHidden/>
    <w:rsid w:val="00420253"/>
  </w:style>
  <w:style w:type="character" w:customStyle="1" w:styleId="TblFigFootnoteChar">
    <w:name w:val="Tbl Fig Footnote Char"/>
    <w:rsid w:val="00420253"/>
    <w:rPr>
      <w:rFonts w:ascii="Arial Narrow" w:eastAsia="MS Gothic" w:hAnsi="Arial Narrow"/>
      <w:sz w:val="18"/>
      <w:lang w:val="en-US" w:eastAsia="en-US" w:bidi="ar-SA"/>
    </w:rPr>
  </w:style>
  <w:style w:type="character" w:styleId="FollowedHyperlink">
    <w:name w:val="FollowedHyperlink"/>
    <w:rsid w:val="00420253"/>
    <w:rPr>
      <w:color w:val="800080"/>
      <w:u w:val="single"/>
    </w:rPr>
  </w:style>
  <w:style w:type="character" w:customStyle="1" w:styleId="C-BodyTextChar">
    <w:name w:val="C-Body Text Char"/>
    <w:link w:val="C-BodyText"/>
    <w:rsid w:val="00295C4B"/>
    <w:rPr>
      <w:sz w:val="24"/>
      <w:lang w:val="en-US" w:eastAsia="en-US"/>
    </w:rPr>
  </w:style>
  <w:style w:type="character" w:styleId="CommentReference">
    <w:name w:val="annotation reference"/>
    <w:rsid w:val="00254C36"/>
    <w:rPr>
      <w:sz w:val="16"/>
      <w:szCs w:val="16"/>
    </w:rPr>
  </w:style>
  <w:style w:type="paragraph" w:styleId="CommentText">
    <w:name w:val="annotation text"/>
    <w:basedOn w:val="Normal"/>
    <w:link w:val="CommentTextChar"/>
    <w:rsid w:val="00254C36"/>
    <w:rPr>
      <w:sz w:val="20"/>
      <w:szCs w:val="20"/>
    </w:rPr>
  </w:style>
  <w:style w:type="character" w:customStyle="1" w:styleId="CommentTextChar">
    <w:name w:val="Comment Text Char"/>
    <w:link w:val="CommentText"/>
    <w:rsid w:val="00254C36"/>
    <w:rPr>
      <w:rFonts w:eastAsia="MS Mincho"/>
      <w:color w:val="000000"/>
      <w:lang w:val="en-US" w:eastAsia="en-US"/>
    </w:rPr>
  </w:style>
  <w:style w:type="paragraph" w:styleId="CommentSubject">
    <w:name w:val="annotation subject"/>
    <w:basedOn w:val="CommentText"/>
    <w:next w:val="CommentText"/>
    <w:link w:val="CommentSubjectChar"/>
    <w:rsid w:val="00254C36"/>
    <w:rPr>
      <w:b/>
      <w:bCs/>
    </w:rPr>
  </w:style>
  <w:style w:type="character" w:customStyle="1" w:styleId="CommentSubjectChar">
    <w:name w:val="Comment Subject Char"/>
    <w:link w:val="CommentSubject"/>
    <w:rsid w:val="00254C36"/>
    <w:rPr>
      <w:rFonts w:eastAsia="MS Mincho"/>
      <w:b/>
      <w:bCs/>
      <w:color w:val="000000"/>
      <w:lang w:val="en-US" w:eastAsia="en-US"/>
    </w:rPr>
  </w:style>
  <w:style w:type="paragraph" w:styleId="BalloonText">
    <w:name w:val="Balloon Text"/>
    <w:basedOn w:val="Normal"/>
    <w:link w:val="BalloonTextChar"/>
    <w:rsid w:val="00254C36"/>
    <w:pPr>
      <w:spacing w:before="0"/>
    </w:pPr>
    <w:rPr>
      <w:rFonts w:ascii="Tahoma" w:hAnsi="Tahoma" w:cs="Tahoma"/>
      <w:sz w:val="16"/>
      <w:szCs w:val="16"/>
    </w:rPr>
  </w:style>
  <w:style w:type="character" w:customStyle="1" w:styleId="BalloonTextChar">
    <w:name w:val="Balloon Text Char"/>
    <w:link w:val="BalloonText"/>
    <w:rsid w:val="00254C36"/>
    <w:rPr>
      <w:rFonts w:ascii="Tahoma" w:eastAsia="MS Mincho" w:hAnsi="Tahoma" w:cs="Tahoma"/>
      <w:color w:val="000000"/>
      <w:sz w:val="16"/>
      <w:szCs w:val="16"/>
      <w:lang w:val="en-US" w:eastAsia="en-US"/>
    </w:rPr>
  </w:style>
  <w:style w:type="table" w:styleId="TableGrid">
    <w:name w:val="Table Grid"/>
    <w:basedOn w:val="TableNormal"/>
    <w:uiPriority w:val="59"/>
    <w:rsid w:val="0023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D5801"/>
    <w:rPr>
      <w:rFonts w:ascii="Arial" w:eastAsia="MS Gothic" w:hAnsi="Arial" w:cs="Arial"/>
      <w:b/>
      <w:kern w:val="32"/>
      <w:sz w:val="22"/>
      <w:szCs w:val="26"/>
      <w:lang w:val="en-US" w:eastAsia="en-US"/>
    </w:rPr>
  </w:style>
  <w:style w:type="character" w:customStyle="1" w:styleId="Heading1Char">
    <w:name w:val="Heading 1 Char"/>
    <w:link w:val="Heading1"/>
    <w:rsid w:val="00B32F33"/>
    <w:rPr>
      <w:rFonts w:ascii="Arial" w:eastAsia="MS Gothic" w:hAnsi="Arial" w:cs="Arial"/>
      <w:b/>
      <w:bCs/>
      <w:caps/>
      <w:kern w:val="32"/>
      <w:sz w:val="28"/>
      <w:szCs w:val="32"/>
      <w:lang w:val="en-US" w:eastAsia="en-US"/>
    </w:rPr>
  </w:style>
  <w:style w:type="character" w:customStyle="1" w:styleId="Heading5Char">
    <w:name w:val="Heading 5 Char"/>
    <w:link w:val="Heading5"/>
    <w:rsid w:val="00B32F33"/>
    <w:rPr>
      <w:rFonts w:ascii="Arial" w:eastAsia="MS Gothic" w:hAnsi="Arial" w:cs="Arial"/>
      <w:i/>
      <w:iCs/>
      <w:kern w:val="32"/>
      <w:sz w:val="22"/>
      <w:szCs w:val="26"/>
      <w:lang w:val="en-US" w:eastAsia="en-US"/>
    </w:rPr>
  </w:style>
  <w:style w:type="character" w:customStyle="1" w:styleId="FooterChar">
    <w:name w:val="Footer Char"/>
    <w:basedOn w:val="DefaultParagraphFont"/>
    <w:link w:val="Footer"/>
    <w:rsid w:val="009B3ABF"/>
    <w:rPr>
      <w:rFonts w:ascii="Arial" w:eastAsia="MS Gothic" w:hAnsi="Arial"/>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420253"/>
    <w:pPr>
      <w:spacing w:before="240"/>
    </w:pPr>
    <w:rPr>
      <w:rFonts w:eastAsia="MS Mincho"/>
      <w:color w:val="000000"/>
      <w:sz w:val="24"/>
      <w:szCs w:val="24"/>
      <w:lang w:val="en-US" w:eastAsia="en-US"/>
    </w:rPr>
  </w:style>
  <w:style w:type="paragraph" w:styleId="Heading1">
    <w:name w:val="heading 1"/>
    <w:next w:val="Normal"/>
    <w:link w:val="Heading1Char"/>
    <w:qFormat/>
    <w:locked/>
    <w:rsid w:val="001A3761"/>
    <w:pPr>
      <w:keepNext/>
      <w:pageBreakBefore/>
      <w:numPr>
        <w:numId w:val="1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1A3761"/>
    <w:pPr>
      <w:pageBreakBefore w:val="0"/>
      <w:numPr>
        <w:ilvl w:val="1"/>
      </w:numPr>
      <w:outlineLvl w:val="1"/>
    </w:pPr>
    <w:rPr>
      <w:bCs w:val="0"/>
      <w:iCs/>
      <w:sz w:val="22"/>
      <w:szCs w:val="28"/>
    </w:rPr>
  </w:style>
  <w:style w:type="paragraph" w:styleId="Heading3">
    <w:name w:val="heading 3"/>
    <w:basedOn w:val="Heading1"/>
    <w:next w:val="Normal"/>
    <w:link w:val="Heading3Char"/>
    <w:qFormat/>
    <w:rsid w:val="001A3761"/>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1A3761"/>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1A3761"/>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1A3761"/>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1A3761"/>
    <w:pPr>
      <w:numPr>
        <w:ilvl w:val="6"/>
      </w:numPr>
      <w:outlineLvl w:val="6"/>
    </w:pPr>
  </w:style>
  <w:style w:type="paragraph" w:styleId="Heading8">
    <w:name w:val="heading 8"/>
    <w:basedOn w:val="Heading6"/>
    <w:next w:val="Normal"/>
    <w:qFormat/>
    <w:rsid w:val="001A3761"/>
    <w:pPr>
      <w:numPr>
        <w:ilvl w:val="7"/>
      </w:numPr>
      <w:outlineLvl w:val="7"/>
    </w:pPr>
    <w:rPr>
      <w:iCs/>
    </w:rPr>
  </w:style>
  <w:style w:type="paragraph" w:styleId="Heading9">
    <w:name w:val="heading 9"/>
    <w:basedOn w:val="Heading6"/>
    <w:next w:val="Normal"/>
    <w:qFormat/>
    <w:rsid w:val="001A3761"/>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420253"/>
    <w:pPr>
      <w:tabs>
        <w:tab w:val="left" w:pos="4536"/>
        <w:tab w:val="right" w:pos="9480"/>
      </w:tabs>
    </w:pPr>
    <w:rPr>
      <w:rFonts w:ascii="Arial" w:eastAsia="MS Gothic" w:hAnsi="Arial"/>
      <w:sz w:val="18"/>
      <w:lang w:val="en-US" w:eastAsia="en-US"/>
    </w:rPr>
  </w:style>
  <w:style w:type="paragraph" w:styleId="Footer">
    <w:name w:val="footer"/>
    <w:link w:val="FooterChar"/>
    <w:rsid w:val="00420253"/>
    <w:pPr>
      <w:tabs>
        <w:tab w:val="right" w:pos="9469"/>
      </w:tabs>
    </w:pPr>
    <w:rPr>
      <w:rFonts w:ascii="Arial" w:eastAsia="MS Gothic" w:hAnsi="Arial"/>
      <w:sz w:val="18"/>
      <w:lang w:val="en-US" w:eastAsia="en-US"/>
    </w:rPr>
  </w:style>
  <w:style w:type="paragraph" w:customStyle="1" w:styleId="Heading1NoTOC">
    <w:name w:val="Heading 1 NoTOC"/>
    <w:basedOn w:val="Heading1"/>
    <w:rsid w:val="00420253"/>
    <w:pPr>
      <w:numPr>
        <w:numId w:val="0"/>
      </w:numPr>
      <w:outlineLvl w:val="9"/>
    </w:pPr>
  </w:style>
  <w:style w:type="paragraph" w:styleId="Title">
    <w:name w:val="Title"/>
    <w:next w:val="Normal"/>
    <w:qFormat/>
    <w:rsid w:val="00420253"/>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420253"/>
    <w:pPr>
      <w:outlineLvl w:val="9"/>
    </w:pPr>
  </w:style>
  <w:style w:type="character" w:customStyle="1" w:styleId="InstructionsTextChar">
    <w:name w:val="Instructions Text Char"/>
    <w:link w:val="InstructionsText"/>
    <w:rsid w:val="00420253"/>
    <w:rPr>
      <w:rFonts w:eastAsia="MS Mincho"/>
      <w:color w:val="000000"/>
      <w:sz w:val="24"/>
      <w:szCs w:val="24"/>
      <w:shd w:val="clear" w:color="auto" w:fill="FFCC66"/>
      <w:lang w:val="en-US" w:eastAsia="en-US"/>
    </w:rPr>
  </w:style>
  <w:style w:type="paragraph" w:customStyle="1" w:styleId="ListNumbered">
    <w:name w:val="List Numbered"/>
    <w:basedOn w:val="Normal"/>
    <w:rsid w:val="00420253"/>
    <w:pPr>
      <w:numPr>
        <w:numId w:val="4"/>
      </w:numPr>
      <w:spacing w:before="120"/>
    </w:pPr>
  </w:style>
  <w:style w:type="paragraph" w:customStyle="1" w:styleId="ListBulletLevel1">
    <w:name w:val="List Bullet Level 1"/>
    <w:basedOn w:val="Normal"/>
    <w:rsid w:val="00420253"/>
    <w:pPr>
      <w:numPr>
        <w:numId w:val="16"/>
      </w:numPr>
      <w:spacing w:before="120"/>
    </w:pPr>
  </w:style>
  <w:style w:type="paragraph" w:customStyle="1" w:styleId="ListAlphabeticalLevel1">
    <w:name w:val="List Alphabetical Level 1"/>
    <w:basedOn w:val="Normal"/>
    <w:rsid w:val="00420253"/>
    <w:pPr>
      <w:numPr>
        <w:numId w:val="3"/>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420253"/>
    <w:pPr>
      <w:numPr>
        <w:numId w:val="8"/>
      </w:numPr>
      <w:spacing w:before="120"/>
    </w:pPr>
    <w:rPr>
      <w:szCs w:val="20"/>
    </w:rPr>
  </w:style>
  <w:style w:type="paragraph" w:styleId="Caption">
    <w:name w:val="caption"/>
    <w:next w:val="Normal"/>
    <w:qFormat/>
    <w:rsid w:val="00420253"/>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420253"/>
    <w:pPr>
      <w:shd w:val="clear" w:color="auto" w:fill="FFCC66"/>
      <w:spacing w:before="40" w:after="40"/>
    </w:pPr>
  </w:style>
  <w:style w:type="character" w:styleId="FootnoteReference">
    <w:name w:val="footnote reference"/>
    <w:rsid w:val="00420253"/>
    <w:rPr>
      <w:rFonts w:ascii="Times New Roman" w:eastAsia="MS Mincho" w:hAnsi="Times New Roman"/>
      <w:color w:val="0000FF"/>
      <w:sz w:val="18"/>
      <w:vertAlign w:val="superscript"/>
    </w:rPr>
  </w:style>
  <w:style w:type="paragraph" w:styleId="FootnoteText">
    <w:name w:val="footnote text"/>
    <w:basedOn w:val="Normal"/>
    <w:rsid w:val="00420253"/>
    <w:pPr>
      <w:spacing w:before="20"/>
      <w:ind w:left="113" w:hanging="113"/>
    </w:pPr>
    <w:rPr>
      <w:sz w:val="22"/>
      <w:szCs w:val="20"/>
    </w:rPr>
  </w:style>
  <w:style w:type="paragraph" w:customStyle="1" w:styleId="Heading1NoNumbering">
    <w:name w:val="Heading 1 NoNumbering"/>
    <w:basedOn w:val="Heading1"/>
    <w:next w:val="Normal"/>
    <w:rsid w:val="00420253"/>
    <w:pPr>
      <w:numPr>
        <w:numId w:val="14"/>
      </w:numPr>
    </w:pPr>
  </w:style>
  <w:style w:type="paragraph" w:customStyle="1" w:styleId="TblTextCenter">
    <w:name w:val="Tbl Text Center"/>
    <w:basedOn w:val="TblTextLeft"/>
    <w:rsid w:val="00420253"/>
    <w:pPr>
      <w:jc w:val="center"/>
    </w:pPr>
  </w:style>
  <w:style w:type="paragraph" w:customStyle="1" w:styleId="TblTextLeft">
    <w:name w:val="Tbl Text Left"/>
    <w:rsid w:val="00420253"/>
    <w:pPr>
      <w:spacing w:before="60" w:after="60"/>
    </w:pPr>
    <w:rPr>
      <w:rFonts w:ascii="Arial Narrow" w:eastAsia="MS Gothic" w:hAnsi="Arial Narrow"/>
      <w:lang w:val="en-US" w:eastAsia="en-US"/>
    </w:rPr>
  </w:style>
  <w:style w:type="paragraph" w:customStyle="1" w:styleId="TblHeadingLeft">
    <w:name w:val="Tbl Heading Left"/>
    <w:rsid w:val="00420253"/>
    <w:pPr>
      <w:spacing w:before="60" w:after="60"/>
    </w:pPr>
    <w:rPr>
      <w:rFonts w:ascii="Arial" w:eastAsia="MS Gothic" w:hAnsi="Arial" w:cs="Arial"/>
      <w:b/>
      <w:noProof/>
      <w:lang w:val="de-DE" w:eastAsia="en-US"/>
    </w:rPr>
  </w:style>
  <w:style w:type="paragraph" w:customStyle="1" w:styleId="TblFigFootnote">
    <w:name w:val="Tbl Fig Footnote"/>
    <w:rsid w:val="00420253"/>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420253"/>
    <w:pPr>
      <w:jc w:val="center"/>
    </w:pPr>
  </w:style>
  <w:style w:type="paragraph" w:customStyle="1" w:styleId="HeaderLandscape">
    <w:name w:val="Header Landscape"/>
    <w:basedOn w:val="Header"/>
    <w:rsid w:val="00420253"/>
    <w:pPr>
      <w:tabs>
        <w:tab w:val="clear" w:pos="4536"/>
        <w:tab w:val="clear" w:pos="9480"/>
        <w:tab w:val="left" w:pos="6804"/>
        <w:tab w:val="right" w:pos="14118"/>
      </w:tabs>
    </w:pPr>
  </w:style>
  <w:style w:type="paragraph" w:customStyle="1" w:styleId="FooterLandscape">
    <w:name w:val="Footer Landscape"/>
    <w:basedOn w:val="Footer"/>
    <w:rsid w:val="00420253"/>
    <w:pPr>
      <w:tabs>
        <w:tab w:val="clear" w:pos="9469"/>
        <w:tab w:val="right" w:pos="14118"/>
      </w:tabs>
    </w:pPr>
  </w:style>
  <w:style w:type="character" w:customStyle="1" w:styleId="TblFigFootnoteReference">
    <w:name w:val="Tbl Fig Footnote Reference"/>
    <w:rsid w:val="00420253"/>
    <w:rPr>
      <w:rFonts w:ascii="Arial Narrow" w:eastAsia="MS Gothic" w:hAnsi="Arial Narrow"/>
      <w:i/>
      <w:dstrike w:val="0"/>
      <w:noProof w:val="0"/>
      <w:position w:val="6"/>
      <w:sz w:val="18"/>
      <w:vertAlign w:val="baseline"/>
      <w:lang w:val="en-US"/>
    </w:rPr>
  </w:style>
  <w:style w:type="paragraph" w:customStyle="1" w:styleId="xCover">
    <w:name w:val="xCover"/>
    <w:rsid w:val="00420253"/>
    <w:pPr>
      <w:spacing w:before="120"/>
    </w:pPr>
    <w:rPr>
      <w:rFonts w:ascii="Arial" w:eastAsia="MS Gothic" w:hAnsi="Arial"/>
      <w:lang w:val="en-US" w:eastAsia="en-US"/>
    </w:rPr>
  </w:style>
  <w:style w:type="paragraph" w:customStyle="1" w:styleId="xCoverAddress">
    <w:name w:val="xCoverAddress"/>
    <w:basedOn w:val="xCover"/>
    <w:rsid w:val="00420253"/>
    <w:pPr>
      <w:spacing w:before="0"/>
    </w:pPr>
  </w:style>
  <w:style w:type="paragraph" w:customStyle="1" w:styleId="xCoverDocType">
    <w:name w:val="xCoverDocType"/>
    <w:basedOn w:val="xCover"/>
    <w:rsid w:val="00420253"/>
    <w:pPr>
      <w:spacing w:before="360"/>
      <w:jc w:val="center"/>
    </w:pPr>
    <w:rPr>
      <w:b/>
      <w:caps/>
      <w:sz w:val="28"/>
    </w:rPr>
  </w:style>
  <w:style w:type="paragraph" w:customStyle="1" w:styleId="xCoverDocTitle">
    <w:name w:val="xCoverDocTitle"/>
    <w:basedOn w:val="xCover"/>
    <w:rsid w:val="00420253"/>
    <w:pPr>
      <w:spacing w:before="240"/>
      <w:jc w:val="center"/>
    </w:pPr>
    <w:rPr>
      <w:b/>
      <w:sz w:val="24"/>
    </w:rPr>
  </w:style>
  <w:style w:type="paragraph" w:customStyle="1" w:styleId="C-BodyText">
    <w:name w:val="C-Body Text"/>
    <w:link w:val="C-BodyTextChar"/>
    <w:rsid w:val="00295C4B"/>
    <w:pPr>
      <w:spacing w:before="120" w:after="120" w:line="280" w:lineRule="atLeast"/>
    </w:pPr>
    <w:rPr>
      <w:sz w:val="24"/>
      <w:lang w:val="en-US" w:eastAsia="en-US"/>
    </w:rPr>
  </w:style>
  <w:style w:type="paragraph" w:styleId="EndnoteText">
    <w:name w:val="endnote text"/>
    <w:basedOn w:val="Normal"/>
    <w:semiHidden/>
    <w:rsid w:val="00420253"/>
    <w:rPr>
      <w:sz w:val="22"/>
      <w:szCs w:val="20"/>
    </w:rPr>
  </w:style>
  <w:style w:type="character" w:styleId="EndnoteReference">
    <w:name w:val="endnote reference"/>
    <w:semiHidden/>
    <w:rsid w:val="00420253"/>
    <w:rPr>
      <w:vertAlign w:val="superscript"/>
    </w:rPr>
  </w:style>
  <w:style w:type="paragraph" w:styleId="MacroText">
    <w:name w:val="macro"/>
    <w:semiHidden/>
    <w:rsid w:val="004202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rsid w:val="00420253"/>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420253"/>
    <w:pPr>
      <w:ind w:left="240" w:hanging="240"/>
    </w:pPr>
  </w:style>
  <w:style w:type="character" w:styleId="Hyperlink">
    <w:name w:val="Hyperlink"/>
    <w:uiPriority w:val="99"/>
    <w:rsid w:val="00420253"/>
    <w:rPr>
      <w:color w:val="0000FF"/>
      <w:u w:val="single"/>
    </w:rPr>
  </w:style>
  <w:style w:type="paragraph" w:styleId="Bibliography">
    <w:name w:val="Bibliography"/>
    <w:basedOn w:val="Normal"/>
    <w:next w:val="Normal"/>
    <w:rsid w:val="00420253"/>
    <w:pPr>
      <w:ind w:left="357" w:hanging="357"/>
    </w:pPr>
  </w:style>
  <w:style w:type="character" w:customStyle="1" w:styleId="ReplaceText">
    <w:name w:val="Replace Text"/>
    <w:rsid w:val="00420253"/>
    <w:rPr>
      <w:color w:val="FF00FF"/>
    </w:rPr>
  </w:style>
  <w:style w:type="paragraph" w:styleId="TOC1">
    <w:name w:val="toc 1"/>
    <w:next w:val="Normal"/>
    <w:uiPriority w:val="39"/>
    <w:rsid w:val="00420253"/>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420253"/>
    <w:pPr>
      <w:numPr>
        <w:numId w:val="5"/>
      </w:numPr>
    </w:pPr>
  </w:style>
  <w:style w:type="paragraph" w:styleId="Index1">
    <w:name w:val="index 1"/>
    <w:basedOn w:val="Normal"/>
    <w:next w:val="Normal"/>
    <w:semiHidden/>
    <w:rsid w:val="00420253"/>
    <w:pPr>
      <w:tabs>
        <w:tab w:val="left" w:pos="1701"/>
        <w:tab w:val="left" w:pos="3402"/>
        <w:tab w:val="left" w:pos="5103"/>
      </w:tabs>
      <w:spacing w:before="0"/>
      <w:ind w:left="1701" w:hanging="1701"/>
    </w:pPr>
  </w:style>
  <w:style w:type="paragraph" w:styleId="TOAHeading">
    <w:name w:val="toa heading"/>
    <w:basedOn w:val="Normal"/>
    <w:next w:val="Normal"/>
    <w:semiHidden/>
    <w:rsid w:val="00420253"/>
    <w:pPr>
      <w:spacing w:before="120"/>
    </w:pPr>
    <w:rPr>
      <w:rFonts w:ascii="Arial" w:hAnsi="Arial" w:cs="Arial"/>
      <w:b/>
      <w:bCs/>
    </w:rPr>
  </w:style>
  <w:style w:type="character" w:customStyle="1" w:styleId="Reference">
    <w:name w:val="Reference"/>
    <w:rsid w:val="00420253"/>
    <w:rPr>
      <w:color w:val="0000FF"/>
    </w:rPr>
  </w:style>
  <w:style w:type="paragraph" w:customStyle="1" w:styleId="TblTextbulletedlist">
    <w:name w:val="Tbl Text bulleted list"/>
    <w:basedOn w:val="TblTextLeft"/>
    <w:rsid w:val="00420253"/>
    <w:pPr>
      <w:numPr>
        <w:numId w:val="9"/>
      </w:numPr>
      <w:tabs>
        <w:tab w:val="clear" w:pos="360"/>
        <w:tab w:val="left" w:pos="216"/>
      </w:tabs>
      <w:spacing w:before="0" w:after="0"/>
      <w:ind w:left="216" w:hanging="216"/>
    </w:pPr>
  </w:style>
  <w:style w:type="paragraph" w:styleId="TOC2">
    <w:name w:val="toc 2"/>
    <w:basedOn w:val="TOC1"/>
    <w:next w:val="Normal"/>
    <w:rsid w:val="00420253"/>
    <w:rPr>
      <w:b w:val="0"/>
    </w:rPr>
  </w:style>
  <w:style w:type="character" w:styleId="PageNumber">
    <w:name w:val="page number"/>
    <w:rsid w:val="00420253"/>
  </w:style>
  <w:style w:type="paragraph" w:styleId="ListBullet">
    <w:name w:val="List Bullet"/>
    <w:basedOn w:val="Normal"/>
    <w:rsid w:val="00420253"/>
    <w:pPr>
      <w:numPr>
        <w:numId w:val="6"/>
      </w:numPr>
    </w:pPr>
  </w:style>
  <w:style w:type="paragraph" w:styleId="TOC3">
    <w:name w:val="toc 3"/>
    <w:basedOn w:val="TOC1"/>
    <w:next w:val="Normal"/>
    <w:rsid w:val="00420253"/>
    <w:pPr>
      <w:spacing w:before="120"/>
    </w:pPr>
    <w:rPr>
      <w:b w:val="0"/>
      <w:caps w:val="0"/>
    </w:rPr>
  </w:style>
  <w:style w:type="paragraph" w:styleId="TOC4">
    <w:name w:val="toc 4"/>
    <w:basedOn w:val="TOC1"/>
    <w:next w:val="Normal"/>
    <w:rsid w:val="00420253"/>
    <w:pPr>
      <w:spacing w:before="40"/>
    </w:pPr>
    <w:rPr>
      <w:b w:val="0"/>
      <w:caps w:val="0"/>
      <w:szCs w:val="22"/>
    </w:rPr>
  </w:style>
  <w:style w:type="paragraph" w:styleId="TOC5">
    <w:name w:val="toc 5"/>
    <w:basedOn w:val="TOC1"/>
    <w:next w:val="Normal"/>
    <w:semiHidden/>
    <w:rsid w:val="00420253"/>
    <w:pPr>
      <w:spacing w:before="0"/>
    </w:pPr>
    <w:rPr>
      <w:b w:val="0"/>
      <w:caps w:val="0"/>
    </w:rPr>
  </w:style>
  <w:style w:type="paragraph" w:styleId="TOC6">
    <w:name w:val="toc 6"/>
    <w:basedOn w:val="TOC1"/>
    <w:next w:val="Normal"/>
    <w:semiHidden/>
    <w:rsid w:val="00420253"/>
    <w:pPr>
      <w:spacing w:before="0"/>
    </w:pPr>
    <w:rPr>
      <w:b w:val="0"/>
      <w:caps w:val="0"/>
    </w:rPr>
  </w:style>
  <w:style w:type="paragraph" w:styleId="TOC7">
    <w:name w:val="toc 7"/>
    <w:basedOn w:val="TOC6"/>
    <w:next w:val="Normal"/>
    <w:semiHidden/>
    <w:rsid w:val="00420253"/>
  </w:style>
  <w:style w:type="paragraph" w:styleId="TOC8">
    <w:name w:val="toc 8"/>
    <w:basedOn w:val="TOC6"/>
    <w:next w:val="Normal"/>
    <w:semiHidden/>
    <w:rsid w:val="00420253"/>
  </w:style>
  <w:style w:type="paragraph" w:styleId="TOC9">
    <w:name w:val="toc 9"/>
    <w:basedOn w:val="TOC6"/>
    <w:next w:val="Normal"/>
    <w:semiHidden/>
    <w:rsid w:val="00420253"/>
  </w:style>
  <w:style w:type="character" w:customStyle="1" w:styleId="TblFigFootnoteChar">
    <w:name w:val="Tbl Fig Footnote Char"/>
    <w:rsid w:val="00420253"/>
    <w:rPr>
      <w:rFonts w:ascii="Arial Narrow" w:eastAsia="MS Gothic" w:hAnsi="Arial Narrow"/>
      <w:sz w:val="18"/>
      <w:lang w:val="en-US" w:eastAsia="en-US" w:bidi="ar-SA"/>
    </w:rPr>
  </w:style>
  <w:style w:type="character" w:styleId="FollowedHyperlink">
    <w:name w:val="FollowedHyperlink"/>
    <w:rsid w:val="00420253"/>
    <w:rPr>
      <w:color w:val="800080"/>
      <w:u w:val="single"/>
    </w:rPr>
  </w:style>
  <w:style w:type="character" w:customStyle="1" w:styleId="C-BodyTextChar">
    <w:name w:val="C-Body Text Char"/>
    <w:link w:val="C-BodyText"/>
    <w:rsid w:val="00295C4B"/>
    <w:rPr>
      <w:sz w:val="24"/>
      <w:lang w:val="en-US" w:eastAsia="en-US"/>
    </w:rPr>
  </w:style>
  <w:style w:type="character" w:styleId="CommentReference">
    <w:name w:val="annotation reference"/>
    <w:rsid w:val="00254C36"/>
    <w:rPr>
      <w:sz w:val="16"/>
      <w:szCs w:val="16"/>
    </w:rPr>
  </w:style>
  <w:style w:type="paragraph" w:styleId="CommentText">
    <w:name w:val="annotation text"/>
    <w:basedOn w:val="Normal"/>
    <w:link w:val="CommentTextChar"/>
    <w:rsid w:val="00254C36"/>
    <w:rPr>
      <w:sz w:val="20"/>
      <w:szCs w:val="20"/>
    </w:rPr>
  </w:style>
  <w:style w:type="character" w:customStyle="1" w:styleId="CommentTextChar">
    <w:name w:val="Comment Text Char"/>
    <w:link w:val="CommentText"/>
    <w:rsid w:val="00254C36"/>
    <w:rPr>
      <w:rFonts w:eastAsia="MS Mincho"/>
      <w:color w:val="000000"/>
      <w:lang w:val="en-US" w:eastAsia="en-US"/>
    </w:rPr>
  </w:style>
  <w:style w:type="paragraph" w:styleId="CommentSubject">
    <w:name w:val="annotation subject"/>
    <w:basedOn w:val="CommentText"/>
    <w:next w:val="CommentText"/>
    <w:link w:val="CommentSubjectChar"/>
    <w:rsid w:val="00254C36"/>
    <w:rPr>
      <w:b/>
      <w:bCs/>
    </w:rPr>
  </w:style>
  <w:style w:type="character" w:customStyle="1" w:styleId="CommentSubjectChar">
    <w:name w:val="Comment Subject Char"/>
    <w:link w:val="CommentSubject"/>
    <w:rsid w:val="00254C36"/>
    <w:rPr>
      <w:rFonts w:eastAsia="MS Mincho"/>
      <w:b/>
      <w:bCs/>
      <w:color w:val="000000"/>
      <w:lang w:val="en-US" w:eastAsia="en-US"/>
    </w:rPr>
  </w:style>
  <w:style w:type="paragraph" w:styleId="BalloonText">
    <w:name w:val="Balloon Text"/>
    <w:basedOn w:val="Normal"/>
    <w:link w:val="BalloonTextChar"/>
    <w:rsid w:val="00254C36"/>
    <w:pPr>
      <w:spacing w:before="0"/>
    </w:pPr>
    <w:rPr>
      <w:rFonts w:ascii="Tahoma" w:hAnsi="Tahoma" w:cs="Tahoma"/>
      <w:sz w:val="16"/>
      <w:szCs w:val="16"/>
    </w:rPr>
  </w:style>
  <w:style w:type="character" w:customStyle="1" w:styleId="BalloonTextChar">
    <w:name w:val="Balloon Text Char"/>
    <w:link w:val="BalloonText"/>
    <w:rsid w:val="00254C36"/>
    <w:rPr>
      <w:rFonts w:ascii="Tahoma" w:eastAsia="MS Mincho" w:hAnsi="Tahoma" w:cs="Tahoma"/>
      <w:color w:val="000000"/>
      <w:sz w:val="16"/>
      <w:szCs w:val="16"/>
      <w:lang w:val="en-US" w:eastAsia="en-US"/>
    </w:rPr>
  </w:style>
  <w:style w:type="table" w:styleId="TableGrid">
    <w:name w:val="Table Grid"/>
    <w:basedOn w:val="TableNormal"/>
    <w:uiPriority w:val="59"/>
    <w:rsid w:val="00231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6D5801"/>
    <w:rPr>
      <w:rFonts w:ascii="Arial" w:eastAsia="MS Gothic" w:hAnsi="Arial" w:cs="Arial"/>
      <w:b/>
      <w:kern w:val="32"/>
      <w:sz w:val="22"/>
      <w:szCs w:val="26"/>
      <w:lang w:val="en-US" w:eastAsia="en-US"/>
    </w:rPr>
  </w:style>
  <w:style w:type="character" w:customStyle="1" w:styleId="Heading1Char">
    <w:name w:val="Heading 1 Char"/>
    <w:link w:val="Heading1"/>
    <w:rsid w:val="00B32F33"/>
    <w:rPr>
      <w:rFonts w:ascii="Arial" w:eastAsia="MS Gothic" w:hAnsi="Arial" w:cs="Arial"/>
      <w:b/>
      <w:bCs/>
      <w:caps/>
      <w:kern w:val="32"/>
      <w:sz w:val="28"/>
      <w:szCs w:val="32"/>
      <w:lang w:val="en-US" w:eastAsia="en-US"/>
    </w:rPr>
  </w:style>
  <w:style w:type="character" w:customStyle="1" w:styleId="Heading5Char">
    <w:name w:val="Heading 5 Char"/>
    <w:link w:val="Heading5"/>
    <w:rsid w:val="00B32F33"/>
    <w:rPr>
      <w:rFonts w:ascii="Arial" w:eastAsia="MS Gothic" w:hAnsi="Arial" w:cs="Arial"/>
      <w:i/>
      <w:iCs/>
      <w:kern w:val="32"/>
      <w:sz w:val="22"/>
      <w:szCs w:val="26"/>
      <w:lang w:val="en-US" w:eastAsia="en-US"/>
    </w:rPr>
  </w:style>
  <w:style w:type="character" w:customStyle="1" w:styleId="FooterChar">
    <w:name w:val="Footer Char"/>
    <w:basedOn w:val="DefaultParagraphFont"/>
    <w:link w:val="Footer"/>
    <w:rsid w:val="009B3ABF"/>
    <w:rPr>
      <w:rFonts w:ascii="Arial" w:eastAsia="MS Gothic"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3325">
      <w:bodyDiv w:val="1"/>
      <w:marLeft w:val="0"/>
      <w:marRight w:val="0"/>
      <w:marTop w:val="0"/>
      <w:marBottom w:val="0"/>
      <w:divBdr>
        <w:top w:val="none" w:sz="0" w:space="0" w:color="auto"/>
        <w:left w:val="none" w:sz="0" w:space="0" w:color="auto"/>
        <w:bottom w:val="none" w:sz="0" w:space="0" w:color="auto"/>
        <w:right w:val="none" w:sz="0" w:space="0" w:color="auto"/>
      </w:divBdr>
    </w:div>
    <w:div w:id="568999012">
      <w:bodyDiv w:val="1"/>
      <w:marLeft w:val="0"/>
      <w:marRight w:val="0"/>
      <w:marTop w:val="0"/>
      <w:marBottom w:val="0"/>
      <w:divBdr>
        <w:top w:val="none" w:sz="0" w:space="0" w:color="auto"/>
        <w:left w:val="none" w:sz="0" w:space="0" w:color="auto"/>
        <w:bottom w:val="none" w:sz="0" w:space="0" w:color="auto"/>
        <w:right w:val="none" w:sz="0" w:space="0" w:color="auto"/>
      </w:divBdr>
      <w:divsChild>
        <w:div w:id="713773636">
          <w:marLeft w:val="0"/>
          <w:marRight w:val="0"/>
          <w:marTop w:val="0"/>
          <w:marBottom w:val="0"/>
          <w:divBdr>
            <w:top w:val="none" w:sz="0" w:space="0" w:color="auto"/>
            <w:left w:val="none" w:sz="0" w:space="0" w:color="auto"/>
            <w:bottom w:val="none" w:sz="0" w:space="0" w:color="auto"/>
            <w:right w:val="none" w:sz="0" w:space="0" w:color="auto"/>
          </w:divBdr>
          <w:divsChild>
            <w:div w:id="391731944">
              <w:marLeft w:val="0"/>
              <w:marRight w:val="0"/>
              <w:marTop w:val="0"/>
              <w:marBottom w:val="0"/>
              <w:divBdr>
                <w:top w:val="none" w:sz="0" w:space="0" w:color="auto"/>
                <w:left w:val="none" w:sz="0" w:space="0" w:color="auto"/>
                <w:bottom w:val="none" w:sz="0" w:space="0" w:color="auto"/>
                <w:right w:val="none" w:sz="0" w:space="0" w:color="auto"/>
              </w:divBdr>
              <w:divsChild>
                <w:div w:id="61686919">
                  <w:marLeft w:val="0"/>
                  <w:marRight w:val="0"/>
                  <w:marTop w:val="0"/>
                  <w:marBottom w:val="0"/>
                  <w:divBdr>
                    <w:top w:val="none" w:sz="0" w:space="0" w:color="auto"/>
                    <w:left w:val="none" w:sz="0" w:space="0" w:color="auto"/>
                    <w:bottom w:val="none" w:sz="0" w:space="0" w:color="auto"/>
                    <w:right w:val="none" w:sz="0" w:space="0" w:color="auto"/>
                  </w:divBdr>
                  <w:divsChild>
                    <w:div w:id="680938705">
                      <w:marLeft w:val="0"/>
                      <w:marRight w:val="0"/>
                      <w:marTop w:val="0"/>
                      <w:marBottom w:val="0"/>
                      <w:divBdr>
                        <w:top w:val="none" w:sz="0" w:space="0" w:color="auto"/>
                        <w:left w:val="none" w:sz="0" w:space="0" w:color="auto"/>
                        <w:bottom w:val="none" w:sz="0" w:space="0" w:color="auto"/>
                        <w:right w:val="none" w:sz="0" w:space="0" w:color="auto"/>
                      </w:divBdr>
                      <w:divsChild>
                        <w:div w:id="1276520492">
                          <w:marLeft w:val="0"/>
                          <w:marRight w:val="0"/>
                          <w:marTop w:val="0"/>
                          <w:marBottom w:val="0"/>
                          <w:divBdr>
                            <w:top w:val="none" w:sz="0" w:space="0" w:color="auto"/>
                            <w:left w:val="none" w:sz="0" w:space="0" w:color="auto"/>
                            <w:bottom w:val="none" w:sz="0" w:space="0" w:color="auto"/>
                            <w:right w:val="none" w:sz="0" w:space="0" w:color="auto"/>
                          </w:divBdr>
                          <w:divsChild>
                            <w:div w:id="849875894">
                              <w:marLeft w:val="0"/>
                              <w:marRight w:val="0"/>
                              <w:marTop w:val="0"/>
                              <w:marBottom w:val="0"/>
                              <w:divBdr>
                                <w:top w:val="none" w:sz="0" w:space="0" w:color="auto"/>
                                <w:left w:val="none" w:sz="0" w:space="0" w:color="auto"/>
                                <w:bottom w:val="none" w:sz="0" w:space="0" w:color="auto"/>
                                <w:right w:val="none" w:sz="0" w:space="0" w:color="auto"/>
                              </w:divBdr>
                              <w:divsChild>
                                <w:div w:id="1616983886">
                                  <w:marLeft w:val="0"/>
                                  <w:marRight w:val="0"/>
                                  <w:marTop w:val="0"/>
                                  <w:marBottom w:val="0"/>
                                  <w:divBdr>
                                    <w:top w:val="none" w:sz="0" w:space="0" w:color="auto"/>
                                    <w:left w:val="none" w:sz="0" w:space="0" w:color="auto"/>
                                    <w:bottom w:val="none" w:sz="0" w:space="0" w:color="auto"/>
                                    <w:right w:val="none" w:sz="0" w:space="0" w:color="auto"/>
                                  </w:divBdr>
                                  <w:divsChild>
                                    <w:div w:id="1321076969">
                                      <w:marLeft w:val="0"/>
                                      <w:marRight w:val="0"/>
                                      <w:marTop w:val="0"/>
                                      <w:marBottom w:val="0"/>
                                      <w:divBdr>
                                        <w:top w:val="none" w:sz="0" w:space="0" w:color="auto"/>
                                        <w:left w:val="none" w:sz="0" w:space="0" w:color="auto"/>
                                        <w:bottom w:val="none" w:sz="0" w:space="0" w:color="auto"/>
                                        <w:right w:val="none" w:sz="0" w:space="0" w:color="auto"/>
                                      </w:divBdr>
                                      <w:divsChild>
                                        <w:div w:id="16371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712300">
      <w:bodyDiv w:val="1"/>
      <w:marLeft w:val="0"/>
      <w:marRight w:val="0"/>
      <w:marTop w:val="0"/>
      <w:marBottom w:val="0"/>
      <w:divBdr>
        <w:top w:val="none" w:sz="0" w:space="0" w:color="auto"/>
        <w:left w:val="none" w:sz="0" w:space="0" w:color="auto"/>
        <w:bottom w:val="none" w:sz="0" w:space="0" w:color="auto"/>
        <w:right w:val="none" w:sz="0" w:space="0" w:color="auto"/>
      </w:divBdr>
      <w:divsChild>
        <w:div w:id="1657567800">
          <w:marLeft w:val="0"/>
          <w:marRight w:val="0"/>
          <w:marTop w:val="0"/>
          <w:marBottom w:val="0"/>
          <w:divBdr>
            <w:top w:val="none" w:sz="0" w:space="0" w:color="auto"/>
            <w:left w:val="none" w:sz="0" w:space="0" w:color="auto"/>
            <w:bottom w:val="none" w:sz="0" w:space="0" w:color="auto"/>
            <w:right w:val="none" w:sz="0" w:space="0" w:color="auto"/>
          </w:divBdr>
          <w:divsChild>
            <w:div w:id="288174029">
              <w:marLeft w:val="0"/>
              <w:marRight w:val="0"/>
              <w:marTop w:val="0"/>
              <w:marBottom w:val="0"/>
              <w:divBdr>
                <w:top w:val="none" w:sz="0" w:space="0" w:color="auto"/>
                <w:left w:val="none" w:sz="0" w:space="0" w:color="auto"/>
                <w:bottom w:val="none" w:sz="0" w:space="0" w:color="auto"/>
                <w:right w:val="none" w:sz="0" w:space="0" w:color="auto"/>
              </w:divBdr>
              <w:divsChild>
                <w:div w:id="1723020192">
                  <w:marLeft w:val="0"/>
                  <w:marRight w:val="0"/>
                  <w:marTop w:val="0"/>
                  <w:marBottom w:val="0"/>
                  <w:divBdr>
                    <w:top w:val="none" w:sz="0" w:space="0" w:color="auto"/>
                    <w:left w:val="none" w:sz="0" w:space="0" w:color="auto"/>
                    <w:bottom w:val="none" w:sz="0" w:space="0" w:color="auto"/>
                    <w:right w:val="none" w:sz="0" w:space="0" w:color="auto"/>
                  </w:divBdr>
                  <w:divsChild>
                    <w:div w:id="642319206">
                      <w:marLeft w:val="0"/>
                      <w:marRight w:val="0"/>
                      <w:marTop w:val="0"/>
                      <w:marBottom w:val="0"/>
                      <w:divBdr>
                        <w:top w:val="none" w:sz="0" w:space="0" w:color="auto"/>
                        <w:left w:val="none" w:sz="0" w:space="0" w:color="auto"/>
                        <w:bottom w:val="none" w:sz="0" w:space="0" w:color="auto"/>
                        <w:right w:val="none" w:sz="0" w:space="0" w:color="auto"/>
                      </w:divBdr>
                      <w:divsChild>
                        <w:div w:id="1155217630">
                          <w:marLeft w:val="0"/>
                          <w:marRight w:val="0"/>
                          <w:marTop w:val="0"/>
                          <w:marBottom w:val="0"/>
                          <w:divBdr>
                            <w:top w:val="none" w:sz="0" w:space="0" w:color="auto"/>
                            <w:left w:val="none" w:sz="0" w:space="0" w:color="auto"/>
                            <w:bottom w:val="none" w:sz="0" w:space="0" w:color="auto"/>
                            <w:right w:val="none" w:sz="0" w:space="0" w:color="auto"/>
                          </w:divBdr>
                          <w:divsChild>
                            <w:div w:id="1887329368">
                              <w:marLeft w:val="0"/>
                              <w:marRight w:val="0"/>
                              <w:marTop w:val="0"/>
                              <w:marBottom w:val="0"/>
                              <w:divBdr>
                                <w:top w:val="none" w:sz="0" w:space="0" w:color="auto"/>
                                <w:left w:val="none" w:sz="0" w:space="0" w:color="auto"/>
                                <w:bottom w:val="none" w:sz="0" w:space="0" w:color="auto"/>
                                <w:right w:val="none" w:sz="0" w:space="0" w:color="auto"/>
                              </w:divBdr>
                              <w:divsChild>
                                <w:div w:id="1202404015">
                                  <w:marLeft w:val="0"/>
                                  <w:marRight w:val="0"/>
                                  <w:marTop w:val="0"/>
                                  <w:marBottom w:val="0"/>
                                  <w:divBdr>
                                    <w:top w:val="none" w:sz="0" w:space="0" w:color="auto"/>
                                    <w:left w:val="none" w:sz="0" w:space="0" w:color="auto"/>
                                    <w:bottom w:val="none" w:sz="0" w:space="0" w:color="auto"/>
                                    <w:right w:val="none" w:sz="0" w:space="0" w:color="auto"/>
                                  </w:divBdr>
                                  <w:divsChild>
                                    <w:div w:id="1797141262">
                                      <w:marLeft w:val="0"/>
                                      <w:marRight w:val="0"/>
                                      <w:marTop w:val="0"/>
                                      <w:marBottom w:val="0"/>
                                      <w:divBdr>
                                        <w:top w:val="none" w:sz="0" w:space="0" w:color="auto"/>
                                        <w:left w:val="none" w:sz="0" w:space="0" w:color="auto"/>
                                        <w:bottom w:val="none" w:sz="0" w:space="0" w:color="auto"/>
                                        <w:right w:val="none" w:sz="0" w:space="0" w:color="auto"/>
                                      </w:divBdr>
                                      <w:divsChild>
                                        <w:div w:id="4350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24532">
      <w:bodyDiv w:val="1"/>
      <w:marLeft w:val="0"/>
      <w:marRight w:val="0"/>
      <w:marTop w:val="0"/>
      <w:marBottom w:val="0"/>
      <w:divBdr>
        <w:top w:val="none" w:sz="0" w:space="0" w:color="auto"/>
        <w:left w:val="none" w:sz="0" w:space="0" w:color="auto"/>
        <w:bottom w:val="none" w:sz="0" w:space="0" w:color="auto"/>
        <w:right w:val="none" w:sz="0" w:space="0" w:color="auto"/>
      </w:divBdr>
      <w:divsChild>
        <w:div w:id="1808158992">
          <w:marLeft w:val="0"/>
          <w:marRight w:val="0"/>
          <w:marTop w:val="0"/>
          <w:marBottom w:val="0"/>
          <w:divBdr>
            <w:top w:val="none" w:sz="0" w:space="0" w:color="auto"/>
            <w:left w:val="none" w:sz="0" w:space="0" w:color="auto"/>
            <w:bottom w:val="none" w:sz="0" w:space="0" w:color="auto"/>
            <w:right w:val="none" w:sz="0" w:space="0" w:color="auto"/>
          </w:divBdr>
          <w:divsChild>
            <w:div w:id="1520466525">
              <w:marLeft w:val="0"/>
              <w:marRight w:val="0"/>
              <w:marTop w:val="0"/>
              <w:marBottom w:val="0"/>
              <w:divBdr>
                <w:top w:val="none" w:sz="0" w:space="0" w:color="auto"/>
                <w:left w:val="none" w:sz="0" w:space="0" w:color="auto"/>
                <w:bottom w:val="none" w:sz="0" w:space="0" w:color="auto"/>
                <w:right w:val="none" w:sz="0" w:space="0" w:color="auto"/>
              </w:divBdr>
              <w:divsChild>
                <w:div w:id="659306259">
                  <w:marLeft w:val="0"/>
                  <w:marRight w:val="0"/>
                  <w:marTop w:val="0"/>
                  <w:marBottom w:val="0"/>
                  <w:divBdr>
                    <w:top w:val="none" w:sz="0" w:space="0" w:color="auto"/>
                    <w:left w:val="none" w:sz="0" w:space="0" w:color="auto"/>
                    <w:bottom w:val="none" w:sz="0" w:space="0" w:color="auto"/>
                    <w:right w:val="none" w:sz="0" w:space="0" w:color="auto"/>
                  </w:divBdr>
                  <w:divsChild>
                    <w:div w:id="1126897540">
                      <w:marLeft w:val="0"/>
                      <w:marRight w:val="0"/>
                      <w:marTop w:val="0"/>
                      <w:marBottom w:val="0"/>
                      <w:divBdr>
                        <w:top w:val="none" w:sz="0" w:space="0" w:color="auto"/>
                        <w:left w:val="none" w:sz="0" w:space="0" w:color="auto"/>
                        <w:bottom w:val="none" w:sz="0" w:space="0" w:color="auto"/>
                        <w:right w:val="none" w:sz="0" w:space="0" w:color="auto"/>
                      </w:divBdr>
                      <w:divsChild>
                        <w:div w:id="677386210">
                          <w:marLeft w:val="0"/>
                          <w:marRight w:val="0"/>
                          <w:marTop w:val="0"/>
                          <w:marBottom w:val="0"/>
                          <w:divBdr>
                            <w:top w:val="none" w:sz="0" w:space="0" w:color="auto"/>
                            <w:left w:val="none" w:sz="0" w:space="0" w:color="auto"/>
                            <w:bottom w:val="none" w:sz="0" w:space="0" w:color="auto"/>
                            <w:right w:val="none" w:sz="0" w:space="0" w:color="auto"/>
                          </w:divBdr>
                          <w:divsChild>
                            <w:div w:id="1069352528">
                              <w:marLeft w:val="0"/>
                              <w:marRight w:val="0"/>
                              <w:marTop w:val="0"/>
                              <w:marBottom w:val="0"/>
                              <w:divBdr>
                                <w:top w:val="none" w:sz="0" w:space="0" w:color="auto"/>
                                <w:left w:val="none" w:sz="0" w:space="0" w:color="auto"/>
                                <w:bottom w:val="none" w:sz="0" w:space="0" w:color="auto"/>
                                <w:right w:val="none" w:sz="0" w:space="0" w:color="auto"/>
                              </w:divBdr>
                              <w:divsChild>
                                <w:div w:id="1293633219">
                                  <w:marLeft w:val="0"/>
                                  <w:marRight w:val="0"/>
                                  <w:marTop w:val="0"/>
                                  <w:marBottom w:val="0"/>
                                  <w:divBdr>
                                    <w:top w:val="none" w:sz="0" w:space="0" w:color="auto"/>
                                    <w:left w:val="none" w:sz="0" w:space="0" w:color="auto"/>
                                    <w:bottom w:val="none" w:sz="0" w:space="0" w:color="auto"/>
                                    <w:right w:val="none" w:sz="0" w:space="0" w:color="auto"/>
                                  </w:divBdr>
                                  <w:divsChild>
                                    <w:div w:id="1614438152">
                                      <w:marLeft w:val="0"/>
                                      <w:marRight w:val="0"/>
                                      <w:marTop w:val="0"/>
                                      <w:marBottom w:val="0"/>
                                      <w:divBdr>
                                        <w:top w:val="none" w:sz="0" w:space="0" w:color="auto"/>
                                        <w:left w:val="none" w:sz="0" w:space="0" w:color="auto"/>
                                        <w:bottom w:val="none" w:sz="0" w:space="0" w:color="auto"/>
                                        <w:right w:val="none" w:sz="0" w:space="0" w:color="auto"/>
                                      </w:divBdr>
                                      <w:divsChild>
                                        <w:div w:id="2044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C244-9DA5-4E1B-A411-BA36A91D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6326</Words>
  <Characters>34486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DOMASYS Standard</vt:lpstr>
    </vt:vector>
  </TitlesOfParts>
  <Manager/>
  <Company>sanofi-aventis</Company>
  <LinksUpToDate>false</LinksUpToDate>
  <CharactersWithSpaces>40731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Dupilumab</dc:title>
  <dc:subject>prescription medicines</dc:subject>
  <dc:creator/>
  <cp:keywords>AusPARs</cp:keywords>
  <cp:lastModifiedBy>LACK, Janet</cp:lastModifiedBy>
  <cp:revision>3</cp:revision>
  <cp:lastPrinted>2018-02-05T23:53:00Z</cp:lastPrinted>
  <dcterms:created xsi:type="dcterms:W3CDTF">2018-07-11T06:18:00Z</dcterms:created>
  <dcterms:modified xsi:type="dcterms:W3CDTF">2018-07-11T06:47:00Z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PRODUCT INFORMATION</vt:lpwstr>
  </property>
  <property fmtid="{D5CDD505-2E9C-101B-9397-08002B2CF9AE}" pid="3" name="INN">
    <vt:lpwstr>dupilumab -solution for injection</vt:lpwstr>
  </property>
  <property fmtid="{D5CDD505-2E9C-101B-9397-08002B2CF9AE}" pid="4" name="Date">
    <vt:lpwstr>xx-jan-18</vt:lpwstr>
  </property>
  <property fmtid="{D5CDD505-2E9C-101B-9397-08002B2CF9AE}" pid="5" name="Product Code">
    <vt:lpwstr>Dupixent</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_NewReviewCycle">
    <vt:lpwstr/>
  </property>
  <property fmtid="{D5CDD505-2E9C-101B-9397-08002B2CF9AE}" pid="12" name="https">
    <vt:lpwstr>1</vt:lpwstr>
  </property>
</Properties>
</file>