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BB7B6F" w:rsidP="00096AA7">
            <w:pPr>
              <w:rPr>
                <w:rFonts w:ascii="Arial" w:hAnsi="Arial" w:cs="Arial"/>
                <w:b/>
                <w:color w:val="002C47"/>
                <w:sz w:val="36"/>
                <w:szCs w:val="36"/>
              </w:rPr>
            </w:pPr>
            <w:r>
              <w:rPr>
                <w:rFonts w:ascii="Arial" w:hAnsi="Arial" w:cs="Arial"/>
                <w:b/>
                <w:color w:val="002C47"/>
                <w:sz w:val="36"/>
                <w:szCs w:val="36"/>
              </w:rPr>
              <w:t>October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BB7B6F" w:rsidRPr="00C211D0">
              <w:rPr>
                <w:color w:val="FFFFFF" w:themeColor="background1"/>
              </w:rPr>
              <w:t>Drospirenone</w:t>
            </w:r>
            <w:proofErr w:type="spellEnd"/>
            <w:r w:rsidR="00BB7B6F" w:rsidRPr="00C211D0">
              <w:rPr>
                <w:color w:val="FFFFFF" w:themeColor="background1"/>
              </w:rPr>
              <w:t xml:space="preserve"> and </w:t>
            </w:r>
            <w:proofErr w:type="spellStart"/>
            <w:r w:rsidR="00BB7B6F" w:rsidRPr="00C211D0">
              <w:rPr>
                <w:color w:val="FFFFFF" w:themeColor="background1"/>
              </w:rPr>
              <w:t>Ethinyloestradiol</w:t>
            </w:r>
            <w:proofErr w:type="spellEnd"/>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BB7B6F">
              <w:rPr>
                <w:color w:val="FFFFFF" w:themeColor="background1"/>
              </w:rPr>
              <w:t>YAZFlex</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BB7B6F" w:rsidRPr="00C211D0">
              <w:rPr>
                <w:color w:val="FFFFFF" w:themeColor="background1"/>
              </w:rPr>
              <w:t>Bayer Australia Pty</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w:t>
          </w:r>
          <w:bookmarkStart w:id="2" w:name="_GoBack"/>
          <w:bookmarkEnd w:id="2"/>
          <w:r w:rsidRPr="0010788A">
            <w:t>ts</w:t>
          </w:r>
        </w:p>
        <w:p w:rsidR="004055B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1835966" w:history="1">
            <w:r w:rsidR="004055BE" w:rsidRPr="00004FE1">
              <w:rPr>
                <w:rStyle w:val="Hyperlink"/>
                <w:noProof/>
              </w:rPr>
              <w:t>List of the most common abbreviations used in this AusPAR</w:t>
            </w:r>
            <w:r w:rsidR="004055BE">
              <w:rPr>
                <w:noProof/>
                <w:webHidden/>
              </w:rPr>
              <w:tab/>
            </w:r>
            <w:r w:rsidR="004055BE">
              <w:rPr>
                <w:noProof/>
                <w:webHidden/>
              </w:rPr>
              <w:fldChar w:fldCharType="begin"/>
            </w:r>
            <w:r w:rsidR="004055BE">
              <w:rPr>
                <w:noProof/>
                <w:webHidden/>
              </w:rPr>
              <w:instrText xml:space="preserve"> PAGEREF _Toc401835966 \h </w:instrText>
            </w:r>
            <w:r w:rsidR="004055BE">
              <w:rPr>
                <w:noProof/>
                <w:webHidden/>
              </w:rPr>
            </w:r>
            <w:r w:rsidR="004055BE">
              <w:rPr>
                <w:noProof/>
                <w:webHidden/>
              </w:rPr>
              <w:fldChar w:fldCharType="separate"/>
            </w:r>
            <w:r w:rsidR="004055BE">
              <w:rPr>
                <w:noProof/>
                <w:webHidden/>
              </w:rPr>
              <w:t>5</w:t>
            </w:r>
            <w:r w:rsidR="004055BE">
              <w:rPr>
                <w:noProof/>
                <w:webHidden/>
              </w:rPr>
              <w:fldChar w:fldCharType="end"/>
            </w:r>
          </w:hyperlink>
        </w:p>
        <w:p w:rsidR="004055BE" w:rsidRDefault="004055BE">
          <w:pPr>
            <w:pStyle w:val="TOC2"/>
            <w:rPr>
              <w:rFonts w:asciiTheme="minorHAnsi" w:eastAsiaTheme="minorEastAsia" w:hAnsiTheme="minorHAnsi" w:cstheme="minorBidi"/>
              <w:b w:val="0"/>
              <w:noProof/>
              <w:sz w:val="22"/>
              <w:lang w:eastAsia="en-AU"/>
            </w:rPr>
          </w:pPr>
          <w:hyperlink w:anchor="_Toc401835967" w:history="1">
            <w:r w:rsidRPr="00004FE1">
              <w:rPr>
                <w:rStyle w:val="Hyperlink"/>
                <w:noProof/>
              </w:rPr>
              <w:t>I. Introduction to product submission</w:t>
            </w:r>
            <w:r>
              <w:rPr>
                <w:noProof/>
                <w:webHidden/>
              </w:rPr>
              <w:tab/>
            </w:r>
            <w:r>
              <w:rPr>
                <w:noProof/>
                <w:webHidden/>
              </w:rPr>
              <w:fldChar w:fldCharType="begin"/>
            </w:r>
            <w:r>
              <w:rPr>
                <w:noProof/>
                <w:webHidden/>
              </w:rPr>
              <w:instrText xml:space="preserve"> PAGEREF _Toc401835967 \h </w:instrText>
            </w:r>
            <w:r>
              <w:rPr>
                <w:noProof/>
                <w:webHidden/>
              </w:rPr>
            </w:r>
            <w:r>
              <w:rPr>
                <w:noProof/>
                <w:webHidden/>
              </w:rPr>
              <w:fldChar w:fldCharType="separate"/>
            </w:r>
            <w:r>
              <w:rPr>
                <w:noProof/>
                <w:webHidden/>
              </w:rPr>
              <w:t>6</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68" w:history="1">
            <w:r w:rsidRPr="00004FE1">
              <w:rPr>
                <w:rStyle w:val="Hyperlink"/>
                <w:noProof/>
                <w:lang w:eastAsia="en-AU"/>
              </w:rPr>
              <w:t xml:space="preserve">Submission </w:t>
            </w:r>
            <w:r w:rsidRPr="00004FE1">
              <w:rPr>
                <w:rStyle w:val="Hyperlink"/>
                <w:noProof/>
              </w:rPr>
              <w:t>details</w:t>
            </w:r>
            <w:r>
              <w:rPr>
                <w:noProof/>
                <w:webHidden/>
              </w:rPr>
              <w:tab/>
            </w:r>
            <w:r>
              <w:rPr>
                <w:noProof/>
                <w:webHidden/>
              </w:rPr>
              <w:fldChar w:fldCharType="begin"/>
            </w:r>
            <w:r>
              <w:rPr>
                <w:noProof/>
                <w:webHidden/>
              </w:rPr>
              <w:instrText xml:space="preserve"> PAGEREF _Toc401835968 \h </w:instrText>
            </w:r>
            <w:r>
              <w:rPr>
                <w:noProof/>
                <w:webHidden/>
              </w:rPr>
            </w:r>
            <w:r>
              <w:rPr>
                <w:noProof/>
                <w:webHidden/>
              </w:rPr>
              <w:fldChar w:fldCharType="separate"/>
            </w:r>
            <w:r>
              <w:rPr>
                <w:noProof/>
                <w:webHidden/>
              </w:rPr>
              <w:t>6</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69" w:history="1">
            <w:r w:rsidRPr="00004FE1">
              <w:rPr>
                <w:rStyle w:val="Hyperlink"/>
                <w:noProof/>
              </w:rPr>
              <w:t>Product background</w:t>
            </w:r>
            <w:r>
              <w:rPr>
                <w:noProof/>
                <w:webHidden/>
              </w:rPr>
              <w:tab/>
            </w:r>
            <w:r>
              <w:rPr>
                <w:noProof/>
                <w:webHidden/>
              </w:rPr>
              <w:fldChar w:fldCharType="begin"/>
            </w:r>
            <w:r>
              <w:rPr>
                <w:noProof/>
                <w:webHidden/>
              </w:rPr>
              <w:instrText xml:space="preserve"> PAGEREF _Toc401835969 \h </w:instrText>
            </w:r>
            <w:r>
              <w:rPr>
                <w:noProof/>
                <w:webHidden/>
              </w:rPr>
            </w:r>
            <w:r>
              <w:rPr>
                <w:noProof/>
                <w:webHidden/>
              </w:rPr>
              <w:fldChar w:fldCharType="separate"/>
            </w:r>
            <w:r>
              <w:rPr>
                <w:noProof/>
                <w:webHidden/>
              </w:rPr>
              <w:t>6</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70" w:history="1">
            <w:r w:rsidRPr="00004FE1">
              <w:rPr>
                <w:rStyle w:val="Hyperlink"/>
                <w:noProof/>
              </w:rPr>
              <w:t>Regulatory status</w:t>
            </w:r>
            <w:r>
              <w:rPr>
                <w:noProof/>
                <w:webHidden/>
              </w:rPr>
              <w:tab/>
            </w:r>
            <w:r>
              <w:rPr>
                <w:noProof/>
                <w:webHidden/>
              </w:rPr>
              <w:fldChar w:fldCharType="begin"/>
            </w:r>
            <w:r>
              <w:rPr>
                <w:noProof/>
                <w:webHidden/>
              </w:rPr>
              <w:instrText xml:space="preserve"> PAGEREF _Toc401835970 \h </w:instrText>
            </w:r>
            <w:r>
              <w:rPr>
                <w:noProof/>
                <w:webHidden/>
              </w:rPr>
            </w:r>
            <w:r>
              <w:rPr>
                <w:noProof/>
                <w:webHidden/>
              </w:rPr>
              <w:fldChar w:fldCharType="separate"/>
            </w:r>
            <w:r>
              <w:rPr>
                <w:noProof/>
                <w:webHidden/>
              </w:rPr>
              <w:t>7</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71" w:history="1">
            <w:r w:rsidRPr="00004FE1">
              <w:rPr>
                <w:rStyle w:val="Hyperlink"/>
                <w:noProof/>
              </w:rPr>
              <w:t>Product Information</w:t>
            </w:r>
            <w:r>
              <w:rPr>
                <w:noProof/>
                <w:webHidden/>
              </w:rPr>
              <w:tab/>
            </w:r>
            <w:r>
              <w:rPr>
                <w:noProof/>
                <w:webHidden/>
              </w:rPr>
              <w:fldChar w:fldCharType="begin"/>
            </w:r>
            <w:r>
              <w:rPr>
                <w:noProof/>
                <w:webHidden/>
              </w:rPr>
              <w:instrText xml:space="preserve"> PAGEREF _Toc401835971 \h </w:instrText>
            </w:r>
            <w:r>
              <w:rPr>
                <w:noProof/>
                <w:webHidden/>
              </w:rPr>
            </w:r>
            <w:r>
              <w:rPr>
                <w:noProof/>
                <w:webHidden/>
              </w:rPr>
              <w:fldChar w:fldCharType="separate"/>
            </w:r>
            <w:r>
              <w:rPr>
                <w:noProof/>
                <w:webHidden/>
              </w:rPr>
              <w:t>8</w:t>
            </w:r>
            <w:r>
              <w:rPr>
                <w:noProof/>
                <w:webHidden/>
              </w:rPr>
              <w:fldChar w:fldCharType="end"/>
            </w:r>
          </w:hyperlink>
        </w:p>
        <w:p w:rsidR="004055BE" w:rsidRDefault="004055BE">
          <w:pPr>
            <w:pStyle w:val="TOC2"/>
            <w:rPr>
              <w:rFonts w:asciiTheme="minorHAnsi" w:eastAsiaTheme="minorEastAsia" w:hAnsiTheme="minorHAnsi" w:cstheme="minorBidi"/>
              <w:b w:val="0"/>
              <w:noProof/>
              <w:sz w:val="22"/>
              <w:lang w:eastAsia="en-AU"/>
            </w:rPr>
          </w:pPr>
          <w:hyperlink w:anchor="_Toc401835972" w:history="1">
            <w:r w:rsidRPr="00004FE1">
              <w:rPr>
                <w:rStyle w:val="Hyperlink"/>
                <w:noProof/>
              </w:rPr>
              <w:t>II. Quality findings</w:t>
            </w:r>
            <w:r>
              <w:rPr>
                <w:noProof/>
                <w:webHidden/>
              </w:rPr>
              <w:tab/>
            </w:r>
            <w:r>
              <w:rPr>
                <w:noProof/>
                <w:webHidden/>
              </w:rPr>
              <w:fldChar w:fldCharType="begin"/>
            </w:r>
            <w:r>
              <w:rPr>
                <w:noProof/>
                <w:webHidden/>
              </w:rPr>
              <w:instrText xml:space="preserve"> PAGEREF _Toc401835972 \h </w:instrText>
            </w:r>
            <w:r>
              <w:rPr>
                <w:noProof/>
                <w:webHidden/>
              </w:rPr>
            </w:r>
            <w:r>
              <w:rPr>
                <w:noProof/>
                <w:webHidden/>
              </w:rPr>
              <w:fldChar w:fldCharType="separate"/>
            </w:r>
            <w:r>
              <w:rPr>
                <w:noProof/>
                <w:webHidden/>
              </w:rPr>
              <w:t>8</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73" w:history="1">
            <w:r w:rsidRPr="00004FE1">
              <w:rPr>
                <w:rStyle w:val="Hyperlink"/>
                <w:noProof/>
              </w:rPr>
              <w:t>Introduction</w:t>
            </w:r>
            <w:r>
              <w:rPr>
                <w:noProof/>
                <w:webHidden/>
              </w:rPr>
              <w:tab/>
            </w:r>
            <w:r>
              <w:rPr>
                <w:noProof/>
                <w:webHidden/>
              </w:rPr>
              <w:fldChar w:fldCharType="begin"/>
            </w:r>
            <w:r>
              <w:rPr>
                <w:noProof/>
                <w:webHidden/>
              </w:rPr>
              <w:instrText xml:space="preserve"> PAGEREF _Toc401835973 \h </w:instrText>
            </w:r>
            <w:r>
              <w:rPr>
                <w:noProof/>
                <w:webHidden/>
              </w:rPr>
            </w:r>
            <w:r>
              <w:rPr>
                <w:noProof/>
                <w:webHidden/>
              </w:rPr>
              <w:fldChar w:fldCharType="separate"/>
            </w:r>
            <w:r>
              <w:rPr>
                <w:noProof/>
                <w:webHidden/>
              </w:rPr>
              <w:t>8</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74" w:history="1">
            <w:r w:rsidRPr="00004FE1">
              <w:rPr>
                <w:rStyle w:val="Hyperlink"/>
                <w:noProof/>
              </w:rPr>
              <w:t>Drug substance (active ingredient)</w:t>
            </w:r>
            <w:r>
              <w:rPr>
                <w:noProof/>
                <w:webHidden/>
              </w:rPr>
              <w:tab/>
            </w:r>
            <w:r>
              <w:rPr>
                <w:noProof/>
                <w:webHidden/>
              </w:rPr>
              <w:fldChar w:fldCharType="begin"/>
            </w:r>
            <w:r>
              <w:rPr>
                <w:noProof/>
                <w:webHidden/>
              </w:rPr>
              <w:instrText xml:space="preserve"> PAGEREF _Toc401835974 \h </w:instrText>
            </w:r>
            <w:r>
              <w:rPr>
                <w:noProof/>
                <w:webHidden/>
              </w:rPr>
            </w:r>
            <w:r>
              <w:rPr>
                <w:noProof/>
                <w:webHidden/>
              </w:rPr>
              <w:fldChar w:fldCharType="separate"/>
            </w:r>
            <w:r>
              <w:rPr>
                <w:noProof/>
                <w:webHidden/>
              </w:rPr>
              <w:t>8</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75" w:history="1">
            <w:r w:rsidRPr="00004FE1">
              <w:rPr>
                <w:rStyle w:val="Hyperlink"/>
                <w:noProof/>
              </w:rPr>
              <w:t>Drug product</w:t>
            </w:r>
            <w:r>
              <w:rPr>
                <w:noProof/>
                <w:webHidden/>
              </w:rPr>
              <w:tab/>
            </w:r>
            <w:r>
              <w:rPr>
                <w:noProof/>
                <w:webHidden/>
              </w:rPr>
              <w:fldChar w:fldCharType="begin"/>
            </w:r>
            <w:r>
              <w:rPr>
                <w:noProof/>
                <w:webHidden/>
              </w:rPr>
              <w:instrText xml:space="preserve"> PAGEREF _Toc401835975 \h </w:instrText>
            </w:r>
            <w:r>
              <w:rPr>
                <w:noProof/>
                <w:webHidden/>
              </w:rPr>
            </w:r>
            <w:r>
              <w:rPr>
                <w:noProof/>
                <w:webHidden/>
              </w:rPr>
              <w:fldChar w:fldCharType="separate"/>
            </w:r>
            <w:r>
              <w:rPr>
                <w:noProof/>
                <w:webHidden/>
              </w:rPr>
              <w:t>9</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76" w:history="1">
            <w:r w:rsidRPr="00004FE1">
              <w:rPr>
                <w:rStyle w:val="Hyperlink"/>
                <w:noProof/>
              </w:rPr>
              <w:t>Quality summary and conclusions</w:t>
            </w:r>
            <w:r>
              <w:rPr>
                <w:noProof/>
                <w:webHidden/>
              </w:rPr>
              <w:tab/>
            </w:r>
            <w:r>
              <w:rPr>
                <w:noProof/>
                <w:webHidden/>
              </w:rPr>
              <w:fldChar w:fldCharType="begin"/>
            </w:r>
            <w:r>
              <w:rPr>
                <w:noProof/>
                <w:webHidden/>
              </w:rPr>
              <w:instrText xml:space="preserve"> PAGEREF _Toc401835976 \h </w:instrText>
            </w:r>
            <w:r>
              <w:rPr>
                <w:noProof/>
                <w:webHidden/>
              </w:rPr>
            </w:r>
            <w:r>
              <w:rPr>
                <w:noProof/>
                <w:webHidden/>
              </w:rPr>
              <w:fldChar w:fldCharType="separate"/>
            </w:r>
            <w:r>
              <w:rPr>
                <w:noProof/>
                <w:webHidden/>
              </w:rPr>
              <w:t>9</w:t>
            </w:r>
            <w:r>
              <w:rPr>
                <w:noProof/>
                <w:webHidden/>
              </w:rPr>
              <w:fldChar w:fldCharType="end"/>
            </w:r>
          </w:hyperlink>
        </w:p>
        <w:p w:rsidR="004055BE" w:rsidRDefault="004055BE">
          <w:pPr>
            <w:pStyle w:val="TOC2"/>
            <w:rPr>
              <w:rFonts w:asciiTheme="minorHAnsi" w:eastAsiaTheme="minorEastAsia" w:hAnsiTheme="minorHAnsi" w:cstheme="minorBidi"/>
              <w:b w:val="0"/>
              <w:noProof/>
              <w:sz w:val="22"/>
              <w:lang w:eastAsia="en-AU"/>
            </w:rPr>
          </w:pPr>
          <w:hyperlink w:anchor="_Toc401835977" w:history="1">
            <w:r w:rsidRPr="00004FE1">
              <w:rPr>
                <w:rStyle w:val="Hyperlink"/>
                <w:noProof/>
              </w:rPr>
              <w:t>III. Nonclinical findings</w:t>
            </w:r>
            <w:r>
              <w:rPr>
                <w:noProof/>
                <w:webHidden/>
              </w:rPr>
              <w:tab/>
            </w:r>
            <w:r>
              <w:rPr>
                <w:noProof/>
                <w:webHidden/>
              </w:rPr>
              <w:fldChar w:fldCharType="begin"/>
            </w:r>
            <w:r>
              <w:rPr>
                <w:noProof/>
                <w:webHidden/>
              </w:rPr>
              <w:instrText xml:space="preserve"> PAGEREF _Toc401835977 \h </w:instrText>
            </w:r>
            <w:r>
              <w:rPr>
                <w:noProof/>
                <w:webHidden/>
              </w:rPr>
            </w:r>
            <w:r>
              <w:rPr>
                <w:noProof/>
                <w:webHidden/>
              </w:rPr>
              <w:fldChar w:fldCharType="separate"/>
            </w:r>
            <w:r>
              <w:rPr>
                <w:noProof/>
                <w:webHidden/>
              </w:rPr>
              <w:t>9</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78" w:history="1">
            <w:r w:rsidRPr="00004FE1">
              <w:rPr>
                <w:rStyle w:val="Hyperlink"/>
                <w:noProof/>
              </w:rPr>
              <w:t>Introduction</w:t>
            </w:r>
            <w:r>
              <w:rPr>
                <w:noProof/>
                <w:webHidden/>
              </w:rPr>
              <w:tab/>
            </w:r>
            <w:r>
              <w:rPr>
                <w:noProof/>
                <w:webHidden/>
              </w:rPr>
              <w:fldChar w:fldCharType="begin"/>
            </w:r>
            <w:r>
              <w:rPr>
                <w:noProof/>
                <w:webHidden/>
              </w:rPr>
              <w:instrText xml:space="preserve"> PAGEREF _Toc401835978 \h </w:instrText>
            </w:r>
            <w:r>
              <w:rPr>
                <w:noProof/>
                <w:webHidden/>
              </w:rPr>
            </w:r>
            <w:r>
              <w:rPr>
                <w:noProof/>
                <w:webHidden/>
              </w:rPr>
              <w:fldChar w:fldCharType="separate"/>
            </w:r>
            <w:r>
              <w:rPr>
                <w:noProof/>
                <w:webHidden/>
              </w:rPr>
              <w:t>9</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79" w:history="1">
            <w:r w:rsidRPr="00004FE1">
              <w:rPr>
                <w:rStyle w:val="Hyperlink"/>
                <w:noProof/>
              </w:rPr>
              <w:t>Pharmacology</w:t>
            </w:r>
            <w:r>
              <w:rPr>
                <w:noProof/>
                <w:webHidden/>
              </w:rPr>
              <w:tab/>
            </w:r>
            <w:r>
              <w:rPr>
                <w:noProof/>
                <w:webHidden/>
              </w:rPr>
              <w:fldChar w:fldCharType="begin"/>
            </w:r>
            <w:r>
              <w:rPr>
                <w:noProof/>
                <w:webHidden/>
              </w:rPr>
              <w:instrText xml:space="preserve"> PAGEREF _Toc401835979 \h </w:instrText>
            </w:r>
            <w:r>
              <w:rPr>
                <w:noProof/>
                <w:webHidden/>
              </w:rPr>
            </w:r>
            <w:r>
              <w:rPr>
                <w:noProof/>
                <w:webHidden/>
              </w:rPr>
              <w:fldChar w:fldCharType="separate"/>
            </w:r>
            <w:r>
              <w:rPr>
                <w:noProof/>
                <w:webHidden/>
              </w:rPr>
              <w:t>10</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80" w:history="1">
            <w:r w:rsidRPr="00004FE1">
              <w:rPr>
                <w:rStyle w:val="Hyperlink"/>
                <w:noProof/>
              </w:rPr>
              <w:t>Pharmacokinetics</w:t>
            </w:r>
            <w:r>
              <w:rPr>
                <w:noProof/>
                <w:webHidden/>
              </w:rPr>
              <w:tab/>
            </w:r>
            <w:r>
              <w:rPr>
                <w:noProof/>
                <w:webHidden/>
              </w:rPr>
              <w:fldChar w:fldCharType="begin"/>
            </w:r>
            <w:r>
              <w:rPr>
                <w:noProof/>
                <w:webHidden/>
              </w:rPr>
              <w:instrText xml:space="preserve"> PAGEREF _Toc401835980 \h </w:instrText>
            </w:r>
            <w:r>
              <w:rPr>
                <w:noProof/>
                <w:webHidden/>
              </w:rPr>
            </w:r>
            <w:r>
              <w:rPr>
                <w:noProof/>
                <w:webHidden/>
              </w:rPr>
              <w:fldChar w:fldCharType="separate"/>
            </w:r>
            <w:r>
              <w:rPr>
                <w:noProof/>
                <w:webHidden/>
              </w:rPr>
              <w:t>10</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81" w:history="1">
            <w:r w:rsidRPr="00004FE1">
              <w:rPr>
                <w:rStyle w:val="Hyperlink"/>
                <w:noProof/>
              </w:rPr>
              <w:t>Toxicology</w:t>
            </w:r>
            <w:r>
              <w:rPr>
                <w:noProof/>
                <w:webHidden/>
              </w:rPr>
              <w:tab/>
            </w:r>
            <w:r>
              <w:rPr>
                <w:noProof/>
                <w:webHidden/>
              </w:rPr>
              <w:fldChar w:fldCharType="begin"/>
            </w:r>
            <w:r>
              <w:rPr>
                <w:noProof/>
                <w:webHidden/>
              </w:rPr>
              <w:instrText xml:space="preserve"> PAGEREF _Toc401835981 \h </w:instrText>
            </w:r>
            <w:r>
              <w:rPr>
                <w:noProof/>
                <w:webHidden/>
              </w:rPr>
            </w:r>
            <w:r>
              <w:rPr>
                <w:noProof/>
                <w:webHidden/>
              </w:rPr>
              <w:fldChar w:fldCharType="separate"/>
            </w:r>
            <w:r>
              <w:rPr>
                <w:noProof/>
                <w:webHidden/>
              </w:rPr>
              <w:t>10</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82" w:history="1">
            <w:r w:rsidRPr="00004FE1">
              <w:rPr>
                <w:rStyle w:val="Hyperlink"/>
                <w:noProof/>
              </w:rPr>
              <w:t>Nonclinical summary and conclusions</w:t>
            </w:r>
            <w:r>
              <w:rPr>
                <w:noProof/>
                <w:webHidden/>
              </w:rPr>
              <w:tab/>
            </w:r>
            <w:r>
              <w:rPr>
                <w:noProof/>
                <w:webHidden/>
              </w:rPr>
              <w:fldChar w:fldCharType="begin"/>
            </w:r>
            <w:r>
              <w:rPr>
                <w:noProof/>
                <w:webHidden/>
              </w:rPr>
              <w:instrText xml:space="preserve"> PAGEREF _Toc401835982 \h </w:instrText>
            </w:r>
            <w:r>
              <w:rPr>
                <w:noProof/>
                <w:webHidden/>
              </w:rPr>
            </w:r>
            <w:r>
              <w:rPr>
                <w:noProof/>
                <w:webHidden/>
              </w:rPr>
              <w:fldChar w:fldCharType="separate"/>
            </w:r>
            <w:r>
              <w:rPr>
                <w:noProof/>
                <w:webHidden/>
              </w:rPr>
              <w:t>12</w:t>
            </w:r>
            <w:r>
              <w:rPr>
                <w:noProof/>
                <w:webHidden/>
              </w:rPr>
              <w:fldChar w:fldCharType="end"/>
            </w:r>
          </w:hyperlink>
        </w:p>
        <w:p w:rsidR="004055BE" w:rsidRDefault="004055BE">
          <w:pPr>
            <w:pStyle w:val="TOC2"/>
            <w:rPr>
              <w:rFonts w:asciiTheme="minorHAnsi" w:eastAsiaTheme="minorEastAsia" w:hAnsiTheme="minorHAnsi" w:cstheme="minorBidi"/>
              <w:b w:val="0"/>
              <w:noProof/>
              <w:sz w:val="22"/>
              <w:lang w:eastAsia="en-AU"/>
            </w:rPr>
          </w:pPr>
          <w:hyperlink w:anchor="_Toc401835983" w:history="1">
            <w:r w:rsidRPr="00004FE1">
              <w:rPr>
                <w:rStyle w:val="Hyperlink"/>
                <w:noProof/>
              </w:rPr>
              <w:t>IV. Clinical findings</w:t>
            </w:r>
            <w:r>
              <w:rPr>
                <w:noProof/>
                <w:webHidden/>
              </w:rPr>
              <w:tab/>
            </w:r>
            <w:r>
              <w:rPr>
                <w:noProof/>
                <w:webHidden/>
              </w:rPr>
              <w:fldChar w:fldCharType="begin"/>
            </w:r>
            <w:r>
              <w:rPr>
                <w:noProof/>
                <w:webHidden/>
              </w:rPr>
              <w:instrText xml:space="preserve"> PAGEREF _Toc401835983 \h </w:instrText>
            </w:r>
            <w:r>
              <w:rPr>
                <w:noProof/>
                <w:webHidden/>
              </w:rPr>
            </w:r>
            <w:r>
              <w:rPr>
                <w:noProof/>
                <w:webHidden/>
              </w:rPr>
              <w:fldChar w:fldCharType="separate"/>
            </w:r>
            <w:r>
              <w:rPr>
                <w:noProof/>
                <w:webHidden/>
              </w:rPr>
              <w:t>12</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84" w:history="1">
            <w:r w:rsidRPr="00004FE1">
              <w:rPr>
                <w:rStyle w:val="Hyperlink"/>
                <w:noProof/>
              </w:rPr>
              <w:t>Introduction</w:t>
            </w:r>
            <w:r>
              <w:rPr>
                <w:noProof/>
                <w:webHidden/>
              </w:rPr>
              <w:tab/>
            </w:r>
            <w:r>
              <w:rPr>
                <w:noProof/>
                <w:webHidden/>
              </w:rPr>
              <w:fldChar w:fldCharType="begin"/>
            </w:r>
            <w:r>
              <w:rPr>
                <w:noProof/>
                <w:webHidden/>
              </w:rPr>
              <w:instrText xml:space="preserve"> PAGEREF _Toc401835984 \h </w:instrText>
            </w:r>
            <w:r>
              <w:rPr>
                <w:noProof/>
                <w:webHidden/>
              </w:rPr>
            </w:r>
            <w:r>
              <w:rPr>
                <w:noProof/>
                <w:webHidden/>
              </w:rPr>
              <w:fldChar w:fldCharType="separate"/>
            </w:r>
            <w:r>
              <w:rPr>
                <w:noProof/>
                <w:webHidden/>
              </w:rPr>
              <w:t>12</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85" w:history="1">
            <w:r w:rsidRPr="00004FE1">
              <w:rPr>
                <w:rStyle w:val="Hyperlink"/>
                <w:noProof/>
              </w:rPr>
              <w:t>Pharmacokinetics</w:t>
            </w:r>
            <w:r>
              <w:rPr>
                <w:noProof/>
                <w:webHidden/>
              </w:rPr>
              <w:tab/>
            </w:r>
            <w:r>
              <w:rPr>
                <w:noProof/>
                <w:webHidden/>
              </w:rPr>
              <w:fldChar w:fldCharType="begin"/>
            </w:r>
            <w:r>
              <w:rPr>
                <w:noProof/>
                <w:webHidden/>
              </w:rPr>
              <w:instrText xml:space="preserve"> PAGEREF _Toc401835985 \h </w:instrText>
            </w:r>
            <w:r>
              <w:rPr>
                <w:noProof/>
                <w:webHidden/>
              </w:rPr>
            </w:r>
            <w:r>
              <w:rPr>
                <w:noProof/>
                <w:webHidden/>
              </w:rPr>
              <w:fldChar w:fldCharType="separate"/>
            </w:r>
            <w:r>
              <w:rPr>
                <w:noProof/>
                <w:webHidden/>
              </w:rPr>
              <w:t>13</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86" w:history="1">
            <w:r w:rsidRPr="00004FE1">
              <w:rPr>
                <w:rStyle w:val="Hyperlink"/>
                <w:noProof/>
              </w:rPr>
              <w:t>Pharmacodynamics</w:t>
            </w:r>
            <w:r>
              <w:rPr>
                <w:noProof/>
                <w:webHidden/>
              </w:rPr>
              <w:tab/>
            </w:r>
            <w:r>
              <w:rPr>
                <w:noProof/>
                <w:webHidden/>
              </w:rPr>
              <w:fldChar w:fldCharType="begin"/>
            </w:r>
            <w:r>
              <w:rPr>
                <w:noProof/>
                <w:webHidden/>
              </w:rPr>
              <w:instrText xml:space="preserve"> PAGEREF _Toc401835986 \h </w:instrText>
            </w:r>
            <w:r>
              <w:rPr>
                <w:noProof/>
                <w:webHidden/>
              </w:rPr>
            </w:r>
            <w:r>
              <w:rPr>
                <w:noProof/>
                <w:webHidden/>
              </w:rPr>
              <w:fldChar w:fldCharType="separate"/>
            </w:r>
            <w:r>
              <w:rPr>
                <w:noProof/>
                <w:webHidden/>
              </w:rPr>
              <w:t>16</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87" w:history="1">
            <w:r w:rsidRPr="00004FE1">
              <w:rPr>
                <w:rStyle w:val="Hyperlink"/>
                <w:noProof/>
              </w:rPr>
              <w:t>Efficacy</w:t>
            </w:r>
            <w:r>
              <w:rPr>
                <w:noProof/>
                <w:webHidden/>
              </w:rPr>
              <w:tab/>
            </w:r>
            <w:r>
              <w:rPr>
                <w:noProof/>
                <w:webHidden/>
              </w:rPr>
              <w:fldChar w:fldCharType="begin"/>
            </w:r>
            <w:r>
              <w:rPr>
                <w:noProof/>
                <w:webHidden/>
              </w:rPr>
              <w:instrText xml:space="preserve"> PAGEREF _Toc401835987 \h </w:instrText>
            </w:r>
            <w:r>
              <w:rPr>
                <w:noProof/>
                <w:webHidden/>
              </w:rPr>
            </w:r>
            <w:r>
              <w:rPr>
                <w:noProof/>
                <w:webHidden/>
              </w:rPr>
              <w:fldChar w:fldCharType="separate"/>
            </w:r>
            <w:r>
              <w:rPr>
                <w:noProof/>
                <w:webHidden/>
              </w:rPr>
              <w:t>16</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88" w:history="1">
            <w:r w:rsidRPr="00004FE1">
              <w:rPr>
                <w:rStyle w:val="Hyperlink"/>
                <w:noProof/>
              </w:rPr>
              <w:t>Safety</w:t>
            </w:r>
            <w:r>
              <w:rPr>
                <w:noProof/>
                <w:webHidden/>
              </w:rPr>
              <w:tab/>
            </w:r>
            <w:r>
              <w:rPr>
                <w:noProof/>
                <w:webHidden/>
              </w:rPr>
              <w:fldChar w:fldCharType="begin"/>
            </w:r>
            <w:r>
              <w:rPr>
                <w:noProof/>
                <w:webHidden/>
              </w:rPr>
              <w:instrText xml:space="preserve"> PAGEREF _Toc401835988 \h </w:instrText>
            </w:r>
            <w:r>
              <w:rPr>
                <w:noProof/>
                <w:webHidden/>
              </w:rPr>
            </w:r>
            <w:r>
              <w:rPr>
                <w:noProof/>
                <w:webHidden/>
              </w:rPr>
              <w:fldChar w:fldCharType="separate"/>
            </w:r>
            <w:r>
              <w:rPr>
                <w:noProof/>
                <w:webHidden/>
              </w:rPr>
              <w:t>25</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89" w:history="1">
            <w:r w:rsidRPr="00004FE1">
              <w:rPr>
                <w:rStyle w:val="Hyperlink"/>
                <w:noProof/>
              </w:rPr>
              <w:t>List of questions</w:t>
            </w:r>
            <w:r>
              <w:rPr>
                <w:noProof/>
                <w:webHidden/>
              </w:rPr>
              <w:tab/>
            </w:r>
            <w:r>
              <w:rPr>
                <w:noProof/>
                <w:webHidden/>
              </w:rPr>
              <w:fldChar w:fldCharType="begin"/>
            </w:r>
            <w:r>
              <w:rPr>
                <w:noProof/>
                <w:webHidden/>
              </w:rPr>
              <w:instrText xml:space="preserve"> PAGEREF _Toc401835989 \h </w:instrText>
            </w:r>
            <w:r>
              <w:rPr>
                <w:noProof/>
                <w:webHidden/>
              </w:rPr>
            </w:r>
            <w:r>
              <w:rPr>
                <w:noProof/>
                <w:webHidden/>
              </w:rPr>
              <w:fldChar w:fldCharType="separate"/>
            </w:r>
            <w:r>
              <w:rPr>
                <w:noProof/>
                <w:webHidden/>
              </w:rPr>
              <w:t>29</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90" w:history="1">
            <w:r w:rsidRPr="00004FE1">
              <w:rPr>
                <w:rStyle w:val="Hyperlink"/>
                <w:noProof/>
              </w:rPr>
              <w:t>Clinical summary and conclusions</w:t>
            </w:r>
            <w:r>
              <w:rPr>
                <w:noProof/>
                <w:webHidden/>
              </w:rPr>
              <w:tab/>
            </w:r>
            <w:r>
              <w:rPr>
                <w:noProof/>
                <w:webHidden/>
              </w:rPr>
              <w:fldChar w:fldCharType="begin"/>
            </w:r>
            <w:r>
              <w:rPr>
                <w:noProof/>
                <w:webHidden/>
              </w:rPr>
              <w:instrText xml:space="preserve"> PAGEREF _Toc401835990 \h </w:instrText>
            </w:r>
            <w:r>
              <w:rPr>
                <w:noProof/>
                <w:webHidden/>
              </w:rPr>
            </w:r>
            <w:r>
              <w:rPr>
                <w:noProof/>
                <w:webHidden/>
              </w:rPr>
              <w:fldChar w:fldCharType="separate"/>
            </w:r>
            <w:r>
              <w:rPr>
                <w:noProof/>
                <w:webHidden/>
              </w:rPr>
              <w:t>29</w:t>
            </w:r>
            <w:r>
              <w:rPr>
                <w:noProof/>
                <w:webHidden/>
              </w:rPr>
              <w:fldChar w:fldCharType="end"/>
            </w:r>
          </w:hyperlink>
        </w:p>
        <w:p w:rsidR="004055BE" w:rsidRDefault="004055BE">
          <w:pPr>
            <w:pStyle w:val="TOC2"/>
            <w:rPr>
              <w:rFonts w:asciiTheme="minorHAnsi" w:eastAsiaTheme="minorEastAsia" w:hAnsiTheme="minorHAnsi" w:cstheme="minorBidi"/>
              <w:b w:val="0"/>
              <w:noProof/>
              <w:sz w:val="22"/>
              <w:lang w:eastAsia="en-AU"/>
            </w:rPr>
          </w:pPr>
          <w:hyperlink w:anchor="_Toc401835991" w:history="1">
            <w:r w:rsidRPr="00004FE1">
              <w:rPr>
                <w:rStyle w:val="Hyperlink"/>
                <w:noProof/>
              </w:rPr>
              <w:t>V. Pharmacovigilance findings</w:t>
            </w:r>
            <w:r>
              <w:rPr>
                <w:noProof/>
                <w:webHidden/>
              </w:rPr>
              <w:tab/>
            </w:r>
            <w:r>
              <w:rPr>
                <w:noProof/>
                <w:webHidden/>
              </w:rPr>
              <w:fldChar w:fldCharType="begin"/>
            </w:r>
            <w:r>
              <w:rPr>
                <w:noProof/>
                <w:webHidden/>
              </w:rPr>
              <w:instrText xml:space="preserve"> PAGEREF _Toc401835991 \h </w:instrText>
            </w:r>
            <w:r>
              <w:rPr>
                <w:noProof/>
                <w:webHidden/>
              </w:rPr>
            </w:r>
            <w:r>
              <w:rPr>
                <w:noProof/>
                <w:webHidden/>
              </w:rPr>
              <w:fldChar w:fldCharType="separate"/>
            </w:r>
            <w:r>
              <w:rPr>
                <w:noProof/>
                <w:webHidden/>
              </w:rPr>
              <w:t>30</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92" w:history="1">
            <w:r w:rsidRPr="00004FE1">
              <w:rPr>
                <w:rStyle w:val="Hyperlink"/>
                <w:noProof/>
                <w:lang w:eastAsia="en-AU"/>
              </w:rPr>
              <w:t xml:space="preserve">Risk </w:t>
            </w:r>
            <w:r w:rsidRPr="00004FE1">
              <w:rPr>
                <w:rStyle w:val="Hyperlink"/>
                <w:noProof/>
              </w:rPr>
              <w:t>management</w:t>
            </w:r>
            <w:r w:rsidRPr="00004FE1">
              <w:rPr>
                <w:rStyle w:val="Hyperlink"/>
                <w:noProof/>
                <w:lang w:eastAsia="en-AU"/>
              </w:rPr>
              <w:t xml:space="preserve"> </w:t>
            </w:r>
            <w:r w:rsidRPr="00004FE1">
              <w:rPr>
                <w:rStyle w:val="Hyperlink"/>
                <w:noProof/>
              </w:rPr>
              <w:t>plan</w:t>
            </w:r>
            <w:r>
              <w:rPr>
                <w:noProof/>
                <w:webHidden/>
              </w:rPr>
              <w:tab/>
            </w:r>
            <w:r>
              <w:rPr>
                <w:noProof/>
                <w:webHidden/>
              </w:rPr>
              <w:fldChar w:fldCharType="begin"/>
            </w:r>
            <w:r>
              <w:rPr>
                <w:noProof/>
                <w:webHidden/>
              </w:rPr>
              <w:instrText xml:space="preserve"> PAGEREF _Toc401835992 \h </w:instrText>
            </w:r>
            <w:r>
              <w:rPr>
                <w:noProof/>
                <w:webHidden/>
              </w:rPr>
            </w:r>
            <w:r>
              <w:rPr>
                <w:noProof/>
                <w:webHidden/>
              </w:rPr>
              <w:fldChar w:fldCharType="separate"/>
            </w:r>
            <w:r>
              <w:rPr>
                <w:noProof/>
                <w:webHidden/>
              </w:rPr>
              <w:t>30</w:t>
            </w:r>
            <w:r>
              <w:rPr>
                <w:noProof/>
                <w:webHidden/>
              </w:rPr>
              <w:fldChar w:fldCharType="end"/>
            </w:r>
          </w:hyperlink>
        </w:p>
        <w:p w:rsidR="004055BE" w:rsidRDefault="004055BE">
          <w:pPr>
            <w:pStyle w:val="TOC2"/>
            <w:rPr>
              <w:rFonts w:asciiTheme="minorHAnsi" w:eastAsiaTheme="minorEastAsia" w:hAnsiTheme="minorHAnsi" w:cstheme="minorBidi"/>
              <w:b w:val="0"/>
              <w:noProof/>
              <w:sz w:val="22"/>
              <w:lang w:eastAsia="en-AU"/>
            </w:rPr>
          </w:pPr>
          <w:hyperlink w:anchor="_Toc401835993" w:history="1">
            <w:r w:rsidRPr="00004FE1">
              <w:rPr>
                <w:rStyle w:val="Hyperlink"/>
                <w:noProof/>
              </w:rPr>
              <w:t>VI. Overall conclusion and risk/benefit assessment</w:t>
            </w:r>
            <w:r>
              <w:rPr>
                <w:noProof/>
                <w:webHidden/>
              </w:rPr>
              <w:tab/>
            </w:r>
            <w:r>
              <w:rPr>
                <w:noProof/>
                <w:webHidden/>
              </w:rPr>
              <w:fldChar w:fldCharType="begin"/>
            </w:r>
            <w:r>
              <w:rPr>
                <w:noProof/>
                <w:webHidden/>
              </w:rPr>
              <w:instrText xml:space="preserve"> PAGEREF _Toc401835993 \h </w:instrText>
            </w:r>
            <w:r>
              <w:rPr>
                <w:noProof/>
                <w:webHidden/>
              </w:rPr>
            </w:r>
            <w:r>
              <w:rPr>
                <w:noProof/>
                <w:webHidden/>
              </w:rPr>
              <w:fldChar w:fldCharType="separate"/>
            </w:r>
            <w:r>
              <w:rPr>
                <w:noProof/>
                <w:webHidden/>
              </w:rPr>
              <w:t>35</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94" w:history="1">
            <w:r w:rsidRPr="00004FE1">
              <w:rPr>
                <w:rStyle w:val="Hyperlink"/>
                <w:noProof/>
              </w:rPr>
              <w:t>Quality</w:t>
            </w:r>
            <w:r>
              <w:rPr>
                <w:noProof/>
                <w:webHidden/>
              </w:rPr>
              <w:tab/>
            </w:r>
            <w:r>
              <w:rPr>
                <w:noProof/>
                <w:webHidden/>
              </w:rPr>
              <w:fldChar w:fldCharType="begin"/>
            </w:r>
            <w:r>
              <w:rPr>
                <w:noProof/>
                <w:webHidden/>
              </w:rPr>
              <w:instrText xml:space="preserve"> PAGEREF _Toc401835994 \h </w:instrText>
            </w:r>
            <w:r>
              <w:rPr>
                <w:noProof/>
                <w:webHidden/>
              </w:rPr>
            </w:r>
            <w:r>
              <w:rPr>
                <w:noProof/>
                <w:webHidden/>
              </w:rPr>
              <w:fldChar w:fldCharType="separate"/>
            </w:r>
            <w:r>
              <w:rPr>
                <w:noProof/>
                <w:webHidden/>
              </w:rPr>
              <w:t>35</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95" w:history="1">
            <w:r w:rsidRPr="00004FE1">
              <w:rPr>
                <w:rStyle w:val="Hyperlink"/>
                <w:noProof/>
              </w:rPr>
              <w:t>Nonclinical</w:t>
            </w:r>
            <w:r>
              <w:rPr>
                <w:noProof/>
                <w:webHidden/>
              </w:rPr>
              <w:tab/>
            </w:r>
            <w:r>
              <w:rPr>
                <w:noProof/>
                <w:webHidden/>
              </w:rPr>
              <w:fldChar w:fldCharType="begin"/>
            </w:r>
            <w:r>
              <w:rPr>
                <w:noProof/>
                <w:webHidden/>
              </w:rPr>
              <w:instrText xml:space="preserve"> PAGEREF _Toc401835995 \h </w:instrText>
            </w:r>
            <w:r>
              <w:rPr>
                <w:noProof/>
                <w:webHidden/>
              </w:rPr>
            </w:r>
            <w:r>
              <w:rPr>
                <w:noProof/>
                <w:webHidden/>
              </w:rPr>
              <w:fldChar w:fldCharType="separate"/>
            </w:r>
            <w:r>
              <w:rPr>
                <w:noProof/>
                <w:webHidden/>
              </w:rPr>
              <w:t>36</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96" w:history="1">
            <w:r w:rsidRPr="00004FE1">
              <w:rPr>
                <w:rStyle w:val="Hyperlink"/>
                <w:noProof/>
              </w:rPr>
              <w:t>Clinical</w:t>
            </w:r>
            <w:r>
              <w:rPr>
                <w:noProof/>
                <w:webHidden/>
              </w:rPr>
              <w:tab/>
            </w:r>
            <w:r>
              <w:rPr>
                <w:noProof/>
                <w:webHidden/>
              </w:rPr>
              <w:fldChar w:fldCharType="begin"/>
            </w:r>
            <w:r>
              <w:rPr>
                <w:noProof/>
                <w:webHidden/>
              </w:rPr>
              <w:instrText xml:space="preserve"> PAGEREF _Toc401835996 \h </w:instrText>
            </w:r>
            <w:r>
              <w:rPr>
                <w:noProof/>
                <w:webHidden/>
              </w:rPr>
            </w:r>
            <w:r>
              <w:rPr>
                <w:noProof/>
                <w:webHidden/>
              </w:rPr>
              <w:fldChar w:fldCharType="separate"/>
            </w:r>
            <w:r>
              <w:rPr>
                <w:noProof/>
                <w:webHidden/>
              </w:rPr>
              <w:t>36</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97" w:history="1">
            <w:r w:rsidRPr="00004FE1">
              <w:rPr>
                <w:rStyle w:val="Hyperlink"/>
                <w:noProof/>
                <w:lang w:eastAsia="en-AU"/>
              </w:rPr>
              <w:t xml:space="preserve">Risk </w:t>
            </w:r>
            <w:r w:rsidRPr="00004FE1">
              <w:rPr>
                <w:rStyle w:val="Hyperlink"/>
                <w:noProof/>
              </w:rPr>
              <w:t>management</w:t>
            </w:r>
            <w:r w:rsidRPr="00004FE1">
              <w:rPr>
                <w:rStyle w:val="Hyperlink"/>
                <w:noProof/>
                <w:lang w:eastAsia="en-AU"/>
              </w:rPr>
              <w:t xml:space="preserve"> plan</w:t>
            </w:r>
            <w:r>
              <w:rPr>
                <w:noProof/>
                <w:webHidden/>
              </w:rPr>
              <w:tab/>
            </w:r>
            <w:r>
              <w:rPr>
                <w:noProof/>
                <w:webHidden/>
              </w:rPr>
              <w:fldChar w:fldCharType="begin"/>
            </w:r>
            <w:r>
              <w:rPr>
                <w:noProof/>
                <w:webHidden/>
              </w:rPr>
              <w:instrText xml:space="preserve"> PAGEREF _Toc401835997 \h </w:instrText>
            </w:r>
            <w:r>
              <w:rPr>
                <w:noProof/>
                <w:webHidden/>
              </w:rPr>
            </w:r>
            <w:r>
              <w:rPr>
                <w:noProof/>
                <w:webHidden/>
              </w:rPr>
              <w:fldChar w:fldCharType="separate"/>
            </w:r>
            <w:r>
              <w:rPr>
                <w:noProof/>
                <w:webHidden/>
              </w:rPr>
              <w:t>40</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98" w:history="1">
            <w:r w:rsidRPr="00004FE1">
              <w:rPr>
                <w:rStyle w:val="Hyperlink"/>
                <w:noProof/>
              </w:rPr>
              <w:t>Risk-benefit analysis</w:t>
            </w:r>
            <w:r>
              <w:rPr>
                <w:noProof/>
                <w:webHidden/>
              </w:rPr>
              <w:tab/>
            </w:r>
            <w:r>
              <w:rPr>
                <w:noProof/>
                <w:webHidden/>
              </w:rPr>
              <w:fldChar w:fldCharType="begin"/>
            </w:r>
            <w:r>
              <w:rPr>
                <w:noProof/>
                <w:webHidden/>
              </w:rPr>
              <w:instrText xml:space="preserve"> PAGEREF _Toc401835998 \h </w:instrText>
            </w:r>
            <w:r>
              <w:rPr>
                <w:noProof/>
                <w:webHidden/>
              </w:rPr>
            </w:r>
            <w:r>
              <w:rPr>
                <w:noProof/>
                <w:webHidden/>
              </w:rPr>
              <w:fldChar w:fldCharType="separate"/>
            </w:r>
            <w:r>
              <w:rPr>
                <w:noProof/>
                <w:webHidden/>
              </w:rPr>
              <w:t>41</w:t>
            </w:r>
            <w:r>
              <w:rPr>
                <w:noProof/>
                <w:webHidden/>
              </w:rPr>
              <w:fldChar w:fldCharType="end"/>
            </w:r>
          </w:hyperlink>
        </w:p>
        <w:p w:rsidR="004055BE" w:rsidRDefault="004055BE">
          <w:pPr>
            <w:pStyle w:val="TOC3"/>
            <w:rPr>
              <w:rFonts w:asciiTheme="minorHAnsi" w:eastAsiaTheme="minorEastAsia" w:hAnsiTheme="minorHAnsi" w:cstheme="minorBidi"/>
              <w:noProof/>
              <w:lang w:eastAsia="en-AU"/>
            </w:rPr>
          </w:pPr>
          <w:hyperlink w:anchor="_Toc401835999" w:history="1">
            <w:r w:rsidRPr="00004FE1">
              <w:rPr>
                <w:rStyle w:val="Hyperlink"/>
                <w:noProof/>
              </w:rPr>
              <w:t>Outcome</w:t>
            </w:r>
            <w:r>
              <w:rPr>
                <w:noProof/>
                <w:webHidden/>
              </w:rPr>
              <w:tab/>
            </w:r>
            <w:r>
              <w:rPr>
                <w:noProof/>
                <w:webHidden/>
              </w:rPr>
              <w:fldChar w:fldCharType="begin"/>
            </w:r>
            <w:r>
              <w:rPr>
                <w:noProof/>
                <w:webHidden/>
              </w:rPr>
              <w:instrText xml:space="preserve"> PAGEREF _Toc401835999 \h </w:instrText>
            </w:r>
            <w:r>
              <w:rPr>
                <w:noProof/>
                <w:webHidden/>
              </w:rPr>
            </w:r>
            <w:r>
              <w:rPr>
                <w:noProof/>
                <w:webHidden/>
              </w:rPr>
              <w:fldChar w:fldCharType="separate"/>
            </w:r>
            <w:r>
              <w:rPr>
                <w:noProof/>
                <w:webHidden/>
              </w:rPr>
              <w:t>44</w:t>
            </w:r>
            <w:r>
              <w:rPr>
                <w:noProof/>
                <w:webHidden/>
              </w:rPr>
              <w:fldChar w:fldCharType="end"/>
            </w:r>
          </w:hyperlink>
        </w:p>
        <w:p w:rsidR="004055BE" w:rsidRDefault="004055BE">
          <w:pPr>
            <w:pStyle w:val="TOC2"/>
            <w:tabs>
              <w:tab w:val="left" w:pos="2448"/>
            </w:tabs>
            <w:rPr>
              <w:rFonts w:asciiTheme="minorHAnsi" w:eastAsiaTheme="minorEastAsia" w:hAnsiTheme="minorHAnsi" w:cstheme="minorBidi"/>
              <w:b w:val="0"/>
              <w:noProof/>
              <w:sz w:val="22"/>
              <w:lang w:eastAsia="en-AU"/>
            </w:rPr>
          </w:pPr>
          <w:hyperlink w:anchor="_Toc401836000" w:history="1">
            <w:r w:rsidRPr="00004FE1">
              <w:rPr>
                <w:rStyle w:val="Hyperlink"/>
                <w:noProof/>
              </w:rPr>
              <w:t>Attachment 1.</w:t>
            </w:r>
            <w:r>
              <w:rPr>
                <w:rFonts w:asciiTheme="minorHAnsi" w:eastAsiaTheme="minorEastAsia" w:hAnsiTheme="minorHAnsi" w:cstheme="minorBidi"/>
                <w:b w:val="0"/>
                <w:noProof/>
                <w:sz w:val="22"/>
                <w:lang w:eastAsia="en-AU"/>
              </w:rPr>
              <w:tab/>
            </w:r>
            <w:r w:rsidRPr="00004FE1">
              <w:rPr>
                <w:rStyle w:val="Hyperlink"/>
                <w:noProof/>
              </w:rPr>
              <w:t>Product Information</w:t>
            </w:r>
            <w:r>
              <w:rPr>
                <w:noProof/>
                <w:webHidden/>
              </w:rPr>
              <w:tab/>
            </w:r>
            <w:r>
              <w:rPr>
                <w:noProof/>
                <w:webHidden/>
              </w:rPr>
              <w:fldChar w:fldCharType="begin"/>
            </w:r>
            <w:r>
              <w:rPr>
                <w:noProof/>
                <w:webHidden/>
              </w:rPr>
              <w:instrText xml:space="preserve"> PAGEREF _Toc401836000 \h </w:instrText>
            </w:r>
            <w:r>
              <w:rPr>
                <w:noProof/>
                <w:webHidden/>
              </w:rPr>
            </w:r>
            <w:r>
              <w:rPr>
                <w:noProof/>
                <w:webHidden/>
              </w:rPr>
              <w:fldChar w:fldCharType="separate"/>
            </w:r>
            <w:r>
              <w:rPr>
                <w:noProof/>
                <w:webHidden/>
              </w:rPr>
              <w:t>45</w:t>
            </w:r>
            <w:r>
              <w:rPr>
                <w:noProof/>
                <w:webHidden/>
              </w:rPr>
              <w:fldChar w:fldCharType="end"/>
            </w:r>
          </w:hyperlink>
        </w:p>
        <w:p w:rsidR="003A7F6C" w:rsidRPr="00B811C6" w:rsidRDefault="00DB6124" w:rsidP="00CF723F">
          <w:pPr>
            <w:pStyle w:val="TOC2"/>
          </w:pPr>
          <w:r>
            <w:lastRenderedPageBreak/>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E94BBF">
      <w:pPr>
        <w:pStyle w:val="Heading2"/>
      </w:pPr>
      <w:bookmarkStart w:id="4" w:name="_Toc351716269"/>
      <w:bookmarkStart w:id="5" w:name="_Toc351718881"/>
      <w:bookmarkStart w:id="6" w:name="_Toc355338616"/>
      <w:bookmarkStart w:id="7" w:name="_Toc356306144"/>
      <w:bookmarkStart w:id="8" w:name="_Toc401835966"/>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90"/>
        <w:gridCol w:w="6830"/>
      </w:tblGrid>
      <w:tr w:rsidR="00FD119B" w:rsidRPr="00FD119B" w:rsidTr="00E94BBF">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BB7B6F" w:rsidRDefault="00FD119B" w:rsidP="00E94BBF">
            <w:pPr>
              <w:rPr>
                <w:lang w:eastAsia="en-US"/>
              </w:rPr>
            </w:pPr>
            <w:r w:rsidRPr="00BB7B6F">
              <w:rPr>
                <w:lang w:eastAsia="en-US"/>
              </w:rPr>
              <w:t>Abbreviation</w:t>
            </w:r>
          </w:p>
        </w:tc>
        <w:tc>
          <w:tcPr>
            <w:tcW w:w="6911" w:type="dxa"/>
          </w:tcPr>
          <w:p w:rsidR="00FD119B" w:rsidRPr="00BB7B6F" w:rsidRDefault="00FD119B" w:rsidP="00E94BBF">
            <w:pPr>
              <w:rPr>
                <w:lang w:eastAsia="en-US"/>
              </w:rPr>
            </w:pPr>
            <w:r w:rsidRPr="00BB7B6F">
              <w:rPr>
                <w:lang w:eastAsia="en-US"/>
              </w:rPr>
              <w:t>Meaning</w:t>
            </w:r>
          </w:p>
        </w:tc>
      </w:tr>
      <w:tr w:rsidR="00BB7B6F" w:rsidRPr="00FD119B" w:rsidTr="00E94BBF">
        <w:tc>
          <w:tcPr>
            <w:tcW w:w="1809" w:type="dxa"/>
          </w:tcPr>
          <w:p w:rsidR="00BB7B6F" w:rsidRPr="00BB7B6F" w:rsidRDefault="00BB7B6F" w:rsidP="00E94BBF">
            <w:r w:rsidRPr="00BB7B6F">
              <w:t>AE</w:t>
            </w:r>
          </w:p>
        </w:tc>
        <w:tc>
          <w:tcPr>
            <w:tcW w:w="6911" w:type="dxa"/>
          </w:tcPr>
          <w:p w:rsidR="00BB7B6F" w:rsidRPr="00BB7B6F" w:rsidRDefault="00BB7B6F" w:rsidP="00E94BBF">
            <w:r w:rsidRPr="00BB7B6F">
              <w:t>adverse event</w:t>
            </w:r>
          </w:p>
        </w:tc>
      </w:tr>
      <w:tr w:rsidR="00BB7B6F" w:rsidRPr="00FD119B" w:rsidTr="00E94BBF">
        <w:tc>
          <w:tcPr>
            <w:tcW w:w="1809" w:type="dxa"/>
          </w:tcPr>
          <w:p w:rsidR="00BB7B6F" w:rsidRPr="00BB7B6F" w:rsidRDefault="00BB7B6F" w:rsidP="00E94BBF">
            <w:r w:rsidRPr="00BB7B6F">
              <w:t>AUC</w:t>
            </w:r>
          </w:p>
        </w:tc>
        <w:tc>
          <w:tcPr>
            <w:tcW w:w="6911" w:type="dxa"/>
          </w:tcPr>
          <w:p w:rsidR="00BB7B6F" w:rsidRPr="00BB7B6F" w:rsidRDefault="00BB7B6F" w:rsidP="00E94BBF">
            <w:r w:rsidRPr="00BB7B6F">
              <w:t>area under curve</w:t>
            </w:r>
          </w:p>
        </w:tc>
      </w:tr>
      <w:tr w:rsidR="00BB7B6F" w:rsidRPr="00FD119B" w:rsidTr="00E94BBF">
        <w:tc>
          <w:tcPr>
            <w:tcW w:w="1809" w:type="dxa"/>
          </w:tcPr>
          <w:p w:rsidR="00BB7B6F" w:rsidRPr="00BB7B6F" w:rsidRDefault="00BB7B6F" w:rsidP="00E94BBF">
            <w:r w:rsidRPr="00BB7B6F">
              <w:t>CER</w:t>
            </w:r>
          </w:p>
        </w:tc>
        <w:tc>
          <w:tcPr>
            <w:tcW w:w="6911" w:type="dxa"/>
          </w:tcPr>
          <w:p w:rsidR="00BB7B6F" w:rsidRPr="00BB7B6F" w:rsidRDefault="00BB7B6F" w:rsidP="00E94BBF">
            <w:r w:rsidRPr="00BB7B6F">
              <w:t>clinical evaluation report</w:t>
            </w:r>
          </w:p>
        </w:tc>
      </w:tr>
      <w:tr w:rsidR="00BB7B6F" w:rsidRPr="00FD119B" w:rsidTr="00E94BBF">
        <w:tc>
          <w:tcPr>
            <w:tcW w:w="1809" w:type="dxa"/>
          </w:tcPr>
          <w:p w:rsidR="00BB7B6F" w:rsidRPr="00BB7B6F" w:rsidRDefault="00BB7B6F" w:rsidP="00E94BBF">
            <w:r w:rsidRPr="00BB7B6F">
              <w:t>Cmax</w:t>
            </w:r>
          </w:p>
        </w:tc>
        <w:tc>
          <w:tcPr>
            <w:tcW w:w="6911" w:type="dxa"/>
          </w:tcPr>
          <w:p w:rsidR="00BB7B6F" w:rsidRPr="00BB7B6F" w:rsidRDefault="00BB7B6F" w:rsidP="00E94BBF">
            <w:r w:rsidRPr="00BB7B6F">
              <w:t>maximum concentration achieved</w:t>
            </w:r>
          </w:p>
        </w:tc>
      </w:tr>
      <w:tr w:rsidR="00BB7B6F" w:rsidRPr="00FD119B" w:rsidTr="00E94BBF">
        <w:tc>
          <w:tcPr>
            <w:tcW w:w="1809" w:type="dxa"/>
          </w:tcPr>
          <w:p w:rsidR="00BB7B6F" w:rsidRPr="00BB7B6F" w:rsidRDefault="00BB7B6F" w:rsidP="00E94BBF">
            <w:r w:rsidRPr="00BB7B6F">
              <w:t>CMI</w:t>
            </w:r>
          </w:p>
        </w:tc>
        <w:tc>
          <w:tcPr>
            <w:tcW w:w="6911" w:type="dxa"/>
          </w:tcPr>
          <w:p w:rsidR="00BB7B6F" w:rsidRPr="00BB7B6F" w:rsidRDefault="00BB7B6F" w:rsidP="00E94BBF">
            <w:r w:rsidRPr="00BB7B6F">
              <w:t>consumer medicine information</w:t>
            </w:r>
          </w:p>
        </w:tc>
      </w:tr>
      <w:tr w:rsidR="00BB7B6F" w:rsidRPr="00FD119B" w:rsidTr="00E94BBF">
        <w:tc>
          <w:tcPr>
            <w:tcW w:w="1809" w:type="dxa"/>
          </w:tcPr>
          <w:p w:rsidR="00BB7B6F" w:rsidRPr="00BB7B6F" w:rsidRDefault="00BB7B6F" w:rsidP="00E94BBF">
            <w:r w:rsidRPr="00BB7B6F">
              <w:t>COC</w:t>
            </w:r>
          </w:p>
        </w:tc>
        <w:tc>
          <w:tcPr>
            <w:tcW w:w="6911" w:type="dxa"/>
          </w:tcPr>
          <w:p w:rsidR="00BB7B6F" w:rsidRPr="00BB7B6F" w:rsidRDefault="00BB7B6F" w:rsidP="00E94BBF">
            <w:r w:rsidRPr="00BB7B6F">
              <w:t>combined oral contraceptive</w:t>
            </w:r>
          </w:p>
        </w:tc>
      </w:tr>
      <w:tr w:rsidR="00BB7B6F" w:rsidRPr="00FD119B" w:rsidTr="00E94BBF">
        <w:tc>
          <w:tcPr>
            <w:tcW w:w="1809" w:type="dxa"/>
          </w:tcPr>
          <w:p w:rsidR="00BB7B6F" w:rsidRPr="00BB7B6F" w:rsidRDefault="00BB7B6F" w:rsidP="00E94BBF">
            <w:r w:rsidRPr="00BB7B6F">
              <w:t>DRSP</w:t>
            </w:r>
          </w:p>
        </w:tc>
        <w:tc>
          <w:tcPr>
            <w:tcW w:w="6911" w:type="dxa"/>
          </w:tcPr>
          <w:p w:rsidR="00BB7B6F" w:rsidRPr="00BB7B6F" w:rsidRDefault="00BB7B6F" w:rsidP="00E94BBF">
            <w:proofErr w:type="spellStart"/>
            <w:r w:rsidRPr="00BB7B6F">
              <w:t>drospirenone</w:t>
            </w:r>
            <w:proofErr w:type="spellEnd"/>
          </w:p>
        </w:tc>
      </w:tr>
      <w:tr w:rsidR="00BB7B6F" w:rsidRPr="00FD119B" w:rsidTr="00E94BBF">
        <w:tc>
          <w:tcPr>
            <w:tcW w:w="1809" w:type="dxa"/>
          </w:tcPr>
          <w:p w:rsidR="00BB7B6F" w:rsidRPr="00BB7B6F" w:rsidRDefault="00BB7B6F" w:rsidP="00E94BBF">
            <w:r w:rsidRPr="00BB7B6F">
              <w:t>EE</w:t>
            </w:r>
          </w:p>
        </w:tc>
        <w:tc>
          <w:tcPr>
            <w:tcW w:w="6911" w:type="dxa"/>
          </w:tcPr>
          <w:p w:rsidR="00BB7B6F" w:rsidRPr="00BB7B6F" w:rsidRDefault="00BB7B6F" w:rsidP="00E94BBF">
            <w:proofErr w:type="spellStart"/>
            <w:r w:rsidRPr="00BB7B6F">
              <w:t>ethinyloestradiol</w:t>
            </w:r>
            <w:proofErr w:type="spellEnd"/>
          </w:p>
        </w:tc>
      </w:tr>
      <w:tr w:rsidR="00BB7B6F" w:rsidRPr="00FD119B" w:rsidTr="00E94BBF">
        <w:tc>
          <w:tcPr>
            <w:tcW w:w="1809" w:type="dxa"/>
          </w:tcPr>
          <w:p w:rsidR="00BB7B6F" w:rsidRPr="00BB7B6F" w:rsidRDefault="00BB7B6F" w:rsidP="00E94BBF">
            <w:r w:rsidRPr="00BB7B6F">
              <w:t>EU</w:t>
            </w:r>
          </w:p>
        </w:tc>
        <w:tc>
          <w:tcPr>
            <w:tcW w:w="6911" w:type="dxa"/>
          </w:tcPr>
          <w:p w:rsidR="00BB7B6F" w:rsidRPr="00BB7B6F" w:rsidRDefault="00BB7B6F" w:rsidP="00E94BBF">
            <w:r w:rsidRPr="00BB7B6F">
              <w:t>European Union</w:t>
            </w:r>
          </w:p>
        </w:tc>
      </w:tr>
      <w:tr w:rsidR="00BB7B6F" w:rsidRPr="00FD119B" w:rsidTr="00E94BBF">
        <w:tc>
          <w:tcPr>
            <w:tcW w:w="1809" w:type="dxa"/>
          </w:tcPr>
          <w:p w:rsidR="00BB7B6F" w:rsidRPr="00BB7B6F" w:rsidRDefault="00BB7B6F" w:rsidP="00E94BBF">
            <w:r w:rsidRPr="00BB7B6F">
              <w:t>EURAS</w:t>
            </w:r>
          </w:p>
        </w:tc>
        <w:tc>
          <w:tcPr>
            <w:tcW w:w="6911" w:type="dxa"/>
          </w:tcPr>
          <w:p w:rsidR="00BB7B6F" w:rsidRPr="00BB7B6F" w:rsidRDefault="00BB7B6F" w:rsidP="00E94BBF">
            <w:r w:rsidRPr="00BB7B6F">
              <w:t>European Active Surveillance Study</w:t>
            </w:r>
          </w:p>
        </w:tc>
      </w:tr>
      <w:tr w:rsidR="00BB7B6F" w:rsidRPr="00FD119B" w:rsidTr="00E94BBF">
        <w:tc>
          <w:tcPr>
            <w:tcW w:w="1809" w:type="dxa"/>
          </w:tcPr>
          <w:p w:rsidR="00BB7B6F" w:rsidRPr="00BB7B6F" w:rsidRDefault="00BB7B6F" w:rsidP="00E94BBF">
            <w:r w:rsidRPr="00BB7B6F">
              <w:t>FSH</w:t>
            </w:r>
          </w:p>
        </w:tc>
        <w:tc>
          <w:tcPr>
            <w:tcW w:w="6911" w:type="dxa"/>
          </w:tcPr>
          <w:p w:rsidR="00BB7B6F" w:rsidRPr="00BB7B6F" w:rsidRDefault="00BB7B6F" w:rsidP="00E94BBF">
            <w:r w:rsidRPr="00BB7B6F">
              <w:t>follicle stimulating hormone</w:t>
            </w:r>
          </w:p>
        </w:tc>
      </w:tr>
      <w:tr w:rsidR="00BB7B6F" w:rsidRPr="00FD119B" w:rsidTr="00E94BBF">
        <w:tc>
          <w:tcPr>
            <w:tcW w:w="1809" w:type="dxa"/>
          </w:tcPr>
          <w:p w:rsidR="00BB7B6F" w:rsidRPr="00BB7B6F" w:rsidRDefault="00BB7B6F" w:rsidP="00E94BBF">
            <w:r w:rsidRPr="00BB7B6F">
              <w:t>LH</w:t>
            </w:r>
          </w:p>
        </w:tc>
        <w:tc>
          <w:tcPr>
            <w:tcW w:w="6911" w:type="dxa"/>
          </w:tcPr>
          <w:p w:rsidR="00BB7B6F" w:rsidRPr="00BB7B6F" w:rsidRDefault="00BB7B6F" w:rsidP="00E94BBF">
            <w:r w:rsidRPr="00BB7B6F">
              <w:t>luteinising hormone</w:t>
            </w:r>
          </w:p>
        </w:tc>
      </w:tr>
      <w:tr w:rsidR="00BB7B6F" w:rsidRPr="00FD119B" w:rsidTr="00E94BBF">
        <w:tc>
          <w:tcPr>
            <w:tcW w:w="1809" w:type="dxa"/>
          </w:tcPr>
          <w:p w:rsidR="00BB7B6F" w:rsidRPr="00BB7B6F" w:rsidRDefault="00BB7B6F" w:rsidP="00E94BBF">
            <w:r w:rsidRPr="00BB7B6F">
              <w:t>LLOQ</w:t>
            </w:r>
          </w:p>
        </w:tc>
        <w:tc>
          <w:tcPr>
            <w:tcW w:w="6911" w:type="dxa"/>
          </w:tcPr>
          <w:p w:rsidR="00BB7B6F" w:rsidRPr="00BB7B6F" w:rsidRDefault="00BB7B6F" w:rsidP="00E94BBF">
            <w:r w:rsidRPr="00BB7B6F">
              <w:t>lower limit of quantification</w:t>
            </w:r>
          </w:p>
        </w:tc>
      </w:tr>
      <w:tr w:rsidR="00BB7B6F" w:rsidRPr="00FD119B" w:rsidTr="00E94BBF">
        <w:tc>
          <w:tcPr>
            <w:tcW w:w="1809" w:type="dxa"/>
          </w:tcPr>
          <w:p w:rsidR="00BB7B6F" w:rsidRPr="00BB7B6F" w:rsidRDefault="00BB7B6F" w:rsidP="00E94BBF">
            <w:r w:rsidRPr="00BB7B6F">
              <w:t>OC</w:t>
            </w:r>
          </w:p>
        </w:tc>
        <w:tc>
          <w:tcPr>
            <w:tcW w:w="6911" w:type="dxa"/>
          </w:tcPr>
          <w:p w:rsidR="00BB7B6F" w:rsidRPr="00BB7B6F" w:rsidRDefault="00BB7B6F" w:rsidP="00E94BBF">
            <w:r w:rsidRPr="00BB7B6F">
              <w:t>oral contraceptive</w:t>
            </w:r>
          </w:p>
        </w:tc>
      </w:tr>
      <w:tr w:rsidR="00BB7B6F" w:rsidRPr="00FD119B" w:rsidTr="00E94BBF">
        <w:tc>
          <w:tcPr>
            <w:tcW w:w="1809" w:type="dxa"/>
          </w:tcPr>
          <w:p w:rsidR="00BB7B6F" w:rsidRPr="00BB7B6F" w:rsidRDefault="00BB7B6F" w:rsidP="00E94BBF">
            <w:r w:rsidRPr="00BB7B6F">
              <w:t>PI</w:t>
            </w:r>
          </w:p>
        </w:tc>
        <w:tc>
          <w:tcPr>
            <w:tcW w:w="6911" w:type="dxa"/>
          </w:tcPr>
          <w:p w:rsidR="00BB7B6F" w:rsidRPr="00BB7B6F" w:rsidRDefault="00BB7B6F" w:rsidP="00E94BBF">
            <w:r w:rsidRPr="00BB7B6F">
              <w:t>product information</w:t>
            </w:r>
          </w:p>
        </w:tc>
      </w:tr>
      <w:tr w:rsidR="00BB7B6F" w:rsidRPr="00FD119B" w:rsidTr="00E94BBF">
        <w:tc>
          <w:tcPr>
            <w:tcW w:w="1809" w:type="dxa"/>
          </w:tcPr>
          <w:p w:rsidR="00BB7B6F" w:rsidRPr="00BB7B6F" w:rsidRDefault="00BB7B6F" w:rsidP="00E94BBF">
            <w:r w:rsidRPr="00BB7B6F">
              <w:t>PK</w:t>
            </w:r>
          </w:p>
        </w:tc>
        <w:tc>
          <w:tcPr>
            <w:tcW w:w="6911" w:type="dxa"/>
          </w:tcPr>
          <w:p w:rsidR="00BB7B6F" w:rsidRPr="00BB7B6F" w:rsidRDefault="00BB7B6F" w:rsidP="00E94BBF">
            <w:r w:rsidRPr="00BB7B6F">
              <w:t>pharmacokinetic</w:t>
            </w:r>
          </w:p>
        </w:tc>
      </w:tr>
      <w:tr w:rsidR="00BB7B6F" w:rsidRPr="00FD119B" w:rsidTr="00E94BBF">
        <w:tc>
          <w:tcPr>
            <w:tcW w:w="1809" w:type="dxa"/>
          </w:tcPr>
          <w:p w:rsidR="00BB7B6F" w:rsidRPr="00BB7B6F" w:rsidRDefault="00BB7B6F" w:rsidP="00E94BBF">
            <w:r w:rsidRPr="00BB7B6F">
              <w:t>PMDD</w:t>
            </w:r>
          </w:p>
        </w:tc>
        <w:tc>
          <w:tcPr>
            <w:tcW w:w="6911" w:type="dxa"/>
          </w:tcPr>
          <w:p w:rsidR="00BB7B6F" w:rsidRPr="00BB7B6F" w:rsidRDefault="00BB7B6F" w:rsidP="00E94BBF">
            <w:r w:rsidRPr="00BB7B6F">
              <w:t>premenstrual dysphoric disorder</w:t>
            </w:r>
          </w:p>
        </w:tc>
      </w:tr>
      <w:tr w:rsidR="00BB7B6F" w:rsidRPr="00FD119B" w:rsidTr="00E94BBF">
        <w:tc>
          <w:tcPr>
            <w:tcW w:w="1809" w:type="dxa"/>
          </w:tcPr>
          <w:p w:rsidR="00BB7B6F" w:rsidRPr="00BB7B6F" w:rsidRDefault="00BB7B6F" w:rsidP="00E94BBF">
            <w:r w:rsidRPr="00BB7B6F">
              <w:t>PMS</w:t>
            </w:r>
          </w:p>
        </w:tc>
        <w:tc>
          <w:tcPr>
            <w:tcW w:w="6911" w:type="dxa"/>
          </w:tcPr>
          <w:p w:rsidR="00BB7B6F" w:rsidRPr="00BB7B6F" w:rsidRDefault="00BB7B6F" w:rsidP="00E94BBF">
            <w:r w:rsidRPr="00BB7B6F">
              <w:t>premenstrual syndrome</w:t>
            </w:r>
          </w:p>
        </w:tc>
      </w:tr>
      <w:tr w:rsidR="00BB7B6F" w:rsidRPr="00FD119B" w:rsidTr="00E94BBF">
        <w:tc>
          <w:tcPr>
            <w:tcW w:w="1809" w:type="dxa"/>
          </w:tcPr>
          <w:p w:rsidR="00BB7B6F" w:rsidRPr="00BB7B6F" w:rsidRDefault="00BB7B6F" w:rsidP="00E94BBF">
            <w:r w:rsidRPr="00BB7B6F">
              <w:t>PPK</w:t>
            </w:r>
          </w:p>
        </w:tc>
        <w:tc>
          <w:tcPr>
            <w:tcW w:w="6911" w:type="dxa"/>
          </w:tcPr>
          <w:p w:rsidR="00BB7B6F" w:rsidRPr="00BB7B6F" w:rsidRDefault="00BB7B6F" w:rsidP="00E94BBF">
            <w:r w:rsidRPr="00BB7B6F">
              <w:t>population pharmacokinetics</w:t>
            </w:r>
          </w:p>
        </w:tc>
      </w:tr>
      <w:tr w:rsidR="00BB7B6F" w:rsidRPr="00FD119B" w:rsidTr="00E94BBF">
        <w:tc>
          <w:tcPr>
            <w:tcW w:w="1809" w:type="dxa"/>
          </w:tcPr>
          <w:p w:rsidR="00BB7B6F" w:rsidRPr="00BB7B6F" w:rsidRDefault="00BB7B6F" w:rsidP="00E94BBF">
            <w:r w:rsidRPr="00BB7B6F">
              <w:t>RMP</w:t>
            </w:r>
          </w:p>
        </w:tc>
        <w:tc>
          <w:tcPr>
            <w:tcW w:w="6911" w:type="dxa"/>
          </w:tcPr>
          <w:p w:rsidR="00BB7B6F" w:rsidRPr="00BB7B6F" w:rsidRDefault="00BB7B6F" w:rsidP="00E94BBF">
            <w:r w:rsidRPr="00BB7B6F">
              <w:t>risk management plan</w:t>
            </w:r>
          </w:p>
        </w:tc>
      </w:tr>
      <w:tr w:rsidR="00BB7B6F" w:rsidRPr="00FD119B" w:rsidTr="00E94BBF">
        <w:tc>
          <w:tcPr>
            <w:tcW w:w="1809" w:type="dxa"/>
          </w:tcPr>
          <w:p w:rsidR="00BB7B6F" w:rsidRPr="00BB7B6F" w:rsidRDefault="00BB7B6F" w:rsidP="00E94BBF">
            <w:r w:rsidRPr="00BB7B6F">
              <w:t>SAE</w:t>
            </w:r>
          </w:p>
        </w:tc>
        <w:tc>
          <w:tcPr>
            <w:tcW w:w="6911" w:type="dxa"/>
          </w:tcPr>
          <w:p w:rsidR="00BB7B6F" w:rsidRPr="00BB7B6F" w:rsidRDefault="00BB7B6F" w:rsidP="00E94BBF">
            <w:r w:rsidRPr="00BB7B6F">
              <w:t>serious adverse event</w:t>
            </w:r>
          </w:p>
        </w:tc>
      </w:tr>
      <w:tr w:rsidR="00BB7B6F" w:rsidRPr="00FD119B" w:rsidTr="00E94BBF">
        <w:tc>
          <w:tcPr>
            <w:tcW w:w="1809" w:type="dxa"/>
          </w:tcPr>
          <w:p w:rsidR="00BB7B6F" w:rsidRPr="00BB7B6F" w:rsidRDefault="00BB7B6F" w:rsidP="00E94BBF">
            <w:r w:rsidRPr="00BB7B6F">
              <w:t>TGA</w:t>
            </w:r>
          </w:p>
        </w:tc>
        <w:tc>
          <w:tcPr>
            <w:tcW w:w="6911" w:type="dxa"/>
          </w:tcPr>
          <w:p w:rsidR="00BB7B6F" w:rsidRPr="00BB7B6F" w:rsidRDefault="00BB7B6F" w:rsidP="00E94BBF">
            <w:r w:rsidRPr="00BB7B6F">
              <w:t>Therapeutic Goods Administration</w:t>
            </w:r>
          </w:p>
        </w:tc>
      </w:tr>
      <w:tr w:rsidR="00BB7B6F" w:rsidRPr="00FD119B" w:rsidTr="00E94BBF">
        <w:tc>
          <w:tcPr>
            <w:tcW w:w="1809" w:type="dxa"/>
          </w:tcPr>
          <w:p w:rsidR="00BB7B6F" w:rsidRPr="00BB7B6F" w:rsidRDefault="00BB7B6F" w:rsidP="00E94BBF">
            <w:r w:rsidRPr="00BB7B6F">
              <w:t>TVU</w:t>
            </w:r>
          </w:p>
        </w:tc>
        <w:tc>
          <w:tcPr>
            <w:tcW w:w="6911" w:type="dxa"/>
          </w:tcPr>
          <w:p w:rsidR="00BB7B6F" w:rsidRPr="00BB7B6F" w:rsidRDefault="00BB7B6F" w:rsidP="00E94BBF">
            <w:proofErr w:type="spellStart"/>
            <w:r w:rsidRPr="00BB7B6F">
              <w:t>transvaginal</w:t>
            </w:r>
            <w:proofErr w:type="spellEnd"/>
            <w:r w:rsidRPr="00BB7B6F">
              <w:t xml:space="preserve"> ultrasound</w:t>
            </w:r>
          </w:p>
        </w:tc>
      </w:tr>
      <w:tr w:rsidR="00BB7B6F" w:rsidRPr="00FD119B" w:rsidTr="00E94BBF">
        <w:tc>
          <w:tcPr>
            <w:tcW w:w="1809" w:type="dxa"/>
          </w:tcPr>
          <w:p w:rsidR="00BB7B6F" w:rsidRPr="00BB7B6F" w:rsidRDefault="00BB7B6F" w:rsidP="00E94BBF">
            <w:r w:rsidRPr="00BB7B6F">
              <w:t>VTE</w:t>
            </w:r>
          </w:p>
        </w:tc>
        <w:tc>
          <w:tcPr>
            <w:tcW w:w="6911" w:type="dxa"/>
          </w:tcPr>
          <w:p w:rsidR="00BB7B6F" w:rsidRPr="00BB7B6F" w:rsidRDefault="00BB7B6F" w:rsidP="00E94BBF">
            <w:r w:rsidRPr="00BB7B6F">
              <w:t>venous thromboembolism</w:t>
            </w:r>
          </w:p>
        </w:tc>
      </w:tr>
    </w:tbl>
    <w:p w:rsidR="00BB7B6F" w:rsidRDefault="00BB7B6F" w:rsidP="00E94BBF">
      <w:pPr>
        <w:pStyle w:val="Heading2"/>
      </w:pPr>
      <w:bookmarkStart w:id="9" w:name="_Toc323821152"/>
      <w:bookmarkStart w:id="10" w:name="_Toc335040578"/>
      <w:bookmarkStart w:id="11" w:name="_Toc398110061"/>
      <w:bookmarkStart w:id="12" w:name="_Toc401835967"/>
      <w:bookmarkEnd w:id="1"/>
      <w:bookmarkEnd w:id="3"/>
      <w:bookmarkEnd w:id="0"/>
      <w:r>
        <w:lastRenderedPageBreak/>
        <w:t xml:space="preserve">I. Introduction to </w:t>
      </w:r>
      <w:r w:rsidR="00E94BBF">
        <w:t>p</w:t>
      </w:r>
      <w:r>
        <w:t xml:space="preserve">roduct </w:t>
      </w:r>
      <w:r w:rsidR="00E94BBF" w:rsidRPr="00E94BBF">
        <w:t>s</w:t>
      </w:r>
      <w:r w:rsidRPr="00E94BBF">
        <w:t>ubmission</w:t>
      </w:r>
      <w:bookmarkEnd w:id="9"/>
      <w:bookmarkEnd w:id="10"/>
      <w:bookmarkEnd w:id="11"/>
      <w:bookmarkEnd w:id="12"/>
    </w:p>
    <w:p w:rsidR="00BB7B6F" w:rsidRDefault="00BB7B6F" w:rsidP="00E94BBF">
      <w:pPr>
        <w:pStyle w:val="Heading3"/>
        <w:rPr>
          <w:lang w:eastAsia="en-AU"/>
        </w:rPr>
      </w:pPr>
      <w:bookmarkStart w:id="13" w:name="_Toc247691502"/>
      <w:bookmarkStart w:id="14" w:name="_Toc323821153"/>
      <w:bookmarkStart w:id="15" w:name="_Toc335040579"/>
      <w:bookmarkStart w:id="16" w:name="_Toc398110062"/>
      <w:bookmarkStart w:id="17" w:name="_Toc401835968"/>
      <w:r>
        <w:rPr>
          <w:lang w:eastAsia="en-AU"/>
        </w:rPr>
        <w:t xml:space="preserve">Submission </w:t>
      </w:r>
      <w:r w:rsidR="00E94BBF" w:rsidRPr="00E94BBF">
        <w:t>d</w:t>
      </w:r>
      <w:r w:rsidRPr="00E94BBF">
        <w:t>etails</w:t>
      </w:r>
      <w:bookmarkEnd w:id="13"/>
      <w:bookmarkEnd w:id="14"/>
      <w:bookmarkEnd w:id="15"/>
      <w:bookmarkEnd w:id="16"/>
      <w:bookmarkEnd w:id="17"/>
    </w:p>
    <w:tbl>
      <w:tblPr>
        <w:tblW w:w="8931" w:type="dxa"/>
        <w:tblInd w:w="108" w:type="dxa"/>
        <w:tblLook w:val="01E0" w:firstRow="1" w:lastRow="1" w:firstColumn="1" w:lastColumn="1" w:noHBand="0" w:noVBand="0"/>
      </w:tblPr>
      <w:tblGrid>
        <w:gridCol w:w="3544"/>
        <w:gridCol w:w="5387"/>
      </w:tblGrid>
      <w:tr w:rsidR="00BB7B6F" w:rsidRPr="005A27B0" w:rsidTr="004055BE">
        <w:tc>
          <w:tcPr>
            <w:tcW w:w="3544" w:type="dxa"/>
          </w:tcPr>
          <w:p w:rsidR="00BB7B6F" w:rsidRPr="005A27B0" w:rsidRDefault="00BB7B6F" w:rsidP="00E94BBF">
            <w:pPr>
              <w:rPr>
                <w:i/>
              </w:rPr>
            </w:pPr>
            <w:r w:rsidRPr="005A27B0">
              <w:rPr>
                <w:i/>
              </w:rPr>
              <w:t>Type of Submission</w:t>
            </w:r>
          </w:p>
        </w:tc>
        <w:tc>
          <w:tcPr>
            <w:tcW w:w="5387" w:type="dxa"/>
          </w:tcPr>
          <w:p w:rsidR="00BB7B6F" w:rsidRPr="005A27B0" w:rsidRDefault="00BB7B6F" w:rsidP="004055BE">
            <w:pPr>
              <w:ind w:left="-108"/>
            </w:pPr>
            <w:r>
              <w:t xml:space="preserve">Change in </w:t>
            </w:r>
            <w:r w:rsidR="004055BE">
              <w:t>d</w:t>
            </w:r>
            <w:r>
              <w:t xml:space="preserve">osage </w:t>
            </w:r>
            <w:r w:rsidR="004055BE">
              <w:t>r</w:t>
            </w:r>
            <w:r>
              <w:t>egimen</w:t>
            </w:r>
          </w:p>
        </w:tc>
      </w:tr>
      <w:tr w:rsidR="00BB7B6F" w:rsidRPr="005A27B0" w:rsidTr="004055BE">
        <w:tc>
          <w:tcPr>
            <w:tcW w:w="3544" w:type="dxa"/>
          </w:tcPr>
          <w:p w:rsidR="00BB7B6F" w:rsidRPr="005A27B0" w:rsidRDefault="00BB7B6F" w:rsidP="00E94BBF">
            <w:pPr>
              <w:rPr>
                <w:i/>
              </w:rPr>
            </w:pPr>
            <w:r w:rsidRPr="005A27B0">
              <w:rPr>
                <w:i/>
              </w:rPr>
              <w:t>Decision:</w:t>
            </w:r>
          </w:p>
        </w:tc>
        <w:tc>
          <w:tcPr>
            <w:tcW w:w="5387" w:type="dxa"/>
          </w:tcPr>
          <w:p w:rsidR="00BB7B6F" w:rsidRPr="005A27B0" w:rsidRDefault="00BB7B6F" w:rsidP="004055BE">
            <w:pPr>
              <w:ind w:left="-108"/>
            </w:pPr>
            <w:r w:rsidRPr="005A27B0">
              <w:t xml:space="preserve">Approved </w:t>
            </w:r>
            <w:r>
              <w:t>and Withdrawn in part</w:t>
            </w:r>
            <w:bookmarkStart w:id="18" w:name="_Ref324419493"/>
            <w:r>
              <w:rPr>
                <w:rStyle w:val="FootnoteReference"/>
              </w:rPr>
              <w:footnoteReference w:id="1"/>
            </w:r>
            <w:bookmarkEnd w:id="18"/>
          </w:p>
        </w:tc>
      </w:tr>
      <w:tr w:rsidR="00BB7B6F" w:rsidRPr="005A27B0" w:rsidTr="004055BE">
        <w:tc>
          <w:tcPr>
            <w:tcW w:w="3544" w:type="dxa"/>
          </w:tcPr>
          <w:p w:rsidR="00BB7B6F" w:rsidRPr="005A27B0" w:rsidRDefault="00BB7B6F" w:rsidP="00E94BBF">
            <w:pPr>
              <w:rPr>
                <w:i/>
              </w:rPr>
            </w:pPr>
            <w:r w:rsidRPr="005A27B0">
              <w:rPr>
                <w:i/>
              </w:rPr>
              <w:t>Date of Decision:</w:t>
            </w:r>
          </w:p>
        </w:tc>
        <w:tc>
          <w:tcPr>
            <w:tcW w:w="5387" w:type="dxa"/>
          </w:tcPr>
          <w:p w:rsidR="00BB7B6F" w:rsidRPr="005A27B0" w:rsidRDefault="00BB7B6F" w:rsidP="004055BE">
            <w:pPr>
              <w:ind w:left="-108"/>
            </w:pPr>
            <w:r>
              <w:t>28 February 2012</w:t>
            </w:r>
          </w:p>
        </w:tc>
      </w:tr>
      <w:tr w:rsidR="00BB7B6F" w:rsidRPr="005A27B0" w:rsidTr="004055BE">
        <w:tc>
          <w:tcPr>
            <w:tcW w:w="3544" w:type="dxa"/>
          </w:tcPr>
          <w:p w:rsidR="00BB7B6F" w:rsidRPr="005A27B0" w:rsidRDefault="00BB7B6F" w:rsidP="00E94BBF">
            <w:pPr>
              <w:rPr>
                <w:i/>
              </w:rPr>
            </w:pPr>
            <w:r w:rsidRPr="005A27B0">
              <w:rPr>
                <w:i/>
              </w:rPr>
              <w:t xml:space="preserve">Active ingredient(s): </w:t>
            </w:r>
          </w:p>
        </w:tc>
        <w:tc>
          <w:tcPr>
            <w:tcW w:w="5387" w:type="dxa"/>
          </w:tcPr>
          <w:p w:rsidR="00BB7B6F" w:rsidRPr="005A27B0" w:rsidRDefault="00BB7B6F" w:rsidP="004055BE">
            <w:pPr>
              <w:ind w:left="-108"/>
            </w:pPr>
            <w:proofErr w:type="spellStart"/>
            <w:r>
              <w:t>Drospirenone</w:t>
            </w:r>
            <w:proofErr w:type="spellEnd"/>
            <w:r>
              <w:t xml:space="preserve"> and </w:t>
            </w:r>
            <w:proofErr w:type="spellStart"/>
            <w:r>
              <w:t>ethinyloestradiol</w:t>
            </w:r>
            <w:proofErr w:type="spellEnd"/>
            <w:r>
              <w:t xml:space="preserve"> (as </w:t>
            </w:r>
            <w:proofErr w:type="spellStart"/>
            <w:r>
              <w:t>betadex</w:t>
            </w:r>
            <w:proofErr w:type="spellEnd"/>
            <w:r>
              <w:t xml:space="preserve"> </w:t>
            </w:r>
            <w:proofErr w:type="spellStart"/>
            <w:r>
              <w:t>clathrate</w:t>
            </w:r>
            <w:proofErr w:type="spellEnd"/>
            <w:r>
              <w:t>)</w:t>
            </w:r>
          </w:p>
        </w:tc>
      </w:tr>
      <w:tr w:rsidR="00BB7B6F" w:rsidRPr="005A27B0" w:rsidTr="004055BE">
        <w:tc>
          <w:tcPr>
            <w:tcW w:w="3544" w:type="dxa"/>
          </w:tcPr>
          <w:p w:rsidR="00BB7B6F" w:rsidRPr="005A27B0" w:rsidRDefault="00BB7B6F" w:rsidP="00E94BBF">
            <w:pPr>
              <w:rPr>
                <w:i/>
              </w:rPr>
            </w:pPr>
            <w:r w:rsidRPr="005A27B0">
              <w:rPr>
                <w:i/>
              </w:rPr>
              <w:t xml:space="preserve">Product Name(s): </w:t>
            </w:r>
          </w:p>
        </w:tc>
        <w:tc>
          <w:tcPr>
            <w:tcW w:w="5387" w:type="dxa"/>
          </w:tcPr>
          <w:p w:rsidR="00BB7B6F" w:rsidRPr="005A27B0" w:rsidRDefault="00BB7B6F" w:rsidP="004055BE">
            <w:pPr>
              <w:ind w:left="-108"/>
            </w:pPr>
            <w:proofErr w:type="spellStart"/>
            <w:r>
              <w:t>YAZFlex</w:t>
            </w:r>
            <w:proofErr w:type="spellEnd"/>
          </w:p>
        </w:tc>
      </w:tr>
      <w:tr w:rsidR="00BB7B6F" w:rsidRPr="005A27B0" w:rsidTr="004055BE">
        <w:tc>
          <w:tcPr>
            <w:tcW w:w="3544" w:type="dxa"/>
          </w:tcPr>
          <w:p w:rsidR="00BB7B6F" w:rsidRPr="005A27B0" w:rsidRDefault="00BB7B6F" w:rsidP="00E94BBF">
            <w:pPr>
              <w:rPr>
                <w:i/>
              </w:rPr>
            </w:pPr>
            <w:r w:rsidRPr="005A27B0">
              <w:rPr>
                <w:i/>
              </w:rPr>
              <w:t>Sponsor’s Name and Address:</w:t>
            </w:r>
          </w:p>
        </w:tc>
        <w:tc>
          <w:tcPr>
            <w:tcW w:w="5387" w:type="dxa"/>
          </w:tcPr>
          <w:p w:rsidR="00BB7B6F" w:rsidRDefault="00BB7B6F" w:rsidP="004055BE">
            <w:pPr>
              <w:ind w:left="-108"/>
            </w:pPr>
            <w:r w:rsidRPr="00B44ED3">
              <w:t>Bayer Australia Ltd</w:t>
            </w:r>
          </w:p>
          <w:p w:rsidR="00BB7B6F" w:rsidRPr="005A27B0" w:rsidRDefault="00BB7B6F" w:rsidP="004055BE">
            <w:pPr>
              <w:ind w:left="-108"/>
            </w:pPr>
            <w:r>
              <w:t>875 Pacific Hwy Pymble 2073 NSW</w:t>
            </w:r>
          </w:p>
        </w:tc>
      </w:tr>
      <w:tr w:rsidR="00BB7B6F" w:rsidRPr="005A27B0" w:rsidTr="004055BE">
        <w:tc>
          <w:tcPr>
            <w:tcW w:w="3544" w:type="dxa"/>
          </w:tcPr>
          <w:p w:rsidR="00BB7B6F" w:rsidRPr="005A27B0" w:rsidRDefault="00BB7B6F" w:rsidP="00E94BBF">
            <w:pPr>
              <w:rPr>
                <w:i/>
              </w:rPr>
            </w:pPr>
            <w:r w:rsidRPr="005A27B0">
              <w:rPr>
                <w:i/>
              </w:rPr>
              <w:t xml:space="preserve">Dose form(s): </w:t>
            </w:r>
          </w:p>
        </w:tc>
        <w:tc>
          <w:tcPr>
            <w:tcW w:w="5387" w:type="dxa"/>
          </w:tcPr>
          <w:p w:rsidR="00BB7B6F" w:rsidRPr="005A27B0" w:rsidRDefault="00BB7B6F" w:rsidP="004055BE">
            <w:pPr>
              <w:ind w:left="-108"/>
            </w:pPr>
            <w:r>
              <w:t>Tablet</w:t>
            </w:r>
          </w:p>
        </w:tc>
      </w:tr>
      <w:tr w:rsidR="00BB7B6F" w:rsidRPr="005A27B0" w:rsidTr="004055BE">
        <w:tc>
          <w:tcPr>
            <w:tcW w:w="3544" w:type="dxa"/>
          </w:tcPr>
          <w:p w:rsidR="00BB7B6F" w:rsidRPr="005A27B0" w:rsidRDefault="00BB7B6F" w:rsidP="00E94BBF">
            <w:pPr>
              <w:rPr>
                <w:i/>
              </w:rPr>
            </w:pPr>
            <w:r w:rsidRPr="005A27B0">
              <w:rPr>
                <w:i/>
              </w:rPr>
              <w:t xml:space="preserve">Strength(s): </w:t>
            </w:r>
          </w:p>
        </w:tc>
        <w:tc>
          <w:tcPr>
            <w:tcW w:w="5387" w:type="dxa"/>
          </w:tcPr>
          <w:p w:rsidR="00BB7B6F" w:rsidRPr="001A5EF4" w:rsidRDefault="00BB7B6F" w:rsidP="004055BE">
            <w:pPr>
              <w:ind w:left="-108"/>
            </w:pPr>
            <w:r>
              <w:t>3 mg (</w:t>
            </w:r>
            <w:proofErr w:type="spellStart"/>
            <w:r>
              <w:t>drospirenone</w:t>
            </w:r>
            <w:proofErr w:type="spellEnd"/>
            <w:r>
              <w:t xml:space="preserve">) and 20 </w:t>
            </w:r>
            <w:r>
              <w:rPr>
                <w:rFonts w:cs="Arial"/>
              </w:rPr>
              <w:t>µ</w:t>
            </w:r>
            <w:r>
              <w:t>g (</w:t>
            </w:r>
            <w:proofErr w:type="spellStart"/>
            <w:r>
              <w:t>ethinyloestradiol</w:t>
            </w:r>
            <w:proofErr w:type="spellEnd"/>
            <w:r>
              <w:t>)</w:t>
            </w:r>
          </w:p>
        </w:tc>
      </w:tr>
      <w:tr w:rsidR="00BB7B6F" w:rsidRPr="005A27B0" w:rsidTr="004055BE">
        <w:tc>
          <w:tcPr>
            <w:tcW w:w="3544" w:type="dxa"/>
          </w:tcPr>
          <w:p w:rsidR="00BB7B6F" w:rsidRPr="005A27B0" w:rsidRDefault="00BB7B6F" w:rsidP="00E94BBF">
            <w:pPr>
              <w:rPr>
                <w:i/>
              </w:rPr>
            </w:pPr>
            <w:r w:rsidRPr="005A27B0">
              <w:rPr>
                <w:i/>
              </w:rPr>
              <w:t>Container(s):</w:t>
            </w:r>
          </w:p>
        </w:tc>
        <w:tc>
          <w:tcPr>
            <w:tcW w:w="5387" w:type="dxa"/>
          </w:tcPr>
          <w:p w:rsidR="00BB7B6F" w:rsidRPr="005A27B0" w:rsidRDefault="00BB7B6F" w:rsidP="004055BE">
            <w:pPr>
              <w:ind w:left="-108"/>
            </w:pPr>
            <w:r>
              <w:t xml:space="preserve">Plastic cartridges (within </w:t>
            </w:r>
            <w:proofErr w:type="spellStart"/>
            <w:r>
              <w:t>oPA</w:t>
            </w:r>
            <w:proofErr w:type="spellEnd"/>
            <w:r>
              <w:t>/Al/PE blisters)</w:t>
            </w:r>
          </w:p>
        </w:tc>
      </w:tr>
      <w:tr w:rsidR="00BB7B6F" w:rsidRPr="005A27B0" w:rsidTr="004055BE">
        <w:tc>
          <w:tcPr>
            <w:tcW w:w="3544" w:type="dxa"/>
          </w:tcPr>
          <w:p w:rsidR="00BB7B6F" w:rsidRPr="005A27B0" w:rsidRDefault="00BB7B6F" w:rsidP="00E94BBF">
            <w:pPr>
              <w:rPr>
                <w:i/>
              </w:rPr>
            </w:pPr>
            <w:r w:rsidRPr="005A27B0">
              <w:rPr>
                <w:i/>
              </w:rPr>
              <w:t>Pack size(s):</w:t>
            </w:r>
          </w:p>
        </w:tc>
        <w:tc>
          <w:tcPr>
            <w:tcW w:w="5387" w:type="dxa"/>
          </w:tcPr>
          <w:p w:rsidR="00BB7B6F" w:rsidRPr="005A27B0" w:rsidRDefault="00BB7B6F" w:rsidP="004055BE">
            <w:pPr>
              <w:ind w:left="-108"/>
            </w:pPr>
            <w:r>
              <w:t>1 x 30 tablets, 4 x 30 tablets and 1 x 30 tablets plus dispenser</w:t>
            </w:r>
          </w:p>
        </w:tc>
      </w:tr>
      <w:tr w:rsidR="00BB7B6F" w:rsidRPr="004055BE" w:rsidTr="004055BE">
        <w:tc>
          <w:tcPr>
            <w:tcW w:w="3544" w:type="dxa"/>
          </w:tcPr>
          <w:p w:rsidR="00BB7B6F" w:rsidRPr="005A27B0" w:rsidRDefault="00BB7B6F" w:rsidP="00E94BBF">
            <w:pPr>
              <w:rPr>
                <w:i/>
              </w:rPr>
            </w:pPr>
            <w:r w:rsidRPr="005A27B0">
              <w:rPr>
                <w:i/>
              </w:rPr>
              <w:t>Approved Therapeutic use:</w:t>
            </w:r>
          </w:p>
        </w:tc>
        <w:tc>
          <w:tcPr>
            <w:tcW w:w="5387" w:type="dxa"/>
          </w:tcPr>
          <w:p w:rsidR="00BB7B6F" w:rsidRPr="004055BE" w:rsidRDefault="00BB7B6F" w:rsidP="004055BE">
            <w:pPr>
              <w:ind w:left="-108"/>
              <w:rPr>
                <w:i/>
              </w:rPr>
            </w:pPr>
            <w:proofErr w:type="spellStart"/>
            <w:r w:rsidRPr="004055BE">
              <w:rPr>
                <w:i/>
              </w:rPr>
              <w:t>YAZFlex</w:t>
            </w:r>
            <w:proofErr w:type="spellEnd"/>
            <w:r w:rsidRPr="004055BE">
              <w:rPr>
                <w:i/>
              </w:rPr>
              <w:t xml:space="preserve"> is indicated for use as:</w:t>
            </w:r>
          </w:p>
          <w:p w:rsidR="00BB7B6F" w:rsidRPr="004055BE" w:rsidRDefault="00BB7B6F" w:rsidP="004055BE">
            <w:pPr>
              <w:pStyle w:val="Numberbullet0"/>
              <w:tabs>
                <w:tab w:val="left" w:pos="318"/>
              </w:tabs>
              <w:ind w:left="-108" w:firstLine="0"/>
              <w:rPr>
                <w:i/>
              </w:rPr>
            </w:pPr>
            <w:r w:rsidRPr="004055BE">
              <w:rPr>
                <w:i/>
              </w:rPr>
              <w:t>an oral contraceptive</w:t>
            </w:r>
          </w:p>
          <w:p w:rsidR="00BB7B6F" w:rsidRPr="004055BE" w:rsidRDefault="00BB7B6F" w:rsidP="004055BE">
            <w:pPr>
              <w:pStyle w:val="Numberbullet0"/>
              <w:tabs>
                <w:tab w:val="left" w:pos="318"/>
              </w:tabs>
              <w:ind w:left="-108" w:firstLine="0"/>
              <w:rPr>
                <w:rFonts w:eastAsia="MS Mincho"/>
                <w:i/>
                <w:lang w:eastAsia="ja-JP"/>
              </w:rPr>
            </w:pPr>
            <w:proofErr w:type="gramStart"/>
            <w:r w:rsidRPr="004055BE">
              <w:rPr>
                <w:i/>
              </w:rPr>
              <w:t>treatment</w:t>
            </w:r>
            <w:proofErr w:type="gramEnd"/>
            <w:r w:rsidRPr="004055BE">
              <w:rPr>
                <w:i/>
              </w:rPr>
              <w:t xml:space="preserve"> of moderate acne vulgaris in women who seek oral contraception.</w:t>
            </w:r>
          </w:p>
        </w:tc>
      </w:tr>
      <w:tr w:rsidR="00BB7B6F" w:rsidRPr="005A27B0" w:rsidTr="004055BE">
        <w:tc>
          <w:tcPr>
            <w:tcW w:w="3544" w:type="dxa"/>
          </w:tcPr>
          <w:p w:rsidR="00BB7B6F" w:rsidRPr="005A27B0" w:rsidRDefault="00BB7B6F" w:rsidP="00E94BBF">
            <w:pPr>
              <w:rPr>
                <w:i/>
              </w:rPr>
            </w:pPr>
            <w:r w:rsidRPr="005A27B0">
              <w:rPr>
                <w:i/>
              </w:rPr>
              <w:t>Route(s) of administration:</w:t>
            </w:r>
          </w:p>
        </w:tc>
        <w:tc>
          <w:tcPr>
            <w:tcW w:w="5387" w:type="dxa"/>
          </w:tcPr>
          <w:p w:rsidR="00BB7B6F" w:rsidRPr="005A27B0" w:rsidRDefault="00BB7B6F" w:rsidP="004055BE">
            <w:pPr>
              <w:ind w:left="-108"/>
            </w:pPr>
            <w:r>
              <w:t>Oral (PO)</w:t>
            </w:r>
          </w:p>
        </w:tc>
      </w:tr>
      <w:tr w:rsidR="00BB7B6F" w:rsidRPr="005A27B0" w:rsidTr="004055BE">
        <w:tc>
          <w:tcPr>
            <w:tcW w:w="3544" w:type="dxa"/>
          </w:tcPr>
          <w:p w:rsidR="00BB7B6F" w:rsidRPr="005A27B0" w:rsidRDefault="00BB7B6F" w:rsidP="00E94BBF">
            <w:pPr>
              <w:rPr>
                <w:i/>
              </w:rPr>
            </w:pPr>
            <w:r w:rsidRPr="005A27B0">
              <w:rPr>
                <w:i/>
              </w:rPr>
              <w:t>Dosage:</w:t>
            </w:r>
          </w:p>
        </w:tc>
        <w:tc>
          <w:tcPr>
            <w:tcW w:w="5387" w:type="dxa"/>
          </w:tcPr>
          <w:p w:rsidR="00BB7B6F" w:rsidRPr="005A27B0" w:rsidRDefault="00BB7B6F" w:rsidP="004055BE">
            <w:pPr>
              <w:ind w:left="-108"/>
            </w:pPr>
            <w:r>
              <w:t>One tablet to be taken daily at about the same time with some liquid. Tablet taking is continuous for at least 24 consecutive days. See also Product Information (PI).</w:t>
            </w:r>
          </w:p>
        </w:tc>
      </w:tr>
      <w:tr w:rsidR="00BB7B6F" w:rsidRPr="005A27B0" w:rsidTr="004055BE">
        <w:tc>
          <w:tcPr>
            <w:tcW w:w="3544" w:type="dxa"/>
          </w:tcPr>
          <w:p w:rsidR="00BB7B6F" w:rsidRPr="005A27B0" w:rsidRDefault="00BB7B6F" w:rsidP="00E94BBF">
            <w:pPr>
              <w:rPr>
                <w:i/>
              </w:rPr>
            </w:pPr>
            <w:r w:rsidRPr="005A27B0">
              <w:rPr>
                <w:i/>
              </w:rPr>
              <w:t>ARTG Number (s)</w:t>
            </w:r>
          </w:p>
        </w:tc>
        <w:tc>
          <w:tcPr>
            <w:tcW w:w="5387" w:type="dxa"/>
          </w:tcPr>
          <w:p w:rsidR="00BB7B6F" w:rsidRPr="005A27B0" w:rsidRDefault="00BB7B6F" w:rsidP="004055BE">
            <w:pPr>
              <w:ind w:left="-108"/>
            </w:pPr>
            <w:r>
              <w:t>179878</w:t>
            </w:r>
          </w:p>
        </w:tc>
      </w:tr>
    </w:tbl>
    <w:p w:rsidR="00BB7B6F" w:rsidRDefault="00BB7B6F" w:rsidP="00E94BBF">
      <w:pPr>
        <w:pStyle w:val="Heading3"/>
      </w:pPr>
      <w:bookmarkStart w:id="19" w:name="_Toc247691503"/>
      <w:bookmarkStart w:id="20" w:name="_Toc323821154"/>
      <w:bookmarkStart w:id="21" w:name="_Toc335040580"/>
      <w:bookmarkStart w:id="22" w:name="_Toc398110063"/>
      <w:bookmarkStart w:id="23" w:name="_Toc401835969"/>
      <w:r>
        <w:t xml:space="preserve">Product </w:t>
      </w:r>
      <w:r w:rsidR="00E94BBF" w:rsidRPr="00E94BBF">
        <w:t>b</w:t>
      </w:r>
      <w:r w:rsidRPr="00E94BBF">
        <w:t>ackground</w:t>
      </w:r>
      <w:bookmarkEnd w:id="19"/>
      <w:bookmarkEnd w:id="20"/>
      <w:bookmarkEnd w:id="21"/>
      <w:bookmarkEnd w:id="22"/>
      <w:bookmarkEnd w:id="23"/>
    </w:p>
    <w:p w:rsidR="00BB7B6F" w:rsidRPr="001043AA" w:rsidRDefault="00BB7B6F" w:rsidP="00E94BBF">
      <w:bookmarkStart w:id="24" w:name="_Toc247691504"/>
      <w:r w:rsidRPr="001043AA">
        <w:t xml:space="preserve">In February 2008 the sponsor Bayer Australia Ltd registered a composite pack of 24 fixed combination tablets containing </w:t>
      </w:r>
      <w:proofErr w:type="spellStart"/>
      <w:r w:rsidRPr="001043AA">
        <w:t>drospirenone</w:t>
      </w:r>
      <w:proofErr w:type="spellEnd"/>
      <w:r w:rsidRPr="001043AA">
        <w:t xml:space="preserve"> </w:t>
      </w:r>
      <w:r>
        <w:t xml:space="preserve">(DRSP) </w:t>
      </w:r>
      <w:r w:rsidRPr="001043AA">
        <w:t xml:space="preserve">3 mg and </w:t>
      </w:r>
      <w:proofErr w:type="spellStart"/>
      <w:r w:rsidRPr="001043AA">
        <w:t>ethinyloestradiol</w:t>
      </w:r>
      <w:proofErr w:type="spellEnd"/>
      <w:r w:rsidRPr="001043AA">
        <w:t xml:space="preserve"> </w:t>
      </w:r>
      <w:r>
        <w:t xml:space="preserve">(EE) </w:t>
      </w:r>
      <w:r w:rsidRPr="001043AA">
        <w:t xml:space="preserve">0.02 mg (as </w:t>
      </w:r>
      <w:proofErr w:type="spellStart"/>
      <w:r w:rsidRPr="001043AA">
        <w:t>betadex</w:t>
      </w:r>
      <w:proofErr w:type="spellEnd"/>
      <w:r w:rsidRPr="001043AA">
        <w:t xml:space="preserve"> </w:t>
      </w:r>
      <w:proofErr w:type="spellStart"/>
      <w:r w:rsidRPr="001043AA">
        <w:t>clathrate</w:t>
      </w:r>
      <w:proofErr w:type="spellEnd"/>
      <w:r w:rsidRPr="001043AA">
        <w:t>) and 4 placebo tablets under the trade name ‘</w:t>
      </w:r>
      <w:r w:rsidRPr="00A34118">
        <w:t>Y</w:t>
      </w:r>
      <w:r>
        <w:t>AZ</w:t>
      </w:r>
      <w:r w:rsidRPr="001043AA">
        <w:t xml:space="preserve">’. The combination of </w:t>
      </w:r>
      <w:proofErr w:type="spellStart"/>
      <w:r w:rsidRPr="001043AA">
        <w:t>ethinyloestradiol</w:t>
      </w:r>
      <w:proofErr w:type="spellEnd"/>
      <w:r w:rsidRPr="001043AA">
        <w:t xml:space="preserve"> and </w:t>
      </w:r>
      <w:proofErr w:type="spellStart"/>
      <w:r w:rsidRPr="001043AA">
        <w:t>drospirenone</w:t>
      </w:r>
      <w:proofErr w:type="spellEnd"/>
      <w:r w:rsidRPr="001043AA">
        <w:t xml:space="preserve"> has also previously been approved for use as Yasmin tablets (0.03 mg </w:t>
      </w:r>
      <w:proofErr w:type="spellStart"/>
      <w:r w:rsidRPr="001043AA">
        <w:t>ethinyloestradiol</w:t>
      </w:r>
      <w:proofErr w:type="spellEnd"/>
      <w:r w:rsidRPr="001043AA">
        <w:t xml:space="preserve"> and 3 mg </w:t>
      </w:r>
      <w:proofErr w:type="spellStart"/>
      <w:r w:rsidRPr="001043AA">
        <w:t>drospirenone</w:t>
      </w:r>
      <w:proofErr w:type="spellEnd"/>
      <w:r w:rsidRPr="001043AA">
        <w:t xml:space="preserve">). It is also present in the hormone replacement therapy product </w:t>
      </w:r>
      <w:proofErr w:type="spellStart"/>
      <w:r w:rsidRPr="001043AA">
        <w:t>Angeliq</w:t>
      </w:r>
      <w:proofErr w:type="spellEnd"/>
      <w:r w:rsidRPr="001043AA">
        <w:t xml:space="preserve"> 1/2.</w:t>
      </w:r>
    </w:p>
    <w:p w:rsidR="00BB7B6F" w:rsidRPr="001043AA" w:rsidRDefault="00BB7B6F" w:rsidP="00E94BBF">
      <w:proofErr w:type="spellStart"/>
      <w:r>
        <w:lastRenderedPageBreak/>
        <w:t>YAZFlex</w:t>
      </w:r>
      <w:proofErr w:type="spellEnd"/>
      <w:r w:rsidRPr="001043AA">
        <w:t xml:space="preserve"> and Y</w:t>
      </w:r>
      <w:r>
        <w:t>AZ</w:t>
      </w:r>
      <w:r w:rsidRPr="001043AA">
        <w:t xml:space="preserve"> are low dose formulations of Yasmin in which the reduced amount of </w:t>
      </w:r>
      <w:proofErr w:type="spellStart"/>
      <w:r w:rsidRPr="001043AA">
        <w:t>ethinyloestradiol</w:t>
      </w:r>
      <w:proofErr w:type="spellEnd"/>
      <w:r w:rsidRPr="001043AA">
        <w:t xml:space="preserve"> is </w:t>
      </w:r>
      <w:proofErr w:type="spellStart"/>
      <w:r w:rsidRPr="001043AA">
        <w:t>complexed</w:t>
      </w:r>
      <w:proofErr w:type="spellEnd"/>
      <w:r w:rsidRPr="001043AA">
        <w:t xml:space="preserve"> with </w:t>
      </w:r>
      <w:r>
        <w:t>β</w:t>
      </w:r>
      <w:r w:rsidRPr="001043AA">
        <w:t>-</w:t>
      </w:r>
      <w:proofErr w:type="spellStart"/>
      <w:r w:rsidRPr="001043AA">
        <w:t>cyclodextrin</w:t>
      </w:r>
      <w:proofErr w:type="spellEnd"/>
      <w:r w:rsidRPr="001043AA">
        <w:t xml:space="preserve"> (1:2) as </w:t>
      </w:r>
      <w:proofErr w:type="spellStart"/>
      <w:r w:rsidRPr="001043AA">
        <w:t>ethinyloestradiol</w:t>
      </w:r>
      <w:proofErr w:type="spellEnd"/>
      <w:r w:rsidRPr="001043AA">
        <w:t xml:space="preserve"> </w:t>
      </w:r>
      <w:proofErr w:type="spellStart"/>
      <w:r w:rsidRPr="001043AA">
        <w:t>betadex</w:t>
      </w:r>
      <w:proofErr w:type="spellEnd"/>
      <w:r w:rsidRPr="001043AA">
        <w:t xml:space="preserve"> </w:t>
      </w:r>
      <w:proofErr w:type="spellStart"/>
      <w:r w:rsidRPr="001043AA">
        <w:t>clathrate</w:t>
      </w:r>
      <w:proofErr w:type="spellEnd"/>
      <w:r w:rsidRPr="001043AA">
        <w:t xml:space="preserve"> to ensure shelf s</w:t>
      </w:r>
      <w:r w:rsidR="00E94BBF">
        <w:t>tability at low concentrations.</w:t>
      </w:r>
    </w:p>
    <w:p w:rsidR="00BB7B6F" w:rsidRPr="001043AA" w:rsidRDefault="00BB7B6F" w:rsidP="00E94BBF">
      <w:r w:rsidRPr="001043AA">
        <w:t xml:space="preserve">This AusPAR describes the application by Bayer Australia Ltd to register a change in dosage regimen </w:t>
      </w:r>
      <w:r>
        <w:t xml:space="preserve">(and a new presentation pack) </w:t>
      </w:r>
      <w:r w:rsidRPr="001043AA">
        <w:t xml:space="preserve">for </w:t>
      </w:r>
      <w:proofErr w:type="spellStart"/>
      <w:r w:rsidRPr="001043AA">
        <w:t>ethinyloestradiol</w:t>
      </w:r>
      <w:proofErr w:type="spellEnd"/>
      <w:r w:rsidRPr="001043AA">
        <w:t xml:space="preserve"> </w:t>
      </w:r>
      <w:r>
        <w:t>±</w:t>
      </w:r>
      <w:r w:rsidRPr="001043AA">
        <w:t xml:space="preserve"> </w:t>
      </w:r>
      <w:proofErr w:type="spellStart"/>
      <w:r w:rsidRPr="001043AA">
        <w:t>drospirenone</w:t>
      </w:r>
      <w:proofErr w:type="spellEnd"/>
      <w:r w:rsidRPr="001043AA">
        <w:t xml:space="preserve"> fixed-combination tablets. The maximum duration of the consecutive intake phase for the active ingredients is proposed to be increased from 24 days (current product,</w:t>
      </w:r>
      <w:r>
        <w:t xml:space="preserve"> YAZ</w:t>
      </w:r>
      <w:r w:rsidRPr="001043AA">
        <w:t>) to up to 120 days (proposed product,</w:t>
      </w:r>
      <w:r>
        <w:t xml:space="preserve"> </w:t>
      </w:r>
      <w:proofErr w:type="spellStart"/>
      <w:r>
        <w:t>YAZFlex</w:t>
      </w:r>
      <w:proofErr w:type="spellEnd"/>
      <w:r w:rsidR="00E94BBF">
        <w:t>).</w:t>
      </w:r>
    </w:p>
    <w:p w:rsidR="00BB7B6F" w:rsidRPr="001043AA" w:rsidRDefault="00BB7B6F" w:rsidP="00E94BBF">
      <w:r w:rsidRPr="001043AA">
        <w:t>The sponsor states that</w:t>
      </w:r>
      <w:r>
        <w:t xml:space="preserve"> </w:t>
      </w:r>
      <w:proofErr w:type="spellStart"/>
      <w:r>
        <w:t>YAZFlex</w:t>
      </w:r>
      <w:proofErr w:type="spellEnd"/>
      <w:r w:rsidRPr="001043AA">
        <w:t xml:space="preserve"> has been developed to provide women with the flexibility to manage the length of their menstrual cycle according to their individual needs.</w:t>
      </w:r>
    </w:p>
    <w:p w:rsidR="00BB7B6F" w:rsidRPr="001043AA" w:rsidRDefault="00BB7B6F" w:rsidP="00E94BBF">
      <w:r w:rsidRPr="001043AA">
        <w:t>During Days 25</w:t>
      </w:r>
      <w:r>
        <w:t xml:space="preserve"> to </w:t>
      </w:r>
      <w:r w:rsidRPr="001043AA">
        <w:t>120 a woman may decide when to take a 4 day tablet free interval. This 4 day tablet free interval has to be taken no later than after 120 days of continuous tablet intake and should not be longer than 4 days. After each 4 day tablet free interval, a new intake cycle of a minimum of 24 days to a maximum of 120 days starts.</w:t>
      </w:r>
    </w:p>
    <w:p w:rsidR="00BB7B6F" w:rsidRDefault="00BB7B6F" w:rsidP="00E94BBF">
      <w:r w:rsidRPr="001043AA">
        <w:t>The sponsor will market</w:t>
      </w:r>
      <w:r>
        <w:t xml:space="preserve"> </w:t>
      </w:r>
      <w:proofErr w:type="spellStart"/>
      <w:r>
        <w:t>YAZFlex</w:t>
      </w:r>
      <w:proofErr w:type="spellEnd"/>
      <w:r w:rsidRPr="001043AA">
        <w:t xml:space="preserve"> in an innovative tablet dispenser w</w:t>
      </w:r>
      <w:r>
        <w:t>hich has a</w:t>
      </w:r>
      <w:r w:rsidRPr="001043AA">
        <w:t xml:space="preserve"> reminder function. This dispensing device combines a mechanical tablet dispenser and an electronic counting system with a graphical user interface. A cartridge containing 30</w:t>
      </w:r>
      <w:r>
        <w:t xml:space="preserve"> </w:t>
      </w:r>
      <w:proofErr w:type="spellStart"/>
      <w:r>
        <w:t>YAZFlex</w:t>
      </w:r>
      <w:proofErr w:type="spellEnd"/>
      <w:r w:rsidRPr="001043AA">
        <w:t xml:space="preserve"> tablets is to be inserted in the dispenser by the woman prior to use and replaced with a new cartridge once all tablets have been released. The user interface guides the woman through the intake regimen. The display shows when a tablet has to be taken. The woman can also obtain information about the day of the current treatment cycle, the number of tablets remaining in the cartridge and whether she may take the 4 day tablet free interval. In addition, it indicates to the woman if tablets are missed and extra, </w:t>
      </w:r>
      <w:proofErr w:type="spellStart"/>
      <w:r w:rsidRPr="001043AA">
        <w:t>nonhormonal</w:t>
      </w:r>
      <w:proofErr w:type="spellEnd"/>
      <w:r w:rsidRPr="001043AA">
        <w:t xml:space="preserve"> contraceptive methods should be used. During the hormone free interval, no placebo</w:t>
      </w:r>
      <w:r>
        <w:t xml:space="preserve"> </w:t>
      </w:r>
      <w:r w:rsidRPr="001043AA">
        <w:t>tablets are provided. The dispensing device will display the day of the break and</w:t>
      </w:r>
      <w:r>
        <w:t xml:space="preserve"> </w:t>
      </w:r>
      <w:r w:rsidRPr="001043AA">
        <w:t>after 4 days start a new intake cycle and remind the woman to take her tablet when the reference intake time is reached.</w:t>
      </w:r>
      <w:r>
        <w:t xml:space="preserve"> </w:t>
      </w:r>
      <w:r w:rsidRPr="00BB4AF9">
        <w:t>The dispensing of each tablet is a mechanical function actuated by the user.</w:t>
      </w:r>
      <w:r>
        <w:t xml:space="preserve"> </w:t>
      </w:r>
      <w:r w:rsidRPr="00BB4AF9">
        <w:t>The function of the electronic component of the device is only to give appropriate prompts to the user and to record</w:t>
      </w:r>
      <w:r>
        <w:t xml:space="preserve"> the dispensing of the tablets.</w:t>
      </w:r>
    </w:p>
    <w:p w:rsidR="00BB7B6F" w:rsidRDefault="00BB7B6F" w:rsidP="00E94BBF">
      <w:r>
        <w:t>The sponsor p</w:t>
      </w:r>
      <w:r w:rsidRPr="00394AE3">
        <w:t xml:space="preserve">roposed </w:t>
      </w:r>
      <w:r>
        <w:t>an identical i</w:t>
      </w:r>
      <w:r w:rsidRPr="00394AE3">
        <w:t>ndication</w:t>
      </w:r>
      <w:r>
        <w:t xml:space="preserve"> for </w:t>
      </w:r>
      <w:proofErr w:type="spellStart"/>
      <w:r>
        <w:t>YAZFlex</w:t>
      </w:r>
      <w:proofErr w:type="spellEnd"/>
      <w:r>
        <w:t xml:space="preserve"> to that of YAZ in the application letter, that is;</w:t>
      </w:r>
    </w:p>
    <w:p w:rsidR="00BB7B6F" w:rsidRPr="00E94BBF" w:rsidRDefault="00BB7B6F" w:rsidP="00E94BBF">
      <w:pPr>
        <w:pStyle w:val="ListBullet"/>
        <w:rPr>
          <w:i/>
        </w:rPr>
      </w:pPr>
      <w:r w:rsidRPr="00E94BBF">
        <w:rPr>
          <w:i/>
        </w:rPr>
        <w:t>Oral contraception.</w:t>
      </w:r>
    </w:p>
    <w:p w:rsidR="00BB7B6F" w:rsidRPr="00E94BBF" w:rsidRDefault="00BB7B6F" w:rsidP="00E94BBF">
      <w:pPr>
        <w:pStyle w:val="ListBullet"/>
        <w:rPr>
          <w:i/>
        </w:rPr>
      </w:pPr>
      <w:r w:rsidRPr="00E94BBF">
        <w:rPr>
          <w:i/>
        </w:rPr>
        <w:t>Treatment of moderate acne vulgaris in women who seek oral contraception.</w:t>
      </w:r>
    </w:p>
    <w:p w:rsidR="00BB7B6F" w:rsidRPr="00E94BBF" w:rsidRDefault="00BB7B6F" w:rsidP="00E94BBF">
      <w:pPr>
        <w:pStyle w:val="ListBullet"/>
        <w:rPr>
          <w:i/>
        </w:rPr>
      </w:pPr>
      <w:r w:rsidRPr="00E94BBF">
        <w:rPr>
          <w:i/>
        </w:rPr>
        <w:t>Treatment of symptoms of premenstrual dysphoric disorder (PMDD) in women who have chosen oral contraceptives as their method of birth control. The efficacy of YAZ for PMDD was not assesses beyond three cycles. YAZ has not been evaluated for treatment of PMS (premenstrual syndrome), See CLINICAL TRIALS.</w:t>
      </w:r>
      <w:r w:rsidRPr="00E94BBF">
        <w:rPr>
          <w:i/>
        </w:rPr>
        <w:fldChar w:fldCharType="begin"/>
      </w:r>
      <w:r w:rsidRPr="00E94BBF">
        <w:rPr>
          <w:i/>
        </w:rPr>
        <w:instrText xml:space="preserve"> NOTEREF _Ref324419493 \h  \* MERGEFORMAT </w:instrText>
      </w:r>
      <w:r w:rsidRPr="00E94BBF">
        <w:rPr>
          <w:i/>
        </w:rPr>
      </w:r>
      <w:r w:rsidRPr="00E94BBF">
        <w:rPr>
          <w:i/>
        </w:rPr>
        <w:fldChar w:fldCharType="separate"/>
      </w:r>
      <w:r w:rsidRPr="00E94BBF">
        <w:rPr>
          <w:i/>
        </w:rPr>
        <w:t>1</w:t>
      </w:r>
      <w:r w:rsidRPr="00E94BBF">
        <w:rPr>
          <w:i/>
        </w:rPr>
        <w:fldChar w:fldCharType="end"/>
      </w:r>
    </w:p>
    <w:p w:rsidR="00BB7B6F" w:rsidRPr="003F31A2" w:rsidRDefault="00BB7B6F" w:rsidP="00E94BBF">
      <w:pPr>
        <w:pStyle w:val="Heading3"/>
      </w:pPr>
      <w:bookmarkStart w:id="25" w:name="_Toc323821155"/>
      <w:bookmarkStart w:id="26" w:name="_Toc335040581"/>
      <w:bookmarkStart w:id="27" w:name="_Toc398110064"/>
      <w:bookmarkStart w:id="28" w:name="_Toc401835970"/>
      <w:r>
        <w:t xml:space="preserve">Regulatory </w:t>
      </w:r>
      <w:r w:rsidR="00E94BBF" w:rsidRPr="00E94BBF">
        <w:t>s</w:t>
      </w:r>
      <w:r w:rsidRPr="00E94BBF">
        <w:t>tatus</w:t>
      </w:r>
      <w:bookmarkEnd w:id="25"/>
      <w:bookmarkEnd w:id="26"/>
      <w:bookmarkEnd w:id="27"/>
      <w:bookmarkEnd w:id="24"/>
      <w:bookmarkEnd w:id="28"/>
    </w:p>
    <w:p w:rsidR="00E94BBF" w:rsidRDefault="00BB7B6F" w:rsidP="00E94BBF">
      <w:bookmarkStart w:id="29" w:name="_Toc247691505"/>
      <w:r w:rsidRPr="00E6141A">
        <w:t xml:space="preserve">In April 2012 the European medicines Agency (EMA)/ The Committee for Medicinal Products for Human Use, formerly known as Committee for Proprietary Medicinal Products(CHMP) concluded that the benefits of </w:t>
      </w:r>
      <w:proofErr w:type="spellStart"/>
      <w:r>
        <w:t>YAZFlex</w:t>
      </w:r>
      <w:proofErr w:type="spellEnd"/>
      <w:r w:rsidRPr="00E6141A">
        <w:t xml:space="preserve"> outweigh its risks, and thus, marketing authorisation could be granted in all European Union (EU) Member States as </w:t>
      </w:r>
      <w:r w:rsidR="00E94BBF">
        <w:t>well as Iceland and Norway.</w:t>
      </w:r>
    </w:p>
    <w:p w:rsidR="00BB7B6F" w:rsidRPr="005D5ECA" w:rsidRDefault="00BB7B6F" w:rsidP="00E94BBF">
      <w:pPr>
        <w:rPr>
          <w:lang w:eastAsia="en-AU"/>
        </w:rPr>
      </w:pPr>
      <w:proofErr w:type="spellStart"/>
      <w:r>
        <w:t>YAZFlex</w:t>
      </w:r>
      <w:proofErr w:type="spellEnd"/>
      <w:r w:rsidRPr="00C264F8">
        <w:t xml:space="preserve"> was approved in Switzerland on 26 July 2013 under the </w:t>
      </w:r>
      <w:proofErr w:type="spellStart"/>
      <w:r w:rsidRPr="00C264F8">
        <w:t>tradename</w:t>
      </w:r>
      <w:proofErr w:type="spellEnd"/>
      <w:r w:rsidRPr="00C264F8">
        <w:t xml:space="preserve"> </w:t>
      </w:r>
      <w:proofErr w:type="spellStart"/>
      <w:r w:rsidRPr="00C264F8">
        <w:t>Flexyess</w:t>
      </w:r>
      <w:proofErr w:type="spellEnd"/>
      <w:r w:rsidRPr="00C264F8">
        <w:t>.</w:t>
      </w:r>
    </w:p>
    <w:p w:rsidR="00BB7B6F" w:rsidRDefault="00BB7B6F" w:rsidP="00E94BBF">
      <w:pPr>
        <w:pStyle w:val="Heading3"/>
      </w:pPr>
      <w:bookmarkStart w:id="30" w:name="_Toc323821156"/>
      <w:bookmarkStart w:id="31" w:name="_Toc335040582"/>
      <w:bookmarkStart w:id="32" w:name="_Toc398110065"/>
      <w:bookmarkStart w:id="33" w:name="_Toc401835971"/>
      <w:r>
        <w:lastRenderedPageBreak/>
        <w:t xml:space="preserve">Product </w:t>
      </w:r>
      <w:r w:rsidRPr="00E94BBF">
        <w:t>Information</w:t>
      </w:r>
      <w:bookmarkEnd w:id="29"/>
      <w:bookmarkEnd w:id="30"/>
      <w:bookmarkEnd w:id="31"/>
      <w:bookmarkEnd w:id="32"/>
      <w:bookmarkEnd w:id="33"/>
    </w:p>
    <w:p w:rsidR="00BB7B6F" w:rsidRPr="00572868" w:rsidRDefault="00BB7B6F" w:rsidP="00E94BBF">
      <w:r>
        <w:t>The approved product information (PI) current at the time this AusPAR was prepared can be found as Attachment 1.</w:t>
      </w:r>
    </w:p>
    <w:p w:rsidR="00BB7B6F" w:rsidRPr="003602A9" w:rsidRDefault="00BB7B6F" w:rsidP="00E94BBF">
      <w:pPr>
        <w:pStyle w:val="Heading2"/>
      </w:pPr>
      <w:bookmarkStart w:id="34" w:name="_Toc247691506"/>
      <w:bookmarkStart w:id="35" w:name="_Toc323821157"/>
      <w:bookmarkStart w:id="36" w:name="_Toc335040583"/>
      <w:bookmarkStart w:id="37" w:name="_Toc398110066"/>
      <w:bookmarkStart w:id="38" w:name="_Toc401835972"/>
      <w:r>
        <w:t xml:space="preserve">II. Quality </w:t>
      </w:r>
      <w:r w:rsidR="00E94BBF" w:rsidRPr="00E94BBF">
        <w:t>f</w:t>
      </w:r>
      <w:r w:rsidRPr="00E94BBF">
        <w:t>indings</w:t>
      </w:r>
      <w:bookmarkEnd w:id="34"/>
      <w:bookmarkEnd w:id="35"/>
      <w:bookmarkEnd w:id="36"/>
      <w:bookmarkEnd w:id="37"/>
      <w:bookmarkEnd w:id="38"/>
    </w:p>
    <w:p w:rsidR="00BB7B6F" w:rsidRDefault="00BB7B6F" w:rsidP="00E94BBF">
      <w:pPr>
        <w:pStyle w:val="Heading3"/>
      </w:pPr>
      <w:bookmarkStart w:id="39" w:name="_Toc323821158"/>
      <w:bookmarkStart w:id="40" w:name="_Toc335040584"/>
      <w:bookmarkStart w:id="41" w:name="_Toc398110067"/>
      <w:bookmarkStart w:id="42" w:name="_Toc247691507"/>
      <w:bookmarkStart w:id="43" w:name="_Toc401835973"/>
      <w:r w:rsidRPr="00E94BBF">
        <w:t>Introduction</w:t>
      </w:r>
      <w:bookmarkEnd w:id="39"/>
      <w:bookmarkEnd w:id="40"/>
      <w:bookmarkEnd w:id="41"/>
      <w:bookmarkEnd w:id="43"/>
    </w:p>
    <w:p w:rsidR="00BB7B6F" w:rsidRPr="0098501A" w:rsidRDefault="00BB7B6F" w:rsidP="00E94BBF">
      <w:r>
        <w:t xml:space="preserve">The electronic dispenser allows for patients to periodically take a 4 day break from dosing, hence no placebo tablets are included. The electronic dispenser is to be listed separately on the </w:t>
      </w:r>
      <w:r w:rsidRPr="0098501A">
        <w:t>Australian Register of Therap</w:t>
      </w:r>
      <w:r w:rsidR="00E94BBF">
        <w:t>eutic Goods (ARTG) as a device.</w:t>
      </w:r>
    </w:p>
    <w:p w:rsidR="00BB7B6F" w:rsidRDefault="00BB7B6F" w:rsidP="00E94BBF">
      <w:r>
        <w:t xml:space="preserve">There </w:t>
      </w:r>
      <w:proofErr w:type="gramStart"/>
      <w:r>
        <w:t>are</w:t>
      </w:r>
      <w:proofErr w:type="gramEnd"/>
      <w:r>
        <w:t xml:space="preserve"> recently published European Pharmacopeia (EP)/British Pharmacopeia (BP) 2011 and US Pharmacopeia (USP) 34 monographs for </w:t>
      </w:r>
      <w:proofErr w:type="spellStart"/>
      <w:r>
        <w:t>drospirenone</w:t>
      </w:r>
      <w:proofErr w:type="spellEnd"/>
      <w:r>
        <w:t xml:space="preserve"> but no </w:t>
      </w:r>
      <w:proofErr w:type="spellStart"/>
      <w:r>
        <w:t>compendial</w:t>
      </w:r>
      <w:proofErr w:type="spellEnd"/>
      <w:r>
        <w:t xml:space="preserve"> monographs for finished products containing </w:t>
      </w:r>
      <w:proofErr w:type="spellStart"/>
      <w:r>
        <w:t>drospirenone</w:t>
      </w:r>
      <w:proofErr w:type="spellEnd"/>
      <w:r>
        <w:t xml:space="preserve">. There are BP/USP monographs for </w:t>
      </w:r>
      <w:proofErr w:type="spellStart"/>
      <w:r>
        <w:t>ethinyloestradiol</w:t>
      </w:r>
      <w:proofErr w:type="spellEnd"/>
      <w:r>
        <w:t xml:space="preserve"> and BP/USP monographs for a number of </w:t>
      </w:r>
      <w:proofErr w:type="spellStart"/>
      <w:r>
        <w:t>ethinyloestradiol</w:t>
      </w:r>
      <w:proofErr w:type="spellEnd"/>
      <w:r>
        <w:t xml:space="preserve">-containing tablets. </w:t>
      </w:r>
    </w:p>
    <w:p w:rsidR="00BB7B6F" w:rsidRDefault="00BB7B6F" w:rsidP="00E94BBF">
      <w:pPr>
        <w:pStyle w:val="Heading3"/>
      </w:pPr>
      <w:bookmarkStart w:id="44" w:name="_Toc323821159"/>
      <w:bookmarkStart w:id="45" w:name="_Toc335040585"/>
      <w:bookmarkStart w:id="46" w:name="_Toc398110068"/>
      <w:bookmarkStart w:id="47" w:name="_Toc401835974"/>
      <w:r w:rsidRPr="008751DC">
        <w:t xml:space="preserve">Drug </w:t>
      </w:r>
      <w:r w:rsidR="00E94BBF" w:rsidRPr="00E94BBF">
        <w:t>s</w:t>
      </w:r>
      <w:r w:rsidRPr="00E94BBF">
        <w:t>ubstance</w:t>
      </w:r>
      <w:r>
        <w:t xml:space="preserve"> (active ingredient)</w:t>
      </w:r>
      <w:bookmarkEnd w:id="42"/>
      <w:bookmarkEnd w:id="44"/>
      <w:bookmarkEnd w:id="45"/>
      <w:bookmarkEnd w:id="46"/>
      <w:bookmarkEnd w:id="47"/>
    </w:p>
    <w:p w:rsidR="00BB7B6F" w:rsidRDefault="00BB7B6F" w:rsidP="00E94BBF">
      <w:bookmarkStart w:id="48" w:name="_Toc247691508"/>
      <w:proofErr w:type="spellStart"/>
      <w:r>
        <w:t>Drospirenone</w:t>
      </w:r>
      <w:proofErr w:type="spellEnd"/>
      <w:r>
        <w:t xml:space="preserve"> is a synthetic </w:t>
      </w:r>
      <w:proofErr w:type="spellStart"/>
      <w:r>
        <w:t>progestogen</w:t>
      </w:r>
      <w:proofErr w:type="spellEnd"/>
      <w:r>
        <w:t xml:space="preserve">. </w:t>
      </w:r>
      <w:proofErr w:type="spellStart"/>
      <w:r>
        <w:t>Ethinyloestradiol</w:t>
      </w:r>
      <w:proofErr w:type="spellEnd"/>
      <w:r>
        <w:t xml:space="preserve"> is a synthetic derivative of oestradiol, a naturally occurring oestrogen. Their structures are shown in Figure 1. </w:t>
      </w:r>
    </w:p>
    <w:p w:rsidR="00BB7B6F" w:rsidRDefault="00BB7B6F" w:rsidP="00E94BBF">
      <w:pPr>
        <w:pStyle w:val="FigureTitle"/>
        <w:rPr>
          <w:rFonts w:ascii="Times New Roman" w:hAnsi="Times New Roman"/>
          <w:sz w:val="24"/>
          <w:szCs w:val="20"/>
        </w:rPr>
      </w:pPr>
      <w:proofErr w:type="gramStart"/>
      <w:r>
        <w:t>Figure 1.</w:t>
      </w:r>
      <w:proofErr w:type="gramEnd"/>
      <w:r>
        <w:t xml:space="preserve"> </w:t>
      </w:r>
      <w:proofErr w:type="gramStart"/>
      <w:r>
        <w:t>Chemical structures of active ingredients.</w:t>
      </w:r>
      <w:proofErr w:type="gramEnd"/>
    </w:p>
    <w:p w:rsidR="00BB7B6F" w:rsidRDefault="00BB7B6F" w:rsidP="00BB7B6F">
      <w:pPr>
        <w:jc w:val="center"/>
      </w:pPr>
      <w:r>
        <w:rPr>
          <w:rFonts w:ascii="Arial" w:hAnsi="Arial" w:cs="Arial"/>
          <w:b/>
          <w:noProof/>
          <w:color w:val="820024"/>
          <w:sz w:val="18"/>
          <w:szCs w:val="18"/>
          <w:lang w:eastAsia="en-AU"/>
        </w:rPr>
        <w:drawing>
          <wp:inline distT="0" distB="0" distL="0" distR="0" wp14:anchorId="380EC9A7" wp14:editId="2A5AD21A">
            <wp:extent cx="1695450" cy="1104900"/>
            <wp:effectExtent l="0" t="0" r="0" b="0"/>
            <wp:docPr id="3" name="Picture 3" descr="Figure 1. Chemical structures of active ingredients.Drospirenone" title="Figure 1. Chemical structures of active ingredients.Drospiren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pic:cNvPr>
                    <pic:cNvPicPr>
                      <a:picLocks noChangeAspect="1" noChangeArrowheads="1"/>
                    </pic:cNvPicPr>
                  </pic:nvPicPr>
                  <pic:blipFill>
                    <a:blip r:embed="rId15" cstate="print"/>
                    <a:srcRect/>
                    <a:stretch>
                      <a:fillRect/>
                    </a:stretch>
                  </pic:blipFill>
                  <pic:spPr bwMode="auto">
                    <a:xfrm>
                      <a:off x="0" y="0"/>
                      <a:ext cx="1695450" cy="1104900"/>
                    </a:xfrm>
                    <a:prstGeom prst="rect">
                      <a:avLst/>
                    </a:prstGeom>
                    <a:noFill/>
                    <a:ln w="9525">
                      <a:noFill/>
                      <a:miter lim="800000"/>
                      <a:headEnd/>
                      <a:tailEnd/>
                    </a:ln>
                  </pic:spPr>
                </pic:pic>
              </a:graphicData>
            </a:graphic>
          </wp:inline>
        </w:drawing>
      </w:r>
      <w:r>
        <w:rPr>
          <w:rFonts w:ascii="Arial" w:hAnsi="Arial" w:cs="Arial"/>
          <w:sz w:val="18"/>
          <w:szCs w:val="18"/>
        </w:rPr>
        <w:t xml:space="preserve">  </w:t>
      </w:r>
      <w:r>
        <w:rPr>
          <w:rFonts w:ascii="Arial" w:hAnsi="Arial" w:cs="Arial"/>
          <w:b/>
          <w:noProof/>
          <w:sz w:val="18"/>
          <w:szCs w:val="18"/>
          <w:lang w:eastAsia="en-AU"/>
        </w:rPr>
        <w:drawing>
          <wp:inline distT="0" distB="0" distL="0" distR="0" wp14:anchorId="793AFF64" wp14:editId="67649843">
            <wp:extent cx="1704975" cy="876300"/>
            <wp:effectExtent l="0" t="0" r="9525" b="0"/>
            <wp:docPr id="2" name="Picture 2" descr="Figure 1. Chemical structures of active ingredients. Ethinyloestradiol" title="Figure 1. Chemical structures of active ingredients. Ethinyloestradi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6"/>
                    </pic:cNvPr>
                    <pic:cNvPicPr>
                      <a:picLocks noChangeAspect="1" noChangeArrowheads="1"/>
                    </pic:cNvPicPr>
                  </pic:nvPicPr>
                  <pic:blipFill>
                    <a:blip r:embed="rId17" cstate="print"/>
                    <a:srcRect/>
                    <a:stretch>
                      <a:fillRect/>
                    </a:stretch>
                  </pic:blipFill>
                  <pic:spPr bwMode="auto">
                    <a:xfrm>
                      <a:off x="0" y="0"/>
                      <a:ext cx="1704975" cy="876300"/>
                    </a:xfrm>
                    <a:prstGeom prst="rect">
                      <a:avLst/>
                    </a:prstGeom>
                    <a:noFill/>
                    <a:ln w="9525">
                      <a:noFill/>
                      <a:miter lim="800000"/>
                      <a:headEnd/>
                      <a:tailEnd/>
                    </a:ln>
                  </pic:spPr>
                </pic:pic>
              </a:graphicData>
            </a:graphic>
          </wp:inline>
        </w:drawing>
      </w:r>
    </w:p>
    <w:p w:rsidR="00BB7B6F" w:rsidRPr="00096FDB" w:rsidRDefault="00E94BBF" w:rsidP="00E94BBF">
      <w:pPr>
        <w:tabs>
          <w:tab w:val="left" w:pos="1985"/>
          <w:tab w:val="left" w:pos="4962"/>
        </w:tabs>
        <w:rPr>
          <w:sz w:val="20"/>
          <w:szCs w:val="20"/>
        </w:rPr>
      </w:pPr>
      <w:r>
        <w:rPr>
          <w:b/>
          <w:sz w:val="20"/>
          <w:szCs w:val="20"/>
        </w:rPr>
        <w:tab/>
      </w:r>
      <w:proofErr w:type="spellStart"/>
      <w:r w:rsidR="00BB7B6F" w:rsidRPr="00096FDB">
        <w:rPr>
          <w:b/>
          <w:sz w:val="20"/>
          <w:szCs w:val="20"/>
        </w:rPr>
        <w:t>Drospirenone</w:t>
      </w:r>
      <w:proofErr w:type="spellEnd"/>
      <w:r>
        <w:rPr>
          <w:sz w:val="20"/>
          <w:szCs w:val="20"/>
        </w:rPr>
        <w:tab/>
      </w:r>
      <w:proofErr w:type="spellStart"/>
      <w:r w:rsidR="00BB7B6F" w:rsidRPr="00096FDB">
        <w:rPr>
          <w:b/>
          <w:sz w:val="20"/>
          <w:szCs w:val="20"/>
        </w:rPr>
        <w:t>Ethinyloestradiol</w:t>
      </w:r>
      <w:proofErr w:type="spellEnd"/>
    </w:p>
    <w:p w:rsidR="00BB7B6F" w:rsidRDefault="00BB7B6F" w:rsidP="00E94BBF">
      <w:r>
        <w:t xml:space="preserve">As per the registered ‘YAZ’ product, the </w:t>
      </w:r>
      <w:proofErr w:type="spellStart"/>
      <w:r>
        <w:t>ethinyloestradiol</w:t>
      </w:r>
      <w:proofErr w:type="spellEnd"/>
      <w:r>
        <w:t xml:space="preserve"> drug substance is pre-formulated with </w:t>
      </w:r>
      <w:proofErr w:type="spellStart"/>
      <w:r>
        <w:t>betadex</w:t>
      </w:r>
      <w:proofErr w:type="spellEnd"/>
      <w:r>
        <w:t xml:space="preserve"> (</w:t>
      </w:r>
      <w:proofErr w:type="spellStart"/>
      <w:r>
        <w:t>betacyclodextrin</w:t>
      </w:r>
      <w:proofErr w:type="spellEnd"/>
      <w:r>
        <w:t xml:space="preserve">) prior to tablet manufacture to form an inclusion complex (or </w:t>
      </w:r>
      <w:proofErr w:type="spellStart"/>
      <w:r>
        <w:t>clathrate</w:t>
      </w:r>
      <w:proofErr w:type="spellEnd"/>
      <w:r>
        <w:t xml:space="preserve">). This is claimed to enhance the </w:t>
      </w:r>
      <w:r>
        <w:rPr>
          <w:i/>
        </w:rPr>
        <w:t>in vitro</w:t>
      </w:r>
      <w:r>
        <w:t xml:space="preserve"> stability of the </w:t>
      </w:r>
      <w:proofErr w:type="spellStart"/>
      <w:r>
        <w:t>ethinyloestradiol</w:t>
      </w:r>
      <w:proofErr w:type="spellEnd"/>
      <w:r>
        <w:t xml:space="preserve"> without affecting the </w:t>
      </w:r>
      <w:r>
        <w:rPr>
          <w:i/>
        </w:rPr>
        <w:t>in vivo</w:t>
      </w:r>
      <w:r>
        <w:t xml:space="preserve"> bioavailability. There are BP and USP monographs for the </w:t>
      </w:r>
      <w:proofErr w:type="spellStart"/>
      <w:r>
        <w:t>cyclodextrin</w:t>
      </w:r>
      <w:proofErr w:type="spellEnd"/>
      <w:r>
        <w:t xml:space="preserve"> </w:t>
      </w:r>
      <w:proofErr w:type="spellStart"/>
      <w:r>
        <w:t>betadex</w:t>
      </w:r>
      <w:proofErr w:type="spellEnd"/>
      <w:r>
        <w:t>.</w:t>
      </w:r>
    </w:p>
    <w:p w:rsidR="00BB7B6F" w:rsidRDefault="00BB7B6F" w:rsidP="00E94BBF">
      <w:r>
        <w:t>The drug substances are manufactur</w:t>
      </w:r>
      <w:r w:rsidR="00E94BBF">
        <w:t xml:space="preserve">ed by Bayer </w:t>
      </w:r>
      <w:proofErr w:type="spellStart"/>
      <w:r w:rsidR="00E94BBF">
        <w:t>Pharma</w:t>
      </w:r>
      <w:proofErr w:type="spellEnd"/>
      <w:r w:rsidR="00E94BBF">
        <w:t xml:space="preserve"> AG, Germany.</w:t>
      </w:r>
    </w:p>
    <w:p w:rsidR="00BB7B6F" w:rsidRDefault="00BB7B6F" w:rsidP="00E94BBF">
      <w:r>
        <w:t xml:space="preserve">A number of minor changes have been made to aspects relating to the drug substance </w:t>
      </w:r>
      <w:proofErr w:type="spellStart"/>
      <w:r>
        <w:t>drospirenone</w:t>
      </w:r>
      <w:proofErr w:type="spellEnd"/>
      <w:r>
        <w:t xml:space="preserve">. The proposed </w:t>
      </w:r>
      <w:proofErr w:type="spellStart"/>
      <w:r>
        <w:t>drospirenone</w:t>
      </w:r>
      <w:proofErr w:type="spellEnd"/>
      <w:r>
        <w:t xml:space="preserve"> specification has also been revised in line with the EP</w:t>
      </w:r>
      <w:r w:rsidR="00E94BBF">
        <w:t xml:space="preserve">/BP Monograph for </w:t>
      </w:r>
      <w:proofErr w:type="spellStart"/>
      <w:r w:rsidR="00E94BBF">
        <w:t>drospirenone</w:t>
      </w:r>
      <w:proofErr w:type="spellEnd"/>
      <w:r w:rsidR="00E94BBF">
        <w:t>.</w:t>
      </w:r>
    </w:p>
    <w:p w:rsidR="00BB7B6F" w:rsidRDefault="00BB7B6F" w:rsidP="00E94BBF">
      <w:r>
        <w:t xml:space="preserve">Minor changes have been made to the </w:t>
      </w:r>
      <w:proofErr w:type="spellStart"/>
      <w:r>
        <w:t>ethinyloestradiol</w:t>
      </w:r>
      <w:proofErr w:type="spellEnd"/>
      <w:r>
        <w:t xml:space="preserve"> specification; other aspects relating to the </w:t>
      </w:r>
      <w:proofErr w:type="spellStart"/>
      <w:r>
        <w:t>ethinyloestradiol</w:t>
      </w:r>
      <w:proofErr w:type="spellEnd"/>
      <w:r>
        <w:t xml:space="preserve"> drug substance are substantially unchanged. The changes to the specification follow revision of the </w:t>
      </w:r>
      <w:proofErr w:type="spellStart"/>
      <w:r>
        <w:t>ethinyloestradiol</w:t>
      </w:r>
      <w:proofErr w:type="spellEnd"/>
      <w:r>
        <w:t xml:space="preserve"> </w:t>
      </w:r>
      <w:r>
        <w:rPr>
          <w:lang w:val="en-US"/>
        </w:rPr>
        <w:t>European Directorate for the Quality of Medicines and Healthcare (</w:t>
      </w:r>
      <w:r>
        <w:t xml:space="preserve">EDQM) Certificate of Suitability (CEP), which in turn follows amendment </w:t>
      </w:r>
      <w:r w:rsidR="00E94BBF">
        <w:t>to the applicable EP monograph.</w:t>
      </w:r>
    </w:p>
    <w:p w:rsidR="00BB7B6F" w:rsidRPr="0098501A" w:rsidRDefault="00BB7B6F" w:rsidP="00E94BBF">
      <w:r>
        <w:t xml:space="preserve">The free </w:t>
      </w:r>
      <w:proofErr w:type="spellStart"/>
      <w:r>
        <w:t>betadex</w:t>
      </w:r>
      <w:proofErr w:type="spellEnd"/>
      <w:r>
        <w:t xml:space="preserve"> used in the </w:t>
      </w:r>
      <w:proofErr w:type="spellStart"/>
      <w:r>
        <w:t>clathrate</w:t>
      </w:r>
      <w:proofErr w:type="spellEnd"/>
      <w:r>
        <w:t xml:space="preserve"> is the subject of a CEP; previously this was not the case. The CEP has expired; however, </w:t>
      </w:r>
      <w:r>
        <w:rPr>
          <w:rFonts w:eastAsia="MS Mincho" w:cs="Tms Rmn"/>
          <w:snapToGrid w:val="0"/>
          <w:lang w:eastAsia="en-AU"/>
        </w:rPr>
        <w:t xml:space="preserve">the company </w:t>
      </w:r>
      <w:r w:rsidRPr="002D01EC">
        <w:rPr>
          <w:rFonts w:eastAsia="MS Mincho" w:cs="Tms Rmn"/>
          <w:snapToGrid w:val="0"/>
          <w:lang w:eastAsia="en-AU"/>
        </w:rPr>
        <w:t>notes that a new CEP was expected by the end of 2011. This issue will need to be addressed prior to a decision on registration.</w:t>
      </w:r>
    </w:p>
    <w:p w:rsidR="00BB7B6F" w:rsidRDefault="00BB7B6F" w:rsidP="00A1431C">
      <w:pPr>
        <w:pStyle w:val="Heading3"/>
      </w:pPr>
      <w:bookmarkStart w:id="49" w:name="_Toc323821160"/>
      <w:bookmarkStart w:id="50" w:name="_Toc335040586"/>
      <w:bookmarkStart w:id="51" w:name="_Toc398110069"/>
      <w:bookmarkStart w:id="52" w:name="_Toc401835975"/>
      <w:r w:rsidRPr="008751DC">
        <w:lastRenderedPageBreak/>
        <w:t xml:space="preserve">Drug </w:t>
      </w:r>
      <w:r w:rsidR="00E94BBF" w:rsidRPr="00A1431C">
        <w:t>p</w:t>
      </w:r>
      <w:r w:rsidRPr="00A1431C">
        <w:t>roduct</w:t>
      </w:r>
      <w:bookmarkEnd w:id="48"/>
      <w:bookmarkEnd w:id="49"/>
      <w:bookmarkEnd w:id="50"/>
      <w:bookmarkEnd w:id="51"/>
      <w:bookmarkEnd w:id="52"/>
    </w:p>
    <w:p w:rsidR="00BB7B6F" w:rsidRDefault="00BB7B6F" w:rsidP="00F477B7">
      <w:pPr>
        <w:rPr>
          <w:rFonts w:ascii="Times New Roman" w:hAnsi="Times New Roman"/>
          <w:sz w:val="24"/>
          <w:szCs w:val="20"/>
        </w:rPr>
      </w:pPr>
      <w:r>
        <w:t xml:space="preserve">The tablets are to be manufactured by Bayer </w:t>
      </w:r>
      <w:proofErr w:type="spellStart"/>
      <w:r>
        <w:t>Pharma</w:t>
      </w:r>
      <w:proofErr w:type="spellEnd"/>
      <w:r>
        <w:t xml:space="preserve"> AG, Germany (as per the registered product). The manufacturing process and finished produc</w:t>
      </w:r>
      <w:r w:rsidR="00F477B7">
        <w:t>t specifications are unchanged.</w:t>
      </w:r>
    </w:p>
    <w:p w:rsidR="00BB7B6F" w:rsidRDefault="00BB7B6F" w:rsidP="00F477B7">
      <w:pPr>
        <w:pStyle w:val="Heading4"/>
      </w:pPr>
      <w:r>
        <w:t xml:space="preserve">Packaging and </w:t>
      </w:r>
      <w:r w:rsidRPr="00F477B7">
        <w:t>stability</w:t>
      </w:r>
    </w:p>
    <w:p w:rsidR="00BB7B6F" w:rsidRDefault="00BB7B6F" w:rsidP="00F477B7">
      <w:r>
        <w:t>The tablets are to be packed into a dispenser which is then packed into</w:t>
      </w:r>
      <w:r w:rsidR="00F477B7">
        <w:t xml:space="preserve"> a hermetically sealed blister.</w:t>
      </w:r>
    </w:p>
    <w:p w:rsidR="00BB7B6F" w:rsidRDefault="00BB7B6F" w:rsidP="00F477B7">
      <w:r>
        <w:t xml:space="preserve">Two blister platforms are proposed. Both are </w:t>
      </w:r>
      <w:r w:rsidRPr="0098501A">
        <w:t>polyamide/aluminium/polyethylene</w:t>
      </w:r>
      <w:r w:rsidRPr="00CF723F">
        <w:t xml:space="preserve"> (</w:t>
      </w:r>
      <w:proofErr w:type="spellStart"/>
      <w:r>
        <w:t>oPA</w:t>
      </w:r>
      <w:proofErr w:type="spellEnd"/>
      <w:r>
        <w:t>/Al/PE) blisters with the PE layer on the inside. The two platforms have different adhesives and different t</w:t>
      </w:r>
      <w:r w:rsidR="00F477B7">
        <w:t>hicknesses of PE (30 or 40 µm).</w:t>
      </w:r>
    </w:p>
    <w:p w:rsidR="00BB7B6F" w:rsidRDefault="00BB7B6F" w:rsidP="00F477B7">
      <w:r>
        <w:t>The materials are acc</w:t>
      </w:r>
      <w:r w:rsidR="00F477B7">
        <w:t>eptable for use in the product.</w:t>
      </w:r>
    </w:p>
    <w:p w:rsidR="00BB7B6F" w:rsidRDefault="00BB7B6F" w:rsidP="00F477B7">
      <w:r>
        <w:t xml:space="preserve">Under accelerated storage conditions </w:t>
      </w:r>
      <w:r>
        <w:rPr>
          <w:lang w:eastAsia="en-AU"/>
        </w:rPr>
        <w:t xml:space="preserve">a decline in </w:t>
      </w:r>
      <w:proofErr w:type="spellStart"/>
      <w:r>
        <w:rPr>
          <w:lang w:eastAsia="en-AU"/>
        </w:rPr>
        <w:t>ethinyloestradiol</w:t>
      </w:r>
      <w:proofErr w:type="spellEnd"/>
      <w:r>
        <w:rPr>
          <w:lang w:eastAsia="en-AU"/>
        </w:rPr>
        <w:t xml:space="preserve"> assay was observed in the stability batches. The submitted data were otherwi</w:t>
      </w:r>
      <w:r w:rsidR="00F477B7">
        <w:rPr>
          <w:lang w:eastAsia="en-AU"/>
        </w:rPr>
        <w:t>se acceptable.</w:t>
      </w:r>
    </w:p>
    <w:p w:rsidR="00BB7B6F" w:rsidRDefault="00BB7B6F" w:rsidP="00F477B7">
      <w:pPr>
        <w:rPr>
          <w:szCs w:val="20"/>
        </w:rPr>
      </w:pPr>
      <w:r>
        <w:t>Adequate in-use and pho</w:t>
      </w:r>
      <w:r w:rsidR="00F477B7">
        <w:t>tostability data were provided.</w:t>
      </w:r>
    </w:p>
    <w:p w:rsidR="00BB7B6F" w:rsidRDefault="00BB7B6F" w:rsidP="00F477B7">
      <w:pPr>
        <w:rPr>
          <w:lang w:eastAsia="en-AU"/>
        </w:rPr>
      </w:pPr>
      <w:r>
        <w:rPr>
          <w:lang w:eastAsia="en-AU"/>
        </w:rPr>
        <w:t>A shelf-life of 18 months when stored below 30 C° in the pro</w:t>
      </w:r>
      <w:r w:rsidR="00F477B7">
        <w:rPr>
          <w:lang w:eastAsia="en-AU"/>
        </w:rPr>
        <w:t>posed packaging is recommended.</w:t>
      </w:r>
    </w:p>
    <w:p w:rsidR="00BB7B6F" w:rsidRDefault="00BB7B6F" w:rsidP="00F477B7">
      <w:pPr>
        <w:pStyle w:val="Heading4"/>
        <w:rPr>
          <w:rFonts w:ascii="Times New Roman" w:hAnsi="Times New Roman"/>
          <w:sz w:val="24"/>
          <w:szCs w:val="20"/>
        </w:rPr>
      </w:pPr>
      <w:r>
        <w:t xml:space="preserve">Labelling of the </w:t>
      </w:r>
      <w:r w:rsidRPr="00F477B7">
        <w:t>device</w:t>
      </w:r>
    </w:p>
    <w:p w:rsidR="00BB7B6F" w:rsidRDefault="00BB7B6F" w:rsidP="00F477B7">
      <w:r>
        <w:t>The device has been evaluated by the Office of Laboratories and Scientific Services at TGA with regard to its usability and the quali</w:t>
      </w:r>
      <w:r w:rsidR="00F477B7">
        <w:t>ty of its instructions for use.</w:t>
      </w:r>
    </w:p>
    <w:p w:rsidR="00BB7B6F" w:rsidRDefault="00BB7B6F" w:rsidP="00F477B7">
      <w:pPr>
        <w:rPr>
          <w:lang w:eastAsia="en-AU"/>
        </w:rPr>
      </w:pPr>
      <w:r>
        <w:rPr>
          <w:lang w:eastAsia="en-AU"/>
        </w:rPr>
        <w:t xml:space="preserve">At first glance, the device seemed to be overly complicated and cryptic. However, the instructions for use were found to provide clear concise instructions making ample use of illustrations to eliminate all possibility of ambiguity. There were no objections to the approval of the submission on the basis </w:t>
      </w:r>
      <w:r w:rsidR="00F477B7">
        <w:rPr>
          <w:lang w:eastAsia="en-AU"/>
        </w:rPr>
        <w:t>of device design and usability.</w:t>
      </w:r>
    </w:p>
    <w:p w:rsidR="00BB7B6F" w:rsidRDefault="00BB7B6F" w:rsidP="00F477B7">
      <w:pPr>
        <w:rPr>
          <w:lang w:eastAsia="en-AU"/>
        </w:rPr>
      </w:pPr>
      <w:r>
        <w:rPr>
          <w:lang w:eastAsia="en-AU"/>
        </w:rPr>
        <w:t>However, during examination it was found that the device can eject its entire contents (up to 30 tablets) at one sitting within a short time. It was therefore recommended that the applicant add a ‘Keep Out of the Reach of Children’ warning to the device itself (this warning already appea</w:t>
      </w:r>
      <w:r w:rsidR="00F477B7">
        <w:rPr>
          <w:lang w:eastAsia="en-AU"/>
        </w:rPr>
        <w:t>rs on the Instructions Manual).</w:t>
      </w:r>
    </w:p>
    <w:p w:rsidR="00BB7B6F" w:rsidRPr="001043AA" w:rsidRDefault="00BB7B6F" w:rsidP="00F477B7">
      <w:r>
        <w:rPr>
          <w:lang w:eastAsia="en-AU"/>
        </w:rPr>
        <w:t xml:space="preserve">This recommendation was put to the sponsor. The sponsor did not believe it is necessary to add the warning statement. The sponsor noted that a similar concern was raised by the Netherlands Health Authority as part of the ongoing European submission and has provided the response given to the Netherlands Health Authority for consideration by TGA. </w:t>
      </w:r>
      <w:r w:rsidRPr="001043AA">
        <w:rPr>
          <w:lang w:eastAsia="en-AU"/>
        </w:rPr>
        <w:t>Clinical co</w:t>
      </w:r>
      <w:r w:rsidR="00F477B7">
        <w:rPr>
          <w:lang w:eastAsia="en-AU"/>
        </w:rPr>
        <w:t>mment on this issue was sought.</w:t>
      </w:r>
    </w:p>
    <w:p w:rsidR="00BB7B6F" w:rsidRPr="008751DC" w:rsidRDefault="00BB7B6F" w:rsidP="00F477B7">
      <w:pPr>
        <w:pStyle w:val="Heading3"/>
      </w:pPr>
      <w:bookmarkStart w:id="53" w:name="_Toc247691509"/>
      <w:bookmarkStart w:id="54" w:name="_Toc323821161"/>
      <w:bookmarkStart w:id="55" w:name="_Toc335040587"/>
      <w:bookmarkStart w:id="56" w:name="_Toc398110070"/>
      <w:bookmarkStart w:id="57" w:name="_Toc401835976"/>
      <w:r>
        <w:t xml:space="preserve">Quality </w:t>
      </w:r>
      <w:r w:rsidR="00F477B7">
        <w:t>s</w:t>
      </w:r>
      <w:r w:rsidRPr="008751DC">
        <w:t>ummary</w:t>
      </w:r>
      <w:r>
        <w:t xml:space="preserve"> and </w:t>
      </w:r>
      <w:r w:rsidR="00F477B7" w:rsidRPr="00F477B7">
        <w:t>c</w:t>
      </w:r>
      <w:r w:rsidRPr="00F477B7">
        <w:t>onclusions</w:t>
      </w:r>
      <w:bookmarkEnd w:id="53"/>
      <w:bookmarkEnd w:id="54"/>
      <w:bookmarkEnd w:id="55"/>
      <w:bookmarkEnd w:id="56"/>
      <w:bookmarkEnd w:id="57"/>
    </w:p>
    <w:p w:rsidR="00BB7B6F" w:rsidRDefault="00BB7B6F" w:rsidP="00F477B7">
      <w:pPr>
        <w:rPr>
          <w:rFonts w:ascii="Times New Roman" w:hAnsi="Times New Roman"/>
          <w:sz w:val="24"/>
          <w:szCs w:val="20"/>
        </w:rPr>
      </w:pPr>
      <w:bookmarkStart w:id="58" w:name="_Toc196046439"/>
      <w:bookmarkStart w:id="59" w:name="_Toc247691510"/>
      <w:r>
        <w:t xml:space="preserve">Subject to satisfactory resolution of the issues detailed above, there were no objections to the registration of </w:t>
      </w:r>
      <w:proofErr w:type="spellStart"/>
      <w:r>
        <w:t>YAZFlex</w:t>
      </w:r>
      <w:proofErr w:type="spellEnd"/>
      <w:r>
        <w:t xml:space="preserve"> </w:t>
      </w:r>
      <w:proofErr w:type="spellStart"/>
      <w:r>
        <w:t>ethinyloestradiol</w:t>
      </w:r>
      <w:proofErr w:type="spellEnd"/>
      <w:r>
        <w:t xml:space="preserve"> (as </w:t>
      </w:r>
      <w:proofErr w:type="spellStart"/>
      <w:r>
        <w:t>betadex</w:t>
      </w:r>
      <w:proofErr w:type="spellEnd"/>
      <w:r>
        <w:t xml:space="preserve"> </w:t>
      </w:r>
      <w:proofErr w:type="spellStart"/>
      <w:r>
        <w:t>clathrate</w:t>
      </w:r>
      <w:proofErr w:type="spellEnd"/>
      <w:r>
        <w:t xml:space="preserve">) 20 µg and </w:t>
      </w:r>
      <w:proofErr w:type="spellStart"/>
      <w:r>
        <w:t>drospirenone</w:t>
      </w:r>
      <w:proofErr w:type="spellEnd"/>
      <w:r>
        <w:t xml:space="preserve"> 3 mg tablet dispenser pack with regard to chemistry, manufacturing and controls.</w:t>
      </w:r>
    </w:p>
    <w:p w:rsidR="00BB7B6F" w:rsidRDefault="00BB7B6F" w:rsidP="00F477B7">
      <w:pPr>
        <w:pStyle w:val="Heading2"/>
      </w:pPr>
      <w:bookmarkStart w:id="60" w:name="_Toc323821162"/>
      <w:bookmarkStart w:id="61" w:name="_Toc335040588"/>
      <w:bookmarkStart w:id="62" w:name="_Toc398110071"/>
      <w:bookmarkStart w:id="63" w:name="_Toc401835977"/>
      <w:r>
        <w:t>III. Nonclinical</w:t>
      </w:r>
      <w:bookmarkEnd w:id="58"/>
      <w:r>
        <w:t xml:space="preserve"> </w:t>
      </w:r>
      <w:r w:rsidR="00F477B7" w:rsidRPr="00F477B7">
        <w:t>f</w:t>
      </w:r>
      <w:r w:rsidRPr="00F477B7">
        <w:t>indings</w:t>
      </w:r>
      <w:bookmarkEnd w:id="59"/>
      <w:bookmarkEnd w:id="60"/>
      <w:bookmarkEnd w:id="61"/>
      <w:bookmarkEnd w:id="62"/>
      <w:bookmarkEnd w:id="63"/>
    </w:p>
    <w:p w:rsidR="00BB7B6F" w:rsidRDefault="00BB7B6F" w:rsidP="00F477B7">
      <w:pPr>
        <w:pStyle w:val="Heading3"/>
      </w:pPr>
      <w:bookmarkStart w:id="64" w:name="_Toc247691511"/>
      <w:bookmarkStart w:id="65" w:name="_Toc323821163"/>
      <w:bookmarkStart w:id="66" w:name="_Toc335040589"/>
      <w:bookmarkStart w:id="67" w:name="_Toc398110072"/>
      <w:bookmarkStart w:id="68" w:name="_Toc401835978"/>
      <w:r w:rsidRPr="00F477B7">
        <w:t>Introduction</w:t>
      </w:r>
      <w:bookmarkEnd w:id="64"/>
      <w:bookmarkEnd w:id="65"/>
      <w:bookmarkEnd w:id="66"/>
      <w:bookmarkEnd w:id="67"/>
      <w:bookmarkEnd w:id="68"/>
    </w:p>
    <w:p w:rsidR="00BB7B6F" w:rsidRPr="00913DBD" w:rsidRDefault="00BB7B6F" w:rsidP="00F477B7">
      <w:bookmarkStart w:id="69" w:name="_Toc247691512"/>
      <w:r w:rsidRPr="00913DBD">
        <w:t xml:space="preserve">The nonclinical part of the current Australian submission comprised 59 studies. These were claimed to represent nonclinical studies not previously evaluated by the TGA. The </w:t>
      </w:r>
      <w:r w:rsidRPr="00913DBD">
        <w:lastRenderedPageBreak/>
        <w:t>thoroughness of the sponsor’s identification of previously evaluated data was questioned prior to and at submission and a revised Nonclinical Table of Contents listing 29 unevaluated studies was ultimately provided. Upon evaluation, the actual number of new studies has been determined to be 23. None of these were of direct relevance to the effect of the modified dosing regimen on efficacy or safety.</w:t>
      </w:r>
    </w:p>
    <w:p w:rsidR="00BB7B6F" w:rsidRDefault="00BB7B6F" w:rsidP="00F477B7">
      <w:pPr>
        <w:pStyle w:val="Heading3"/>
      </w:pPr>
      <w:bookmarkStart w:id="70" w:name="_Toc323821164"/>
      <w:bookmarkStart w:id="71" w:name="_Toc335040590"/>
      <w:bookmarkStart w:id="72" w:name="_Toc398110073"/>
      <w:bookmarkStart w:id="73" w:name="_Toc401835979"/>
      <w:r w:rsidRPr="00F477B7">
        <w:t>Pharmacology</w:t>
      </w:r>
      <w:bookmarkEnd w:id="69"/>
      <w:bookmarkEnd w:id="70"/>
      <w:bookmarkEnd w:id="71"/>
      <w:bookmarkEnd w:id="72"/>
      <w:bookmarkEnd w:id="73"/>
    </w:p>
    <w:p w:rsidR="00BB7B6F" w:rsidRPr="008432FF" w:rsidRDefault="00BB7B6F" w:rsidP="00F477B7">
      <w:bookmarkStart w:id="74" w:name="_Toc247691513"/>
      <w:r w:rsidRPr="008432FF">
        <w:t xml:space="preserve">Two new studies were submitted. The data add to the already </w:t>
      </w:r>
      <w:proofErr w:type="spellStart"/>
      <w:r w:rsidRPr="008432FF">
        <w:t>well established</w:t>
      </w:r>
      <w:proofErr w:type="spellEnd"/>
      <w:r w:rsidRPr="008432FF">
        <w:t xml:space="preserve"> pharmacological characterisation of the two active ingredients. In the first study, </w:t>
      </w:r>
      <w:proofErr w:type="spellStart"/>
      <w:r w:rsidRPr="008432FF">
        <w:t>ethinyloestradiol</w:t>
      </w:r>
      <w:proofErr w:type="spellEnd"/>
      <w:r w:rsidRPr="008432FF">
        <w:t xml:space="preserve"> was shown to possess high affinity for the oestrogen receptor (rat and human uterus), moderate progesterone receptor affinity (rabbit and human uterus), no affinity for the androgen receptor (rat prostate), low affinity for the glucocorticoid receptor (rat thymus), little affinity for human sex hormone binding globulin (SHBG) and no affinity for human cortisol binding globulin (CBG). In the second study, the </w:t>
      </w:r>
      <w:proofErr w:type="spellStart"/>
      <w:r w:rsidRPr="008432FF">
        <w:t>progestogenic</w:t>
      </w:r>
      <w:proofErr w:type="spellEnd"/>
      <w:r w:rsidRPr="008432FF">
        <w:t xml:space="preserve"> activity of </w:t>
      </w:r>
      <w:proofErr w:type="spellStart"/>
      <w:r w:rsidRPr="008432FF">
        <w:t>drospirenone</w:t>
      </w:r>
      <w:proofErr w:type="spellEnd"/>
      <w:r w:rsidRPr="008432FF">
        <w:t xml:space="preserve"> was again demonstrated in vivo in a study in rats, with a preferential action on the uterus compared to mammary gland evident.</w:t>
      </w:r>
    </w:p>
    <w:p w:rsidR="00BB7B6F" w:rsidRDefault="00BB7B6F" w:rsidP="00F477B7">
      <w:pPr>
        <w:pStyle w:val="Heading3"/>
      </w:pPr>
      <w:bookmarkStart w:id="75" w:name="_Toc323821165"/>
      <w:bookmarkStart w:id="76" w:name="_Toc335040591"/>
      <w:bookmarkStart w:id="77" w:name="_Toc398110074"/>
      <w:bookmarkStart w:id="78" w:name="_Toc401835980"/>
      <w:r w:rsidRPr="00F477B7">
        <w:t>Pharmacokinetics</w:t>
      </w:r>
      <w:bookmarkEnd w:id="74"/>
      <w:bookmarkEnd w:id="75"/>
      <w:bookmarkEnd w:id="76"/>
      <w:bookmarkEnd w:id="77"/>
      <w:bookmarkEnd w:id="78"/>
    </w:p>
    <w:p w:rsidR="00BB7B6F" w:rsidRPr="008432FF" w:rsidRDefault="00BB7B6F" w:rsidP="00F477B7">
      <w:bookmarkStart w:id="79" w:name="_Toc247691514"/>
      <w:r w:rsidRPr="008432FF">
        <w:t xml:space="preserve">Co-administration of </w:t>
      </w:r>
      <w:proofErr w:type="spellStart"/>
      <w:r w:rsidRPr="008432FF">
        <w:t>ethinyloestradiol</w:t>
      </w:r>
      <w:proofErr w:type="spellEnd"/>
      <w:r w:rsidRPr="008432FF">
        <w:t xml:space="preserve"> had no significant effect on exposure to </w:t>
      </w:r>
      <w:proofErr w:type="spellStart"/>
      <w:r w:rsidRPr="008432FF">
        <w:t>drospirenone</w:t>
      </w:r>
      <w:proofErr w:type="spellEnd"/>
      <w:r w:rsidRPr="008432FF">
        <w:t xml:space="preserve"> in a single dose study in monkeys. This is consistent with the reported lack of effect of </w:t>
      </w:r>
      <w:proofErr w:type="spellStart"/>
      <w:r w:rsidRPr="008432FF">
        <w:t>ethinyloestradiol</w:t>
      </w:r>
      <w:proofErr w:type="spellEnd"/>
      <w:r w:rsidRPr="008432FF">
        <w:t xml:space="preserve"> on the pharmacokinetics of </w:t>
      </w:r>
      <w:proofErr w:type="spellStart"/>
      <w:r w:rsidRPr="008432FF">
        <w:t>drospirenone</w:t>
      </w:r>
      <w:proofErr w:type="spellEnd"/>
      <w:r w:rsidRPr="008432FF">
        <w:t xml:space="preserve"> in clinical studies. New distribution and excretion studies in rats demonstrated no persisting tissue</w:t>
      </w:r>
      <w:r>
        <w:t xml:space="preserve"> </w:t>
      </w:r>
      <w:r w:rsidRPr="008432FF">
        <w:t xml:space="preserve">specific retention of </w:t>
      </w:r>
      <w:r>
        <w:t>radioactively labelled (</w:t>
      </w:r>
      <w:r w:rsidRPr="008432FF">
        <w:rPr>
          <w:vertAlign w:val="superscript"/>
        </w:rPr>
        <w:t>3</w:t>
      </w:r>
      <w:r w:rsidRPr="008432FF">
        <w:t>H</w:t>
      </w:r>
      <w:proofErr w:type="gramStart"/>
      <w:r>
        <w:t>)</w:t>
      </w:r>
      <w:r w:rsidRPr="008432FF">
        <w:noBreakHyphen/>
      </w:r>
      <w:proofErr w:type="spellStart"/>
      <w:proofErr w:type="gramEnd"/>
      <w:r w:rsidRPr="008432FF">
        <w:t>ethinyloestradiol</w:t>
      </w:r>
      <w:proofErr w:type="spellEnd"/>
      <w:r w:rsidRPr="008432FF">
        <w:t xml:space="preserve">-derived radioactivity and significant biliary excretion of both </w:t>
      </w:r>
      <w:r w:rsidRPr="008432FF">
        <w:rPr>
          <w:vertAlign w:val="superscript"/>
        </w:rPr>
        <w:t>3</w:t>
      </w:r>
      <w:r w:rsidRPr="008432FF">
        <w:t>H</w:t>
      </w:r>
      <w:r w:rsidRPr="008432FF">
        <w:noBreakHyphen/>
        <w:t xml:space="preserve">ethinyloestradiol and </w:t>
      </w:r>
      <w:r w:rsidRPr="008432FF">
        <w:rPr>
          <w:vertAlign w:val="superscript"/>
        </w:rPr>
        <w:t>3</w:t>
      </w:r>
      <w:r w:rsidRPr="008432FF">
        <w:t>H</w:t>
      </w:r>
      <w:r w:rsidRPr="008432FF">
        <w:noBreakHyphen/>
        <w:t>drospirenone</w:t>
      </w:r>
      <w:r>
        <w:t xml:space="preserve"> </w:t>
      </w:r>
      <w:r w:rsidRPr="008432FF">
        <w:t xml:space="preserve">derived radioactivity. These aspects of the pharmacokinetic profile were known from previously evaluated data. Toxicokinetic data submitted in support of a previously evaluated peri-/postnatal development study in rats with </w:t>
      </w:r>
      <w:proofErr w:type="spellStart"/>
      <w:r w:rsidRPr="008432FF">
        <w:t>ethinyloestradiol</w:t>
      </w:r>
      <w:proofErr w:type="spellEnd"/>
      <w:r w:rsidRPr="008432FF">
        <w:t xml:space="preserve"> and </w:t>
      </w:r>
      <w:proofErr w:type="spellStart"/>
      <w:r w:rsidRPr="008432FF">
        <w:t>drospirenone</w:t>
      </w:r>
      <w:proofErr w:type="spellEnd"/>
      <w:r w:rsidRPr="008432FF">
        <w:t xml:space="preserve"> in combination are not of utility in assessing relative exposure due to the limited sampling regimen used (one or two time points per day; area under plasma concentration time curve (AUC) not calculable).</w:t>
      </w:r>
    </w:p>
    <w:p w:rsidR="00BB7B6F" w:rsidRDefault="00BB7B6F" w:rsidP="00F477B7">
      <w:pPr>
        <w:pStyle w:val="Heading3"/>
      </w:pPr>
      <w:bookmarkStart w:id="80" w:name="_Toc323821166"/>
      <w:bookmarkStart w:id="81" w:name="_Toc335040592"/>
      <w:bookmarkStart w:id="82" w:name="_Toc398110075"/>
      <w:bookmarkStart w:id="83" w:name="_Toc401835981"/>
      <w:r w:rsidRPr="00F477B7">
        <w:t>Toxicology</w:t>
      </w:r>
      <w:bookmarkEnd w:id="79"/>
      <w:bookmarkEnd w:id="80"/>
      <w:bookmarkEnd w:id="81"/>
      <w:bookmarkEnd w:id="82"/>
      <w:bookmarkEnd w:id="83"/>
    </w:p>
    <w:p w:rsidR="00BB7B6F" w:rsidRPr="001043AA" w:rsidRDefault="00BB7B6F" w:rsidP="00F477B7">
      <w:bookmarkStart w:id="84" w:name="_Toc247691515"/>
      <w:r w:rsidRPr="001043AA">
        <w:t>All new safety</w:t>
      </w:r>
      <w:r>
        <w:t xml:space="preserve"> </w:t>
      </w:r>
      <w:r w:rsidRPr="001043AA">
        <w:t xml:space="preserve">related studies were </w:t>
      </w:r>
      <w:r>
        <w:t>Good Laboratory Practice (</w:t>
      </w:r>
      <w:r w:rsidRPr="001043AA">
        <w:t>GLP</w:t>
      </w:r>
      <w:r>
        <w:t>)</w:t>
      </w:r>
      <w:r w:rsidRPr="001043AA">
        <w:t xml:space="preserve"> compliant.</w:t>
      </w:r>
    </w:p>
    <w:p w:rsidR="00BB7B6F" w:rsidRDefault="00BB7B6F" w:rsidP="00F477B7">
      <w:pPr>
        <w:pStyle w:val="Heading4"/>
      </w:pPr>
      <w:bookmarkStart w:id="85" w:name="_Toc294861727"/>
      <w:r>
        <w:t xml:space="preserve">Acute </w:t>
      </w:r>
      <w:r w:rsidRPr="00F477B7">
        <w:t>toxicity</w:t>
      </w:r>
      <w:bookmarkEnd w:id="85"/>
    </w:p>
    <w:p w:rsidR="00BB7B6F" w:rsidRPr="001043AA" w:rsidRDefault="00BB7B6F" w:rsidP="00F477B7">
      <w:r w:rsidRPr="001043AA">
        <w:t xml:space="preserve">A single-dose toxicity study with </w:t>
      </w:r>
      <w:proofErr w:type="spellStart"/>
      <w:r w:rsidRPr="001043AA">
        <w:t>ethinyloestradiol</w:t>
      </w:r>
      <w:proofErr w:type="spellEnd"/>
      <w:r w:rsidRPr="001043AA">
        <w:t xml:space="preserve"> and </w:t>
      </w:r>
      <w:proofErr w:type="spellStart"/>
      <w:r w:rsidRPr="001043AA">
        <w:t>drospirenone</w:t>
      </w:r>
      <w:proofErr w:type="spellEnd"/>
      <w:r w:rsidRPr="001043AA">
        <w:t xml:space="preserve"> in combination (1:100 </w:t>
      </w:r>
      <w:proofErr w:type="gramStart"/>
      <w:r w:rsidRPr="001043AA">
        <w:t>ratio</w:t>
      </w:r>
      <w:proofErr w:type="gramEnd"/>
      <w:r w:rsidRPr="001043AA">
        <w:t xml:space="preserve">) in rats indicated a low order of acute toxicity by the oral route (maximum non-lethal dose, 2000 mg/kg). This is consistent with previously evaluated studies for the single agents. Given the existing data, such a study with the combination is not required according to the relevant </w:t>
      </w:r>
      <w:r>
        <w:t xml:space="preserve">TGA adopted </w:t>
      </w:r>
      <w:r w:rsidRPr="001043AA">
        <w:t>EU guideline</w:t>
      </w:r>
      <w:bookmarkStart w:id="86" w:name="_Ref323636982"/>
      <w:r>
        <w:rPr>
          <w:rStyle w:val="FootnoteReference"/>
        </w:rPr>
        <w:footnoteReference w:id="2"/>
      </w:r>
      <w:bookmarkEnd w:id="86"/>
      <w:r w:rsidRPr="001043AA">
        <w:t>.</w:t>
      </w:r>
    </w:p>
    <w:p w:rsidR="00BB7B6F" w:rsidRDefault="00BB7B6F" w:rsidP="00F477B7">
      <w:pPr>
        <w:pStyle w:val="Heading4"/>
      </w:pPr>
      <w:bookmarkStart w:id="87" w:name="_Toc294861728"/>
      <w:r>
        <w:t>Repeat-dose toxicity</w:t>
      </w:r>
      <w:bookmarkEnd w:id="87"/>
      <w:r>
        <w:t xml:space="preserve"> and </w:t>
      </w:r>
      <w:r w:rsidRPr="00F477B7">
        <w:t>carcinogenicity</w:t>
      </w:r>
    </w:p>
    <w:p w:rsidR="00BB7B6F" w:rsidRPr="00EC4238" w:rsidRDefault="00BB7B6F" w:rsidP="00F477B7">
      <w:r w:rsidRPr="00EC4238">
        <w:t>No new data on repeat</w:t>
      </w:r>
      <w:r>
        <w:t xml:space="preserve"> </w:t>
      </w:r>
      <w:r w:rsidRPr="00EC4238">
        <w:t xml:space="preserve">dose toxicity or carcinogenicity were submitted. Studies evaluated for the original application to register </w:t>
      </w:r>
      <w:proofErr w:type="spellStart"/>
      <w:r w:rsidRPr="00EC4238">
        <w:t>ethinyloestradiol</w:t>
      </w:r>
      <w:proofErr w:type="spellEnd"/>
      <w:r w:rsidRPr="00EC4238">
        <w:t> </w:t>
      </w:r>
      <w:r>
        <w:t>±</w:t>
      </w:r>
      <w:r w:rsidRPr="00EC4238">
        <w:t> </w:t>
      </w:r>
      <w:proofErr w:type="spellStart"/>
      <w:r w:rsidRPr="00EC4238">
        <w:t>drospirenone</w:t>
      </w:r>
      <w:proofErr w:type="spellEnd"/>
      <w:r w:rsidRPr="00EC4238">
        <w:t xml:space="preserve"> involved continuous once daily dosing and so are relevant to support the modified dosing regimen </w:t>
      </w:r>
      <w:r w:rsidRPr="00EC4238">
        <w:lastRenderedPageBreak/>
        <w:t>for</w:t>
      </w:r>
      <w:r>
        <w:t xml:space="preserve"> </w:t>
      </w:r>
      <w:proofErr w:type="spellStart"/>
      <w:r>
        <w:t>YAZFlex</w:t>
      </w:r>
      <w:proofErr w:type="spellEnd"/>
      <w:r w:rsidRPr="00EC4238">
        <w:t xml:space="preserve">. A new mechanistic study revealed that </w:t>
      </w:r>
      <w:proofErr w:type="spellStart"/>
      <w:r w:rsidRPr="00EC4238">
        <w:t>ethinyloestradiol</w:t>
      </w:r>
      <w:proofErr w:type="spellEnd"/>
      <w:r w:rsidRPr="00EC4238">
        <w:t xml:space="preserve"> was negative in the rat liver foci bioassay.</w:t>
      </w:r>
    </w:p>
    <w:p w:rsidR="00BB7B6F" w:rsidRDefault="00BB7B6F" w:rsidP="00F477B7">
      <w:pPr>
        <w:pStyle w:val="Heading4"/>
      </w:pPr>
      <w:r w:rsidRPr="00F477B7">
        <w:t>Reproductive</w:t>
      </w:r>
      <w:r>
        <w:t xml:space="preserve"> toxicity</w:t>
      </w:r>
    </w:p>
    <w:p w:rsidR="00BB7B6F" w:rsidRPr="00EF1CAE" w:rsidRDefault="00BB7B6F" w:rsidP="00F477B7">
      <w:r w:rsidRPr="00EF1CAE">
        <w:t xml:space="preserve">The sponsor has submitted a set of new embryofetal development studies in rats conducted with </w:t>
      </w:r>
      <w:proofErr w:type="spellStart"/>
      <w:r w:rsidRPr="00EF1CAE">
        <w:t>ethinyloestradiol</w:t>
      </w:r>
      <w:proofErr w:type="spellEnd"/>
      <w:r w:rsidRPr="00EF1CAE">
        <w:t xml:space="preserve"> and </w:t>
      </w:r>
      <w:proofErr w:type="spellStart"/>
      <w:r w:rsidRPr="00EF1CAE">
        <w:t>drospirenone</w:t>
      </w:r>
      <w:proofErr w:type="spellEnd"/>
      <w:r w:rsidRPr="00EF1CAE">
        <w:t xml:space="preserve"> in combination (1:100 ratio; oral (PO) administration). Embryofetal development studies in rats and rabbits submitted for the original registration of Yasmin were conducted with </w:t>
      </w:r>
      <w:proofErr w:type="spellStart"/>
      <w:r w:rsidRPr="00EF1CAE">
        <w:t>drospirenone</w:t>
      </w:r>
      <w:proofErr w:type="spellEnd"/>
      <w:r w:rsidRPr="00EF1CAE">
        <w:t xml:space="preserve"> alone; similar studies with </w:t>
      </w:r>
      <w:proofErr w:type="spellStart"/>
      <w:r w:rsidRPr="00EF1CAE">
        <w:t>ethinyloestradiol</w:t>
      </w:r>
      <w:proofErr w:type="spellEnd"/>
      <w:r w:rsidRPr="00EF1CAE">
        <w:t xml:space="preserve"> alone had already been evaluated. This approach is acceptable to support a fixed-combination product</w:t>
      </w:r>
      <w:r w:rsidRPr="00E6141A">
        <w:rPr>
          <w:vertAlign w:val="superscript"/>
        </w:rPr>
        <w:fldChar w:fldCharType="begin"/>
      </w:r>
      <w:r w:rsidRPr="00E6141A">
        <w:rPr>
          <w:vertAlign w:val="superscript"/>
        </w:rPr>
        <w:instrText xml:space="preserve"> NOTEREF _Ref323636982 \h  \* MERGEFORMAT </w:instrText>
      </w:r>
      <w:r w:rsidRPr="00E6141A">
        <w:rPr>
          <w:vertAlign w:val="superscript"/>
        </w:rPr>
      </w:r>
      <w:r w:rsidRPr="00E6141A">
        <w:rPr>
          <w:vertAlign w:val="superscript"/>
        </w:rPr>
        <w:fldChar w:fldCharType="separate"/>
      </w:r>
      <w:r>
        <w:rPr>
          <w:vertAlign w:val="superscript"/>
        </w:rPr>
        <w:t>2</w:t>
      </w:r>
      <w:r w:rsidRPr="00E6141A">
        <w:rPr>
          <w:vertAlign w:val="superscript"/>
        </w:rPr>
        <w:fldChar w:fldCharType="end"/>
      </w:r>
      <w:r w:rsidRPr="00E6141A">
        <w:rPr>
          <w:vertAlign w:val="superscript"/>
        </w:rPr>
        <w:t>.</w:t>
      </w:r>
      <w:r w:rsidRPr="00EF1CAE">
        <w:t xml:space="preserve"> Of note, there was a previously evaluated study with the combination in rats that examined the potential for feminisation of fetuses but the treatment period was not for the full period of organogenesis and the fetal examination was more limited than expected for a proper embryofetal development study.</w:t>
      </w:r>
    </w:p>
    <w:p w:rsidR="00BB7B6F" w:rsidRDefault="00BB7B6F" w:rsidP="00F477B7">
      <w:pPr>
        <w:pStyle w:val="Heading5"/>
      </w:pPr>
      <w:r w:rsidRPr="00F477B7">
        <w:t>Relative</w:t>
      </w:r>
      <w:r>
        <w:t xml:space="preserve"> exposure</w:t>
      </w:r>
    </w:p>
    <w:p w:rsidR="00BB7B6F" w:rsidRDefault="00BB7B6F" w:rsidP="00F477B7">
      <w:r w:rsidRPr="00EC4238">
        <w:t xml:space="preserve">Exposure ratios for </w:t>
      </w:r>
      <w:proofErr w:type="spellStart"/>
      <w:r w:rsidRPr="00EC4238">
        <w:t>drospirenone</w:t>
      </w:r>
      <w:proofErr w:type="spellEnd"/>
      <w:r w:rsidRPr="00EC4238">
        <w:t xml:space="preserve"> achieved in the definitive embryofetal development study with the combination have been calculated based on animal:</w:t>
      </w:r>
      <w:r>
        <w:t xml:space="preserve"> </w:t>
      </w:r>
      <w:r w:rsidRPr="00EC4238">
        <w:t xml:space="preserve">human plasma </w:t>
      </w:r>
      <w:r>
        <w:t>area under AUC from time zero to 24 h (</w:t>
      </w:r>
      <w:r w:rsidRPr="00EC4238">
        <w:t>AUC</w:t>
      </w:r>
      <w:r w:rsidRPr="00EC4238">
        <w:rPr>
          <w:vertAlign w:val="subscript"/>
        </w:rPr>
        <w:t>0–24 h</w:t>
      </w:r>
      <w:r>
        <w:t>)</w:t>
      </w:r>
      <w:r w:rsidRPr="00EC4238">
        <w:t xml:space="preserve"> (see table below). AUC values were not calculable for </w:t>
      </w:r>
      <w:proofErr w:type="spellStart"/>
      <w:r w:rsidRPr="00EC4238">
        <w:t>ethinyloestradiol</w:t>
      </w:r>
      <w:proofErr w:type="spellEnd"/>
      <w:r w:rsidRPr="00EC4238">
        <w:t xml:space="preserve"> in the study as plasma levels were most often below the limit of quantification </w:t>
      </w:r>
      <w:proofErr w:type="gramStart"/>
      <w:r w:rsidRPr="00EC4238">
        <w:t>(50 pg/mL)</w:t>
      </w:r>
      <w:proofErr w:type="gramEnd"/>
      <w:r w:rsidRPr="00EC4238">
        <w:t>.</w:t>
      </w:r>
    </w:p>
    <w:p w:rsidR="00BB7B6F" w:rsidRPr="00EC4238" w:rsidRDefault="00BB7B6F" w:rsidP="00F477B7">
      <w:pPr>
        <w:pStyle w:val="TableTitle"/>
      </w:pPr>
      <w:proofErr w:type="gramStart"/>
      <w:r>
        <w:t>Table 2.</w:t>
      </w:r>
      <w:proofErr w:type="gramEnd"/>
      <w:r>
        <w:t xml:space="preserve"> </w:t>
      </w:r>
      <w:r w:rsidRPr="00F477B7">
        <w:t>Relative</w:t>
      </w:r>
      <w:r>
        <w:t xml:space="preserve"> exposure</w:t>
      </w:r>
    </w:p>
    <w:tbl>
      <w:tblPr>
        <w:tblStyle w:val="TableTGAblue"/>
        <w:tblW w:w="8926" w:type="dxa"/>
        <w:tblLayout w:type="fixed"/>
        <w:tblLook w:val="01E0" w:firstRow="1" w:lastRow="1" w:firstColumn="1" w:lastColumn="1" w:noHBand="0" w:noVBand="0"/>
      </w:tblPr>
      <w:tblGrid>
        <w:gridCol w:w="1980"/>
        <w:gridCol w:w="1276"/>
        <w:gridCol w:w="2126"/>
        <w:gridCol w:w="1843"/>
        <w:gridCol w:w="1701"/>
      </w:tblGrid>
      <w:tr w:rsidR="00BB7B6F" w:rsidRPr="00F477B7" w:rsidTr="00F477B7">
        <w:trPr>
          <w:cnfStyle w:val="100000000000" w:firstRow="1" w:lastRow="0" w:firstColumn="0" w:lastColumn="0" w:oddVBand="0" w:evenVBand="0" w:oddHBand="0" w:evenHBand="0" w:firstRowFirstColumn="0" w:firstRowLastColumn="0" w:lastRowFirstColumn="0" w:lastRowLastColumn="0"/>
          <w:trHeight w:val="987"/>
        </w:trPr>
        <w:tc>
          <w:tcPr>
            <w:tcW w:w="1980" w:type="dxa"/>
            <w:hideMark/>
          </w:tcPr>
          <w:p w:rsidR="00BB7B6F" w:rsidRPr="00F477B7" w:rsidRDefault="00BB7B6F" w:rsidP="00F477B7">
            <w:pPr>
              <w:rPr>
                <w:sz w:val="20"/>
                <w:szCs w:val="20"/>
              </w:rPr>
            </w:pPr>
            <w:r w:rsidRPr="00F477B7">
              <w:rPr>
                <w:sz w:val="20"/>
                <w:szCs w:val="20"/>
              </w:rPr>
              <w:t>Species</w:t>
            </w:r>
          </w:p>
        </w:tc>
        <w:tc>
          <w:tcPr>
            <w:tcW w:w="1276" w:type="dxa"/>
            <w:hideMark/>
          </w:tcPr>
          <w:p w:rsidR="00BB7B6F" w:rsidRPr="00F477B7" w:rsidRDefault="00BB7B6F" w:rsidP="00F477B7">
            <w:pPr>
              <w:rPr>
                <w:sz w:val="20"/>
                <w:szCs w:val="20"/>
              </w:rPr>
            </w:pPr>
            <w:r w:rsidRPr="00F477B7">
              <w:rPr>
                <w:sz w:val="20"/>
                <w:szCs w:val="20"/>
              </w:rPr>
              <w:t>Study</w:t>
            </w:r>
          </w:p>
        </w:tc>
        <w:tc>
          <w:tcPr>
            <w:tcW w:w="2126" w:type="dxa"/>
            <w:hideMark/>
          </w:tcPr>
          <w:p w:rsidR="00BB7B6F" w:rsidRPr="00F477B7" w:rsidRDefault="00F477B7" w:rsidP="00F477B7">
            <w:pPr>
              <w:jc w:val="center"/>
              <w:rPr>
                <w:sz w:val="20"/>
                <w:szCs w:val="20"/>
              </w:rPr>
            </w:pPr>
            <w:r>
              <w:rPr>
                <w:sz w:val="20"/>
                <w:szCs w:val="20"/>
              </w:rPr>
              <w:t xml:space="preserve">Dose </w:t>
            </w:r>
            <w:r w:rsidR="00BB7B6F" w:rsidRPr="00F477B7">
              <w:rPr>
                <w:sz w:val="20"/>
                <w:szCs w:val="20"/>
              </w:rPr>
              <w:t>(mg/kg/day);</w:t>
            </w:r>
          </w:p>
          <w:p w:rsidR="00BB7B6F" w:rsidRPr="00F477B7" w:rsidRDefault="00BB7B6F" w:rsidP="00F477B7">
            <w:pPr>
              <w:jc w:val="center"/>
              <w:rPr>
                <w:sz w:val="20"/>
                <w:szCs w:val="20"/>
              </w:rPr>
            </w:pPr>
            <w:r w:rsidRPr="00F477B7">
              <w:rPr>
                <w:sz w:val="20"/>
                <w:szCs w:val="20"/>
              </w:rPr>
              <w:t>PO</w:t>
            </w:r>
          </w:p>
          <w:p w:rsidR="00BB7B6F" w:rsidRPr="00F477B7" w:rsidRDefault="00BB7B6F" w:rsidP="00F477B7">
            <w:pPr>
              <w:jc w:val="center"/>
              <w:rPr>
                <w:sz w:val="20"/>
                <w:szCs w:val="20"/>
              </w:rPr>
            </w:pPr>
            <w:r w:rsidRPr="00F477B7">
              <w:rPr>
                <w:sz w:val="20"/>
                <w:szCs w:val="20"/>
              </w:rPr>
              <w:t>[</w:t>
            </w:r>
            <w:proofErr w:type="spellStart"/>
            <w:r w:rsidRPr="00F477B7">
              <w:rPr>
                <w:sz w:val="20"/>
                <w:szCs w:val="20"/>
              </w:rPr>
              <w:t>ethinyloestradiol</w:t>
            </w:r>
            <w:proofErr w:type="spellEnd"/>
            <w:r w:rsidRPr="00F477B7">
              <w:rPr>
                <w:sz w:val="20"/>
                <w:szCs w:val="20"/>
              </w:rPr>
              <w:t>/</w:t>
            </w:r>
            <w:r w:rsidRPr="00F477B7">
              <w:rPr>
                <w:sz w:val="20"/>
                <w:szCs w:val="20"/>
              </w:rPr>
              <w:br/>
            </w:r>
            <w:proofErr w:type="spellStart"/>
            <w:r w:rsidRPr="00F477B7">
              <w:rPr>
                <w:sz w:val="20"/>
                <w:szCs w:val="20"/>
              </w:rPr>
              <w:t>drospirenone</w:t>
            </w:r>
            <w:proofErr w:type="spellEnd"/>
            <w:r w:rsidRPr="00F477B7">
              <w:rPr>
                <w:sz w:val="20"/>
                <w:szCs w:val="20"/>
              </w:rPr>
              <w:t>]</w:t>
            </w:r>
          </w:p>
        </w:tc>
        <w:tc>
          <w:tcPr>
            <w:tcW w:w="3544" w:type="dxa"/>
            <w:gridSpan w:val="2"/>
            <w:hideMark/>
          </w:tcPr>
          <w:p w:rsidR="00BB7B6F" w:rsidRPr="00F477B7" w:rsidRDefault="00BB7B6F" w:rsidP="00F477B7">
            <w:pPr>
              <w:jc w:val="center"/>
              <w:rPr>
                <w:b w:val="0"/>
                <w:sz w:val="20"/>
                <w:szCs w:val="20"/>
              </w:rPr>
            </w:pPr>
            <w:proofErr w:type="spellStart"/>
            <w:r w:rsidRPr="00F477B7">
              <w:rPr>
                <w:sz w:val="20"/>
                <w:szCs w:val="20"/>
              </w:rPr>
              <w:t>Drospirenone</w:t>
            </w:r>
            <w:proofErr w:type="spellEnd"/>
          </w:p>
          <w:p w:rsidR="00BB7B6F" w:rsidRPr="00F477B7" w:rsidRDefault="00BB7B6F" w:rsidP="00F477B7">
            <w:pPr>
              <w:jc w:val="center"/>
              <w:rPr>
                <w:sz w:val="20"/>
                <w:szCs w:val="20"/>
              </w:rPr>
            </w:pPr>
            <w:r w:rsidRPr="00F477B7">
              <w:rPr>
                <w:sz w:val="20"/>
                <w:szCs w:val="20"/>
              </w:rPr>
              <w:t>AUC</w:t>
            </w:r>
            <w:r w:rsidRPr="00F477B7">
              <w:rPr>
                <w:sz w:val="20"/>
                <w:szCs w:val="20"/>
                <w:vertAlign w:val="subscript"/>
              </w:rPr>
              <w:t>0–24</w:t>
            </w:r>
            <w:r w:rsidRPr="00F477B7">
              <w:rPr>
                <w:w w:val="50"/>
                <w:sz w:val="20"/>
                <w:szCs w:val="20"/>
                <w:vertAlign w:val="subscript"/>
              </w:rPr>
              <w:t> </w:t>
            </w:r>
            <w:r w:rsidRPr="00F477B7">
              <w:rPr>
                <w:sz w:val="20"/>
                <w:szCs w:val="20"/>
                <w:vertAlign w:val="subscript"/>
              </w:rPr>
              <w:t>h</w:t>
            </w:r>
            <w:r w:rsidRPr="00F477B7">
              <w:rPr>
                <w:sz w:val="20"/>
                <w:szCs w:val="20"/>
              </w:rPr>
              <w:t xml:space="preserve"> (ng∙h/mL) Exposure ratio</w:t>
            </w:r>
            <w:r w:rsidRPr="00F477B7">
              <w:rPr>
                <w:sz w:val="20"/>
                <w:szCs w:val="20"/>
                <w:vertAlign w:val="superscript"/>
              </w:rPr>
              <w:t>#</w:t>
            </w:r>
          </w:p>
        </w:tc>
      </w:tr>
      <w:tr w:rsidR="00BB7B6F" w:rsidRPr="00F477B7" w:rsidTr="00F477B7">
        <w:trPr>
          <w:trHeight w:val="227"/>
        </w:trPr>
        <w:tc>
          <w:tcPr>
            <w:tcW w:w="1980" w:type="dxa"/>
            <w:vMerge w:val="restart"/>
            <w:hideMark/>
          </w:tcPr>
          <w:p w:rsidR="00BB7B6F" w:rsidRPr="00F477B7" w:rsidRDefault="00BB7B6F" w:rsidP="00F477B7">
            <w:pPr>
              <w:rPr>
                <w:sz w:val="20"/>
                <w:szCs w:val="20"/>
              </w:rPr>
            </w:pPr>
            <w:r w:rsidRPr="00F477B7">
              <w:rPr>
                <w:sz w:val="20"/>
                <w:szCs w:val="20"/>
              </w:rPr>
              <w:t>Rat</w:t>
            </w:r>
            <w:r w:rsidRPr="00F477B7">
              <w:rPr>
                <w:sz w:val="20"/>
                <w:szCs w:val="20"/>
              </w:rPr>
              <w:br/>
              <w:t>(SD)</w:t>
            </w:r>
          </w:p>
        </w:tc>
        <w:tc>
          <w:tcPr>
            <w:tcW w:w="1276" w:type="dxa"/>
            <w:vMerge w:val="restart"/>
            <w:hideMark/>
          </w:tcPr>
          <w:p w:rsidR="00BB7B6F" w:rsidRPr="00F477B7" w:rsidRDefault="00BB7B6F" w:rsidP="00F477B7">
            <w:pPr>
              <w:rPr>
                <w:sz w:val="20"/>
                <w:szCs w:val="20"/>
              </w:rPr>
            </w:pPr>
            <w:r w:rsidRPr="00F477B7">
              <w:rPr>
                <w:sz w:val="20"/>
                <w:szCs w:val="20"/>
              </w:rPr>
              <w:t>A20498</w:t>
            </w:r>
          </w:p>
        </w:tc>
        <w:tc>
          <w:tcPr>
            <w:tcW w:w="2126" w:type="dxa"/>
            <w:hideMark/>
          </w:tcPr>
          <w:p w:rsidR="00BB7B6F" w:rsidRPr="00F477B7" w:rsidRDefault="00BB7B6F" w:rsidP="00F477B7">
            <w:pPr>
              <w:jc w:val="center"/>
              <w:rPr>
                <w:sz w:val="20"/>
                <w:szCs w:val="20"/>
              </w:rPr>
            </w:pPr>
            <w:r w:rsidRPr="00F477B7">
              <w:rPr>
                <w:sz w:val="20"/>
                <w:szCs w:val="20"/>
              </w:rPr>
              <w:t>0.01 / 1</w:t>
            </w:r>
          </w:p>
        </w:tc>
        <w:tc>
          <w:tcPr>
            <w:tcW w:w="1843" w:type="dxa"/>
            <w:hideMark/>
          </w:tcPr>
          <w:p w:rsidR="00BB7B6F" w:rsidRPr="00F477B7" w:rsidRDefault="00BB7B6F" w:rsidP="00F477B7">
            <w:pPr>
              <w:jc w:val="center"/>
              <w:rPr>
                <w:sz w:val="20"/>
                <w:szCs w:val="20"/>
              </w:rPr>
            </w:pPr>
            <w:r w:rsidRPr="00F477B7">
              <w:rPr>
                <w:sz w:val="20"/>
                <w:szCs w:val="20"/>
              </w:rPr>
              <w:t>124</w:t>
            </w:r>
          </w:p>
        </w:tc>
        <w:tc>
          <w:tcPr>
            <w:tcW w:w="1701" w:type="dxa"/>
            <w:hideMark/>
          </w:tcPr>
          <w:p w:rsidR="00BB7B6F" w:rsidRPr="00F477B7" w:rsidRDefault="00BB7B6F" w:rsidP="00F477B7">
            <w:pPr>
              <w:jc w:val="center"/>
              <w:rPr>
                <w:sz w:val="20"/>
                <w:szCs w:val="20"/>
              </w:rPr>
            </w:pPr>
            <w:r w:rsidRPr="00F477B7">
              <w:rPr>
                <w:sz w:val="20"/>
                <w:szCs w:val="20"/>
              </w:rPr>
              <w:t>0.16</w:t>
            </w:r>
          </w:p>
        </w:tc>
      </w:tr>
      <w:tr w:rsidR="00BB7B6F" w:rsidRPr="00F477B7" w:rsidTr="00F477B7">
        <w:trPr>
          <w:trHeight w:val="227"/>
        </w:trPr>
        <w:tc>
          <w:tcPr>
            <w:tcW w:w="1980" w:type="dxa"/>
            <w:vMerge/>
            <w:hideMark/>
          </w:tcPr>
          <w:p w:rsidR="00BB7B6F" w:rsidRPr="00F477B7" w:rsidRDefault="00BB7B6F" w:rsidP="00F477B7">
            <w:pPr>
              <w:rPr>
                <w:sz w:val="20"/>
                <w:szCs w:val="20"/>
              </w:rPr>
            </w:pPr>
          </w:p>
        </w:tc>
        <w:tc>
          <w:tcPr>
            <w:tcW w:w="1276" w:type="dxa"/>
            <w:vMerge/>
            <w:hideMark/>
          </w:tcPr>
          <w:p w:rsidR="00BB7B6F" w:rsidRPr="00F477B7" w:rsidRDefault="00BB7B6F" w:rsidP="00F477B7">
            <w:pPr>
              <w:rPr>
                <w:sz w:val="20"/>
                <w:szCs w:val="20"/>
              </w:rPr>
            </w:pPr>
          </w:p>
        </w:tc>
        <w:tc>
          <w:tcPr>
            <w:tcW w:w="2126" w:type="dxa"/>
            <w:hideMark/>
          </w:tcPr>
          <w:p w:rsidR="00BB7B6F" w:rsidRPr="00F477B7" w:rsidRDefault="00BB7B6F" w:rsidP="00F477B7">
            <w:pPr>
              <w:jc w:val="center"/>
              <w:rPr>
                <w:sz w:val="20"/>
                <w:szCs w:val="20"/>
              </w:rPr>
            </w:pPr>
            <w:r w:rsidRPr="00F477B7">
              <w:rPr>
                <w:sz w:val="20"/>
                <w:szCs w:val="20"/>
              </w:rPr>
              <w:t>0.03 / 3</w:t>
            </w:r>
          </w:p>
        </w:tc>
        <w:tc>
          <w:tcPr>
            <w:tcW w:w="1843" w:type="dxa"/>
            <w:hideMark/>
          </w:tcPr>
          <w:p w:rsidR="00BB7B6F" w:rsidRPr="00F477B7" w:rsidRDefault="00BB7B6F" w:rsidP="00F477B7">
            <w:pPr>
              <w:jc w:val="center"/>
              <w:rPr>
                <w:sz w:val="20"/>
                <w:szCs w:val="20"/>
              </w:rPr>
            </w:pPr>
            <w:r w:rsidRPr="00F477B7">
              <w:rPr>
                <w:sz w:val="20"/>
                <w:szCs w:val="20"/>
              </w:rPr>
              <w:t>350</w:t>
            </w:r>
          </w:p>
        </w:tc>
        <w:tc>
          <w:tcPr>
            <w:tcW w:w="1701" w:type="dxa"/>
            <w:hideMark/>
          </w:tcPr>
          <w:p w:rsidR="00BB7B6F" w:rsidRPr="00F477B7" w:rsidRDefault="00BB7B6F" w:rsidP="00F477B7">
            <w:pPr>
              <w:jc w:val="center"/>
              <w:rPr>
                <w:sz w:val="20"/>
                <w:szCs w:val="20"/>
              </w:rPr>
            </w:pPr>
            <w:r w:rsidRPr="00F477B7">
              <w:rPr>
                <w:sz w:val="20"/>
                <w:szCs w:val="20"/>
              </w:rPr>
              <w:t>0.5</w:t>
            </w:r>
          </w:p>
        </w:tc>
      </w:tr>
      <w:tr w:rsidR="00BB7B6F" w:rsidRPr="00F477B7" w:rsidTr="00F477B7">
        <w:trPr>
          <w:trHeight w:val="227"/>
        </w:trPr>
        <w:tc>
          <w:tcPr>
            <w:tcW w:w="1980" w:type="dxa"/>
            <w:vMerge/>
            <w:hideMark/>
          </w:tcPr>
          <w:p w:rsidR="00BB7B6F" w:rsidRPr="00F477B7" w:rsidRDefault="00BB7B6F" w:rsidP="00F477B7">
            <w:pPr>
              <w:rPr>
                <w:sz w:val="20"/>
                <w:szCs w:val="20"/>
              </w:rPr>
            </w:pPr>
          </w:p>
        </w:tc>
        <w:tc>
          <w:tcPr>
            <w:tcW w:w="1276" w:type="dxa"/>
            <w:vMerge/>
            <w:hideMark/>
          </w:tcPr>
          <w:p w:rsidR="00BB7B6F" w:rsidRPr="00F477B7" w:rsidRDefault="00BB7B6F" w:rsidP="00F477B7">
            <w:pPr>
              <w:rPr>
                <w:sz w:val="20"/>
                <w:szCs w:val="20"/>
              </w:rPr>
            </w:pPr>
          </w:p>
        </w:tc>
        <w:tc>
          <w:tcPr>
            <w:tcW w:w="2126" w:type="dxa"/>
            <w:hideMark/>
          </w:tcPr>
          <w:p w:rsidR="00BB7B6F" w:rsidRPr="00F477B7" w:rsidRDefault="00BB7B6F" w:rsidP="00F477B7">
            <w:pPr>
              <w:jc w:val="center"/>
              <w:rPr>
                <w:sz w:val="20"/>
                <w:szCs w:val="20"/>
              </w:rPr>
            </w:pPr>
            <w:r w:rsidRPr="00F477B7">
              <w:rPr>
                <w:sz w:val="20"/>
                <w:szCs w:val="20"/>
              </w:rPr>
              <w:t>0.1 / 10</w:t>
            </w:r>
          </w:p>
        </w:tc>
        <w:tc>
          <w:tcPr>
            <w:tcW w:w="1843" w:type="dxa"/>
            <w:hideMark/>
          </w:tcPr>
          <w:p w:rsidR="00BB7B6F" w:rsidRPr="00F477B7" w:rsidRDefault="00BB7B6F" w:rsidP="00F477B7">
            <w:pPr>
              <w:jc w:val="center"/>
              <w:rPr>
                <w:sz w:val="20"/>
                <w:szCs w:val="20"/>
              </w:rPr>
            </w:pPr>
            <w:r w:rsidRPr="00F477B7">
              <w:rPr>
                <w:sz w:val="20"/>
                <w:szCs w:val="20"/>
              </w:rPr>
              <w:t>2400</w:t>
            </w:r>
          </w:p>
        </w:tc>
        <w:tc>
          <w:tcPr>
            <w:tcW w:w="1701" w:type="dxa"/>
            <w:hideMark/>
          </w:tcPr>
          <w:p w:rsidR="00BB7B6F" w:rsidRPr="00F477B7" w:rsidRDefault="00BB7B6F" w:rsidP="00F477B7">
            <w:pPr>
              <w:jc w:val="center"/>
              <w:rPr>
                <w:sz w:val="20"/>
                <w:szCs w:val="20"/>
              </w:rPr>
            </w:pPr>
            <w:r w:rsidRPr="00F477B7">
              <w:rPr>
                <w:sz w:val="20"/>
                <w:szCs w:val="20"/>
              </w:rPr>
              <w:t>3</w:t>
            </w:r>
          </w:p>
        </w:tc>
      </w:tr>
      <w:tr w:rsidR="00BB7B6F" w:rsidRPr="00F477B7" w:rsidTr="00F477B7">
        <w:trPr>
          <w:trHeight w:val="227"/>
        </w:trPr>
        <w:tc>
          <w:tcPr>
            <w:tcW w:w="1980" w:type="dxa"/>
            <w:hideMark/>
          </w:tcPr>
          <w:p w:rsidR="00BB7B6F" w:rsidRPr="00F477B7" w:rsidRDefault="00BB7B6F" w:rsidP="00F477B7">
            <w:pPr>
              <w:rPr>
                <w:sz w:val="20"/>
                <w:szCs w:val="20"/>
              </w:rPr>
            </w:pPr>
            <w:r w:rsidRPr="00F477B7">
              <w:rPr>
                <w:sz w:val="20"/>
                <w:szCs w:val="20"/>
              </w:rPr>
              <w:t>Human (Caucasian women)</w:t>
            </w:r>
          </w:p>
        </w:tc>
        <w:tc>
          <w:tcPr>
            <w:tcW w:w="1276" w:type="dxa"/>
            <w:hideMark/>
          </w:tcPr>
          <w:p w:rsidR="00BB7B6F" w:rsidRPr="00F477B7" w:rsidRDefault="00BB7B6F" w:rsidP="00F477B7">
            <w:pPr>
              <w:rPr>
                <w:sz w:val="20"/>
                <w:szCs w:val="20"/>
              </w:rPr>
            </w:pPr>
            <w:r w:rsidRPr="00F477B7">
              <w:rPr>
                <w:sz w:val="20"/>
                <w:szCs w:val="20"/>
              </w:rPr>
              <w:t>A03328</w:t>
            </w:r>
          </w:p>
        </w:tc>
        <w:tc>
          <w:tcPr>
            <w:tcW w:w="2126" w:type="dxa"/>
            <w:hideMark/>
          </w:tcPr>
          <w:p w:rsidR="00BB7B6F" w:rsidRPr="00F477B7" w:rsidRDefault="00BB7B6F" w:rsidP="00F477B7">
            <w:pPr>
              <w:jc w:val="center"/>
              <w:rPr>
                <w:sz w:val="20"/>
                <w:szCs w:val="20"/>
              </w:rPr>
            </w:pPr>
            <w:r w:rsidRPr="00F477B7">
              <w:rPr>
                <w:sz w:val="20"/>
                <w:szCs w:val="20"/>
              </w:rPr>
              <w:t>[20 μg / 3 mg]</w:t>
            </w:r>
          </w:p>
        </w:tc>
        <w:tc>
          <w:tcPr>
            <w:tcW w:w="1843" w:type="dxa"/>
            <w:hideMark/>
          </w:tcPr>
          <w:p w:rsidR="00BB7B6F" w:rsidRPr="00F477B7" w:rsidRDefault="00BB7B6F" w:rsidP="00F477B7">
            <w:pPr>
              <w:jc w:val="center"/>
              <w:rPr>
                <w:sz w:val="20"/>
                <w:szCs w:val="20"/>
              </w:rPr>
            </w:pPr>
            <w:r w:rsidRPr="00F477B7">
              <w:rPr>
                <w:sz w:val="20"/>
                <w:szCs w:val="20"/>
              </w:rPr>
              <w:t>763</w:t>
            </w:r>
          </w:p>
        </w:tc>
        <w:tc>
          <w:tcPr>
            <w:tcW w:w="1701" w:type="dxa"/>
            <w:hideMark/>
          </w:tcPr>
          <w:p w:rsidR="00BB7B6F" w:rsidRPr="00F477B7" w:rsidRDefault="00BB7B6F" w:rsidP="00F477B7">
            <w:pPr>
              <w:jc w:val="center"/>
              <w:rPr>
                <w:sz w:val="20"/>
                <w:szCs w:val="20"/>
              </w:rPr>
            </w:pPr>
            <w:r w:rsidRPr="00F477B7">
              <w:rPr>
                <w:sz w:val="20"/>
                <w:szCs w:val="20"/>
              </w:rPr>
              <w:t>–</w:t>
            </w:r>
          </w:p>
        </w:tc>
      </w:tr>
    </w:tbl>
    <w:p w:rsidR="00BB7B6F" w:rsidRPr="00C96D16" w:rsidRDefault="00BB7B6F" w:rsidP="00396874">
      <w:pPr>
        <w:pStyle w:val="TableDescription"/>
        <w:rPr>
          <w:kern w:val="2"/>
        </w:rPr>
      </w:pPr>
      <w:r w:rsidRPr="00C96D16">
        <w:rPr>
          <w:position w:val="-2"/>
          <w:vertAlign w:val="superscript"/>
        </w:rPr>
        <w:t>#</w:t>
      </w:r>
      <w:r w:rsidRPr="00C96D16">
        <w:t xml:space="preserve"> = animal:</w:t>
      </w:r>
      <w:r>
        <w:t xml:space="preserve"> </w:t>
      </w:r>
      <w:r w:rsidRPr="00C96D16">
        <w:t>human plasma AUC</w:t>
      </w:r>
      <w:r w:rsidRPr="00C96D16">
        <w:rPr>
          <w:vertAlign w:val="subscript"/>
        </w:rPr>
        <w:t>0–24</w:t>
      </w:r>
      <w:r w:rsidRPr="00C96D16">
        <w:rPr>
          <w:w w:val="50"/>
          <w:vertAlign w:val="subscript"/>
        </w:rPr>
        <w:t> </w:t>
      </w:r>
      <w:r w:rsidRPr="00C96D16">
        <w:rPr>
          <w:vertAlign w:val="subscript"/>
        </w:rPr>
        <w:t>h</w:t>
      </w:r>
      <w:r w:rsidRPr="00C96D16">
        <w:t>; AUC values for animals are the mean of values obtained on GD6 and GD17.</w:t>
      </w:r>
      <w:r>
        <w:t xml:space="preserve"> SD=standard deviation.</w:t>
      </w:r>
    </w:p>
    <w:p w:rsidR="00BB7B6F" w:rsidRPr="008432FF" w:rsidRDefault="00BB7B6F" w:rsidP="00396874">
      <w:r w:rsidRPr="008432FF">
        <w:t xml:space="preserve">The newly submitted definitive study with the combination revealed </w:t>
      </w:r>
      <w:proofErr w:type="spellStart"/>
      <w:r w:rsidRPr="008432FF">
        <w:t>embryolethality</w:t>
      </w:r>
      <w:proofErr w:type="spellEnd"/>
      <w:r w:rsidRPr="008432FF">
        <w:t xml:space="preserve"> (increased post</w:t>
      </w:r>
      <w:r>
        <w:t xml:space="preserve"> </w:t>
      </w:r>
      <w:r w:rsidRPr="008432FF">
        <w:t xml:space="preserve">implantation loss) but no teratogenicity at the highest dose in rats (0.1/10 mg/kg/day </w:t>
      </w:r>
      <w:proofErr w:type="spellStart"/>
      <w:r w:rsidRPr="008432FF">
        <w:t>ethinyloestradiol</w:t>
      </w:r>
      <w:proofErr w:type="spellEnd"/>
      <w:r w:rsidRPr="008432FF">
        <w:t>/</w:t>
      </w:r>
      <w:proofErr w:type="spellStart"/>
      <w:r w:rsidRPr="008432FF">
        <w:t>drospirenone</w:t>
      </w:r>
      <w:proofErr w:type="spellEnd"/>
      <w:r w:rsidRPr="008432FF">
        <w:t xml:space="preserve"> </w:t>
      </w:r>
      <w:r>
        <w:t>orally (</w:t>
      </w:r>
      <w:r w:rsidRPr="008432FF">
        <w:t>PO</w:t>
      </w:r>
      <w:r>
        <w:t>)</w:t>
      </w:r>
      <w:r w:rsidRPr="008432FF">
        <w:t xml:space="preserve">) and an increased incidence of skeletal variations (principally wavy ribs) and retardation of ossification at ≥0.03/3 mg/kg/day. These adverse effects on embryofetal development were observed at doses yielding exposure levels of </w:t>
      </w:r>
      <w:proofErr w:type="spellStart"/>
      <w:r w:rsidRPr="008432FF">
        <w:t>ethinyloestradiol</w:t>
      </w:r>
      <w:proofErr w:type="spellEnd"/>
      <w:r w:rsidRPr="008432FF">
        <w:t xml:space="preserve"> and </w:t>
      </w:r>
      <w:proofErr w:type="spellStart"/>
      <w:r w:rsidRPr="008432FF">
        <w:t>drospirenone</w:t>
      </w:r>
      <w:proofErr w:type="spellEnd"/>
      <w:r w:rsidRPr="008432FF">
        <w:t xml:space="preserve"> below or only low multiples of the clinical exposure.</w:t>
      </w:r>
      <w:r>
        <w:t xml:space="preserve"> </w:t>
      </w:r>
      <w:proofErr w:type="spellStart"/>
      <w:r>
        <w:t>YAZFlex</w:t>
      </w:r>
      <w:proofErr w:type="spellEnd"/>
      <w:r w:rsidRPr="008432FF">
        <w:t xml:space="preserve"> is to be contraindicated in known or suspected pregnancy (as</w:t>
      </w:r>
      <w:r>
        <w:t xml:space="preserve"> YAZ</w:t>
      </w:r>
      <w:r w:rsidRPr="008432FF">
        <w:t xml:space="preserve"> is).</w:t>
      </w:r>
    </w:p>
    <w:p w:rsidR="00BB7B6F" w:rsidRDefault="00BB7B6F" w:rsidP="00396874">
      <w:pPr>
        <w:pStyle w:val="Heading4"/>
      </w:pPr>
      <w:r w:rsidRPr="00396874">
        <w:lastRenderedPageBreak/>
        <w:t>Impurities</w:t>
      </w:r>
    </w:p>
    <w:p w:rsidR="00BB7B6F" w:rsidRDefault="00BB7B6F" w:rsidP="00396874">
      <w:r w:rsidRPr="008432FF">
        <w:t xml:space="preserve">Impurity limits for </w:t>
      </w:r>
      <w:proofErr w:type="spellStart"/>
      <w:r>
        <w:t>YAZFlex</w:t>
      </w:r>
      <w:proofErr w:type="spellEnd"/>
      <w:r w:rsidRPr="008432FF">
        <w:t xml:space="preserve"> have been tightened in some respects for the drug substances and are unchanged for the drug product compared to Y</w:t>
      </w:r>
      <w:r>
        <w:t>AZ</w:t>
      </w:r>
      <w:r w:rsidRPr="008432FF">
        <w:t>. Toxicological acceptabil</w:t>
      </w:r>
      <w:r w:rsidR="00396874">
        <w:t>ity was established previously.</w:t>
      </w:r>
    </w:p>
    <w:p w:rsidR="00BB7B6F" w:rsidRPr="008432FF" w:rsidRDefault="00BB7B6F" w:rsidP="00396874">
      <w:r w:rsidRPr="008432FF">
        <w:t xml:space="preserve">Additional genotoxicity studies with crude or spiked batches of </w:t>
      </w:r>
      <w:proofErr w:type="spellStart"/>
      <w:r w:rsidRPr="008432FF">
        <w:t>ethinyloestradiol</w:t>
      </w:r>
      <w:proofErr w:type="spellEnd"/>
      <w:r w:rsidRPr="008432FF">
        <w:t xml:space="preserve"> containing impurities named in the specifications were submitted. There were some positive findings in </w:t>
      </w:r>
      <w:r w:rsidRPr="00D33B85">
        <w:t>in vitro</w:t>
      </w:r>
      <w:r w:rsidRPr="008432FF">
        <w:t xml:space="preserve"> assays for </w:t>
      </w:r>
      <w:proofErr w:type="spellStart"/>
      <w:r w:rsidRPr="008432FF">
        <w:t>clastogenicity</w:t>
      </w:r>
      <w:proofErr w:type="spellEnd"/>
      <w:r w:rsidRPr="008432FF">
        <w:t xml:space="preserve"> (generally in the presence of metabolic activation) but negative results were obtained in assays for bacterial mutagenicity and for unscheduled deoxyribonucleic acid (DNA) synthesis (rat liver) and </w:t>
      </w:r>
      <w:proofErr w:type="spellStart"/>
      <w:r w:rsidRPr="008432FF">
        <w:t>clastogenicity</w:t>
      </w:r>
      <w:proofErr w:type="spellEnd"/>
      <w:r w:rsidRPr="008432FF">
        <w:t xml:space="preserve"> (mouse micronucleus test) </w:t>
      </w:r>
      <w:r w:rsidRPr="00D33B85">
        <w:t>in vivo</w:t>
      </w:r>
      <w:r w:rsidRPr="008432FF">
        <w:t>. At the proposed limits, patients would receive a maximum of 0.5 μg named impurities per day. This is well below the threshold of toxicolog</w:t>
      </w:r>
      <w:r>
        <w:t xml:space="preserve">ical concern (TTC) value </w:t>
      </w:r>
      <w:proofErr w:type="gramStart"/>
      <w:r>
        <w:t xml:space="preserve">of 1.5 </w:t>
      </w:r>
      <w:r w:rsidRPr="008432FF">
        <w:t>μg/day</w:t>
      </w:r>
      <w:proofErr w:type="gramEnd"/>
      <w:r w:rsidRPr="008432FF">
        <w:t xml:space="preserve">. Furthermore, on a body surface area basis, the doses of the individual impurities that were negative in the </w:t>
      </w:r>
      <w:r w:rsidRPr="00EF1CAE">
        <w:rPr>
          <w:i/>
        </w:rPr>
        <w:t>in vivo</w:t>
      </w:r>
      <w:r w:rsidRPr="008432FF">
        <w:t xml:space="preserve"> test for </w:t>
      </w:r>
      <w:proofErr w:type="spellStart"/>
      <w:r w:rsidRPr="008432FF">
        <w:t>clastogenicity</w:t>
      </w:r>
      <w:proofErr w:type="spellEnd"/>
      <w:r w:rsidRPr="008432FF">
        <w:t xml:space="preserve"> were &gt;800000 times the maximum potential human dose. Accordingly, the impurities are not considered to pose a risk to patient safety.</w:t>
      </w:r>
    </w:p>
    <w:p w:rsidR="00BB7B6F" w:rsidRDefault="00BB7B6F" w:rsidP="00396874">
      <w:pPr>
        <w:pStyle w:val="Heading3"/>
      </w:pPr>
      <w:bookmarkStart w:id="88" w:name="_Toc323821167"/>
      <w:bookmarkStart w:id="89" w:name="_Toc335040593"/>
      <w:bookmarkStart w:id="90" w:name="_Toc398110076"/>
      <w:bookmarkStart w:id="91" w:name="_Toc401835982"/>
      <w:r>
        <w:t xml:space="preserve">Nonclinical </w:t>
      </w:r>
      <w:r w:rsidR="00396874">
        <w:t>s</w:t>
      </w:r>
      <w:r>
        <w:t xml:space="preserve">ummary and </w:t>
      </w:r>
      <w:r w:rsidR="00396874" w:rsidRPr="00396874">
        <w:t>c</w:t>
      </w:r>
      <w:r w:rsidRPr="00396874">
        <w:t>onclusions</w:t>
      </w:r>
      <w:bookmarkEnd w:id="84"/>
      <w:bookmarkEnd w:id="88"/>
      <w:bookmarkEnd w:id="89"/>
      <w:bookmarkEnd w:id="90"/>
      <w:bookmarkEnd w:id="91"/>
    </w:p>
    <w:p w:rsidR="00BB7B6F" w:rsidRPr="008432FF" w:rsidRDefault="00BB7B6F" w:rsidP="00396874">
      <w:pPr>
        <w:pStyle w:val="ListBullet"/>
      </w:pPr>
      <w:bookmarkStart w:id="92" w:name="_Toc196046462"/>
      <w:bookmarkStart w:id="93" w:name="_Toc247691516"/>
      <w:bookmarkStart w:id="94" w:name="_Toc163441353"/>
      <w:bookmarkStart w:id="95" w:name="_Toc163441348"/>
      <w:r w:rsidRPr="008432FF">
        <w:t xml:space="preserve">The nonclinical part of the current submission contained previously unevaluated data on pharmacology, </w:t>
      </w:r>
      <w:r w:rsidRPr="00396874">
        <w:t>pharmacokinetics</w:t>
      </w:r>
      <w:r w:rsidRPr="008432FF">
        <w:t xml:space="preserve">, single dose toxicity, </w:t>
      </w:r>
      <w:proofErr w:type="gramStart"/>
      <w:r w:rsidRPr="008432FF">
        <w:t>embryofetal</w:t>
      </w:r>
      <w:proofErr w:type="gramEnd"/>
      <w:r w:rsidRPr="008432FF">
        <w:t xml:space="preserve"> development, induction of liver foci and on the genotoxicity of impurities.</w:t>
      </w:r>
    </w:p>
    <w:p w:rsidR="00BB7B6F" w:rsidRPr="008432FF" w:rsidRDefault="00BB7B6F" w:rsidP="00396874">
      <w:pPr>
        <w:pStyle w:val="ListBullet"/>
      </w:pPr>
      <w:r w:rsidRPr="008432FF">
        <w:t>None of the new data were of specific relevance to the modified dosing regimen. Previously evaluated toxicity studies submitted in the original application to register the combination involved continuous once daily administration. Hence, the nonclinical assessment made for the original application for registration is able to support this application.</w:t>
      </w:r>
    </w:p>
    <w:p w:rsidR="00BB7B6F" w:rsidRPr="00EC4238" w:rsidRDefault="00BB7B6F" w:rsidP="00396874">
      <w:pPr>
        <w:pStyle w:val="ListBullet"/>
      </w:pPr>
      <w:r w:rsidRPr="00EC4238">
        <w:t xml:space="preserve">New data evaluated in this report do not reveal new hazards or alter conclusions regarding the pharmacological, pharmacokinetic or toxicological profiles of </w:t>
      </w:r>
      <w:proofErr w:type="spellStart"/>
      <w:r w:rsidRPr="00EC4238">
        <w:t>ethinyloestradiol</w:t>
      </w:r>
      <w:proofErr w:type="spellEnd"/>
      <w:r w:rsidRPr="00EC4238">
        <w:t xml:space="preserve"> or </w:t>
      </w:r>
      <w:proofErr w:type="spellStart"/>
      <w:r w:rsidRPr="00EC4238">
        <w:t>drospirenone</w:t>
      </w:r>
      <w:proofErr w:type="spellEnd"/>
      <w:r w:rsidRPr="00EC4238">
        <w:t xml:space="preserve"> drawn previously.</w:t>
      </w:r>
    </w:p>
    <w:p w:rsidR="00BB7B6F" w:rsidRPr="00EC4238" w:rsidRDefault="00BB7B6F" w:rsidP="00396874">
      <w:pPr>
        <w:pStyle w:val="ListBullet"/>
      </w:pPr>
      <w:r w:rsidRPr="00EC4238">
        <w:t>There are no nonclinical objections to the registration of</w:t>
      </w:r>
      <w:r>
        <w:t xml:space="preserve"> </w:t>
      </w:r>
      <w:proofErr w:type="spellStart"/>
      <w:r>
        <w:t>YAZFlex</w:t>
      </w:r>
      <w:proofErr w:type="spellEnd"/>
      <w:r w:rsidRPr="00EC4238">
        <w:t xml:space="preserve"> provided that the draft Product Information document is </w:t>
      </w:r>
      <w:r w:rsidRPr="00396874">
        <w:t>amended</w:t>
      </w:r>
      <w:r w:rsidRPr="00EC4238">
        <w:t xml:space="preserve"> as directed. Specifically, information on the </w:t>
      </w:r>
      <w:proofErr w:type="spellStart"/>
      <w:r w:rsidRPr="00EC4238">
        <w:t>genotoxicity</w:t>
      </w:r>
      <w:proofErr w:type="spellEnd"/>
      <w:r w:rsidRPr="00EC4238">
        <w:t xml:space="preserve"> of </w:t>
      </w:r>
      <w:proofErr w:type="spellStart"/>
      <w:r w:rsidRPr="00EC4238">
        <w:t>ethinyloestradiol</w:t>
      </w:r>
      <w:proofErr w:type="spellEnd"/>
      <w:r w:rsidRPr="00EC4238">
        <w:t xml:space="preserve"> must be added.</w:t>
      </w:r>
    </w:p>
    <w:p w:rsidR="00BB7B6F" w:rsidRPr="00254787" w:rsidRDefault="00BB7B6F" w:rsidP="00396874">
      <w:pPr>
        <w:pStyle w:val="Heading2"/>
      </w:pPr>
      <w:bookmarkStart w:id="96" w:name="_Toc323821168"/>
      <w:bookmarkStart w:id="97" w:name="_Toc335040594"/>
      <w:bookmarkStart w:id="98" w:name="_Toc398110077"/>
      <w:bookmarkStart w:id="99" w:name="_Toc401835983"/>
      <w:r>
        <w:t xml:space="preserve">IV. </w:t>
      </w:r>
      <w:r w:rsidRPr="00254787">
        <w:t>Clinical</w:t>
      </w:r>
      <w:bookmarkEnd w:id="92"/>
      <w:r>
        <w:t xml:space="preserve"> </w:t>
      </w:r>
      <w:r w:rsidR="00396874" w:rsidRPr="00396874">
        <w:t>f</w:t>
      </w:r>
      <w:r w:rsidRPr="00396874">
        <w:t>indings</w:t>
      </w:r>
      <w:bookmarkEnd w:id="93"/>
      <w:bookmarkEnd w:id="96"/>
      <w:bookmarkEnd w:id="97"/>
      <w:bookmarkEnd w:id="98"/>
      <w:bookmarkEnd w:id="99"/>
    </w:p>
    <w:p w:rsidR="00BB7B6F" w:rsidRDefault="00BB7B6F" w:rsidP="00396874">
      <w:pPr>
        <w:pStyle w:val="Heading3"/>
      </w:pPr>
      <w:bookmarkStart w:id="100" w:name="_Toc196046463"/>
      <w:bookmarkStart w:id="101" w:name="_Toc247691517"/>
      <w:bookmarkStart w:id="102" w:name="_Toc323821169"/>
      <w:bookmarkStart w:id="103" w:name="_Toc335040595"/>
      <w:bookmarkStart w:id="104" w:name="_Toc398110078"/>
      <w:bookmarkStart w:id="105" w:name="_Toc401835984"/>
      <w:r w:rsidRPr="00396874">
        <w:t>Introduction</w:t>
      </w:r>
      <w:bookmarkEnd w:id="100"/>
      <w:bookmarkEnd w:id="101"/>
      <w:bookmarkEnd w:id="102"/>
      <w:bookmarkEnd w:id="103"/>
      <w:bookmarkEnd w:id="104"/>
      <w:bookmarkEnd w:id="105"/>
    </w:p>
    <w:p w:rsidR="00BB7B6F" w:rsidRPr="00EF1CAE" w:rsidRDefault="00BB7B6F" w:rsidP="00396874">
      <w:bookmarkStart w:id="106" w:name="_Toc241374281"/>
      <w:bookmarkStart w:id="107" w:name="_Toc196046464"/>
      <w:bookmarkStart w:id="108" w:name="_Toc247691518"/>
      <w:proofErr w:type="spellStart"/>
      <w:r>
        <w:t>YAZFlex</w:t>
      </w:r>
      <w:proofErr w:type="spellEnd"/>
      <w:r w:rsidRPr="00EF1CAE">
        <w:t xml:space="preserve"> is one of a portfolio of three products being developed by the sponsor which are variations of the extended cycle principle. The others are </w:t>
      </w:r>
      <w:r>
        <w:t>YAZ</w:t>
      </w:r>
      <w:r w:rsidRPr="00EF1CAE">
        <w:t xml:space="preserve"> Extend, in which the 120 day active cycle is taken without interruption, irrespective of the occurrence of (unintended) bleeding episodes; and</w:t>
      </w:r>
      <w:r>
        <w:t xml:space="preserve"> YAZ</w:t>
      </w:r>
      <w:r w:rsidRPr="00EF1CAE">
        <w:t xml:space="preserve"> </w:t>
      </w:r>
      <w:proofErr w:type="spellStart"/>
      <w:r w:rsidRPr="00EF1CAE">
        <w:t>Stop&amp;Go</w:t>
      </w:r>
      <w:proofErr w:type="spellEnd"/>
      <w:r w:rsidRPr="00EF1CAE">
        <w:t>, in which the user can schedule the 4</w:t>
      </w:r>
      <w:r>
        <w:t xml:space="preserve"> </w:t>
      </w:r>
      <w:r w:rsidRPr="00EF1CAE">
        <w:t>day tablet free intervals to occur at any time from 24 up to 120 days from the start of the cycle, irrespective of episodes of spotting or bleeding, so as to schedule withdrawal bleeding episodes according to convenience. These latter two products are not proposed for marketing in Australia at this time but are used as comparators in the Phase III efficacy studies reviewed in this report.</w:t>
      </w:r>
    </w:p>
    <w:p w:rsidR="00BB7B6F" w:rsidRPr="00EF1CAE" w:rsidRDefault="00BB7B6F" w:rsidP="00396874">
      <w:r w:rsidRPr="00EF1CAE">
        <w:t>There is some conflicting information about the question of user</w:t>
      </w:r>
      <w:r>
        <w:t xml:space="preserve"> </w:t>
      </w:r>
      <w:r w:rsidRPr="00EF1CAE">
        <w:t xml:space="preserve">initiated tablet free intervals. Despite the above definitions taken from the sponsor’s Clinical Overview, it is stated in the product development rationale on the following page of that document, and in the draft product information (PI), that women using </w:t>
      </w:r>
      <w:proofErr w:type="spellStart"/>
      <w:r>
        <w:t>YAZFlex</w:t>
      </w:r>
      <w:proofErr w:type="spellEnd"/>
      <w:r w:rsidRPr="00EF1CAE">
        <w:t xml:space="preserve"> may choose to initiate a </w:t>
      </w:r>
      <w:r w:rsidRPr="00EF1CAE">
        <w:lastRenderedPageBreak/>
        <w:t xml:space="preserve">tablet free period at any time from Day 25 onwards of a 120 day active tablet cycle, making </w:t>
      </w:r>
      <w:r>
        <w:t>‘</w:t>
      </w:r>
      <w:r w:rsidRPr="00EF1CAE">
        <w:t>managed bleeding</w:t>
      </w:r>
      <w:r>
        <w:t>’</w:t>
      </w:r>
      <w:r w:rsidRPr="00EF1CAE">
        <w:t xml:space="preserve"> a feature of both </w:t>
      </w:r>
      <w:proofErr w:type="spellStart"/>
      <w:r>
        <w:t>YAZFlex</w:t>
      </w:r>
      <w:proofErr w:type="spellEnd"/>
      <w:r w:rsidRPr="00EF1CAE">
        <w:t xml:space="preserve"> and</w:t>
      </w:r>
      <w:r>
        <w:t xml:space="preserve"> YAZ</w:t>
      </w:r>
      <w:r w:rsidRPr="00EF1CAE">
        <w:t xml:space="preserve"> </w:t>
      </w:r>
      <w:proofErr w:type="spellStart"/>
      <w:r w:rsidRPr="00EF1CAE">
        <w:t>Stop&amp;Go</w:t>
      </w:r>
      <w:proofErr w:type="spellEnd"/>
      <w:r w:rsidRPr="00EF1CAE">
        <w:t xml:space="preserve">; however, the penultimate paragraph in the sponsor’s Clinical Overview defines the </w:t>
      </w:r>
      <w:proofErr w:type="spellStart"/>
      <w:r w:rsidRPr="00EF1CAE">
        <w:t>Stop&amp;Go</w:t>
      </w:r>
      <w:proofErr w:type="spellEnd"/>
      <w:r w:rsidRPr="00EF1CAE">
        <w:t xml:space="preserve"> regimen as differing from </w:t>
      </w:r>
      <w:proofErr w:type="spellStart"/>
      <w:r>
        <w:t>YAZFlex</w:t>
      </w:r>
      <w:proofErr w:type="spellEnd"/>
      <w:r w:rsidRPr="00EF1CAE">
        <w:t xml:space="preserve"> only in the provision for these episodes and then the following paragraph states that </w:t>
      </w:r>
      <w:proofErr w:type="spellStart"/>
      <w:r>
        <w:t>YAZFlex</w:t>
      </w:r>
      <w:proofErr w:type="spellEnd"/>
      <w:r w:rsidR="00396874">
        <w:t>;</w:t>
      </w:r>
    </w:p>
    <w:p w:rsidR="00BB7B6F" w:rsidRPr="00396874" w:rsidRDefault="00BB7B6F" w:rsidP="00396874">
      <w:pPr>
        <w:ind w:left="720"/>
        <w:rPr>
          <w:i/>
        </w:rPr>
      </w:pPr>
      <w:r w:rsidRPr="00396874">
        <w:rPr>
          <w:i/>
        </w:rPr>
        <w:t>‘</w:t>
      </w:r>
      <w:proofErr w:type="gramStart"/>
      <w:r w:rsidRPr="00396874">
        <w:rPr>
          <w:i/>
        </w:rPr>
        <w:t>will</w:t>
      </w:r>
      <w:proofErr w:type="gramEnd"/>
      <w:r w:rsidRPr="00396874">
        <w:rPr>
          <w:i/>
        </w:rPr>
        <w:t xml:space="preserve"> give women the option to extend the length of their menstrual cycle according to their individual needs or based upon the occurrence of bleeding episodes’</w:t>
      </w:r>
      <w:r w:rsidR="00396874" w:rsidRPr="00396874">
        <w:rPr>
          <w:i/>
        </w:rPr>
        <w:t>.</w:t>
      </w:r>
    </w:p>
    <w:p w:rsidR="00BB7B6F" w:rsidRPr="00EF1CAE" w:rsidRDefault="00BB7B6F" w:rsidP="00396874">
      <w:r w:rsidRPr="00EF1CAE">
        <w:t xml:space="preserve">The term </w:t>
      </w:r>
      <w:r>
        <w:t>‘</w:t>
      </w:r>
      <w:proofErr w:type="spellStart"/>
      <w:r>
        <w:t>YAZFlex</w:t>
      </w:r>
      <w:proofErr w:type="spellEnd"/>
      <w:r>
        <w:t>’</w:t>
      </w:r>
      <w:r w:rsidRPr="00EF1CAE">
        <w:t xml:space="preserve"> of course indicates flexibility and this is doubtless how it will be interpreted by users.</w:t>
      </w:r>
    </w:p>
    <w:p w:rsidR="00BB7B6F" w:rsidRPr="00BB4AF9" w:rsidRDefault="00BB7B6F" w:rsidP="00396874">
      <w:r w:rsidRPr="00BB4AF9">
        <w:t xml:space="preserve">The requested indications for </w:t>
      </w:r>
      <w:proofErr w:type="spellStart"/>
      <w:r>
        <w:t>YAZFlex</w:t>
      </w:r>
      <w:proofErr w:type="spellEnd"/>
      <w:r w:rsidRPr="00BB4AF9">
        <w:t xml:space="preserve"> are identical to those of Y</w:t>
      </w:r>
      <w:r>
        <w:t>AZ</w:t>
      </w:r>
      <w:r w:rsidRPr="00BB4AF9">
        <w:t>.</w:t>
      </w:r>
      <w:r>
        <w:t xml:space="preserve"> </w:t>
      </w:r>
      <w:r w:rsidRPr="00BB4AF9">
        <w:t>The task of this evaluation, therefore, will be to determine whether efficacy and/or safety of the product are altered in respect of any of the above indications either as a result of the longer period of continuous administration of the active tablets or as a result of the use of the dispensing device insofar as it might affect compliance.</w:t>
      </w:r>
    </w:p>
    <w:p w:rsidR="00BB7B6F" w:rsidRPr="00BB4AF9" w:rsidRDefault="00BB7B6F" w:rsidP="00396874">
      <w:r w:rsidRPr="00BB4AF9">
        <w:t>The Australian application is identical to those submitted through the decentralised European procedure except for the inclusion of clinical study reports provided previously to TGA for the evaluation of related products Y</w:t>
      </w:r>
      <w:r>
        <w:t>AZ</w:t>
      </w:r>
      <w:r w:rsidRPr="00BB4AF9">
        <w:t xml:space="preserve">, Yasmin and </w:t>
      </w:r>
      <w:proofErr w:type="spellStart"/>
      <w:r w:rsidRPr="00BB4AF9">
        <w:t>Angeliq</w:t>
      </w:r>
      <w:proofErr w:type="spellEnd"/>
      <w:r w:rsidRPr="00BB4AF9">
        <w:t xml:space="preserve"> 1/2.</w:t>
      </w:r>
    </w:p>
    <w:p w:rsidR="00BB7B6F" w:rsidRDefault="00BB7B6F" w:rsidP="00396874">
      <w:pPr>
        <w:pStyle w:val="Heading4"/>
      </w:pPr>
      <w:bookmarkStart w:id="109" w:name="_Toc243306631"/>
      <w:r>
        <w:t xml:space="preserve">Good Clinical Practice (GCP) </w:t>
      </w:r>
      <w:r w:rsidRPr="00396874">
        <w:t>aspects</w:t>
      </w:r>
      <w:bookmarkEnd w:id="106"/>
      <w:bookmarkEnd w:id="109"/>
    </w:p>
    <w:p w:rsidR="00BB7B6F" w:rsidRPr="00BB4AF9" w:rsidRDefault="00BB7B6F" w:rsidP="00396874">
      <w:r w:rsidRPr="00BB4AF9">
        <w:t>The four clinical studies submitted for evaluation describe appropriate procedures for ethical study conduct including giving of information and consent arrangements, counselling, and clinical care when appropriate, consistent with relevant international guidelines.</w:t>
      </w:r>
      <w:r>
        <w:t xml:space="preserve"> </w:t>
      </w:r>
      <w:r w:rsidRPr="00BB4AF9">
        <w:t>The documentation of these procedures is consistent between the various studies and overall compliance with Good Clinical Practice (GCP) appears satisfactory.</w:t>
      </w:r>
    </w:p>
    <w:p w:rsidR="00BB7B6F" w:rsidRPr="00254787" w:rsidRDefault="00BB7B6F" w:rsidP="00396874">
      <w:pPr>
        <w:pStyle w:val="Heading3"/>
      </w:pPr>
      <w:bookmarkStart w:id="110" w:name="_Toc323821170"/>
      <w:bookmarkStart w:id="111" w:name="_Toc335040596"/>
      <w:bookmarkStart w:id="112" w:name="_Toc398110079"/>
      <w:bookmarkStart w:id="113" w:name="_Toc401835985"/>
      <w:r w:rsidRPr="00396874">
        <w:t>Pharmacokinetics</w:t>
      </w:r>
      <w:bookmarkEnd w:id="94"/>
      <w:bookmarkEnd w:id="107"/>
      <w:bookmarkEnd w:id="108"/>
      <w:bookmarkEnd w:id="110"/>
      <w:bookmarkEnd w:id="111"/>
      <w:bookmarkEnd w:id="112"/>
      <w:bookmarkEnd w:id="113"/>
    </w:p>
    <w:p w:rsidR="00BB7B6F" w:rsidRDefault="00BB7B6F" w:rsidP="00396874">
      <w:pPr>
        <w:pStyle w:val="Heading4"/>
      </w:pPr>
      <w:bookmarkStart w:id="114" w:name="_Toc243306635"/>
      <w:bookmarkStart w:id="115" w:name="_Toc241374285"/>
      <w:bookmarkStart w:id="116" w:name="_Toc196046481"/>
      <w:bookmarkStart w:id="117" w:name="_Toc247691520"/>
      <w:r w:rsidRPr="00396874">
        <w:t>Introduction</w:t>
      </w:r>
      <w:bookmarkEnd w:id="114"/>
      <w:bookmarkEnd w:id="115"/>
    </w:p>
    <w:p w:rsidR="00BB7B6F" w:rsidRPr="00BB4AF9" w:rsidRDefault="00BB7B6F" w:rsidP="00396874">
      <w:r w:rsidRPr="00BB4AF9">
        <w:t xml:space="preserve">Pharmacokinetic (PK) data were collected in the course of pivotal efficacy </w:t>
      </w:r>
      <w:r>
        <w:t>Study A40196</w:t>
      </w:r>
      <w:r w:rsidRPr="00BB4AF9">
        <w:t>.</w:t>
      </w:r>
      <w:r>
        <w:t xml:space="preserve"> </w:t>
      </w:r>
      <w:r w:rsidRPr="00BB4AF9">
        <w:t>A population pharmacokinetic (PPK) analysis based principally on that is discussed below.</w:t>
      </w:r>
      <w:r>
        <w:t xml:space="preserve"> </w:t>
      </w:r>
      <w:r w:rsidRPr="00BB4AF9">
        <w:t>In addition, a bioequivalence Study A15704 is also described below; the relevance of the bioequivalence study to this evaluation is uncertain, as discussed in the concluding summary of this section.</w:t>
      </w:r>
    </w:p>
    <w:p w:rsidR="00BB7B6F" w:rsidRPr="00BB4AF9" w:rsidRDefault="00BB7B6F" w:rsidP="00396874">
      <w:r w:rsidRPr="00BB4AF9">
        <w:t>Qualitative PK aspects including distribution, elimination, metabolism, effects of subject characteristics and renal and hepatic dysfunction have not been specifically studied for</w:t>
      </w:r>
      <w:r>
        <w:t xml:space="preserve"> </w:t>
      </w:r>
      <w:proofErr w:type="spellStart"/>
      <w:r>
        <w:t>YAZFlex</w:t>
      </w:r>
      <w:proofErr w:type="spellEnd"/>
      <w:r w:rsidRPr="00BB4AF9">
        <w:t xml:space="preserve"> in view of the identity of the tablets with other</w:t>
      </w:r>
      <w:r>
        <w:t xml:space="preserve"> YAZ</w:t>
      </w:r>
      <w:r w:rsidRPr="00BB4AF9">
        <w:t xml:space="preserve"> presentations.</w:t>
      </w:r>
    </w:p>
    <w:p w:rsidR="00BB7B6F" w:rsidRDefault="00BB7B6F" w:rsidP="00396874">
      <w:pPr>
        <w:pStyle w:val="Heading4"/>
      </w:pPr>
      <w:bookmarkStart w:id="118" w:name="_Toc243306636"/>
      <w:bookmarkStart w:id="119" w:name="_Toc241374286"/>
      <w:r w:rsidRPr="00396874">
        <w:t>Methods</w:t>
      </w:r>
      <w:bookmarkEnd w:id="118"/>
      <w:bookmarkEnd w:id="119"/>
    </w:p>
    <w:p w:rsidR="00BB7B6F" w:rsidRDefault="00BB7B6F" w:rsidP="00BB7B6F">
      <w:pPr>
        <w:pStyle w:val="Heading5"/>
      </w:pPr>
      <w:r>
        <w:t>Analytical me</w:t>
      </w:r>
      <w:r w:rsidRPr="00396874">
        <w:t>t</w:t>
      </w:r>
      <w:r>
        <w:t>hods</w:t>
      </w:r>
    </w:p>
    <w:p w:rsidR="00BB7B6F" w:rsidRPr="00BB4AF9" w:rsidRDefault="00BB7B6F" w:rsidP="00396874">
      <w:r w:rsidRPr="00BB4AF9">
        <w:t xml:space="preserve">In </w:t>
      </w:r>
      <w:r>
        <w:t>Study A40196</w:t>
      </w:r>
      <w:r w:rsidRPr="00BB4AF9">
        <w:t xml:space="preserve">, serum concentrations of DRSP were determined by radioimmunoassay, and EE using a gas chromatography/mass spectrometry method. The lower limits of quantification (LLOQ) for measuring DRSP and EE concentrations were </w:t>
      </w:r>
      <w:proofErr w:type="gramStart"/>
      <w:r w:rsidRPr="00BB4AF9">
        <w:t>0.10 ng/mL</w:t>
      </w:r>
      <w:proofErr w:type="gramEnd"/>
      <w:r w:rsidRPr="00BB4AF9">
        <w:t xml:space="preserve"> and 5.0 pg/mL, respectively.</w:t>
      </w:r>
      <w:r>
        <w:t xml:space="preserve"> </w:t>
      </w:r>
      <w:r w:rsidRPr="00BB4AF9">
        <w:t>Similar methodology was used for DRSP in Study A15704, although with somewhat lower sensitivity (LLOQ 0.5 ng/mL).</w:t>
      </w:r>
    </w:p>
    <w:p w:rsidR="00BB7B6F" w:rsidRDefault="00BB7B6F" w:rsidP="00396874">
      <w:pPr>
        <w:pStyle w:val="Heading5"/>
      </w:pPr>
      <w:r w:rsidRPr="00396874">
        <w:t>Pharmacokinetic</w:t>
      </w:r>
      <w:r>
        <w:t xml:space="preserve"> data analysis</w:t>
      </w:r>
    </w:p>
    <w:p w:rsidR="00BB7B6F" w:rsidRPr="00BB4AF9" w:rsidRDefault="00BB7B6F" w:rsidP="00396874">
      <w:r w:rsidRPr="00BB4AF9">
        <w:t>In Study A15704, standard PK parameters including peak plasma concentration (C</w:t>
      </w:r>
      <w:r w:rsidRPr="00EF1CAE">
        <w:rPr>
          <w:vertAlign w:val="subscript"/>
        </w:rPr>
        <w:t>max</w:t>
      </w:r>
      <w:r w:rsidRPr="00BB4AF9">
        <w:t>) and AUC were calculated and are detailed below.</w:t>
      </w:r>
      <w:r>
        <w:t xml:space="preserve"> </w:t>
      </w:r>
      <w:r w:rsidRPr="00BB4AF9">
        <w:t xml:space="preserve">In </w:t>
      </w:r>
      <w:r>
        <w:t>Study A40196</w:t>
      </w:r>
      <w:r w:rsidRPr="00BB4AF9">
        <w:t xml:space="preserve">, longitudinal steady state </w:t>
      </w:r>
      <w:r w:rsidRPr="00BB4AF9">
        <w:lastRenderedPageBreak/>
        <w:t xml:space="preserve">levels were obtained for DRSP and EE in a subgroup of treatment </w:t>
      </w:r>
      <w:r>
        <w:t>G</w:t>
      </w:r>
      <w:r w:rsidRPr="00BB4AF9">
        <w:t>roup B (</w:t>
      </w:r>
      <w:r>
        <w:t>YAZ</w:t>
      </w:r>
      <w:r w:rsidRPr="00BB4AF9">
        <w:t xml:space="preserve"> Extend - amounting to </w:t>
      </w:r>
      <w:proofErr w:type="spellStart"/>
      <w:r>
        <w:t>YAZFlex</w:t>
      </w:r>
      <w:proofErr w:type="spellEnd"/>
      <w:r w:rsidRPr="00BB4AF9">
        <w:t xml:space="preserve"> taken continuously), at Weeks 3, 7, 11, 14 and 17 of a cycle.</w:t>
      </w:r>
    </w:p>
    <w:p w:rsidR="00BB7B6F" w:rsidRDefault="00BB7B6F" w:rsidP="00396874">
      <w:pPr>
        <w:pStyle w:val="Heading5"/>
      </w:pPr>
      <w:r w:rsidRPr="00396874">
        <w:t>Statistical</w:t>
      </w:r>
      <w:r>
        <w:t xml:space="preserve"> analysis</w:t>
      </w:r>
    </w:p>
    <w:p w:rsidR="00BB7B6F" w:rsidRPr="00BB4AF9" w:rsidRDefault="00BB7B6F" w:rsidP="00396874">
      <w:r w:rsidRPr="00BB4AF9">
        <w:t>The computer modelling technique used in the cross-sectional PPK analysis is briefly described below.</w:t>
      </w:r>
    </w:p>
    <w:p w:rsidR="00BB7B6F" w:rsidRPr="00BB4AF9" w:rsidRDefault="00BB7B6F" w:rsidP="00396874">
      <w:r w:rsidRPr="00BB4AF9">
        <w:t xml:space="preserve">When </w:t>
      </w:r>
      <w:proofErr w:type="spellStart"/>
      <w:r w:rsidRPr="00BB4AF9">
        <w:t>prespecified</w:t>
      </w:r>
      <w:proofErr w:type="spellEnd"/>
      <w:r w:rsidRPr="00BB4AF9">
        <w:t xml:space="preserve"> for testing as in Study A15704, bioequivalence was concluded if the 90% confidence intervals (CI) for the ratios of the geometric means of the two treatments being tested were entirely contained within the bounds 0.80-1.25 for both C</w:t>
      </w:r>
      <w:r w:rsidRPr="00EF1CAE">
        <w:rPr>
          <w:vertAlign w:val="subscript"/>
        </w:rPr>
        <w:t>max</w:t>
      </w:r>
      <w:r w:rsidRPr="00BB4AF9">
        <w:t xml:space="preserve"> and AUC.</w:t>
      </w:r>
    </w:p>
    <w:p w:rsidR="00BB7B6F" w:rsidRDefault="00BB7B6F" w:rsidP="00396874">
      <w:pPr>
        <w:pStyle w:val="Heading4"/>
      </w:pPr>
      <w:bookmarkStart w:id="120" w:name="_Toc243306637"/>
      <w:bookmarkStart w:id="121" w:name="_Toc241374287"/>
      <w:r w:rsidRPr="00396874">
        <w:t>Absorption</w:t>
      </w:r>
      <w:bookmarkEnd w:id="120"/>
      <w:bookmarkEnd w:id="121"/>
    </w:p>
    <w:p w:rsidR="00BB7B6F" w:rsidRDefault="00BB7B6F" w:rsidP="00396874">
      <w:pPr>
        <w:pStyle w:val="Heading5"/>
      </w:pPr>
      <w:r w:rsidRPr="00396874">
        <w:t>Bioavailability</w:t>
      </w:r>
    </w:p>
    <w:p w:rsidR="00BB7B6F" w:rsidRPr="00BB4AF9" w:rsidRDefault="00BB7B6F" w:rsidP="00396874">
      <w:r w:rsidRPr="00BB4AF9">
        <w:t>Bioavailability was not assessed in the studies submitted with this application.</w:t>
      </w:r>
      <w:r>
        <w:t xml:space="preserve"> </w:t>
      </w:r>
      <w:r w:rsidRPr="00BB4AF9">
        <w:t xml:space="preserve">It can be assumed that the bioavailability characteristics of the </w:t>
      </w:r>
      <w:proofErr w:type="spellStart"/>
      <w:r>
        <w:t>YAZFlex</w:t>
      </w:r>
      <w:proofErr w:type="spellEnd"/>
      <w:r w:rsidRPr="00BB4AF9">
        <w:t xml:space="preserve"> tablets are the same as those of the identically formulated Y</w:t>
      </w:r>
      <w:r>
        <w:t>AZ</w:t>
      </w:r>
      <w:r w:rsidRPr="00BB4AF9">
        <w:t xml:space="preserve"> tablets.</w:t>
      </w:r>
      <w:r>
        <w:t xml:space="preserve"> </w:t>
      </w:r>
      <w:r w:rsidRPr="00BB4AF9">
        <w:t>Data on bioavailability of the constituents of Y</w:t>
      </w:r>
      <w:r>
        <w:t>AZ</w:t>
      </w:r>
      <w:r w:rsidRPr="00BB4AF9">
        <w:t xml:space="preserve"> has been assessed in previous clinical evaluation reports on Y</w:t>
      </w:r>
      <w:r>
        <w:t>AZ</w:t>
      </w:r>
      <w:r w:rsidRPr="00BB4AF9">
        <w:t xml:space="preserve"> and Yasmin.</w:t>
      </w:r>
    </w:p>
    <w:p w:rsidR="00BB7B6F" w:rsidRPr="00E34576" w:rsidRDefault="00BB7B6F" w:rsidP="00396874">
      <w:pPr>
        <w:pStyle w:val="Heading4"/>
      </w:pPr>
      <w:bookmarkStart w:id="122" w:name="_Toc243306641"/>
      <w:bookmarkStart w:id="123" w:name="_Toc241374291"/>
      <w:r>
        <w:t xml:space="preserve">Intra </w:t>
      </w:r>
      <w:r w:rsidRPr="00396874">
        <w:t>and</w:t>
      </w:r>
      <w:r>
        <w:t xml:space="preserve"> inter individual variability</w:t>
      </w:r>
      <w:bookmarkEnd w:id="122"/>
      <w:bookmarkEnd w:id="123"/>
    </w:p>
    <w:p w:rsidR="00BB7B6F" w:rsidRPr="00BB4AF9" w:rsidRDefault="00BB7B6F" w:rsidP="00396874">
      <w:r w:rsidRPr="00BB4AF9">
        <w:t>See comment below on conclusions of PPK analysis.</w:t>
      </w:r>
    </w:p>
    <w:p w:rsidR="00BB7B6F" w:rsidRDefault="00BB7B6F" w:rsidP="00396874">
      <w:pPr>
        <w:pStyle w:val="Heading4"/>
      </w:pPr>
      <w:bookmarkStart w:id="124" w:name="_Toc243306642"/>
      <w:bookmarkStart w:id="125" w:name="_Toc241374292"/>
      <w:r>
        <w:t xml:space="preserve">Pharmacokinetics in the target </w:t>
      </w:r>
      <w:r w:rsidRPr="00396874">
        <w:t>population</w:t>
      </w:r>
      <w:bookmarkEnd w:id="124"/>
      <w:bookmarkEnd w:id="125"/>
    </w:p>
    <w:p w:rsidR="00BB7B6F" w:rsidRDefault="00BB7B6F" w:rsidP="00396874">
      <w:r w:rsidRPr="00A2248C">
        <w:t xml:space="preserve">Subjects of the pivotal efficacy </w:t>
      </w:r>
      <w:r>
        <w:t xml:space="preserve">Study A40196 </w:t>
      </w:r>
      <w:r w:rsidRPr="00A2248C">
        <w:t>are representative of the target population, being women of childbearing age.</w:t>
      </w:r>
      <w:r>
        <w:t xml:space="preserve"> </w:t>
      </w:r>
      <w:r w:rsidRPr="00A2248C">
        <w:t xml:space="preserve">In that study, two sets of PK measurements were taken; from the entire study population, samples </w:t>
      </w:r>
      <w:r>
        <w:t xml:space="preserve">were taken before and within 45 to </w:t>
      </w:r>
      <w:r w:rsidRPr="00A2248C">
        <w:t xml:space="preserve">120 min </w:t>
      </w:r>
      <w:r>
        <w:t>following</w:t>
      </w:r>
      <w:r w:rsidRPr="00A2248C">
        <w:t xml:space="preserve"> study drug administration at </w:t>
      </w:r>
      <w:r>
        <w:t>V</w:t>
      </w:r>
      <w:r w:rsidRPr="00A2248C">
        <w:t>isits 3 (</w:t>
      </w:r>
      <w:r>
        <w:t>W</w:t>
      </w:r>
      <w:r w:rsidRPr="00A2248C">
        <w:t>eek 3) and 5 (</w:t>
      </w:r>
      <w:r>
        <w:t>W</w:t>
      </w:r>
      <w:r w:rsidRPr="00A2248C">
        <w:t>eek 27).</w:t>
      </w:r>
      <w:r>
        <w:t xml:space="preserve"> </w:t>
      </w:r>
      <w:r w:rsidRPr="00A2248C">
        <w:t>In addition to this extensive cross-sectional sampling, a longitudinal PK assessment was performed on a subgroup of subjects taking the fixed extended (Y</w:t>
      </w:r>
      <w:r>
        <w:t>AZ</w:t>
      </w:r>
      <w:r w:rsidRPr="00A2248C">
        <w:t xml:space="preserve"> Extend) regimen; while that product is not the subject of this evaluation, it can be regarded as such for PK purposes; if a subject taking </w:t>
      </w:r>
      <w:proofErr w:type="spellStart"/>
      <w:r>
        <w:t>YAZFlex</w:t>
      </w:r>
      <w:proofErr w:type="spellEnd"/>
      <w:r w:rsidRPr="00A2248C">
        <w:t xml:space="preserve"> does not have any unscheduled bleeding, she will take the product for the maximum cycle length of 120 days which creates a drug exposure situation identical to that of Y</w:t>
      </w:r>
      <w:r>
        <w:t>AZ</w:t>
      </w:r>
      <w:r w:rsidRPr="00A2248C">
        <w:t xml:space="preserve"> Extend in which the cycle length is fixed at 120 days.</w:t>
      </w:r>
      <w:r>
        <w:t xml:space="preserve"> </w:t>
      </w:r>
      <w:r w:rsidRPr="00A2248C">
        <w:t xml:space="preserve">In this subgroup of 20 subjects, trough plasma levels of EE and DRSP were measured on samples taken before study drug administration at </w:t>
      </w:r>
      <w:r>
        <w:t>W</w:t>
      </w:r>
      <w:r w:rsidRPr="00A2248C">
        <w:t>eeks 3, 7, 11, 14 and 17 of a 120 day (17 week) cycle.</w:t>
      </w:r>
      <w:r>
        <w:t xml:space="preserve"> </w:t>
      </w:r>
      <w:r w:rsidRPr="00A2248C">
        <w:t>The results, expressed as mean (</w:t>
      </w:r>
      <w:r>
        <w:t>standard deviation (</w:t>
      </w:r>
      <w:r w:rsidRPr="00A2248C">
        <w:t>SD</w:t>
      </w:r>
      <w:r>
        <w:t>)</w:t>
      </w:r>
      <w:r w:rsidRPr="00A2248C">
        <w:t xml:space="preserve">) were as </w:t>
      </w:r>
      <w:r>
        <w:t>summarised in Table 5.</w:t>
      </w:r>
    </w:p>
    <w:p w:rsidR="00BB7B6F" w:rsidRPr="00A2248C" w:rsidRDefault="00BB7B6F" w:rsidP="00396874">
      <w:pPr>
        <w:pStyle w:val="TableTitle"/>
      </w:pPr>
      <w:proofErr w:type="gramStart"/>
      <w:r>
        <w:t>Table 5.</w:t>
      </w:r>
      <w:proofErr w:type="gramEnd"/>
      <w:r>
        <w:t xml:space="preserve"> </w:t>
      </w:r>
      <w:proofErr w:type="gramStart"/>
      <w:r>
        <w:t>Plasma concentrations of EE and DRSP.</w:t>
      </w:r>
      <w:proofErr w:type="gramEnd"/>
      <w:r w:rsidRPr="00A2248C">
        <w:t xml:space="preserve"> </w:t>
      </w:r>
    </w:p>
    <w:tbl>
      <w:tblPr>
        <w:tblStyle w:val="TableTGAblue"/>
        <w:tblW w:w="0" w:type="auto"/>
        <w:tblLook w:val="04A0" w:firstRow="1" w:lastRow="0" w:firstColumn="1" w:lastColumn="0" w:noHBand="0" w:noVBand="1"/>
      </w:tblPr>
      <w:tblGrid>
        <w:gridCol w:w="2127"/>
        <w:gridCol w:w="2268"/>
        <w:gridCol w:w="2835"/>
      </w:tblGrid>
      <w:tr w:rsidR="00BB7B6F" w:rsidTr="00396874">
        <w:trPr>
          <w:cnfStyle w:val="100000000000" w:firstRow="1" w:lastRow="0" w:firstColumn="0" w:lastColumn="0" w:oddVBand="0" w:evenVBand="0" w:oddHBand="0" w:evenHBand="0" w:firstRowFirstColumn="0" w:firstRowLastColumn="0" w:lastRowFirstColumn="0" w:lastRowLastColumn="0"/>
        </w:trPr>
        <w:tc>
          <w:tcPr>
            <w:tcW w:w="2127" w:type="dxa"/>
          </w:tcPr>
          <w:p w:rsidR="00BB7B6F" w:rsidRPr="00D05574" w:rsidRDefault="00BB7B6F" w:rsidP="00396874">
            <w:pPr>
              <w:rPr>
                <w:lang w:val="nl-NL"/>
              </w:rPr>
            </w:pPr>
          </w:p>
        </w:tc>
        <w:tc>
          <w:tcPr>
            <w:tcW w:w="2268" w:type="dxa"/>
          </w:tcPr>
          <w:p w:rsidR="00BB7B6F" w:rsidRPr="00D05574" w:rsidRDefault="00BB7B6F" w:rsidP="00396874">
            <w:pPr>
              <w:rPr>
                <w:lang w:val="nl-NL"/>
              </w:rPr>
            </w:pPr>
            <w:r w:rsidRPr="00D05574">
              <w:rPr>
                <w:lang w:val="nl-NL"/>
              </w:rPr>
              <w:t>n</w:t>
            </w:r>
          </w:p>
          <w:p w:rsidR="00BB7B6F" w:rsidRPr="00D05574" w:rsidRDefault="00BB7B6F" w:rsidP="00396874">
            <w:pPr>
              <w:rPr>
                <w:lang w:val="nl-NL"/>
              </w:rPr>
            </w:pPr>
            <w:r w:rsidRPr="00D05574">
              <w:rPr>
                <w:lang w:val="nl-NL"/>
              </w:rPr>
              <w:t>n</w:t>
            </w:r>
          </w:p>
        </w:tc>
        <w:tc>
          <w:tcPr>
            <w:tcW w:w="2835" w:type="dxa"/>
          </w:tcPr>
          <w:p w:rsidR="00BB7B6F" w:rsidRPr="00D05574" w:rsidRDefault="00BB7B6F" w:rsidP="00396874">
            <w:pPr>
              <w:rPr>
                <w:lang w:val="nl-NL"/>
              </w:rPr>
            </w:pPr>
            <w:r w:rsidRPr="00D05574">
              <w:rPr>
                <w:lang w:val="nl-NL"/>
              </w:rPr>
              <w:t xml:space="preserve">EE (pg/mL) </w:t>
            </w:r>
          </w:p>
          <w:p w:rsidR="00BB7B6F" w:rsidRPr="00D05574" w:rsidRDefault="00BB7B6F" w:rsidP="00396874">
            <w:pPr>
              <w:rPr>
                <w:lang w:val="nl-NL"/>
              </w:rPr>
            </w:pPr>
            <w:r w:rsidRPr="00D05574">
              <w:rPr>
                <w:lang w:val="nl-NL"/>
              </w:rPr>
              <w:t>DRSP (ng/mL)</w:t>
            </w:r>
          </w:p>
        </w:tc>
      </w:tr>
      <w:tr w:rsidR="00BB7B6F" w:rsidTr="00396874">
        <w:tc>
          <w:tcPr>
            <w:tcW w:w="2127" w:type="dxa"/>
          </w:tcPr>
          <w:p w:rsidR="00BB7B6F" w:rsidRPr="00D05574" w:rsidRDefault="00BB7B6F" w:rsidP="00396874">
            <w:pPr>
              <w:rPr>
                <w:lang w:val="nl-NL"/>
              </w:rPr>
            </w:pPr>
            <w:r w:rsidRPr="00D05574">
              <w:rPr>
                <w:lang w:val="nl-NL"/>
              </w:rPr>
              <w:t>Week 3</w:t>
            </w:r>
          </w:p>
        </w:tc>
        <w:tc>
          <w:tcPr>
            <w:tcW w:w="2268" w:type="dxa"/>
          </w:tcPr>
          <w:p w:rsidR="00BB7B6F" w:rsidRPr="00D05574" w:rsidRDefault="00BB7B6F" w:rsidP="00396874">
            <w:pPr>
              <w:rPr>
                <w:lang w:val="nl-NL"/>
              </w:rPr>
            </w:pPr>
            <w:r w:rsidRPr="00D05574">
              <w:rPr>
                <w:lang w:val="nl-NL"/>
              </w:rPr>
              <w:t>19</w:t>
            </w:r>
          </w:p>
          <w:p w:rsidR="00BB7B6F" w:rsidRPr="00D05574" w:rsidRDefault="00BB7B6F" w:rsidP="00396874">
            <w:pPr>
              <w:rPr>
                <w:lang w:val="nl-NL"/>
              </w:rPr>
            </w:pPr>
            <w:r w:rsidRPr="00D05574">
              <w:rPr>
                <w:lang w:val="nl-NL"/>
              </w:rPr>
              <w:t>20</w:t>
            </w:r>
          </w:p>
        </w:tc>
        <w:tc>
          <w:tcPr>
            <w:tcW w:w="2835" w:type="dxa"/>
          </w:tcPr>
          <w:p w:rsidR="00BB7B6F" w:rsidRPr="00D05574" w:rsidRDefault="00BB7B6F" w:rsidP="00396874">
            <w:pPr>
              <w:rPr>
                <w:lang w:val="nl-NL"/>
              </w:rPr>
            </w:pPr>
            <w:r w:rsidRPr="00D05574">
              <w:rPr>
                <w:lang w:val="nl-NL"/>
              </w:rPr>
              <w:t xml:space="preserve">18.8 (8.2) </w:t>
            </w:r>
          </w:p>
          <w:p w:rsidR="00BB7B6F" w:rsidRPr="00D05574" w:rsidRDefault="00BB7B6F" w:rsidP="00396874">
            <w:pPr>
              <w:rPr>
                <w:lang w:val="nl-NL"/>
              </w:rPr>
            </w:pPr>
            <w:r w:rsidRPr="00D05574">
              <w:rPr>
                <w:lang w:val="nl-NL"/>
              </w:rPr>
              <w:t>23.1 (5.3)</w:t>
            </w:r>
          </w:p>
        </w:tc>
      </w:tr>
      <w:tr w:rsidR="00BB7B6F" w:rsidTr="00396874">
        <w:tc>
          <w:tcPr>
            <w:tcW w:w="2127" w:type="dxa"/>
          </w:tcPr>
          <w:p w:rsidR="00BB7B6F" w:rsidRPr="00D05574" w:rsidRDefault="00BB7B6F" w:rsidP="00396874">
            <w:pPr>
              <w:rPr>
                <w:lang w:val="nl-NL"/>
              </w:rPr>
            </w:pPr>
            <w:r w:rsidRPr="00D05574">
              <w:rPr>
                <w:lang w:val="nl-NL"/>
              </w:rPr>
              <w:t>Week 7</w:t>
            </w:r>
          </w:p>
        </w:tc>
        <w:tc>
          <w:tcPr>
            <w:tcW w:w="2268" w:type="dxa"/>
          </w:tcPr>
          <w:p w:rsidR="00BB7B6F" w:rsidRPr="00D05574" w:rsidRDefault="00BB7B6F" w:rsidP="00396874">
            <w:pPr>
              <w:rPr>
                <w:lang w:val="nl-NL"/>
              </w:rPr>
            </w:pPr>
            <w:r w:rsidRPr="00D05574">
              <w:rPr>
                <w:lang w:val="nl-NL"/>
              </w:rPr>
              <w:t>19</w:t>
            </w:r>
          </w:p>
          <w:p w:rsidR="00BB7B6F" w:rsidRPr="00D05574" w:rsidRDefault="00BB7B6F" w:rsidP="00396874">
            <w:pPr>
              <w:rPr>
                <w:lang w:val="nl-NL"/>
              </w:rPr>
            </w:pPr>
            <w:r w:rsidRPr="00D05574">
              <w:rPr>
                <w:lang w:val="nl-NL"/>
              </w:rPr>
              <w:t>19</w:t>
            </w:r>
          </w:p>
        </w:tc>
        <w:tc>
          <w:tcPr>
            <w:tcW w:w="2835" w:type="dxa"/>
          </w:tcPr>
          <w:p w:rsidR="00BB7B6F" w:rsidRPr="00D05574" w:rsidRDefault="00BB7B6F" w:rsidP="00396874">
            <w:pPr>
              <w:rPr>
                <w:lang w:val="nl-NL"/>
              </w:rPr>
            </w:pPr>
            <w:r w:rsidRPr="00D05574">
              <w:rPr>
                <w:lang w:val="nl-NL"/>
              </w:rPr>
              <w:t>17.3 (4.4)</w:t>
            </w:r>
          </w:p>
          <w:p w:rsidR="00BB7B6F" w:rsidRPr="00D05574" w:rsidRDefault="00BB7B6F" w:rsidP="00396874">
            <w:pPr>
              <w:rPr>
                <w:lang w:val="nl-NL"/>
              </w:rPr>
            </w:pPr>
            <w:r w:rsidRPr="00D05574">
              <w:rPr>
                <w:lang w:val="nl-NL"/>
              </w:rPr>
              <w:t>25.5 (6.8)</w:t>
            </w:r>
          </w:p>
        </w:tc>
      </w:tr>
      <w:tr w:rsidR="00BB7B6F" w:rsidTr="00396874">
        <w:tc>
          <w:tcPr>
            <w:tcW w:w="2127" w:type="dxa"/>
          </w:tcPr>
          <w:p w:rsidR="00BB7B6F" w:rsidRPr="00D05574" w:rsidRDefault="00BB7B6F" w:rsidP="00396874">
            <w:pPr>
              <w:rPr>
                <w:lang w:val="nl-NL"/>
              </w:rPr>
            </w:pPr>
            <w:r w:rsidRPr="00D05574">
              <w:rPr>
                <w:lang w:val="nl-NL"/>
              </w:rPr>
              <w:t>Week 11</w:t>
            </w:r>
          </w:p>
        </w:tc>
        <w:tc>
          <w:tcPr>
            <w:tcW w:w="2268" w:type="dxa"/>
          </w:tcPr>
          <w:p w:rsidR="00BB7B6F" w:rsidRPr="00D05574" w:rsidRDefault="00BB7B6F" w:rsidP="00396874">
            <w:pPr>
              <w:rPr>
                <w:lang w:val="nl-NL"/>
              </w:rPr>
            </w:pPr>
            <w:r w:rsidRPr="00D05574">
              <w:rPr>
                <w:lang w:val="nl-NL"/>
              </w:rPr>
              <w:t>19</w:t>
            </w:r>
          </w:p>
          <w:p w:rsidR="00BB7B6F" w:rsidRPr="00D05574" w:rsidRDefault="00BB7B6F" w:rsidP="00396874">
            <w:pPr>
              <w:rPr>
                <w:lang w:val="nl-NL"/>
              </w:rPr>
            </w:pPr>
            <w:r w:rsidRPr="00D05574">
              <w:rPr>
                <w:lang w:val="nl-NL"/>
              </w:rPr>
              <w:t>19</w:t>
            </w:r>
          </w:p>
        </w:tc>
        <w:tc>
          <w:tcPr>
            <w:tcW w:w="2835" w:type="dxa"/>
          </w:tcPr>
          <w:p w:rsidR="00BB7B6F" w:rsidRPr="00D05574" w:rsidRDefault="00BB7B6F" w:rsidP="00396874">
            <w:pPr>
              <w:rPr>
                <w:lang w:val="nl-NL"/>
              </w:rPr>
            </w:pPr>
            <w:r w:rsidRPr="00D05574">
              <w:rPr>
                <w:lang w:val="nl-NL"/>
              </w:rPr>
              <w:t>17.3 (4.2)</w:t>
            </w:r>
          </w:p>
          <w:p w:rsidR="00BB7B6F" w:rsidRPr="00D05574" w:rsidRDefault="00BB7B6F" w:rsidP="00396874">
            <w:pPr>
              <w:rPr>
                <w:lang w:val="nl-NL"/>
              </w:rPr>
            </w:pPr>
            <w:r w:rsidRPr="00D05574">
              <w:rPr>
                <w:lang w:val="nl-NL"/>
              </w:rPr>
              <w:t>27.0 (6.7)</w:t>
            </w:r>
          </w:p>
        </w:tc>
      </w:tr>
      <w:tr w:rsidR="00BB7B6F" w:rsidTr="00396874">
        <w:tc>
          <w:tcPr>
            <w:tcW w:w="2127" w:type="dxa"/>
          </w:tcPr>
          <w:p w:rsidR="00BB7B6F" w:rsidRPr="00D05574" w:rsidRDefault="00BB7B6F" w:rsidP="00396874">
            <w:pPr>
              <w:rPr>
                <w:lang w:val="nl-NL"/>
              </w:rPr>
            </w:pPr>
            <w:r w:rsidRPr="00D05574">
              <w:rPr>
                <w:lang w:val="nl-NL"/>
              </w:rPr>
              <w:t>Week 14</w:t>
            </w:r>
          </w:p>
        </w:tc>
        <w:tc>
          <w:tcPr>
            <w:tcW w:w="2268" w:type="dxa"/>
          </w:tcPr>
          <w:p w:rsidR="00BB7B6F" w:rsidRPr="00D05574" w:rsidRDefault="00BB7B6F" w:rsidP="00396874">
            <w:pPr>
              <w:rPr>
                <w:lang w:val="nl-NL"/>
              </w:rPr>
            </w:pPr>
            <w:r w:rsidRPr="00D05574">
              <w:rPr>
                <w:lang w:val="nl-NL"/>
              </w:rPr>
              <w:t>18</w:t>
            </w:r>
          </w:p>
          <w:p w:rsidR="00BB7B6F" w:rsidRPr="00D05574" w:rsidRDefault="00BB7B6F" w:rsidP="00396874">
            <w:pPr>
              <w:rPr>
                <w:lang w:val="nl-NL"/>
              </w:rPr>
            </w:pPr>
            <w:r w:rsidRPr="00D05574">
              <w:rPr>
                <w:lang w:val="nl-NL"/>
              </w:rPr>
              <w:lastRenderedPageBreak/>
              <w:t>19</w:t>
            </w:r>
          </w:p>
        </w:tc>
        <w:tc>
          <w:tcPr>
            <w:tcW w:w="2835" w:type="dxa"/>
          </w:tcPr>
          <w:p w:rsidR="00BB7B6F" w:rsidRPr="00D05574" w:rsidRDefault="00BB7B6F" w:rsidP="00396874">
            <w:pPr>
              <w:rPr>
                <w:lang w:val="nl-NL"/>
              </w:rPr>
            </w:pPr>
            <w:r w:rsidRPr="00D05574">
              <w:rPr>
                <w:lang w:val="nl-NL"/>
              </w:rPr>
              <w:lastRenderedPageBreak/>
              <w:t>17.5 (4.6)</w:t>
            </w:r>
          </w:p>
          <w:p w:rsidR="00BB7B6F" w:rsidRPr="00D05574" w:rsidRDefault="00BB7B6F" w:rsidP="00396874">
            <w:pPr>
              <w:rPr>
                <w:lang w:val="nl-NL"/>
              </w:rPr>
            </w:pPr>
            <w:r w:rsidRPr="00D05574">
              <w:rPr>
                <w:lang w:val="nl-NL"/>
              </w:rPr>
              <w:lastRenderedPageBreak/>
              <w:t>25.5 (7.0)</w:t>
            </w:r>
          </w:p>
        </w:tc>
      </w:tr>
      <w:tr w:rsidR="00BB7B6F" w:rsidTr="00396874">
        <w:tc>
          <w:tcPr>
            <w:tcW w:w="2127" w:type="dxa"/>
          </w:tcPr>
          <w:p w:rsidR="00BB7B6F" w:rsidRPr="00D05574" w:rsidRDefault="00BB7B6F" w:rsidP="00396874">
            <w:pPr>
              <w:rPr>
                <w:lang w:val="nl-NL"/>
              </w:rPr>
            </w:pPr>
            <w:r w:rsidRPr="00D05574">
              <w:rPr>
                <w:lang w:val="nl-NL"/>
              </w:rPr>
              <w:lastRenderedPageBreak/>
              <w:t>Week 17</w:t>
            </w:r>
          </w:p>
        </w:tc>
        <w:tc>
          <w:tcPr>
            <w:tcW w:w="2268" w:type="dxa"/>
          </w:tcPr>
          <w:p w:rsidR="00BB7B6F" w:rsidRPr="00D05574" w:rsidRDefault="00BB7B6F" w:rsidP="00396874">
            <w:pPr>
              <w:rPr>
                <w:lang w:val="nl-NL"/>
              </w:rPr>
            </w:pPr>
            <w:r w:rsidRPr="00D05574">
              <w:rPr>
                <w:lang w:val="nl-NL"/>
              </w:rPr>
              <w:t>19</w:t>
            </w:r>
          </w:p>
          <w:p w:rsidR="00BB7B6F" w:rsidRPr="00D05574" w:rsidRDefault="00BB7B6F" w:rsidP="00396874">
            <w:pPr>
              <w:rPr>
                <w:lang w:val="nl-NL"/>
              </w:rPr>
            </w:pPr>
            <w:r w:rsidRPr="00D05574">
              <w:rPr>
                <w:lang w:val="nl-NL"/>
              </w:rPr>
              <w:t>19</w:t>
            </w:r>
          </w:p>
        </w:tc>
        <w:tc>
          <w:tcPr>
            <w:tcW w:w="2835" w:type="dxa"/>
          </w:tcPr>
          <w:p w:rsidR="00BB7B6F" w:rsidRPr="00D05574" w:rsidRDefault="00396874" w:rsidP="00396874">
            <w:pPr>
              <w:rPr>
                <w:lang w:val="nl-NL"/>
              </w:rPr>
            </w:pPr>
            <w:r>
              <w:rPr>
                <w:lang w:val="nl-NL"/>
              </w:rPr>
              <w:t>21.6 (10.3)</w:t>
            </w:r>
          </w:p>
          <w:p w:rsidR="00BB7B6F" w:rsidRPr="00D05574" w:rsidRDefault="00BB7B6F" w:rsidP="00396874">
            <w:pPr>
              <w:rPr>
                <w:lang w:val="nl-NL"/>
              </w:rPr>
            </w:pPr>
            <w:r w:rsidRPr="00D05574">
              <w:rPr>
                <w:lang w:val="nl-NL"/>
              </w:rPr>
              <w:t>28.9 (9.6)</w:t>
            </w:r>
          </w:p>
        </w:tc>
      </w:tr>
    </w:tbl>
    <w:p w:rsidR="00BB7B6F" w:rsidRDefault="00BB7B6F" w:rsidP="00396874">
      <w:pPr>
        <w:rPr>
          <w:lang w:val="en-US"/>
        </w:rPr>
      </w:pPr>
      <w:r>
        <w:rPr>
          <w:lang w:val="en-US"/>
        </w:rPr>
        <w:t>The PK measurements from the wider clinic population were used for the development of the PPK; altogether, following exclusion of samples subject to protocol deviations, this comprised for EE 4218 observations from 1109 subjects and for DRSP 4042 observations from 1096 subjects. For each sample, the dataset was informed by the exact time since last dose of study drug and contained covariate information including age, body weight, race, smoking and alcohol history. The variance in time between drug administration and sampling enable construction of time versus concentration profiles by integrating the data from the entire population; the complex computer modelling procedures involved in the construction of the PPK model were fully described in the sponsor’s report. For the purpose of this evaluation report, relevant findings include:</w:t>
      </w:r>
    </w:p>
    <w:p w:rsidR="00BB7B6F" w:rsidRPr="00D33B85" w:rsidRDefault="00BB7B6F" w:rsidP="00396874">
      <w:pPr>
        <w:pStyle w:val="ListBullet"/>
      </w:pPr>
      <w:r w:rsidRPr="00D33B85">
        <w:t xml:space="preserve">Significant individual </w:t>
      </w:r>
      <w:r w:rsidRPr="00396874">
        <w:t>variation</w:t>
      </w:r>
      <w:r w:rsidRPr="00D33B85">
        <w:t xml:space="preserve"> in exposure; the observed range for AUC for 90% of the study population was, for DRSP, 569-1345 ng.h/mL and for EE 506-1434 </w:t>
      </w:r>
      <w:proofErr w:type="spellStart"/>
      <w:r w:rsidRPr="00D33B85">
        <w:t>pg.h</w:t>
      </w:r>
      <w:proofErr w:type="spellEnd"/>
      <w:r w:rsidRPr="00D33B85">
        <w:t>/</w:t>
      </w:r>
      <w:proofErr w:type="spellStart"/>
      <w:r w:rsidRPr="00D33B85">
        <w:t>mL.</w:t>
      </w:r>
      <w:proofErr w:type="spellEnd"/>
    </w:p>
    <w:p w:rsidR="00BB7B6F" w:rsidRPr="00D33B85" w:rsidRDefault="00BB7B6F" w:rsidP="00396874">
      <w:pPr>
        <w:pStyle w:val="ListBullet"/>
      </w:pPr>
      <w:r w:rsidRPr="00D33B85">
        <w:t>For both component drugs, clearance increased with body weight so that for a notional subject weighing 79.8 kg exposure was 17.2% lower for DRSP and 15.3% lower for EE compared with a 51 kg subject.</w:t>
      </w:r>
    </w:p>
    <w:p w:rsidR="00BB7B6F" w:rsidRPr="00D33B85" w:rsidRDefault="00BB7B6F" w:rsidP="00396874">
      <w:pPr>
        <w:pStyle w:val="ListBullet"/>
      </w:pPr>
      <w:r w:rsidRPr="00D33B85">
        <w:t>Clearance also increased with age for EE, for which exposure at age 34 was found to be 11.2% lower compared with that at age 19.</w:t>
      </w:r>
    </w:p>
    <w:p w:rsidR="00BB7B6F" w:rsidRPr="00D33B85" w:rsidRDefault="00BB7B6F" w:rsidP="00396874">
      <w:pPr>
        <w:pStyle w:val="ListBullet"/>
      </w:pPr>
      <w:r w:rsidRPr="00D33B85">
        <w:t xml:space="preserve">Most importantly for this evaluation, no differences in drug exposure were found between the treatment groups </w:t>
      </w:r>
      <w:proofErr w:type="spellStart"/>
      <w:r>
        <w:t>YAZFlex</w:t>
      </w:r>
      <w:proofErr w:type="spellEnd"/>
      <w:r w:rsidRPr="00D33B85">
        <w:t>, YAZ Extend and YAZ.</w:t>
      </w:r>
    </w:p>
    <w:p w:rsidR="00BB7B6F" w:rsidRPr="00A2248C" w:rsidRDefault="00BB7B6F" w:rsidP="00396874">
      <w:pPr>
        <w:rPr>
          <w:lang w:val="en-US"/>
        </w:rPr>
      </w:pPr>
      <w:r w:rsidRPr="00A2248C">
        <w:rPr>
          <w:lang w:val="en-US"/>
        </w:rPr>
        <w:t xml:space="preserve">By comparison with the intrinsic between-individual variability, the variances observed in relation to weight and </w:t>
      </w:r>
      <w:proofErr w:type="gramStart"/>
      <w:r w:rsidRPr="00A2248C">
        <w:rPr>
          <w:lang w:val="en-US"/>
        </w:rPr>
        <w:t>age do</w:t>
      </w:r>
      <w:proofErr w:type="gramEnd"/>
      <w:r w:rsidRPr="00A2248C">
        <w:rPr>
          <w:lang w:val="en-US"/>
        </w:rPr>
        <w:t xml:space="preserve"> not appear clinically relevant.</w:t>
      </w:r>
    </w:p>
    <w:p w:rsidR="00BB7B6F" w:rsidRDefault="00BB7B6F" w:rsidP="00396874">
      <w:pPr>
        <w:pStyle w:val="Heading4"/>
      </w:pPr>
      <w:bookmarkStart w:id="126" w:name="_Toc243306645"/>
      <w:bookmarkStart w:id="127" w:name="_Toc241374295"/>
      <w:r>
        <w:t>Exposure relevant for safety evaluation</w:t>
      </w:r>
      <w:bookmarkEnd w:id="126"/>
      <w:bookmarkEnd w:id="127"/>
    </w:p>
    <w:p w:rsidR="00BB7B6F" w:rsidRPr="00E34576" w:rsidRDefault="00BB7B6F" w:rsidP="00396874">
      <w:r>
        <w:t>P</w:t>
      </w:r>
      <w:r w:rsidRPr="00E34576">
        <w:t>K data presented in this section were derived from pivotal efficacy and safety Study A40196. The data from Study A15704 are not relevant as they involved the administration of DRSP alone to a small group (14) of menopausal women not representative of the target population. Accordingly there is no additional safety exposure deriving from PK studies.</w:t>
      </w:r>
    </w:p>
    <w:p w:rsidR="00BB7B6F" w:rsidRDefault="00BB7B6F" w:rsidP="00396874">
      <w:pPr>
        <w:pStyle w:val="Heading4"/>
        <w:rPr>
          <w:bCs w:val="0"/>
        </w:rPr>
      </w:pPr>
      <w:bookmarkStart w:id="128" w:name="_Toc243306646"/>
      <w:bookmarkStart w:id="129" w:name="_Toc241374296"/>
      <w:r>
        <w:t xml:space="preserve">Evaluator’s overall </w:t>
      </w:r>
      <w:r w:rsidRPr="00396874">
        <w:t>conclusions</w:t>
      </w:r>
      <w:r>
        <w:t xml:space="preserve"> on pharmacokinetics</w:t>
      </w:r>
      <w:bookmarkEnd w:id="128"/>
      <w:bookmarkEnd w:id="129"/>
    </w:p>
    <w:p w:rsidR="00BB7B6F" w:rsidRPr="00A2248C" w:rsidRDefault="00BB7B6F" w:rsidP="00396874">
      <w:r>
        <w:t xml:space="preserve">The PK data from pivotal Study A40196 shows that steady state exposure to the components of </w:t>
      </w:r>
      <w:proofErr w:type="spellStart"/>
      <w:r>
        <w:t>YAZFlex</w:t>
      </w:r>
      <w:proofErr w:type="spellEnd"/>
      <w:r>
        <w:t xml:space="preserve">, DRSP and EE, is qualitatively similar to that found for the pharmaceutically identical product YAZ in previous studies. It also shows that steady state exposure of both component drugs is maintained throughout the maximum 120 day cycle of </w:t>
      </w:r>
      <w:proofErr w:type="spellStart"/>
      <w:r>
        <w:t>YAZFlex</w:t>
      </w:r>
      <w:proofErr w:type="spellEnd"/>
      <w:r>
        <w:t xml:space="preserve">. In a controlled parallel group situation, the exposure characteristics of </w:t>
      </w:r>
      <w:proofErr w:type="spellStart"/>
      <w:r>
        <w:t>YAZFlex</w:t>
      </w:r>
      <w:proofErr w:type="spellEnd"/>
      <w:r>
        <w:t xml:space="preserve"> are not distinguishable from those of the existing registered product YAZ. The high degree of population variance in exposure to both component drugs applies equally to YAZ as to </w:t>
      </w:r>
      <w:proofErr w:type="spellStart"/>
      <w:r>
        <w:t>YAZFlex</w:t>
      </w:r>
      <w:proofErr w:type="spellEnd"/>
      <w:r>
        <w:t xml:space="preserve">. </w:t>
      </w:r>
      <w:r w:rsidRPr="00A2248C">
        <w:t xml:space="preserve">Overall, the studies indicate no pharmacokinetic differences between </w:t>
      </w:r>
      <w:proofErr w:type="spellStart"/>
      <w:r>
        <w:t>YAZFlex</w:t>
      </w:r>
      <w:proofErr w:type="spellEnd"/>
      <w:r w:rsidRPr="00A2248C">
        <w:t xml:space="preserve"> and Y</w:t>
      </w:r>
      <w:r>
        <w:t>AZ</w:t>
      </w:r>
      <w:r w:rsidRPr="00A2248C">
        <w:t>.</w:t>
      </w:r>
    </w:p>
    <w:p w:rsidR="00BB7B6F" w:rsidRPr="00A2248C" w:rsidRDefault="00BB7B6F" w:rsidP="00396874">
      <w:r w:rsidRPr="00A2248C">
        <w:t>It is not clear why bioequivalence Study A15704 was presented for evaluation with this application.</w:t>
      </w:r>
    </w:p>
    <w:p w:rsidR="00BB7B6F" w:rsidRDefault="00BB7B6F" w:rsidP="00396874">
      <w:pPr>
        <w:pStyle w:val="Heading3"/>
      </w:pPr>
      <w:bookmarkStart w:id="130" w:name="_Toc323821171"/>
      <w:bookmarkStart w:id="131" w:name="_Toc335040597"/>
      <w:bookmarkStart w:id="132" w:name="_Toc398110080"/>
      <w:bookmarkStart w:id="133" w:name="_Toc401835986"/>
      <w:r w:rsidRPr="00396874">
        <w:lastRenderedPageBreak/>
        <w:t>Pharmacodynamics</w:t>
      </w:r>
      <w:bookmarkEnd w:id="95"/>
      <w:bookmarkEnd w:id="116"/>
      <w:bookmarkEnd w:id="117"/>
      <w:bookmarkEnd w:id="130"/>
      <w:bookmarkEnd w:id="131"/>
      <w:bookmarkEnd w:id="132"/>
      <w:bookmarkEnd w:id="133"/>
    </w:p>
    <w:p w:rsidR="00BB7B6F" w:rsidRDefault="00BB7B6F" w:rsidP="00396874">
      <w:bookmarkStart w:id="134" w:name="_Toc163441372"/>
      <w:bookmarkStart w:id="135" w:name="_Toc196046485"/>
      <w:bookmarkStart w:id="136" w:name="_Toc247691521"/>
      <w:r>
        <w:t xml:space="preserve">The pharmacodynamics of DRSP and EE in relation to the contraceptive and other ovarian suppressive actions of YAZ or </w:t>
      </w:r>
      <w:proofErr w:type="spellStart"/>
      <w:r>
        <w:t>YAZFlex</w:t>
      </w:r>
      <w:proofErr w:type="spellEnd"/>
      <w:r>
        <w:t xml:space="preserve"> have been well described in previous clinical evaluation reports (CERs) and have no bearing on the findings of this evaluation report.</w:t>
      </w:r>
    </w:p>
    <w:p w:rsidR="00BB7B6F" w:rsidRPr="00254787" w:rsidRDefault="00BB7B6F" w:rsidP="00396874">
      <w:pPr>
        <w:pStyle w:val="Heading3"/>
      </w:pPr>
      <w:bookmarkStart w:id="137" w:name="_Toc323821172"/>
      <w:bookmarkStart w:id="138" w:name="_Toc335040598"/>
      <w:bookmarkStart w:id="139" w:name="_Toc398110081"/>
      <w:bookmarkStart w:id="140" w:name="_Toc401835987"/>
      <w:r w:rsidRPr="00396874">
        <w:t>Efficacy</w:t>
      </w:r>
      <w:bookmarkEnd w:id="134"/>
      <w:bookmarkEnd w:id="135"/>
      <w:bookmarkEnd w:id="136"/>
      <w:bookmarkEnd w:id="137"/>
      <w:bookmarkEnd w:id="138"/>
      <w:bookmarkEnd w:id="139"/>
      <w:bookmarkEnd w:id="140"/>
    </w:p>
    <w:p w:rsidR="00BB7B6F" w:rsidRDefault="00BB7B6F" w:rsidP="00396874">
      <w:pPr>
        <w:pStyle w:val="Heading4"/>
      </w:pPr>
      <w:bookmarkStart w:id="141" w:name="_Toc243306657"/>
      <w:bookmarkStart w:id="142" w:name="_Toc241374307"/>
      <w:bookmarkStart w:id="143" w:name="_Toc163441378"/>
      <w:bookmarkStart w:id="144" w:name="_Toc196046495"/>
      <w:bookmarkStart w:id="145" w:name="_Toc247691522"/>
      <w:r w:rsidRPr="00396874">
        <w:t>Introduction</w:t>
      </w:r>
      <w:bookmarkEnd w:id="141"/>
      <w:bookmarkEnd w:id="142"/>
    </w:p>
    <w:p w:rsidR="00BB7B6F" w:rsidRDefault="00BB7B6F" w:rsidP="00396874">
      <w:r>
        <w:t xml:space="preserve">Efficacy of </w:t>
      </w:r>
      <w:proofErr w:type="spellStart"/>
      <w:r>
        <w:t>YAZFlex</w:t>
      </w:r>
      <w:proofErr w:type="spellEnd"/>
      <w:r>
        <w:t xml:space="preserve"> has to be considered in respect of the three proposed indications; contraception, acne and PMDD. </w:t>
      </w:r>
      <w:r w:rsidRPr="00A2248C">
        <w:t xml:space="preserve">The </w:t>
      </w:r>
      <w:r w:rsidRPr="00D33B85">
        <w:t>new data submitted by the sponsor (Studies A40196, A48294, and A47505) principally support the contraception indication</w:t>
      </w:r>
      <w:r w:rsidRPr="00A2248C">
        <w:t xml:space="preserve"> </w:t>
      </w:r>
      <w:r>
        <w:t xml:space="preserve">and are discussed below. Consideration of the </w:t>
      </w:r>
      <w:r w:rsidRPr="00A2248C">
        <w:rPr>
          <w:i/>
        </w:rPr>
        <w:t xml:space="preserve">acne and PMDD indications </w:t>
      </w:r>
      <w:r w:rsidRPr="00D33B85">
        <w:t>will be based on validating</w:t>
      </w:r>
      <w:r>
        <w:t xml:space="preserve"> that exposure to the active constituents of </w:t>
      </w:r>
      <w:proofErr w:type="spellStart"/>
      <w:r>
        <w:t>YAZFlex</w:t>
      </w:r>
      <w:proofErr w:type="spellEnd"/>
      <w:r>
        <w:t xml:space="preserve"> and YAZ is sufficiently similar between the two treatments </w:t>
      </w:r>
      <w:r w:rsidRPr="00D33B85">
        <w:t xml:space="preserve">that the data which supported these indications for YAZ can be applied to </w:t>
      </w:r>
      <w:proofErr w:type="spellStart"/>
      <w:r>
        <w:t>YAZFlex</w:t>
      </w:r>
      <w:proofErr w:type="spellEnd"/>
      <w:r w:rsidRPr="00D33B85">
        <w:t xml:space="preserve">. </w:t>
      </w:r>
      <w:r>
        <w:t>This is discussed in the conclusion to this section.</w:t>
      </w:r>
    </w:p>
    <w:p w:rsidR="00BB7B6F" w:rsidRDefault="00BB7B6F" w:rsidP="00396874">
      <w:pPr>
        <w:pStyle w:val="Heading4"/>
      </w:pPr>
      <w:bookmarkStart w:id="146" w:name="_Toc243306658"/>
      <w:r>
        <w:t xml:space="preserve">Pivotal clinical </w:t>
      </w:r>
      <w:r w:rsidRPr="00396874">
        <w:t>studies</w:t>
      </w:r>
      <w:bookmarkEnd w:id="146"/>
      <w:r>
        <w:t xml:space="preserve"> A40196 and A48294</w:t>
      </w:r>
    </w:p>
    <w:p w:rsidR="00BB7B6F" w:rsidRDefault="00BB7B6F" w:rsidP="00396874">
      <w:pPr>
        <w:pStyle w:val="Heading5"/>
      </w:pPr>
      <w:r w:rsidRPr="00396874">
        <w:t>Methods</w:t>
      </w:r>
    </w:p>
    <w:p w:rsidR="00BB7B6F" w:rsidRDefault="00BB7B6F" w:rsidP="00396874">
      <w:pPr>
        <w:pStyle w:val="Heading6"/>
      </w:pPr>
      <w:r w:rsidRPr="00396874">
        <w:t>Objectives</w:t>
      </w:r>
    </w:p>
    <w:p w:rsidR="00BB7B6F" w:rsidRDefault="00BB7B6F" w:rsidP="00396874">
      <w:r>
        <w:t>The objectives of both these studies were to demonstrate that use of the extended cycle format of YAZ (</w:t>
      </w:r>
      <w:proofErr w:type="spellStart"/>
      <w:r>
        <w:t>YAZFlex</w:t>
      </w:r>
      <w:proofErr w:type="spellEnd"/>
      <w:r>
        <w:t>) was not associated with any loss of contraceptive efficacy, while reducing the frequency and amount of menstrual bleeding and thereby constituting a product more satisfactory to the user; and that this could be achieved without compromising safety.</w:t>
      </w:r>
    </w:p>
    <w:p w:rsidR="00BB7B6F" w:rsidRDefault="00BB7B6F" w:rsidP="00396874">
      <w:pPr>
        <w:pStyle w:val="Heading6"/>
      </w:pPr>
      <w:r>
        <w:t xml:space="preserve">Study </w:t>
      </w:r>
      <w:r w:rsidR="00396874" w:rsidRPr="00396874">
        <w:t>p</w:t>
      </w:r>
      <w:r w:rsidRPr="00396874">
        <w:t>articipants</w:t>
      </w:r>
    </w:p>
    <w:p w:rsidR="00BB7B6F" w:rsidRDefault="00BB7B6F" w:rsidP="00396874">
      <w:r>
        <w:t>Participants were healthy female volunteers requesting contraceptive protection. In Study A40196 which was conducted in European and Canadian centres (the majority in Germany), an age limit of 18-35 was used. In the US Study A48294, the age limit was 18 to 45 years.</w:t>
      </w:r>
    </w:p>
    <w:p w:rsidR="00BB7B6F" w:rsidRDefault="00BB7B6F" w:rsidP="00396874">
      <w:pPr>
        <w:pStyle w:val="Heading6"/>
      </w:pPr>
      <w:r w:rsidRPr="00396874">
        <w:t>Treatments</w:t>
      </w:r>
    </w:p>
    <w:p w:rsidR="00BB7B6F" w:rsidRDefault="00BB7B6F" w:rsidP="00396874">
      <w:r>
        <w:t xml:space="preserve">All subjects were treated with YAZ products as described above. Each study had three asymmetric treatment arms, with the majority of subjects being randomised, or in the case of Study A48294 assigned, to </w:t>
      </w:r>
      <w:proofErr w:type="spellStart"/>
      <w:r>
        <w:t>YAZFlex</w:t>
      </w:r>
      <w:proofErr w:type="spellEnd"/>
      <w:r>
        <w:t>. Each study had an active control arm in which the treatment was YAZ. The third arm received YAZ Extend in Study A40196 and YAZ Stop&amp; Go in Study A48294. No subjects received placebo.</w:t>
      </w:r>
    </w:p>
    <w:p w:rsidR="00BB7B6F" w:rsidRDefault="00BB7B6F" w:rsidP="00396874">
      <w:pPr>
        <w:pStyle w:val="Heading6"/>
      </w:pPr>
      <w:r>
        <w:t>Outcomes/</w:t>
      </w:r>
      <w:r w:rsidRPr="00396874">
        <w:t>endpoints</w:t>
      </w:r>
    </w:p>
    <w:p w:rsidR="00BB7B6F" w:rsidRPr="00866257" w:rsidRDefault="00BB7B6F" w:rsidP="00396874">
      <w:r w:rsidRPr="00866257">
        <w:t>The sponsor's hypothesis for benefit in introducing the extended cycle preparation was that there be firstly maintenance of contraceptive efficacy and secondly, a reduction in the number of bleeding days per unit time.</w:t>
      </w:r>
      <w:r>
        <w:t xml:space="preserve"> </w:t>
      </w:r>
      <w:r w:rsidRPr="00866257">
        <w:t xml:space="preserve">Consistent with this, the primary efficacy variables in pivotal Studies A40196 and A48294 were the unintended pregnancy rate (Pearl Index and life-table analysis), and in </w:t>
      </w:r>
      <w:r>
        <w:t xml:space="preserve">Study A40196 </w:t>
      </w:r>
      <w:r w:rsidRPr="00866257">
        <w:t xml:space="preserve">the total number of bleeding days; in </w:t>
      </w:r>
      <w:r>
        <w:t xml:space="preserve">Study A48294 </w:t>
      </w:r>
      <w:r w:rsidRPr="00866257">
        <w:t>, bleeding pattern and cycle control are classified as secondary outcome measures.</w:t>
      </w:r>
      <w:r>
        <w:t xml:space="preserve"> </w:t>
      </w:r>
      <w:r w:rsidRPr="00866257">
        <w:t>Secondary objectives were to enhance user convenience and to reduce the incidence of problems associated with menstruation such as dysmenorrhoea, headache, and breast symptoms, and the secondary efficacy variables assessed reflect this.</w:t>
      </w:r>
      <w:r>
        <w:t xml:space="preserve"> </w:t>
      </w:r>
      <w:r w:rsidRPr="00866257">
        <w:t xml:space="preserve">In addition, a subgroup of subjects in </w:t>
      </w:r>
      <w:r>
        <w:t xml:space="preserve">Study A40196 </w:t>
      </w:r>
      <w:r w:rsidRPr="00866257">
        <w:t>underwent assessment for bone density loss and measurement of biochemical bone markers.</w:t>
      </w:r>
    </w:p>
    <w:p w:rsidR="00BB7B6F" w:rsidRPr="00656E54" w:rsidRDefault="00BB7B6F" w:rsidP="00396874">
      <w:r w:rsidRPr="00866257">
        <w:lastRenderedPageBreak/>
        <w:t xml:space="preserve">For </w:t>
      </w:r>
      <w:r w:rsidRPr="00656E54">
        <w:t>contraceptive efficacy, the Pearl Index is calculated as the number of pregnancies/100 years of woman-use</w:t>
      </w:r>
      <w:bookmarkStart w:id="147" w:name="_Ref323814767"/>
      <w:r w:rsidRPr="00656E54">
        <w:rPr>
          <w:rStyle w:val="FootnoteReference"/>
        </w:rPr>
        <w:footnoteReference w:id="3"/>
      </w:r>
      <w:bookmarkEnd w:id="147"/>
      <w:r w:rsidRPr="00656E54">
        <w:t xml:space="preserve">. This may be calculated as a raw index, or as a </w:t>
      </w:r>
      <w:r>
        <w:t>‘</w:t>
      </w:r>
      <w:r w:rsidRPr="00656E54">
        <w:t>corrected</w:t>
      </w:r>
      <w:r>
        <w:t>’</w:t>
      </w:r>
      <w:r w:rsidRPr="00656E54">
        <w:t xml:space="preserve"> or </w:t>
      </w:r>
      <w:r>
        <w:t>‘</w:t>
      </w:r>
      <w:r w:rsidRPr="00656E54">
        <w:t>adjusted</w:t>
      </w:r>
      <w:r>
        <w:t>’</w:t>
      </w:r>
      <w:r w:rsidRPr="00656E54">
        <w:t xml:space="preserve"> index. In the latter case, the numerator of the equation (number of pregnancies) is reduced by removing those instances classed as subject failures (mostly attributed to lack of compliance), leaving only instances classed as method failures. When performing this adjustment, the denominator (total exposure) has to be reduced by removing the exposure related to subject failures. These procedures have been carried out in the efficacy studies. Contraceptive efficacy is also measured in these studies by life-able analysis using the Kaplan Meier estimator.</w:t>
      </w:r>
    </w:p>
    <w:p w:rsidR="00BB7B6F" w:rsidRDefault="00BB7B6F" w:rsidP="00396874">
      <w:r w:rsidRPr="00656E54">
        <w:t xml:space="preserve">With </w:t>
      </w:r>
      <w:r>
        <w:t>‘</w:t>
      </w:r>
      <w:r w:rsidRPr="00656E54">
        <w:t>correct use</w:t>
      </w:r>
      <w:r>
        <w:t>’</w:t>
      </w:r>
      <w:r w:rsidRPr="00656E54">
        <w:t xml:space="preserve"> (full compliance), Pearl Index values of &lt;1 are expected in users of combined oral contraceptives (COC), whereas with </w:t>
      </w:r>
      <w:r>
        <w:t>‘</w:t>
      </w:r>
      <w:r w:rsidRPr="00656E54">
        <w:t>typical use</w:t>
      </w:r>
      <w:r>
        <w:t>’</w:t>
      </w:r>
      <w:r w:rsidRPr="00656E54">
        <w:t>, values may be in the range 1</w:t>
      </w:r>
      <w:r>
        <w:t xml:space="preserve"> to </w:t>
      </w:r>
      <w:r w:rsidRPr="00656E54">
        <w:t>3</w:t>
      </w:r>
      <w:r>
        <w:fldChar w:fldCharType="begin"/>
      </w:r>
      <w:r>
        <w:instrText xml:space="preserve"> NOTEREF _Ref323814767 \h  \* MERGEFORMAT </w:instrText>
      </w:r>
      <w:r>
        <w:fldChar w:fldCharType="separate"/>
      </w:r>
      <w:r>
        <w:t>3</w:t>
      </w:r>
      <w:r>
        <w:fldChar w:fldCharType="end"/>
      </w:r>
      <w:r w:rsidRPr="00656E54">
        <w:t>.</w:t>
      </w:r>
    </w:p>
    <w:p w:rsidR="00BB7B6F" w:rsidRPr="00656E54" w:rsidRDefault="00BB7B6F" w:rsidP="00396874">
      <w:r w:rsidRPr="00656E54">
        <w:t xml:space="preserve">The assessment of </w:t>
      </w:r>
      <w:r w:rsidRPr="00656E54">
        <w:rPr>
          <w:i/>
        </w:rPr>
        <w:t>bleeding patterns</w:t>
      </w:r>
      <w:r w:rsidRPr="00656E54">
        <w:t xml:space="preserve"> in the efficacy studies was an extremely complex process and reflects the relationship of these outcome measures to user satisfaction with the product. For the woman using an oral contraceptive, particularly in an extended cycle regimen, parameters of interest in relation to bleeding relate to the </w:t>
      </w:r>
      <w:r w:rsidRPr="00656E54">
        <w:rPr>
          <w:i/>
        </w:rPr>
        <w:t>amount</w:t>
      </w:r>
      <w:r w:rsidRPr="00656E54">
        <w:t xml:space="preserve"> and to </w:t>
      </w:r>
      <w:r w:rsidRPr="00656E54">
        <w:rPr>
          <w:i/>
        </w:rPr>
        <w:t>timing</w:t>
      </w:r>
      <w:r w:rsidRPr="00656E54">
        <w:t xml:space="preserve">: an ideal result will be the least possible amount of bleeding, on days which are entirely predictable, and in the case of a flexible regimen such as proposed in this application, to some extent adjustable to comply with lifestyle requirements. In clinical practice, a distinction is usually drawn between </w:t>
      </w:r>
      <w:r w:rsidRPr="00656E54">
        <w:rPr>
          <w:i/>
        </w:rPr>
        <w:t>withdrawal bleeding</w:t>
      </w:r>
      <w:r w:rsidRPr="00656E54">
        <w:t xml:space="preserve"> which typically occurs during or following the tablet free interval in a cyclical preparation, and </w:t>
      </w:r>
      <w:r w:rsidRPr="00656E54">
        <w:rPr>
          <w:i/>
        </w:rPr>
        <w:t>breakthrough bleeding</w:t>
      </w:r>
      <w:r w:rsidRPr="00656E54">
        <w:t xml:space="preserve"> which occurs during the period of active tablet administration. This is an expected feature of the continuous </w:t>
      </w:r>
      <w:proofErr w:type="spellStart"/>
      <w:r w:rsidRPr="00656E54">
        <w:t>progestogen</w:t>
      </w:r>
      <w:proofErr w:type="spellEnd"/>
      <w:r w:rsidRPr="00656E54">
        <w:t xml:space="preserve"> only </w:t>
      </w:r>
      <w:r>
        <w:t>oral contraceptives (</w:t>
      </w:r>
      <w:r w:rsidRPr="00656E54">
        <w:t>OCs</w:t>
      </w:r>
      <w:r>
        <w:t>)</w:t>
      </w:r>
      <w:r w:rsidRPr="00656E54">
        <w:t>, and is also more frequently observed in COCs containing smaller doses of oestrogen.</w:t>
      </w:r>
    </w:p>
    <w:p w:rsidR="00BB7B6F" w:rsidRPr="0009526F" w:rsidRDefault="00BB7B6F" w:rsidP="00396874">
      <w:r w:rsidRPr="00656E54">
        <w:t xml:space="preserve">Consistent with the above background, the protocol of the efficacy studies distinguishes </w:t>
      </w:r>
      <w:proofErr w:type="gramStart"/>
      <w:r w:rsidRPr="00656E54">
        <w:t>between</w:t>
      </w:r>
      <w:proofErr w:type="gramEnd"/>
      <w:r w:rsidRPr="00656E54">
        <w:t xml:space="preserve"> </w:t>
      </w:r>
      <w:r>
        <w:t>‘</w:t>
      </w:r>
      <w:r w:rsidRPr="00656E54">
        <w:t>scheduled</w:t>
      </w:r>
      <w:r>
        <w:t>’</w:t>
      </w:r>
      <w:r w:rsidRPr="00656E54">
        <w:t xml:space="preserve"> or </w:t>
      </w:r>
      <w:r>
        <w:t>‘</w:t>
      </w:r>
      <w:r w:rsidRPr="00656E54">
        <w:t>withdrawal</w:t>
      </w:r>
      <w:r>
        <w:t>’</w:t>
      </w:r>
      <w:r w:rsidRPr="00656E54">
        <w:t xml:space="preserve"> bleeding on the one hand, and </w:t>
      </w:r>
      <w:r>
        <w:t>‘</w:t>
      </w:r>
      <w:proofErr w:type="spellStart"/>
      <w:r w:rsidRPr="00656E54">
        <w:t>intracyclic</w:t>
      </w:r>
      <w:proofErr w:type="spellEnd"/>
      <w:r>
        <w:t>’</w:t>
      </w:r>
      <w:r w:rsidRPr="00656E54">
        <w:t xml:space="preserve"> or </w:t>
      </w:r>
      <w:r>
        <w:t>‘</w:t>
      </w:r>
      <w:r w:rsidRPr="00656E54">
        <w:t>unscheduled</w:t>
      </w:r>
      <w:r>
        <w:t>’</w:t>
      </w:r>
      <w:r w:rsidRPr="00656E54">
        <w:t xml:space="preserve"> bleeding on the other. These terms are used to some extent interchangeably which does create some</w:t>
      </w:r>
      <w:r w:rsidRPr="0009526F">
        <w:t xml:space="preserve"> confusion for the reader.</w:t>
      </w:r>
      <w:r>
        <w:t xml:space="preserve"> </w:t>
      </w:r>
      <w:r w:rsidRPr="0009526F">
        <w:t xml:space="preserve">One important matter of definition is that </w:t>
      </w:r>
      <w:r>
        <w:t>‘</w:t>
      </w:r>
      <w:r w:rsidRPr="0009526F">
        <w:t>unscheduled</w:t>
      </w:r>
      <w:r>
        <w:t>’</w:t>
      </w:r>
      <w:r w:rsidRPr="0009526F">
        <w:t xml:space="preserve"> bleeding which meets the criterion for triggering a 4 day tablet free interval with the use of </w:t>
      </w:r>
      <w:proofErr w:type="spellStart"/>
      <w:r>
        <w:t>YAZFlex</w:t>
      </w:r>
      <w:proofErr w:type="spellEnd"/>
      <w:r w:rsidRPr="0009526F">
        <w:t xml:space="preserve"> becomes defined as part of the </w:t>
      </w:r>
      <w:r>
        <w:t>‘</w:t>
      </w:r>
      <w:r w:rsidRPr="0009526F">
        <w:t>scheduled</w:t>
      </w:r>
      <w:r>
        <w:t>’</w:t>
      </w:r>
      <w:r w:rsidRPr="0009526F">
        <w:t xml:space="preserve"> withdrawal bleed which then follows that tablet free interval.</w:t>
      </w:r>
      <w:r>
        <w:t xml:space="preserve"> </w:t>
      </w:r>
      <w:r w:rsidRPr="0009526F">
        <w:t>In other words, an episode which would be regarded as breakthrough bleeding by a woman using a continuous regimen is managed by stopping the tablets for 4 days, having a period, and then commencing a new cycle, as is commonly advised in existing clinical practice.</w:t>
      </w:r>
    </w:p>
    <w:p w:rsidR="00BB7B6F" w:rsidRPr="00656E54" w:rsidRDefault="00BB7B6F" w:rsidP="00396874">
      <w:r w:rsidRPr="00656E54">
        <w:t xml:space="preserve">A summary of the definitions used to define withdrawal bleeding episodes and distinguish them from </w:t>
      </w:r>
      <w:proofErr w:type="spellStart"/>
      <w:r w:rsidRPr="00656E54">
        <w:t>intracyclic</w:t>
      </w:r>
      <w:proofErr w:type="spellEnd"/>
      <w:r w:rsidRPr="00656E54">
        <w:t xml:space="preserve"> bleeding, with graphically displayed examples of their application was provided in the submission.</w:t>
      </w:r>
    </w:p>
    <w:p w:rsidR="00BB7B6F" w:rsidRPr="00E34576" w:rsidRDefault="00BB7B6F" w:rsidP="00396874">
      <w:pPr>
        <w:pStyle w:val="Heading6"/>
      </w:pPr>
      <w:r w:rsidRPr="00396874">
        <w:t>Sample</w:t>
      </w:r>
      <w:r w:rsidRPr="00656E54">
        <w:t xml:space="preserve"> size</w:t>
      </w:r>
    </w:p>
    <w:p w:rsidR="00BB7B6F" w:rsidRPr="0009526F" w:rsidRDefault="00BB7B6F" w:rsidP="00396874">
      <w:r w:rsidRPr="0009526F">
        <w:t>The calculations for sample size in</w:t>
      </w:r>
      <w:r>
        <w:t xml:space="preserve"> Study A40196 were described in the </w:t>
      </w:r>
      <w:r w:rsidRPr="0009526F">
        <w:t>study report.</w:t>
      </w:r>
      <w:r>
        <w:t xml:space="preserve"> </w:t>
      </w:r>
      <w:r w:rsidRPr="0009526F">
        <w:t>It describes previous experience with cycle control studies as suggesting that a group size of a minimum of 200 volunteers per treatment arm would be sufficient to describe differences in bleeding patterns.</w:t>
      </w:r>
      <w:r>
        <w:t xml:space="preserve"> </w:t>
      </w:r>
      <w:r w:rsidRPr="0009526F">
        <w:t xml:space="preserve">A planned size of 660 subjects was allocated to the </w:t>
      </w:r>
      <w:proofErr w:type="spellStart"/>
      <w:r>
        <w:t>YAZFlex</w:t>
      </w:r>
      <w:proofErr w:type="spellEnd"/>
      <w:r w:rsidRPr="0009526F">
        <w:t xml:space="preserve"> arm as this was the </w:t>
      </w:r>
      <w:r>
        <w:t>‘</w:t>
      </w:r>
      <w:r w:rsidRPr="0009526F">
        <w:t>preferred</w:t>
      </w:r>
      <w:r>
        <w:t>’</w:t>
      </w:r>
      <w:r w:rsidRPr="0009526F">
        <w:t xml:space="preserve"> regimen, and also needed to be tested for contraceptive efficacy.</w:t>
      </w:r>
      <w:r>
        <w:t xml:space="preserve"> Some </w:t>
      </w:r>
      <w:r w:rsidRPr="0009526F">
        <w:t>225 subjects were allocated each to the Y</w:t>
      </w:r>
      <w:r>
        <w:t>AZ</w:t>
      </w:r>
      <w:r w:rsidRPr="0009526F">
        <w:t xml:space="preserve"> Extend and Y</w:t>
      </w:r>
      <w:r>
        <w:t>AZ</w:t>
      </w:r>
      <w:r w:rsidRPr="0009526F">
        <w:t xml:space="preserve"> arms; the report indicates that assuming a difference between the groups of 10 in number of bleeding days, a </w:t>
      </w:r>
      <w:r>
        <w:t>standard deviation (</w:t>
      </w:r>
      <w:r w:rsidRPr="0009526F">
        <w:t>SD</w:t>
      </w:r>
      <w:r>
        <w:t>)</w:t>
      </w:r>
      <w:r w:rsidRPr="0009526F">
        <w:t xml:space="preserve"> of 28 days and drop-out of 40%, these sample sizes would lead to a power of at least 94% to demonstrate superiority of the </w:t>
      </w:r>
      <w:proofErr w:type="spellStart"/>
      <w:r>
        <w:t>YAZFlex</w:t>
      </w:r>
      <w:proofErr w:type="spellEnd"/>
      <w:r w:rsidRPr="0009526F">
        <w:t xml:space="preserve"> regimen in relation to bleeding patterns.</w:t>
      </w:r>
    </w:p>
    <w:p w:rsidR="00BB7B6F" w:rsidRPr="0009526F" w:rsidRDefault="00BB7B6F" w:rsidP="002B73F1">
      <w:r w:rsidRPr="0009526F">
        <w:lastRenderedPageBreak/>
        <w:t xml:space="preserve">For contraceptive efficacy (Pearl Index), the statistical analysis plan describes calculating the sample size in compliance with the requirements of the </w:t>
      </w:r>
      <w:r>
        <w:t>TGA adopted EU</w:t>
      </w:r>
      <w:r w:rsidRPr="0009526F">
        <w:t xml:space="preserve"> guidelines on clinical investigation of steroid contraceptives in women</w:t>
      </w:r>
      <w:r>
        <w:rPr>
          <w:rStyle w:val="FootnoteReference"/>
        </w:rPr>
        <w:footnoteReference w:id="4"/>
      </w:r>
      <w:r w:rsidRPr="0009526F">
        <w:t>.</w:t>
      </w:r>
      <w:r>
        <w:t xml:space="preserve"> </w:t>
      </w:r>
      <w:r w:rsidRPr="0009526F">
        <w:t>The calculation assumed that the extended regimen would be at least equal in contraceptive efficacy to the standard (Y</w:t>
      </w:r>
      <w:r>
        <w:t>AZ</w:t>
      </w:r>
      <w:r w:rsidRPr="0009526F">
        <w:t>) regimen, and determined that a sample size of 885 women would estimate the Pearl Index with an upper 90% confidence limit not exceeding the point estimate by more than 1, if the true value was 0.85.</w:t>
      </w:r>
    </w:p>
    <w:p w:rsidR="00BB7B6F" w:rsidRPr="0009526F" w:rsidRDefault="00BB7B6F" w:rsidP="00396874">
      <w:r w:rsidRPr="0009526F">
        <w:t>Similar calculations are described for the other two sponsor-supervised efficacy studies in the application.</w:t>
      </w:r>
    </w:p>
    <w:p w:rsidR="00BB7B6F" w:rsidRDefault="00BB7B6F" w:rsidP="00BB7B6F">
      <w:pPr>
        <w:pStyle w:val="Heading6"/>
      </w:pPr>
      <w:r>
        <w:t>Randomisation</w:t>
      </w:r>
    </w:p>
    <w:p w:rsidR="00BB7B6F" w:rsidRPr="00577DAB" w:rsidRDefault="00BB7B6F" w:rsidP="002B73F1">
      <w:r w:rsidRPr="0009526F">
        <w:t xml:space="preserve">Randomisation for all the described efficacy studies was carried out by the central randomisation group at Bayer </w:t>
      </w:r>
      <w:proofErr w:type="spellStart"/>
      <w:r w:rsidRPr="0009526F">
        <w:t>Pharma</w:t>
      </w:r>
      <w:proofErr w:type="spellEnd"/>
      <w:r w:rsidRPr="0009526F">
        <w:t xml:space="preserve"> AG using the software package </w:t>
      </w:r>
      <w:r w:rsidRPr="00577DAB">
        <w:t>Statistical Analysis System (SAS).</w:t>
      </w:r>
    </w:p>
    <w:p w:rsidR="00BB7B6F" w:rsidRDefault="00BB7B6F" w:rsidP="002B73F1">
      <w:pPr>
        <w:pStyle w:val="Heading6"/>
      </w:pPr>
      <w:r>
        <w:t>Blinding (</w:t>
      </w:r>
      <w:r w:rsidRPr="002B73F1">
        <w:t>masking</w:t>
      </w:r>
      <w:r>
        <w:t>)</w:t>
      </w:r>
    </w:p>
    <w:p w:rsidR="00BB7B6F" w:rsidRPr="0009526F" w:rsidRDefault="00BB7B6F" w:rsidP="002B73F1">
      <w:r w:rsidRPr="0009526F">
        <w:t xml:space="preserve">All of the efficacy studies in the application, including supportive </w:t>
      </w:r>
      <w:r>
        <w:t>S</w:t>
      </w:r>
      <w:r w:rsidRPr="0009526F">
        <w:t>tudy A47505, were of necessity open label because of the nature of the comparison between user-managed menstrual cycle regimens.</w:t>
      </w:r>
    </w:p>
    <w:p w:rsidR="00BB7B6F" w:rsidRDefault="00BB7B6F" w:rsidP="002B73F1">
      <w:pPr>
        <w:pStyle w:val="Heading6"/>
      </w:pPr>
      <w:r w:rsidRPr="002B73F1">
        <w:t>Statistical</w:t>
      </w:r>
      <w:r>
        <w:t xml:space="preserve"> methods</w:t>
      </w:r>
    </w:p>
    <w:p w:rsidR="00BB7B6F" w:rsidRPr="0009526F" w:rsidRDefault="00BB7B6F" w:rsidP="002B73F1">
      <w:r w:rsidRPr="0009526F">
        <w:t>The statistical method for determining confidence interval for Pearl Index has been described above.</w:t>
      </w:r>
      <w:r>
        <w:t xml:space="preserve"> </w:t>
      </w:r>
      <w:r w:rsidRPr="0009526F">
        <w:t>For all other quantitative parameters to do with bleeding days and cycle control, standard descriptive statistics were determined and comparison undertaken between the test and reference groups using the t-test.</w:t>
      </w:r>
    </w:p>
    <w:p w:rsidR="00BB7B6F" w:rsidRDefault="00BB7B6F" w:rsidP="00BB7B6F">
      <w:pPr>
        <w:pStyle w:val="Heading5"/>
      </w:pPr>
      <w:r>
        <w:t>Results</w:t>
      </w:r>
    </w:p>
    <w:p w:rsidR="00BB7B6F" w:rsidRDefault="00BB7B6F" w:rsidP="002B73F1">
      <w:pPr>
        <w:pStyle w:val="Heading6"/>
      </w:pPr>
      <w:r>
        <w:t xml:space="preserve">Participant flow and </w:t>
      </w:r>
      <w:r w:rsidRPr="002B73F1">
        <w:t>numbers</w:t>
      </w:r>
      <w:r>
        <w:t xml:space="preserve"> analysed</w:t>
      </w:r>
    </w:p>
    <w:p w:rsidR="00BB7B6F" w:rsidRPr="00E34576" w:rsidRDefault="00BB7B6F" w:rsidP="002B73F1">
      <w:r>
        <w:t xml:space="preserve">Details of the numbers of subjects screened and randomised were given in the individual study reports. A summary of the numbers of subjects in the full analysis (FAS) and per </w:t>
      </w:r>
      <w:r w:rsidRPr="00E34576">
        <w:t>protocol (PPS) sets is shown below for both pivotal studies and also supporting Study A47505; the percentage figures are % of all subjects randomised or assigned to the various treat</w:t>
      </w:r>
      <w:r w:rsidR="002B73F1">
        <w:t>ments.</w:t>
      </w:r>
    </w:p>
    <w:p w:rsidR="00BB7B6F" w:rsidRDefault="00BB7B6F" w:rsidP="002B73F1">
      <w:pPr>
        <w:pStyle w:val="TableTitle"/>
      </w:pPr>
      <w:proofErr w:type="gramStart"/>
      <w:r>
        <w:lastRenderedPageBreak/>
        <w:t>Table 6.</w:t>
      </w:r>
      <w:proofErr w:type="gramEnd"/>
      <w:r>
        <w:t xml:space="preserve"> </w:t>
      </w:r>
      <w:proofErr w:type="gramStart"/>
      <w:r>
        <w:t xml:space="preserve">Subject numbers in </w:t>
      </w:r>
      <w:r w:rsidR="002B73F1">
        <w:t>submitted studies.</w:t>
      </w:r>
      <w:proofErr w:type="gramEnd"/>
      <w:r w:rsidR="002B73F1">
        <w:t xml:space="preserve"> </w:t>
      </w:r>
      <w:proofErr w:type="gramStart"/>
      <w:r w:rsidR="002B73F1">
        <w:t>FAS and PPS.</w:t>
      </w:r>
      <w:proofErr w:type="gramEnd"/>
    </w:p>
    <w:p w:rsidR="00BB7B6F" w:rsidRDefault="00BB7B6F" w:rsidP="002B73F1">
      <w:r>
        <w:rPr>
          <w:noProof/>
          <w:lang w:eastAsia="en-AU"/>
        </w:rPr>
        <w:drawing>
          <wp:inline distT="0" distB="0" distL="0" distR="0" wp14:anchorId="62EEF8AA" wp14:editId="04C66E00">
            <wp:extent cx="4747944" cy="2952750"/>
            <wp:effectExtent l="0" t="0" r="0" b="0"/>
            <wp:docPr id="5" name="Picture 4" descr="Table 6. Subject numbers in submitted studies. FAS and PPS. " title="Table 6. Subject numbers in submitted studies. FAS and P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lum/>
                    </a:blip>
                    <a:srcRect t="1925" b="1535"/>
                    <a:stretch/>
                  </pic:blipFill>
                  <pic:spPr bwMode="auto">
                    <a:xfrm>
                      <a:off x="0" y="0"/>
                      <a:ext cx="4751230" cy="2954794"/>
                    </a:xfrm>
                    <a:prstGeom prst="rect">
                      <a:avLst/>
                    </a:prstGeom>
                    <a:noFill/>
                    <a:ln>
                      <a:noFill/>
                    </a:ln>
                    <a:extLst>
                      <a:ext uri="{53640926-AAD7-44D8-BBD7-CCE9431645EC}">
                        <a14:shadowObscured xmlns:a14="http://schemas.microsoft.com/office/drawing/2010/main"/>
                      </a:ext>
                    </a:extLst>
                  </pic:spPr>
                </pic:pic>
              </a:graphicData>
            </a:graphic>
          </wp:inline>
        </w:drawing>
      </w:r>
    </w:p>
    <w:p w:rsidR="00BB7B6F" w:rsidRPr="0009526F" w:rsidRDefault="00BB7B6F" w:rsidP="002B73F1">
      <w:r w:rsidRPr="0009526F">
        <w:t>The large proportion of exclusions from the PPS mainly reflects minor protocol deviations relating to cycle dates.</w:t>
      </w:r>
    </w:p>
    <w:p w:rsidR="00BB7B6F" w:rsidRDefault="00BB7B6F" w:rsidP="002B73F1">
      <w:pPr>
        <w:pStyle w:val="Heading6"/>
      </w:pPr>
      <w:r w:rsidRPr="002B73F1">
        <w:t>Recruitment</w:t>
      </w:r>
    </w:p>
    <w:p w:rsidR="00BB7B6F" w:rsidRPr="00E34576" w:rsidRDefault="00BB7B6F" w:rsidP="002B73F1">
      <w:r w:rsidRPr="0009526F">
        <w:t>N</w:t>
      </w:r>
      <w:r w:rsidRPr="00E34576">
        <w:t xml:space="preserve">o details of recruitment procedures are given but the sole initial criterion for the pivotal studies was </w:t>
      </w:r>
      <w:r>
        <w:t>‘</w:t>
      </w:r>
      <w:r w:rsidRPr="00E34576">
        <w:t>women of childbearing age requesting contraception</w:t>
      </w:r>
      <w:r>
        <w:t>’</w:t>
      </w:r>
      <w:r w:rsidRPr="00E34576">
        <w:t>, from which it is assumed that some form of public advertisement may have been used.</w:t>
      </w:r>
    </w:p>
    <w:p w:rsidR="00BB7B6F" w:rsidRDefault="00BB7B6F" w:rsidP="002B73F1">
      <w:pPr>
        <w:pStyle w:val="Heading6"/>
      </w:pPr>
      <w:r>
        <w:t xml:space="preserve">Conduct of the </w:t>
      </w:r>
      <w:r w:rsidRPr="002B73F1">
        <w:t>studies</w:t>
      </w:r>
    </w:p>
    <w:p w:rsidR="00BB7B6F" w:rsidRPr="0009526F" w:rsidRDefault="00BB7B6F" w:rsidP="002B73F1">
      <w:r w:rsidRPr="0009526F">
        <w:t>In both studies, parallel group treatment was continued for one year during which bleeding patterns and cycle control were compared between the</w:t>
      </w:r>
      <w:r>
        <w:t xml:space="preserve"> </w:t>
      </w:r>
      <w:proofErr w:type="spellStart"/>
      <w:r>
        <w:t>YAZFlex</w:t>
      </w:r>
      <w:proofErr w:type="spellEnd"/>
      <w:r w:rsidRPr="0009526F">
        <w:t xml:space="preserve"> groups and the comparator groups </w:t>
      </w:r>
      <w:r>
        <w:t>comprising YAZ, YAZ Extend (in Study A40196</w:t>
      </w:r>
      <w:r w:rsidRPr="0009526F">
        <w:t>) and Y</w:t>
      </w:r>
      <w:r>
        <w:t>AZ</w:t>
      </w:r>
      <w:r w:rsidRPr="0009526F">
        <w:t xml:space="preserve"> </w:t>
      </w:r>
      <w:proofErr w:type="spellStart"/>
      <w:r w:rsidRPr="0009526F">
        <w:t>Stop&amp;Go</w:t>
      </w:r>
      <w:proofErr w:type="spellEnd"/>
      <w:r w:rsidRPr="0009526F">
        <w:t xml:space="preserve"> (</w:t>
      </w:r>
      <w:r>
        <w:t xml:space="preserve">Study A48294 </w:t>
      </w:r>
      <w:r w:rsidRPr="0009526F">
        <w:t>).</w:t>
      </w:r>
      <w:r>
        <w:t xml:space="preserve"> </w:t>
      </w:r>
      <w:r w:rsidRPr="0009526F">
        <w:t xml:space="preserve">In </w:t>
      </w:r>
      <w:r>
        <w:t xml:space="preserve">Study A40196 </w:t>
      </w:r>
      <w:r w:rsidRPr="0009526F">
        <w:t xml:space="preserve">only, there was an observational extension period of a further year during which all participating subjects who wished to do so could continue, taking </w:t>
      </w:r>
      <w:proofErr w:type="spellStart"/>
      <w:r>
        <w:t>YAZFlex</w:t>
      </w:r>
      <w:proofErr w:type="spellEnd"/>
      <w:r w:rsidRPr="0009526F">
        <w:t xml:space="preserve"> in all cases.</w:t>
      </w:r>
      <w:r>
        <w:t xml:space="preserve"> </w:t>
      </w:r>
      <w:r w:rsidRPr="0009526F">
        <w:t xml:space="preserve">Pregnancy data was collected throughout </w:t>
      </w:r>
      <w:r>
        <w:t>Y</w:t>
      </w:r>
      <w:r w:rsidRPr="0009526F">
        <w:t>ears 1 and 2.</w:t>
      </w:r>
    </w:p>
    <w:p w:rsidR="00BB7B6F" w:rsidRPr="0009526F" w:rsidRDefault="00BB7B6F" w:rsidP="002B73F1">
      <w:r w:rsidRPr="0009526F">
        <w:t xml:space="preserve">Note that randomisation between the </w:t>
      </w:r>
      <w:proofErr w:type="spellStart"/>
      <w:r>
        <w:t>YAZFlex</w:t>
      </w:r>
      <w:proofErr w:type="spellEnd"/>
      <w:r w:rsidRPr="0009526F">
        <w:t xml:space="preserve"> and comparator groups only occurred in Study A40196.</w:t>
      </w:r>
      <w:r>
        <w:t xml:space="preserve"> </w:t>
      </w:r>
      <w:r w:rsidRPr="0009526F">
        <w:t xml:space="preserve">In Study A48294, the majority of recruited subjects were assigned to </w:t>
      </w:r>
      <w:proofErr w:type="spellStart"/>
      <w:r>
        <w:t>YAZFlex</w:t>
      </w:r>
      <w:proofErr w:type="spellEnd"/>
      <w:r w:rsidRPr="0009526F">
        <w:t xml:space="preserve"> and the remainder randomised between the two comparator arms.</w:t>
      </w:r>
      <w:r>
        <w:t xml:space="preserve"> </w:t>
      </w:r>
      <w:r w:rsidRPr="0009526F">
        <w:t>The reasons for this was not entirely clear to the evaluator but may have been related to the timing of a requirement by the FDA for inclusion of the Y</w:t>
      </w:r>
      <w:r>
        <w:t>AZ</w:t>
      </w:r>
      <w:r w:rsidRPr="0009526F">
        <w:t xml:space="preserve"> Stop&amp; Go arm.</w:t>
      </w:r>
    </w:p>
    <w:p w:rsidR="00BB7B6F" w:rsidRDefault="00BB7B6F" w:rsidP="002B73F1">
      <w:pPr>
        <w:pStyle w:val="Heading6"/>
      </w:pPr>
      <w:r w:rsidRPr="002B73F1">
        <w:t>Outcomes</w:t>
      </w:r>
      <w:r>
        <w:t xml:space="preserve"> and estimation</w:t>
      </w:r>
    </w:p>
    <w:p w:rsidR="00BB7B6F" w:rsidRPr="0009526F" w:rsidRDefault="00BB7B6F" w:rsidP="002B73F1">
      <w:r w:rsidRPr="0009526F">
        <w:t>Unadjusted Pearl Index in Study A40196 was 0.64 with 95% CI 0.28, 1.26 and in Study</w:t>
      </w:r>
      <w:r>
        <w:t xml:space="preserve"> </w:t>
      </w:r>
      <w:r w:rsidRPr="0009526F">
        <w:t>A48294 it was 1.65 with 95% CI 0.96, 2.65.</w:t>
      </w:r>
      <w:r>
        <w:t xml:space="preserve"> </w:t>
      </w:r>
      <w:r w:rsidRPr="0009526F">
        <w:t>In Study A40196, a further Pearl Index calculation was carried out based on the first year of treatment only and including any pregnancy with a conception date within 14 days after the end of study medication.</w:t>
      </w:r>
      <w:r>
        <w:t xml:space="preserve"> </w:t>
      </w:r>
      <w:r w:rsidRPr="0009526F">
        <w:t>This resulted in an estimate of 0.34 (95% CI; 0.04, 1.23).</w:t>
      </w:r>
      <w:r>
        <w:t xml:space="preserve"> </w:t>
      </w:r>
      <w:r w:rsidRPr="0009526F">
        <w:t>Additionally, cumulative failure rate (probability of pregnancy occurring) was calculated, using the Kaplan Meier estimator, at 0.0128 (95% CI; 0.0062, 0.0266), indicating the probability of contraceptive protection to be 98.72%.</w:t>
      </w:r>
      <w:r>
        <w:t xml:space="preserve"> </w:t>
      </w:r>
      <w:r w:rsidRPr="0009526F">
        <w:t>The sponsor comments that the probability estimate for pregnancy is higher than the Pearl Index because exposure is exclusive of subjects who dropped out before the last pregnancy occurred.</w:t>
      </w:r>
      <w:r>
        <w:t xml:space="preserve"> </w:t>
      </w:r>
      <w:r w:rsidRPr="0009526F">
        <w:t>Estimated cumulative failure rate using this methodology in Study A48294, with 95% CI, was 1.63% (1.01, 2.61).</w:t>
      </w:r>
      <w:r>
        <w:t xml:space="preserve"> </w:t>
      </w:r>
      <w:r w:rsidRPr="0009526F">
        <w:t xml:space="preserve">In this study, pregnancy data was also calculated for the pooled </w:t>
      </w:r>
      <w:proofErr w:type="spellStart"/>
      <w:r>
        <w:t>YAZFlex</w:t>
      </w:r>
      <w:proofErr w:type="spellEnd"/>
      <w:r w:rsidRPr="0009526F">
        <w:t>/ Y</w:t>
      </w:r>
      <w:r>
        <w:t>AZ</w:t>
      </w:r>
      <w:r w:rsidRPr="0009526F">
        <w:t xml:space="preserve"> Stop&amp; Go population.</w:t>
      </w:r>
      <w:r>
        <w:t xml:space="preserve"> </w:t>
      </w:r>
      <w:r w:rsidRPr="0009526F">
        <w:t xml:space="preserve">Unadjusted Pearl index was </w:t>
      </w:r>
      <w:r w:rsidRPr="0009526F">
        <w:lastRenderedPageBreak/>
        <w:t>1.92 (95% CI; 1.22, 2.89) and estimated cumulative failure rate 1.83% (95% CI; 1.21, 2.75).</w:t>
      </w:r>
    </w:p>
    <w:p w:rsidR="00BB7B6F" w:rsidRDefault="00BB7B6F" w:rsidP="002B73F1">
      <w:r>
        <w:t xml:space="preserve">Adjusted Pearl Index in Study A40196 was 0.60 but in Study A48294 it was 5.36; this value is felt to be </w:t>
      </w:r>
      <w:proofErr w:type="spellStart"/>
      <w:r>
        <w:t>artefactual</w:t>
      </w:r>
      <w:proofErr w:type="spellEnd"/>
      <w:r>
        <w:t>.</w:t>
      </w:r>
    </w:p>
    <w:p w:rsidR="00BB7B6F" w:rsidRPr="00E77A7A" w:rsidRDefault="00BB7B6F" w:rsidP="002B73F1">
      <w:r w:rsidRPr="0009526F">
        <w:t xml:space="preserve">As </w:t>
      </w:r>
      <w:r w:rsidRPr="00E77A7A">
        <w:t xml:space="preserve">already indicated, the sample sizes in the comparator arms of these studies were not designed to permit a reliable Pearl Index calculation but the numbers of pregnancies occurring suggest an unintended pregnancy risk of the same order as with </w:t>
      </w:r>
      <w:proofErr w:type="spellStart"/>
      <w:r>
        <w:t>YAZFlex</w:t>
      </w:r>
      <w:proofErr w:type="spellEnd"/>
      <w:r w:rsidRPr="00E77A7A">
        <w:t>.</w:t>
      </w:r>
    </w:p>
    <w:p w:rsidR="00BB7B6F" w:rsidRPr="00E77A7A" w:rsidRDefault="00BB7B6F" w:rsidP="002B73F1">
      <w:r w:rsidRPr="00E77A7A">
        <w:t>Bleeding patterns are analysed in both studies using the criteria described above.</w:t>
      </w:r>
      <w:r>
        <w:t xml:space="preserve"> </w:t>
      </w:r>
      <w:r w:rsidRPr="00E77A7A">
        <w:t xml:space="preserve">In Study A40196, </w:t>
      </w:r>
      <w:proofErr w:type="spellStart"/>
      <w:r>
        <w:t>YAZFlex</w:t>
      </w:r>
      <w:proofErr w:type="spellEnd"/>
      <w:r w:rsidRPr="00E77A7A">
        <w:t xml:space="preserve"> subjects on average had 62% as many bleeding days as Y</w:t>
      </w:r>
      <w:r>
        <w:t>AZ</w:t>
      </w:r>
      <w:r w:rsidRPr="00E77A7A">
        <w:t xml:space="preserve"> subjects.</w:t>
      </w:r>
      <w:r>
        <w:t xml:space="preserve"> </w:t>
      </w:r>
      <w:r w:rsidRPr="00E77A7A">
        <w:t>The difference was highly significant (p&lt;0.0001, Student's t-test) but does contain the implication that they had more bleeding per cycle, as</w:t>
      </w:r>
      <w:r>
        <w:t xml:space="preserve"> </w:t>
      </w:r>
      <w:proofErr w:type="spellStart"/>
      <w:r>
        <w:t>YAZFlex</w:t>
      </w:r>
      <w:proofErr w:type="spellEnd"/>
      <w:r w:rsidRPr="00E77A7A">
        <w:t xml:space="preserve"> subjects only had 38% as many cycles as Y</w:t>
      </w:r>
      <w:r>
        <w:t>AZ</w:t>
      </w:r>
      <w:r w:rsidRPr="00E77A7A">
        <w:t xml:space="preserve"> subjects.</w:t>
      </w:r>
      <w:r>
        <w:t xml:space="preserve"> </w:t>
      </w:r>
      <w:r w:rsidRPr="00E77A7A">
        <w:t>An important secondary observation is that</w:t>
      </w:r>
      <w:r>
        <w:t xml:space="preserve"> </w:t>
      </w:r>
      <w:proofErr w:type="spellStart"/>
      <w:r>
        <w:t>YAZFlex</w:t>
      </w:r>
      <w:proofErr w:type="spellEnd"/>
      <w:r w:rsidRPr="00E77A7A">
        <w:t xml:space="preserve"> subjects also had less bleeding days</w:t>
      </w:r>
      <w:r>
        <w:t>;</w:t>
      </w:r>
      <w:r w:rsidRPr="00E77A7A">
        <w:t xml:space="preserve"> on average 41 compared with 61 for</w:t>
      </w:r>
      <w:r>
        <w:t xml:space="preserve"> YAZ</w:t>
      </w:r>
      <w:r w:rsidRPr="00E77A7A">
        <w:t xml:space="preserve"> Extend subjects.</w:t>
      </w:r>
    </w:p>
    <w:p w:rsidR="00BB7B6F" w:rsidRPr="00E77A7A" w:rsidRDefault="00BB7B6F" w:rsidP="002B73F1">
      <w:r w:rsidRPr="00E77A7A">
        <w:t xml:space="preserve">For the per protocol analysis set, the results were similar: the mean number of bleeding days per </w:t>
      </w:r>
      <w:proofErr w:type="spellStart"/>
      <w:r>
        <w:t>YAZFlex</w:t>
      </w:r>
      <w:proofErr w:type="spellEnd"/>
      <w:r w:rsidRPr="00E77A7A">
        <w:t xml:space="preserve"> subject was 38.6 days, 56% of the average 68.7 days recorded by Y</w:t>
      </w:r>
      <w:r>
        <w:t>AZ</w:t>
      </w:r>
      <w:r w:rsidRPr="00E77A7A">
        <w:t xml:space="preserve"> subjects, and 70% of the average 55.2 days for Y</w:t>
      </w:r>
      <w:r>
        <w:t>AZ</w:t>
      </w:r>
      <w:r w:rsidRPr="00E77A7A">
        <w:t xml:space="preserve"> Extend subjects.</w:t>
      </w:r>
    </w:p>
    <w:p w:rsidR="00BB7B6F" w:rsidRDefault="00BB7B6F" w:rsidP="002B73F1">
      <w:r w:rsidRPr="00E77A7A">
        <w:t xml:space="preserve">Another important variable, the mean length of withdrawal bleeding, is summarised </w:t>
      </w:r>
      <w:r>
        <w:t>in Table 7 below; t</w:t>
      </w:r>
      <w:r w:rsidRPr="00E77A7A">
        <w:t>he mean length of withdrawal bleeding over the first two extended cycles, by comparison with the monthly cycles for the</w:t>
      </w:r>
      <w:r>
        <w:t xml:space="preserve"> YAZ</w:t>
      </w:r>
      <w:r w:rsidRPr="00E77A7A">
        <w:t xml:space="preserve"> subjects</w:t>
      </w:r>
      <w:r>
        <w:t>.</w:t>
      </w:r>
    </w:p>
    <w:p w:rsidR="00BB7B6F" w:rsidRDefault="00BB7B6F" w:rsidP="002B73F1">
      <w:pPr>
        <w:pStyle w:val="TableTitle"/>
      </w:pPr>
      <w:proofErr w:type="gramStart"/>
      <w:r>
        <w:t>Table 7.</w:t>
      </w:r>
      <w:proofErr w:type="gramEnd"/>
      <w:r>
        <w:t xml:space="preserve"> Mean length of withdrawal bleeding.</w:t>
      </w:r>
    </w:p>
    <w:tbl>
      <w:tblPr>
        <w:tblStyle w:val="TableTGAblue"/>
        <w:tblW w:w="0" w:type="auto"/>
        <w:tblLook w:val="04A0" w:firstRow="1" w:lastRow="0" w:firstColumn="1" w:lastColumn="0" w:noHBand="0" w:noVBand="1"/>
      </w:tblPr>
      <w:tblGrid>
        <w:gridCol w:w="3402"/>
        <w:gridCol w:w="3969"/>
      </w:tblGrid>
      <w:tr w:rsidR="00BB7B6F" w:rsidTr="002B73F1">
        <w:trPr>
          <w:cnfStyle w:val="100000000000" w:firstRow="1" w:lastRow="0" w:firstColumn="0" w:lastColumn="0" w:oddVBand="0" w:evenVBand="0" w:oddHBand="0" w:evenHBand="0" w:firstRowFirstColumn="0" w:firstRowLastColumn="0" w:lastRowFirstColumn="0" w:lastRowLastColumn="0"/>
        </w:trPr>
        <w:tc>
          <w:tcPr>
            <w:tcW w:w="3402" w:type="dxa"/>
          </w:tcPr>
          <w:p w:rsidR="00BB7B6F" w:rsidRPr="00D05574" w:rsidRDefault="00BB7B6F" w:rsidP="002B73F1">
            <w:r w:rsidRPr="00D05574">
              <w:t>Group</w:t>
            </w:r>
          </w:p>
        </w:tc>
        <w:tc>
          <w:tcPr>
            <w:tcW w:w="3969" w:type="dxa"/>
          </w:tcPr>
          <w:p w:rsidR="00BB7B6F" w:rsidRPr="00D05574" w:rsidRDefault="00BB7B6F" w:rsidP="002B73F1">
            <w:r w:rsidRPr="00D05574">
              <w:t>Length of withdrawal bleeding</w:t>
            </w:r>
          </w:p>
        </w:tc>
      </w:tr>
      <w:tr w:rsidR="00BB7B6F" w:rsidRPr="002B73F1" w:rsidTr="002B73F1">
        <w:tc>
          <w:tcPr>
            <w:tcW w:w="3402" w:type="dxa"/>
          </w:tcPr>
          <w:p w:rsidR="00BB7B6F" w:rsidRPr="002B73F1" w:rsidRDefault="00BB7B6F" w:rsidP="002B73F1">
            <w:r w:rsidRPr="002B73F1">
              <w:t>Group A (</w:t>
            </w:r>
            <w:proofErr w:type="spellStart"/>
            <w:r w:rsidRPr="002B73F1">
              <w:t>YAZFlex</w:t>
            </w:r>
            <w:proofErr w:type="spellEnd"/>
            <w:r w:rsidRPr="002B73F1">
              <w:t>)</w:t>
            </w:r>
          </w:p>
        </w:tc>
        <w:tc>
          <w:tcPr>
            <w:tcW w:w="3969" w:type="dxa"/>
          </w:tcPr>
          <w:p w:rsidR="00BB7B6F" w:rsidRPr="002B73F1" w:rsidRDefault="00BB7B6F" w:rsidP="002B73F1">
            <w:r w:rsidRPr="002B73F1">
              <w:t>7.5-9.8 days</w:t>
            </w:r>
          </w:p>
        </w:tc>
      </w:tr>
      <w:tr w:rsidR="00BB7B6F" w:rsidRPr="002B73F1" w:rsidTr="002B73F1">
        <w:tc>
          <w:tcPr>
            <w:tcW w:w="3402" w:type="dxa"/>
          </w:tcPr>
          <w:p w:rsidR="00BB7B6F" w:rsidRPr="002B73F1" w:rsidRDefault="00BB7B6F" w:rsidP="002B73F1">
            <w:r w:rsidRPr="002B73F1">
              <w:t>Group B (YAZ Extend)</w:t>
            </w:r>
          </w:p>
        </w:tc>
        <w:tc>
          <w:tcPr>
            <w:tcW w:w="3969" w:type="dxa"/>
          </w:tcPr>
          <w:p w:rsidR="00BB7B6F" w:rsidRPr="002B73F1" w:rsidRDefault="00BB7B6F" w:rsidP="002B73F1">
            <w:r w:rsidRPr="002B73F1">
              <w:t>9.8-10.5 days</w:t>
            </w:r>
          </w:p>
        </w:tc>
      </w:tr>
      <w:tr w:rsidR="00BB7B6F" w:rsidRPr="002B73F1" w:rsidTr="002B73F1">
        <w:tc>
          <w:tcPr>
            <w:tcW w:w="3402" w:type="dxa"/>
          </w:tcPr>
          <w:p w:rsidR="00BB7B6F" w:rsidRPr="002B73F1" w:rsidRDefault="00BB7B6F" w:rsidP="002B73F1">
            <w:r w:rsidRPr="002B73F1">
              <w:t>Group C (YAZ)</w:t>
            </w:r>
            <w:r w:rsidRPr="002B73F1">
              <w:tab/>
            </w:r>
          </w:p>
        </w:tc>
        <w:tc>
          <w:tcPr>
            <w:tcW w:w="3969" w:type="dxa"/>
          </w:tcPr>
          <w:p w:rsidR="00BB7B6F" w:rsidRPr="002B73F1" w:rsidRDefault="00BB7B6F" w:rsidP="002B73F1">
            <w:r w:rsidRPr="002B73F1">
              <w:t>4.4-5.2 days</w:t>
            </w:r>
          </w:p>
        </w:tc>
      </w:tr>
    </w:tbl>
    <w:p w:rsidR="00BB7B6F" w:rsidRDefault="00BB7B6F" w:rsidP="00BB7B6F">
      <w:proofErr w:type="spellStart"/>
      <w:r>
        <w:t>YAZFlex</w:t>
      </w:r>
      <w:proofErr w:type="spellEnd"/>
      <w:r>
        <w:t xml:space="preserve"> subjects also had less unscheduled, </w:t>
      </w:r>
      <w:proofErr w:type="spellStart"/>
      <w:r>
        <w:t>intracyclic</w:t>
      </w:r>
      <w:proofErr w:type="spellEnd"/>
      <w:r>
        <w:t xml:space="preserve"> bleeding than YAZ Extend subjects.</w:t>
      </w:r>
    </w:p>
    <w:p w:rsidR="00BB7B6F" w:rsidRDefault="00BB7B6F" w:rsidP="002B73F1">
      <w:pPr>
        <w:rPr>
          <w:lang w:val="en-US"/>
        </w:rPr>
      </w:pPr>
      <w:r w:rsidRPr="00990718">
        <w:t>In Study A48294</w:t>
      </w:r>
      <w:r>
        <w:t>, t</w:t>
      </w:r>
      <w:r>
        <w:rPr>
          <w:lang w:val="en-US"/>
        </w:rPr>
        <w:t xml:space="preserve">he frequency of </w:t>
      </w:r>
      <w:r w:rsidRPr="00E77A7A">
        <w:rPr>
          <w:i/>
          <w:lang w:val="en-US"/>
        </w:rPr>
        <w:t>bleeding and spotting episodes</w:t>
      </w:r>
      <w:r>
        <w:rPr>
          <w:i/>
          <w:lang w:val="en-US"/>
        </w:rPr>
        <w:t>,</w:t>
      </w:r>
      <w:r>
        <w:rPr>
          <w:lang w:val="en-US"/>
        </w:rPr>
        <w:t xml:space="preserve"> effectively, what the subject would call a period, which by the nature of the treatment regimens is relatively fixed for YAZ but variable for the other two treatments, is shown in the following table, expressed as the mean with estimates of variance per 120 day reference period (Table 8).</w:t>
      </w:r>
    </w:p>
    <w:p w:rsidR="00BB7B6F" w:rsidRDefault="00BB7B6F" w:rsidP="002B73F1">
      <w:pPr>
        <w:pStyle w:val="TableTitle"/>
        <w:rPr>
          <w:lang w:val="en-US"/>
        </w:rPr>
      </w:pPr>
      <w:proofErr w:type="gramStart"/>
      <w:r>
        <w:rPr>
          <w:lang w:val="en-US"/>
        </w:rPr>
        <w:t>Table 8.</w:t>
      </w:r>
      <w:proofErr w:type="gramEnd"/>
      <w:r>
        <w:rPr>
          <w:lang w:val="en-US"/>
        </w:rPr>
        <w:t xml:space="preserve"> Bleeding and spotting periods.</w:t>
      </w:r>
    </w:p>
    <w:p w:rsidR="00BB7B6F" w:rsidRDefault="00BB7B6F" w:rsidP="002B73F1">
      <w:r>
        <w:rPr>
          <w:noProof/>
          <w:lang w:eastAsia="en-AU"/>
        </w:rPr>
        <w:drawing>
          <wp:inline distT="0" distB="0" distL="0" distR="0" wp14:anchorId="4B769A1D" wp14:editId="20033982">
            <wp:extent cx="4895850" cy="1866702"/>
            <wp:effectExtent l="0" t="0" r="0" b="635"/>
            <wp:docPr id="6" name="Picture 5" descr="Table 8. Bleeding and spotting periods." title="Table 8. Bleeding and spott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895850" cy="1866702"/>
                    </a:xfrm>
                    <a:prstGeom prst="rect">
                      <a:avLst/>
                    </a:prstGeom>
                    <a:noFill/>
                    <a:ln w="9525">
                      <a:noFill/>
                      <a:miter lim="800000"/>
                      <a:headEnd/>
                      <a:tailEnd/>
                    </a:ln>
                  </pic:spPr>
                </pic:pic>
              </a:graphicData>
            </a:graphic>
          </wp:inline>
        </w:drawing>
      </w:r>
    </w:p>
    <w:p w:rsidR="00BB7B6F" w:rsidRPr="00E77A7A" w:rsidRDefault="00BB7B6F" w:rsidP="002B73F1">
      <w:r w:rsidRPr="00E77A7A">
        <w:t>A reduced frequency of bleeding episodes is shown for each extended regimen, by comparison with the standard Y</w:t>
      </w:r>
      <w:r>
        <w:t>AZ</w:t>
      </w:r>
      <w:r w:rsidRPr="00E77A7A">
        <w:t xml:space="preserve"> regimen.</w:t>
      </w:r>
      <w:r>
        <w:t xml:space="preserve"> </w:t>
      </w:r>
      <w:r w:rsidRPr="00E77A7A">
        <w:t>The reduction is greater for</w:t>
      </w:r>
      <w:r>
        <w:t xml:space="preserve"> </w:t>
      </w:r>
      <w:proofErr w:type="spellStart"/>
      <w:r>
        <w:t>YAZFlex</w:t>
      </w:r>
      <w:proofErr w:type="spellEnd"/>
      <w:r w:rsidRPr="00E77A7A">
        <w:t xml:space="preserve"> than for Y</w:t>
      </w:r>
      <w:r>
        <w:t>AZ</w:t>
      </w:r>
      <w:r w:rsidRPr="00E77A7A">
        <w:t xml:space="preserve"> </w:t>
      </w:r>
      <w:proofErr w:type="spellStart"/>
      <w:r w:rsidRPr="00E77A7A">
        <w:t>Stop&amp;Go</w:t>
      </w:r>
      <w:proofErr w:type="spellEnd"/>
      <w:r w:rsidRPr="00E77A7A">
        <w:t xml:space="preserve"> as the latter regimen allows elective episodes.</w:t>
      </w:r>
    </w:p>
    <w:p w:rsidR="00BB7B6F" w:rsidRDefault="00BB7B6F" w:rsidP="002B73F1">
      <w:pPr>
        <w:rPr>
          <w:lang w:val="en-US"/>
        </w:rPr>
      </w:pPr>
      <w:r>
        <w:rPr>
          <w:lang w:val="en-US"/>
        </w:rPr>
        <w:lastRenderedPageBreak/>
        <w:t xml:space="preserve">After two completed cycles of treatment, the mean length of bleeding per cycle was as shown in Table 9 below. </w:t>
      </w:r>
    </w:p>
    <w:p w:rsidR="00BB7B6F" w:rsidRDefault="00BB7B6F" w:rsidP="002B73F1">
      <w:pPr>
        <w:pStyle w:val="TableTitle"/>
        <w:rPr>
          <w:lang w:val="en-US"/>
        </w:rPr>
      </w:pPr>
      <w:proofErr w:type="gramStart"/>
      <w:r>
        <w:rPr>
          <w:lang w:val="en-US"/>
        </w:rPr>
        <w:t>Table 9.</w:t>
      </w:r>
      <w:proofErr w:type="gramEnd"/>
      <w:r>
        <w:rPr>
          <w:lang w:val="en-US"/>
        </w:rPr>
        <w:t xml:space="preserve"> Mean length of bleeding per cycle</w:t>
      </w:r>
    </w:p>
    <w:tbl>
      <w:tblPr>
        <w:tblStyle w:val="TableTGAblue"/>
        <w:tblW w:w="0" w:type="auto"/>
        <w:tblLook w:val="04A0" w:firstRow="1" w:lastRow="0" w:firstColumn="1" w:lastColumn="0" w:noHBand="0" w:noVBand="1"/>
      </w:tblPr>
      <w:tblGrid>
        <w:gridCol w:w="2977"/>
        <w:gridCol w:w="4536"/>
      </w:tblGrid>
      <w:tr w:rsidR="00BB7B6F" w:rsidTr="002B73F1">
        <w:trPr>
          <w:cnfStyle w:val="100000000000" w:firstRow="1" w:lastRow="0" w:firstColumn="0" w:lastColumn="0" w:oddVBand="0" w:evenVBand="0" w:oddHBand="0" w:evenHBand="0" w:firstRowFirstColumn="0" w:firstRowLastColumn="0" w:lastRowFirstColumn="0" w:lastRowLastColumn="0"/>
        </w:trPr>
        <w:tc>
          <w:tcPr>
            <w:tcW w:w="2977" w:type="dxa"/>
          </w:tcPr>
          <w:p w:rsidR="00BB7B6F" w:rsidRPr="00D05574" w:rsidRDefault="00BB7B6F" w:rsidP="002B73F1">
            <w:pPr>
              <w:rPr>
                <w:lang w:val="en-US"/>
              </w:rPr>
            </w:pPr>
            <w:r w:rsidRPr="00D05574">
              <w:rPr>
                <w:lang w:val="en-US"/>
              </w:rPr>
              <w:t>Group</w:t>
            </w:r>
          </w:p>
        </w:tc>
        <w:tc>
          <w:tcPr>
            <w:tcW w:w="4536" w:type="dxa"/>
          </w:tcPr>
          <w:p w:rsidR="00BB7B6F" w:rsidRPr="00D05574" w:rsidRDefault="00BB7B6F" w:rsidP="002B73F1">
            <w:pPr>
              <w:rPr>
                <w:lang w:val="en-US"/>
              </w:rPr>
            </w:pPr>
            <w:r w:rsidRPr="00D05574">
              <w:rPr>
                <w:lang w:val="en-US"/>
              </w:rPr>
              <w:t>Mean length of bleeding per cycle</w:t>
            </w:r>
          </w:p>
        </w:tc>
      </w:tr>
      <w:tr w:rsidR="00BB7B6F" w:rsidRPr="002B73F1" w:rsidTr="002B73F1">
        <w:tc>
          <w:tcPr>
            <w:tcW w:w="2977" w:type="dxa"/>
          </w:tcPr>
          <w:p w:rsidR="00BB7B6F" w:rsidRPr="002B73F1" w:rsidRDefault="00BB7B6F" w:rsidP="002B73F1">
            <w:pPr>
              <w:rPr>
                <w:lang w:val="en-US"/>
              </w:rPr>
            </w:pPr>
            <w:proofErr w:type="spellStart"/>
            <w:r w:rsidRPr="002B73F1">
              <w:rPr>
                <w:lang w:val="en-US"/>
              </w:rPr>
              <w:t>YAZFlex</w:t>
            </w:r>
            <w:proofErr w:type="spellEnd"/>
          </w:p>
        </w:tc>
        <w:tc>
          <w:tcPr>
            <w:tcW w:w="4536" w:type="dxa"/>
          </w:tcPr>
          <w:p w:rsidR="00BB7B6F" w:rsidRPr="002B73F1" w:rsidRDefault="00BB7B6F" w:rsidP="002B73F1">
            <w:pPr>
              <w:rPr>
                <w:lang w:val="en-US"/>
              </w:rPr>
            </w:pPr>
            <w:r w:rsidRPr="002B73F1">
              <w:rPr>
                <w:lang w:val="en-US"/>
              </w:rPr>
              <w:t>7.7 - 8.7 days</w:t>
            </w:r>
          </w:p>
        </w:tc>
      </w:tr>
      <w:tr w:rsidR="00BB7B6F" w:rsidRPr="002B73F1" w:rsidTr="002B73F1">
        <w:tc>
          <w:tcPr>
            <w:tcW w:w="2977" w:type="dxa"/>
          </w:tcPr>
          <w:p w:rsidR="00BB7B6F" w:rsidRPr="002B73F1" w:rsidRDefault="00BB7B6F" w:rsidP="002B73F1">
            <w:pPr>
              <w:rPr>
                <w:lang w:val="en-US"/>
              </w:rPr>
            </w:pPr>
            <w:r w:rsidRPr="002B73F1">
              <w:rPr>
                <w:lang w:val="en-US"/>
              </w:rPr>
              <w:t xml:space="preserve">YAZ </w:t>
            </w:r>
            <w:proofErr w:type="spellStart"/>
            <w:r w:rsidRPr="002B73F1">
              <w:rPr>
                <w:lang w:val="en-US"/>
              </w:rPr>
              <w:t>Stop&amp;Go</w:t>
            </w:r>
            <w:proofErr w:type="spellEnd"/>
          </w:p>
        </w:tc>
        <w:tc>
          <w:tcPr>
            <w:tcW w:w="4536" w:type="dxa"/>
          </w:tcPr>
          <w:p w:rsidR="00BB7B6F" w:rsidRPr="002B73F1" w:rsidRDefault="00BB7B6F" w:rsidP="002B73F1">
            <w:pPr>
              <w:rPr>
                <w:lang w:val="en-US"/>
              </w:rPr>
            </w:pPr>
            <w:r w:rsidRPr="002B73F1">
              <w:rPr>
                <w:lang w:val="en-US"/>
              </w:rPr>
              <w:t>6.8 - 9.4 days</w:t>
            </w:r>
          </w:p>
        </w:tc>
      </w:tr>
      <w:tr w:rsidR="00BB7B6F" w:rsidRPr="002B73F1" w:rsidTr="002B73F1">
        <w:tc>
          <w:tcPr>
            <w:tcW w:w="2977" w:type="dxa"/>
          </w:tcPr>
          <w:p w:rsidR="00BB7B6F" w:rsidRPr="002B73F1" w:rsidRDefault="002B73F1" w:rsidP="002B73F1">
            <w:pPr>
              <w:rPr>
                <w:lang w:val="en-US"/>
              </w:rPr>
            </w:pPr>
            <w:r>
              <w:rPr>
                <w:lang w:val="en-US"/>
              </w:rPr>
              <w:t>YAZ</w:t>
            </w:r>
          </w:p>
        </w:tc>
        <w:tc>
          <w:tcPr>
            <w:tcW w:w="4536" w:type="dxa"/>
          </w:tcPr>
          <w:p w:rsidR="00BB7B6F" w:rsidRPr="002B73F1" w:rsidRDefault="00BB7B6F" w:rsidP="002B73F1">
            <w:pPr>
              <w:rPr>
                <w:lang w:val="en-US"/>
              </w:rPr>
            </w:pPr>
            <w:r w:rsidRPr="002B73F1">
              <w:rPr>
                <w:lang w:val="en-US"/>
              </w:rPr>
              <w:t>4.6 - 5.2 days</w:t>
            </w:r>
          </w:p>
        </w:tc>
      </w:tr>
    </w:tbl>
    <w:p w:rsidR="00BB7B6F" w:rsidRPr="00E77A7A" w:rsidRDefault="00BB7B6F" w:rsidP="002B73F1">
      <w:r w:rsidRPr="00E77A7A">
        <w:t xml:space="preserve">In summary, both pivotal studies show that women using </w:t>
      </w:r>
      <w:proofErr w:type="spellStart"/>
      <w:r>
        <w:t>YAZFlex</w:t>
      </w:r>
      <w:proofErr w:type="spellEnd"/>
      <w:r w:rsidRPr="00E77A7A">
        <w:t xml:space="preserve"> had significantly less bleeding days, less frequent episodes of bleeding but longer periods of withdrawal bleeding than women using the standard cyclical preparation</w:t>
      </w:r>
      <w:r>
        <w:t xml:space="preserve"> YAZ</w:t>
      </w:r>
      <w:r w:rsidRPr="00E77A7A">
        <w:t>.</w:t>
      </w:r>
    </w:p>
    <w:p w:rsidR="00BB7B6F" w:rsidRPr="00E34576" w:rsidRDefault="00BB7B6F" w:rsidP="002B73F1">
      <w:pPr>
        <w:pStyle w:val="Heading6"/>
      </w:pPr>
      <w:r>
        <w:t xml:space="preserve">Ancillary </w:t>
      </w:r>
      <w:r w:rsidRPr="002B73F1">
        <w:t>analyses</w:t>
      </w:r>
    </w:p>
    <w:p w:rsidR="00BB7B6F" w:rsidRDefault="00BB7B6F" w:rsidP="002B73F1">
      <w:r>
        <w:t>In Study A40196 at screening, 24.9% of subjects were recorded as experiencing dysmenorrhoea and 4.9% intra-cyclic bleeding. Questionnaire assessment regarding menstruation related symptoms through the study was documented in the study report. Mild abdominal or pelvic pain was recorded by 46% of subjects at baseline and this was reduced to 29% at 39 weeks. Likewise the prevalence of menstruation related backache was reduced from 25% to 17%. Other aspects including effects on daily life and sexual activity were also improved. These observations are, of course, uncontrolled.</w:t>
      </w:r>
    </w:p>
    <w:p w:rsidR="00BB7B6F" w:rsidRDefault="00BB7B6F" w:rsidP="002B73F1">
      <w:r>
        <w:t xml:space="preserve">Subject satisfaction was high in Study A40196, with 62% of </w:t>
      </w:r>
      <w:proofErr w:type="spellStart"/>
      <w:r>
        <w:t>YAZFlex</w:t>
      </w:r>
      <w:proofErr w:type="spellEnd"/>
      <w:r>
        <w:t xml:space="preserve"> subjects reporting ‘very satisfied’ and 86% indicating preparedness to recommend the regimen to a friend. This does reflect the recruitment procedure which included interest in an extended cycle regimen. In Study A48294, satisfaction surveys indicated a high degree of satisfaction with the extended cycle length, the ease of following the regimen and the instructions. There was a low degree of concern that contraceptive reliability might be compromised.</w:t>
      </w:r>
    </w:p>
    <w:p w:rsidR="00BB7B6F" w:rsidRDefault="00BB7B6F" w:rsidP="002B73F1">
      <w:pPr>
        <w:pStyle w:val="Heading4"/>
      </w:pPr>
      <w:bookmarkStart w:id="148" w:name="_Toc243306662"/>
      <w:bookmarkStart w:id="149" w:name="_Ref243294291"/>
      <w:bookmarkStart w:id="150" w:name="_Toc241374311"/>
      <w:r>
        <w:t xml:space="preserve">Clinical studies in special </w:t>
      </w:r>
      <w:r w:rsidRPr="002B73F1">
        <w:t>populations</w:t>
      </w:r>
      <w:bookmarkEnd w:id="148"/>
      <w:bookmarkEnd w:id="149"/>
      <w:bookmarkEnd w:id="150"/>
    </w:p>
    <w:p w:rsidR="00BB7B6F" w:rsidRDefault="00BB7B6F" w:rsidP="002B73F1">
      <w:r>
        <w:t>The included clinical studies have been carried out on the population of concern, women of contraceptive age. No sub analyses have been performed for demographic factors such as race or ethnicity. The CER for YAZ describes no influence of race on PK and it seems unlikely that such factors are relevant to the findings of this evaluation.</w:t>
      </w:r>
    </w:p>
    <w:p w:rsidR="00BB7B6F" w:rsidRDefault="00BB7B6F" w:rsidP="002B73F1">
      <w:pPr>
        <w:pStyle w:val="Heading4"/>
      </w:pPr>
      <w:bookmarkStart w:id="151" w:name="_Toc243306663"/>
      <w:bookmarkStart w:id="152" w:name="_Toc241374312"/>
      <w:r>
        <w:t>Analysis performed across trials (pooled analyses)</w:t>
      </w:r>
      <w:bookmarkEnd w:id="151"/>
      <w:bookmarkEnd w:id="152"/>
    </w:p>
    <w:p w:rsidR="00BB7B6F" w:rsidRDefault="00BB7B6F" w:rsidP="002B73F1">
      <w:r>
        <w:t>Pooled analyses of data from the pivotal studies were provided in the sponsor’s Summary of Clinical Efficacy; the data sets for these analyses are shown below (Table 10). The FAS is shown in the left-hand column and the PPS on the right, the % figures indicating each population figure as a proportion of all subjects randomised or assign</w:t>
      </w:r>
      <w:r w:rsidR="002B73F1">
        <w:t>ed to the particular treatment.</w:t>
      </w:r>
    </w:p>
    <w:p w:rsidR="00BB7B6F" w:rsidRDefault="00BB7B6F" w:rsidP="002B73F1">
      <w:pPr>
        <w:pStyle w:val="TableTitle"/>
      </w:pPr>
      <w:proofErr w:type="gramStart"/>
      <w:r>
        <w:lastRenderedPageBreak/>
        <w:t>Table 10.</w:t>
      </w:r>
      <w:proofErr w:type="gramEnd"/>
      <w:r>
        <w:t xml:space="preserve"> Pooled analyses </w:t>
      </w:r>
    </w:p>
    <w:p w:rsidR="00BB7B6F" w:rsidRDefault="00BB7B6F" w:rsidP="002B73F1">
      <w:r>
        <w:rPr>
          <w:noProof/>
          <w:lang w:eastAsia="en-AU"/>
        </w:rPr>
        <w:drawing>
          <wp:inline distT="0" distB="0" distL="0" distR="0" wp14:anchorId="36C1E414" wp14:editId="4757A16A">
            <wp:extent cx="4505325" cy="1306888"/>
            <wp:effectExtent l="19050" t="19050" r="9525" b="26670"/>
            <wp:docPr id="7" name="Picture 6" descr="Table 10. Pooled analyses " title="Table 10. Pooled analy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srcRect l="1289" t="6548" r="2210" b="2976"/>
                    <a:stretch/>
                  </pic:blipFill>
                  <pic:spPr bwMode="auto">
                    <a:xfrm>
                      <a:off x="0" y="0"/>
                      <a:ext cx="4505325" cy="1306888"/>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B7B6F" w:rsidRPr="005A441B" w:rsidRDefault="00BB7B6F" w:rsidP="002B73F1">
      <w:r w:rsidRPr="005A441B">
        <w:t xml:space="preserve">The overall unadjusted Pearl Index for the entire </w:t>
      </w:r>
      <w:proofErr w:type="spellStart"/>
      <w:r>
        <w:t>YAZFlex</w:t>
      </w:r>
      <w:proofErr w:type="spellEnd"/>
      <w:r w:rsidRPr="005A441B">
        <w:t>/Y</w:t>
      </w:r>
      <w:r>
        <w:t>AZ</w:t>
      </w:r>
      <w:r w:rsidRPr="005A441B">
        <w:t xml:space="preserve"> </w:t>
      </w:r>
      <w:proofErr w:type="spellStart"/>
      <w:r w:rsidRPr="005A441B">
        <w:t>Stop&amp;Go</w:t>
      </w:r>
      <w:proofErr w:type="spellEnd"/>
      <w:r w:rsidRPr="005A441B">
        <w:t xml:space="preserve"> population of 2526 subjects was 1.25 (upper 95% CI, 1.78).</w:t>
      </w:r>
      <w:r>
        <w:t xml:space="preserve"> </w:t>
      </w:r>
      <w:r w:rsidRPr="005A441B">
        <w:t xml:space="preserve">A pooled figure for </w:t>
      </w:r>
      <w:proofErr w:type="spellStart"/>
      <w:r>
        <w:t>YAZFlex</w:t>
      </w:r>
      <w:proofErr w:type="spellEnd"/>
      <w:r w:rsidRPr="005A441B">
        <w:t xml:space="preserve"> subjects alone is not given but would be little different.</w:t>
      </w:r>
      <w:r>
        <w:t xml:space="preserve"> </w:t>
      </w:r>
      <w:r w:rsidRPr="005A441B">
        <w:t>The pooled figure is significantly influenced by the Pearl Index for Study A48294 which as shown above was 1.65 compared with that for A40196 which was 0.63. The disparity between the two studies is at least partly explained by compliance. To the criterion of cycles having at least 24 days of tablet intake, compliance was higher in the EU/Canada Study A40196 (approximately 95% of cycles fo</w:t>
      </w:r>
      <w:r>
        <w:t>r 88% of women) than in the US S</w:t>
      </w:r>
      <w:r w:rsidRPr="005A441B">
        <w:t>tudy A48924 (approximately 93% of cycles for 82% of women), as was compliance to the criterion cycle length between 24 and 124 days (EU/Canada study with 93% of cycles for 80% of women; US study with 89% of cycles for 65% of women).</w:t>
      </w:r>
    </w:p>
    <w:p w:rsidR="00BB7B6F" w:rsidRPr="00146508" w:rsidRDefault="00BB7B6F" w:rsidP="002B73F1">
      <w:r w:rsidRPr="00146508">
        <w:t>The following table (Table 11) shows the parameters relating to bleeding days for the pooled population.</w:t>
      </w:r>
    </w:p>
    <w:p w:rsidR="00BB7B6F" w:rsidRPr="00146508" w:rsidRDefault="00BB7B6F" w:rsidP="002B73F1">
      <w:pPr>
        <w:pStyle w:val="TableTitle"/>
      </w:pPr>
      <w:proofErr w:type="gramStart"/>
      <w:r w:rsidRPr="00146508">
        <w:t>Table 11.</w:t>
      </w:r>
      <w:proofErr w:type="gramEnd"/>
      <w:r w:rsidRPr="00146508">
        <w:t xml:space="preserve"> </w:t>
      </w:r>
      <w:proofErr w:type="gramStart"/>
      <w:r w:rsidRPr="00146508">
        <w:t>Bleeding days.</w:t>
      </w:r>
      <w:proofErr w:type="gramEnd"/>
      <w:r w:rsidRPr="00146508">
        <w:t xml:space="preserve"> </w:t>
      </w:r>
      <w:proofErr w:type="gramStart"/>
      <w:r w:rsidRPr="00146508">
        <w:t>Pooled analysis.</w:t>
      </w:r>
      <w:proofErr w:type="gramEnd"/>
    </w:p>
    <w:p w:rsidR="00BB7B6F" w:rsidRDefault="00BB7B6F" w:rsidP="002B73F1">
      <w:r>
        <w:rPr>
          <w:noProof/>
          <w:lang w:eastAsia="en-AU"/>
        </w:rPr>
        <w:drawing>
          <wp:inline distT="0" distB="0" distL="0" distR="0" wp14:anchorId="07D84AA9" wp14:editId="0FB4DF22">
            <wp:extent cx="5486400" cy="3049976"/>
            <wp:effectExtent l="0" t="0" r="0" b="0"/>
            <wp:docPr id="8" name="Picture 7" descr="Table 11. Bleeding days. Pooled analysis." title="Table 11. Bleeding days. Pool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493170" cy="3053739"/>
                    </a:xfrm>
                    <a:prstGeom prst="rect">
                      <a:avLst/>
                    </a:prstGeom>
                    <a:noFill/>
                    <a:ln w="9525">
                      <a:noFill/>
                      <a:miter lim="800000"/>
                      <a:headEnd/>
                      <a:tailEnd/>
                    </a:ln>
                  </pic:spPr>
                </pic:pic>
              </a:graphicData>
            </a:graphic>
          </wp:inline>
        </w:drawing>
      </w:r>
    </w:p>
    <w:p w:rsidR="00BB7B6F" w:rsidRDefault="00BB7B6F" w:rsidP="002B73F1">
      <w:r>
        <w:t>The data for numbers of bleeding days are similar between the pooled and individual studies and the hierarchy of numbers of days with respect to the different treatment arms remains the same.</w:t>
      </w:r>
    </w:p>
    <w:p w:rsidR="00BB7B6F" w:rsidRPr="00577DAB" w:rsidRDefault="00BB7B6F" w:rsidP="002B73F1">
      <w:pPr>
        <w:pStyle w:val="Heading4"/>
      </w:pPr>
      <w:r>
        <w:t>Return to fertility</w:t>
      </w:r>
    </w:p>
    <w:p w:rsidR="00BB7B6F" w:rsidRPr="005A441B" w:rsidRDefault="00BB7B6F" w:rsidP="002B73F1">
      <w:r w:rsidRPr="005A441B">
        <w:t>The protocol for Study A40196 required that women who wished to become pregnant, either at the end of the study or as a reason for premature discontinuation, be followed up for one year and be then invited to complete a questionnaire regarding outcome.</w:t>
      </w:r>
      <w:r>
        <w:t xml:space="preserve"> </w:t>
      </w:r>
      <w:r w:rsidRPr="005A441B">
        <w:t>Of 26 women aged 23</w:t>
      </w:r>
      <w:r>
        <w:t xml:space="preserve"> to </w:t>
      </w:r>
      <w:r w:rsidRPr="005A441B">
        <w:t xml:space="preserve">34 </w:t>
      </w:r>
      <w:r>
        <w:t xml:space="preserve">years </w:t>
      </w:r>
      <w:r w:rsidRPr="005A441B">
        <w:t xml:space="preserve">who reported </w:t>
      </w:r>
      <w:proofErr w:type="spellStart"/>
      <w:r w:rsidRPr="005A441B">
        <w:t>posttreatment</w:t>
      </w:r>
      <w:proofErr w:type="spellEnd"/>
      <w:r w:rsidRPr="005A441B">
        <w:t xml:space="preserve"> pregnancies, 18 had been treated </w:t>
      </w:r>
      <w:r w:rsidRPr="005A441B">
        <w:lastRenderedPageBreak/>
        <w:t xml:space="preserve">with </w:t>
      </w:r>
      <w:proofErr w:type="spellStart"/>
      <w:r>
        <w:t>YAZFlex</w:t>
      </w:r>
      <w:proofErr w:type="spellEnd"/>
      <w:r w:rsidRPr="005A441B">
        <w:t>, 2 with Y</w:t>
      </w:r>
      <w:r>
        <w:t>AZ</w:t>
      </w:r>
      <w:r w:rsidRPr="005A441B">
        <w:t xml:space="preserve"> Extend and 5 with conventional Y</w:t>
      </w:r>
      <w:r>
        <w:t>AZ</w:t>
      </w:r>
      <w:r w:rsidRPr="005A441B">
        <w:t>. These data, although limited, appear in proportion with the overall numbers of subjects treated and suggest that the extended cycle regimen does not impede subsequent fertility.</w:t>
      </w:r>
    </w:p>
    <w:p w:rsidR="00BB7B6F" w:rsidRDefault="00BB7B6F" w:rsidP="002B73F1">
      <w:pPr>
        <w:pStyle w:val="Heading4"/>
      </w:pPr>
      <w:bookmarkStart w:id="153" w:name="_Toc243306664"/>
      <w:bookmarkStart w:id="154" w:name="_Toc241374313"/>
      <w:r>
        <w:t>Supportive S</w:t>
      </w:r>
      <w:r w:rsidRPr="005A441B">
        <w:t>tudy</w:t>
      </w:r>
      <w:r>
        <w:t xml:space="preserve"> </w:t>
      </w:r>
      <w:bookmarkEnd w:id="153"/>
      <w:bookmarkEnd w:id="154"/>
      <w:r>
        <w:t xml:space="preserve">A </w:t>
      </w:r>
      <w:r w:rsidRPr="002B73F1">
        <w:t>47505</w:t>
      </w:r>
    </w:p>
    <w:p w:rsidR="00BB7B6F" w:rsidRPr="005A441B" w:rsidRDefault="00BB7B6F" w:rsidP="002B73F1">
      <w:r w:rsidRPr="005A441B">
        <w:t>This parallel group study,</w:t>
      </w:r>
      <w:r>
        <w:t xml:space="preserve"> </w:t>
      </w:r>
      <w:r w:rsidRPr="005A441B">
        <w:t xml:space="preserve">evaluated symptomatology related to dysmenorrhoea in 115 subjects randomised to the </w:t>
      </w:r>
      <w:proofErr w:type="spellStart"/>
      <w:r>
        <w:t>YAZFlex</w:t>
      </w:r>
      <w:proofErr w:type="spellEnd"/>
      <w:r w:rsidRPr="005A441B">
        <w:t xml:space="preserve"> regimen by comparison with 108 subjects randomised to Y</w:t>
      </w:r>
      <w:r>
        <w:t>AZ</w:t>
      </w:r>
      <w:r w:rsidRPr="005A441B">
        <w:t>.</w:t>
      </w:r>
      <w:r>
        <w:t xml:space="preserve"> </w:t>
      </w:r>
      <w:r w:rsidRPr="005A441B">
        <w:t xml:space="preserve">Enrolled subjects were required to meet </w:t>
      </w:r>
      <w:proofErr w:type="spellStart"/>
      <w:r w:rsidRPr="005A441B">
        <w:t>preset</w:t>
      </w:r>
      <w:proofErr w:type="spellEnd"/>
      <w:r w:rsidRPr="005A441B">
        <w:t xml:space="preserve"> criteria on pain scores related to menstruation.</w:t>
      </w:r>
      <w:r>
        <w:t xml:space="preserve"> </w:t>
      </w:r>
      <w:r w:rsidRPr="005A441B">
        <w:t>Data on numbers of bleeding days and frequency of bleeding episodes were similar to those in the pivotal efficacy studies.</w:t>
      </w:r>
      <w:r>
        <w:t xml:space="preserve"> </w:t>
      </w:r>
      <w:r w:rsidRPr="005A441B">
        <w:t>The principal finding was a reduced frequency of dysmenorrhoea.</w:t>
      </w:r>
      <w:r>
        <w:t xml:space="preserve"> </w:t>
      </w:r>
      <w:r w:rsidRPr="005A441B">
        <w:t xml:space="preserve">As the extended cycle regimen of </w:t>
      </w:r>
      <w:proofErr w:type="spellStart"/>
      <w:r>
        <w:t>YAZFlex</w:t>
      </w:r>
      <w:proofErr w:type="spellEnd"/>
      <w:r w:rsidRPr="005A441B">
        <w:t xml:space="preserve"> results in less frequent menstruation, this was obviously a likely finding.</w:t>
      </w:r>
      <w:r>
        <w:t xml:space="preserve"> </w:t>
      </w:r>
      <w:r w:rsidRPr="005A441B">
        <w:t xml:space="preserve">On low level, subjective evidence, both </w:t>
      </w:r>
      <w:proofErr w:type="spellStart"/>
      <w:r>
        <w:t>YAZFlex</w:t>
      </w:r>
      <w:proofErr w:type="spellEnd"/>
      <w:r w:rsidRPr="005A441B">
        <w:t xml:space="preserve"> and Y</w:t>
      </w:r>
      <w:r>
        <w:t>AZ</w:t>
      </w:r>
      <w:r w:rsidRPr="005A441B">
        <w:t xml:space="preserve"> improved the overall dysmenorrhoea assessment which again is not a surprising finding as this is a documented effect of oral contraceptive administration and the two regimens are qualitatively similar on a per cycle basis.</w:t>
      </w:r>
      <w:r>
        <w:t xml:space="preserve"> </w:t>
      </w:r>
      <w:r w:rsidRPr="005A441B">
        <w:t xml:space="preserve">There is no persuasive evidence that </w:t>
      </w:r>
      <w:proofErr w:type="spellStart"/>
      <w:r>
        <w:t>YAZFlex</w:t>
      </w:r>
      <w:proofErr w:type="spellEnd"/>
      <w:r w:rsidRPr="005A441B">
        <w:t>, by comparison with Y</w:t>
      </w:r>
      <w:r>
        <w:t>AZ</w:t>
      </w:r>
      <w:r w:rsidRPr="005A441B">
        <w:t xml:space="preserve">, brings about additional improvement in the intensity of </w:t>
      </w:r>
      <w:proofErr w:type="spellStart"/>
      <w:r w:rsidRPr="005A441B">
        <w:t>dysmenorrhoeic</w:t>
      </w:r>
      <w:proofErr w:type="spellEnd"/>
      <w:r w:rsidRPr="005A441B">
        <w:t xml:space="preserve"> symptoms, as opposed to the reduction in frequency of the menstrual episodes which precipitated the symptoms.</w:t>
      </w:r>
    </w:p>
    <w:p w:rsidR="00BB7B6F" w:rsidRDefault="00BB7B6F" w:rsidP="002B73F1">
      <w:pPr>
        <w:pStyle w:val="Heading4"/>
      </w:pPr>
      <w:bookmarkStart w:id="155" w:name="_Toc243306666"/>
      <w:bookmarkStart w:id="156" w:name="_Toc241374315"/>
      <w:r>
        <w:t xml:space="preserve">Evaluator’s overall conclusions on </w:t>
      </w:r>
      <w:r w:rsidRPr="002B73F1">
        <w:t>clinical</w:t>
      </w:r>
      <w:r>
        <w:t xml:space="preserve"> efficacy</w:t>
      </w:r>
      <w:bookmarkEnd w:id="155"/>
      <w:bookmarkEnd w:id="156"/>
    </w:p>
    <w:p w:rsidR="00BB7B6F" w:rsidRPr="00E34576" w:rsidRDefault="00BB7B6F" w:rsidP="00BB7B6F">
      <w:pPr>
        <w:pStyle w:val="Heading5"/>
      </w:pPr>
      <w:r>
        <w:t>Oral contraception</w:t>
      </w:r>
    </w:p>
    <w:p w:rsidR="00BB7B6F" w:rsidRPr="005A441B" w:rsidRDefault="00BB7B6F" w:rsidP="002B73F1">
      <w:r w:rsidRPr="005A441B">
        <w:t>The best comparator for the contraceptive efficacy of</w:t>
      </w:r>
      <w:r>
        <w:t xml:space="preserve"> </w:t>
      </w:r>
      <w:proofErr w:type="spellStart"/>
      <w:r>
        <w:t>YAZFlex</w:t>
      </w:r>
      <w:proofErr w:type="spellEnd"/>
      <w:r w:rsidRPr="005A441B">
        <w:t xml:space="preserve"> is the data from the TGA </w:t>
      </w:r>
      <w:r>
        <w:t>CER for YAZ</w:t>
      </w:r>
      <w:r w:rsidRPr="005A441B">
        <w:t>.</w:t>
      </w:r>
      <w:r>
        <w:t xml:space="preserve"> </w:t>
      </w:r>
      <w:r w:rsidRPr="005A441B">
        <w:t xml:space="preserve">In pivotal </w:t>
      </w:r>
      <w:r>
        <w:t>S</w:t>
      </w:r>
      <w:r w:rsidRPr="005A441B">
        <w:t>tudy A12007, the unadjusted Pearl Index was 1.29 with an upper 97.5% confidence limit of 2.30, gathered from 11,140 cycles of treatment.</w:t>
      </w:r>
      <w:r>
        <w:t xml:space="preserve"> </w:t>
      </w:r>
      <w:r w:rsidRPr="005A441B">
        <w:t>The adjusted Pearl Index, restricted to cases considered as method failures, was 0.72 with an upper 97.5 confidence limit of 1.69, based on 9,010 cycles of treatment.</w:t>
      </w:r>
      <w:r>
        <w:t xml:space="preserve"> </w:t>
      </w:r>
      <w:r w:rsidRPr="005A441B">
        <w:t>The one-year pregnancy rate according to Kaplan-Meier life table analysis is given as 1.26% with 95% CI of 0.52%, 2.01%.</w:t>
      </w:r>
      <w:r>
        <w:t xml:space="preserve"> </w:t>
      </w:r>
      <w:r w:rsidRPr="005A441B">
        <w:t xml:space="preserve">For the sponsor's related </w:t>
      </w:r>
      <w:r>
        <w:t>oral contraceptive (</w:t>
      </w:r>
      <w:r w:rsidRPr="005A441B">
        <w:t>OC</w:t>
      </w:r>
      <w:r>
        <w:t>)</w:t>
      </w:r>
      <w:r w:rsidRPr="005A441B">
        <w:t xml:space="preserve"> product Yasmin, unadjusted Pearl index was 0.</w:t>
      </w:r>
      <w:r w:rsidRPr="00B44ED3">
        <w:t>70. These</w:t>
      </w:r>
      <w:r w:rsidRPr="005A441B">
        <w:t xml:space="preserve"> values closely resemble the outcomes for the pooled analysis of contraceptive efficacy from the two pivotal studies shown above.</w:t>
      </w:r>
    </w:p>
    <w:p w:rsidR="00BB7B6F" w:rsidRPr="002B73F1" w:rsidRDefault="00BB7B6F" w:rsidP="002B73F1">
      <w:r w:rsidRPr="005A441B">
        <w:t>Comparing the results of the two pivotal studies included in the present application, it is clear</w:t>
      </w:r>
      <w:r>
        <w:t>,</w:t>
      </w:r>
      <w:r w:rsidRPr="005A441B">
        <w:t xml:space="preserve"> as is well</w:t>
      </w:r>
      <w:r>
        <w:t xml:space="preserve"> </w:t>
      </w:r>
      <w:r w:rsidRPr="005A441B">
        <w:t>established in the literature</w:t>
      </w:r>
      <w:r>
        <w:t>,</w:t>
      </w:r>
      <w:r w:rsidRPr="005A441B">
        <w:t xml:space="preserve"> that medication compliance is the major factor in optimising the efficacy of </w:t>
      </w:r>
      <w:r>
        <w:t>combined OC (COC) pill</w:t>
      </w:r>
      <w:r w:rsidRPr="005A441B">
        <w:t>.</w:t>
      </w:r>
      <w:r>
        <w:t xml:space="preserve"> </w:t>
      </w:r>
      <w:r w:rsidRPr="005A441B">
        <w:t>In Study A40196, in which compliance was better than in Study A48294, the unadjusted Pearl Index was 0.64 and the one-year pregnancy rate 1.28%.</w:t>
      </w:r>
      <w:r>
        <w:t xml:space="preserve"> </w:t>
      </w:r>
      <w:r w:rsidRPr="005A441B">
        <w:t>Taking these data together with the observations on</w:t>
      </w:r>
      <w:r>
        <w:t xml:space="preserve"> YAZ</w:t>
      </w:r>
      <w:r w:rsidRPr="005A441B">
        <w:t xml:space="preserve"> in the previous paragraph, and comparing as far as possible true method failures in these separately conducted studies, it is clear</w:t>
      </w:r>
      <w:r>
        <w:t xml:space="preserve">, </w:t>
      </w:r>
      <w:r w:rsidRPr="005A441B">
        <w:t>even though there is no formal statistical test of equivalence</w:t>
      </w:r>
      <w:r>
        <w:t xml:space="preserve">, </w:t>
      </w:r>
      <w:r w:rsidRPr="009520A1">
        <w:t xml:space="preserve">that the extended cycle </w:t>
      </w:r>
      <w:proofErr w:type="spellStart"/>
      <w:r>
        <w:t>YAZFlex</w:t>
      </w:r>
      <w:proofErr w:type="spellEnd"/>
      <w:r w:rsidRPr="009520A1">
        <w:t xml:space="preserve"> regimen is equivalent to YAZ in terms of contraceptive efficacy.</w:t>
      </w:r>
    </w:p>
    <w:p w:rsidR="00BB7B6F" w:rsidRPr="002B73F1" w:rsidRDefault="00BB7B6F" w:rsidP="002B73F1">
      <w:r>
        <w:t xml:space="preserve">For women who wish to have extended cycles and/or control the timing of their menstrual cycles, </w:t>
      </w:r>
      <w:proofErr w:type="spellStart"/>
      <w:r>
        <w:t>YAZFlex</w:t>
      </w:r>
      <w:proofErr w:type="spellEnd"/>
      <w:r w:rsidRPr="009520A1">
        <w:t xml:space="preserve"> is of superior efficacy in reducing the overall number of bleeding days and improving user satisfaction</w:t>
      </w:r>
      <w:r w:rsidRPr="002B73F1">
        <w:t>.</w:t>
      </w:r>
    </w:p>
    <w:p w:rsidR="00BB7B6F" w:rsidRDefault="00BB7B6F" w:rsidP="002B73F1">
      <w:pPr>
        <w:pStyle w:val="Heading5"/>
        <w:rPr>
          <w:lang w:val="en-US"/>
        </w:rPr>
      </w:pPr>
      <w:r>
        <w:rPr>
          <w:lang w:val="en-US"/>
        </w:rPr>
        <w:t xml:space="preserve">Treatment of moderate acne vulgaris in </w:t>
      </w:r>
      <w:r w:rsidRPr="002B73F1">
        <w:t>women</w:t>
      </w:r>
      <w:r>
        <w:rPr>
          <w:lang w:val="en-US"/>
        </w:rPr>
        <w:t xml:space="preserve"> who seek oral contraception</w:t>
      </w:r>
    </w:p>
    <w:p w:rsidR="00BB7B6F" w:rsidRDefault="00BB7B6F" w:rsidP="002B73F1">
      <w:pPr>
        <w:rPr>
          <w:lang w:val="en-US"/>
        </w:rPr>
      </w:pPr>
      <w:r>
        <w:rPr>
          <w:lang w:val="en-US"/>
        </w:rPr>
        <w:t xml:space="preserve">No new data is presented by the sponsor regarding this indication. It is not specifically addressed in either of the pivotal efficacy studies. Included in the current submission is a (sponsor’s) Summary of Clinical Efficacy (acne). This describes the </w:t>
      </w:r>
      <w:proofErr w:type="spellStart"/>
      <w:r>
        <w:rPr>
          <w:lang w:val="en-US"/>
        </w:rPr>
        <w:t>YAZFlex</w:t>
      </w:r>
      <w:proofErr w:type="spellEnd"/>
      <w:r>
        <w:rPr>
          <w:lang w:val="en-US"/>
        </w:rPr>
        <w:t xml:space="preserve"> regimen at the beginning of the introductory section but otherwise only presents and </w:t>
      </w:r>
      <w:proofErr w:type="spellStart"/>
      <w:r>
        <w:rPr>
          <w:lang w:val="en-US"/>
        </w:rPr>
        <w:t>summarises</w:t>
      </w:r>
      <w:proofErr w:type="spellEnd"/>
      <w:r>
        <w:rPr>
          <w:lang w:val="en-US"/>
        </w:rPr>
        <w:t xml:space="preserve"> data which were contained in the YAZ application and have been previously evaluated by the TGA with a positive recommendation, although with the caveat that the product should o</w:t>
      </w:r>
      <w:r w:rsidR="002B73F1">
        <w:rPr>
          <w:lang w:val="en-US"/>
        </w:rPr>
        <w:t>nly be used for this indication</w:t>
      </w:r>
    </w:p>
    <w:p w:rsidR="00BB7B6F" w:rsidRPr="002B73F1" w:rsidRDefault="00BB7B6F" w:rsidP="002B73F1">
      <w:pPr>
        <w:ind w:left="720"/>
        <w:rPr>
          <w:i/>
          <w:lang w:val="en-US"/>
        </w:rPr>
      </w:pPr>
      <w:r w:rsidRPr="002B73F1">
        <w:rPr>
          <w:i/>
          <w:lang w:val="en-US"/>
        </w:rPr>
        <w:lastRenderedPageBreak/>
        <w:t>‘</w:t>
      </w:r>
      <w:proofErr w:type="gramStart"/>
      <w:r w:rsidRPr="002B73F1">
        <w:rPr>
          <w:i/>
          <w:lang w:val="en-US"/>
        </w:rPr>
        <w:t>in</w:t>
      </w:r>
      <w:proofErr w:type="gramEnd"/>
      <w:r w:rsidRPr="002B73F1">
        <w:rPr>
          <w:i/>
          <w:lang w:val="en-US"/>
        </w:rPr>
        <w:t xml:space="preserve"> women at least 14 years old who have achieved menarche and who choose to use oral contraceptives for birth control’.</w:t>
      </w:r>
    </w:p>
    <w:p w:rsidR="00BB7B6F" w:rsidRPr="009520A1" w:rsidRDefault="00BB7B6F" w:rsidP="002B73F1">
      <w:pPr>
        <w:rPr>
          <w:lang w:val="en-US"/>
        </w:rPr>
      </w:pPr>
      <w:r>
        <w:rPr>
          <w:lang w:val="en-US"/>
        </w:rPr>
        <w:t xml:space="preserve">The rationale for use of COCs in the treatment of acne is that in addition to suppressing ovulation they suppress the production of ovarian hormones including androgens. This effect is not associated with the role of the COC in respect of cycle control and it is the expectation of this evaluator that suppression of androgen secretion would be maintained throughout the extended cycle regimen. The ultimate proof of this would be demonstration of suppressed plasma testosterone in subjects taking </w:t>
      </w:r>
      <w:proofErr w:type="spellStart"/>
      <w:r>
        <w:rPr>
          <w:lang w:val="en-US"/>
        </w:rPr>
        <w:t>YAZFlex</w:t>
      </w:r>
      <w:proofErr w:type="spellEnd"/>
      <w:r>
        <w:rPr>
          <w:lang w:val="en-US"/>
        </w:rPr>
        <w:t xml:space="preserve">. The study protocol describes subgroups of approximately 25 subjects per treatment group in whom hormone levels including testosterone were determined. The results were not discussed in any detail in the study report. Baseline serum testosterone (ng/mL, mean </w:t>
      </w:r>
      <w:r w:rsidRPr="009520A1">
        <w:rPr>
          <w:lang w:val="en-US"/>
        </w:rPr>
        <w:t>±</w:t>
      </w:r>
      <w:r>
        <w:rPr>
          <w:lang w:val="en-US"/>
        </w:rPr>
        <w:t xml:space="preserve"> SD) was 0</w:t>
      </w:r>
      <w:r w:rsidRPr="009520A1">
        <w:rPr>
          <w:lang w:val="en-US"/>
        </w:rPr>
        <w:t xml:space="preserve">.74±0.27 in the </w:t>
      </w:r>
      <w:proofErr w:type="spellStart"/>
      <w:r>
        <w:rPr>
          <w:lang w:val="en-US"/>
        </w:rPr>
        <w:t>YAZFlex</w:t>
      </w:r>
      <w:proofErr w:type="spellEnd"/>
      <w:r w:rsidRPr="009520A1">
        <w:rPr>
          <w:lang w:val="en-US"/>
        </w:rPr>
        <w:t xml:space="preserve"> and 0.72±0.32 in the YAZ subjects. These values fell to 0.43±0.17 and 0.35±0.20 respectively at Week 11 and were 0.42±0.12 for the </w:t>
      </w:r>
      <w:proofErr w:type="spellStart"/>
      <w:r>
        <w:rPr>
          <w:lang w:val="en-US"/>
        </w:rPr>
        <w:t>YAZFlex</w:t>
      </w:r>
      <w:proofErr w:type="spellEnd"/>
      <w:r w:rsidRPr="009520A1">
        <w:rPr>
          <w:lang w:val="en-US"/>
        </w:rPr>
        <w:t xml:space="preserve"> and 0.35±0.19 for the YAZ subjects at Week 51. There is</w:t>
      </w:r>
      <w:r>
        <w:rPr>
          <w:lang w:val="en-US"/>
        </w:rPr>
        <w:t xml:space="preserve"> no statistical analysis but the data shows an approximate 50% suppression in both groups with no significant difference in response between the groups as far as can be judged from the variance values. The suppression is slightly less for </w:t>
      </w:r>
      <w:proofErr w:type="spellStart"/>
      <w:r>
        <w:rPr>
          <w:lang w:val="en-US"/>
        </w:rPr>
        <w:t>YAZFlex</w:t>
      </w:r>
      <w:proofErr w:type="spellEnd"/>
      <w:r>
        <w:rPr>
          <w:lang w:val="en-US"/>
        </w:rPr>
        <w:t xml:space="preserve"> but this is apparent as early as Week 3, by which stage the two regimens remain identical. The important observation is that the suppression was maintained throughout the 12 month treatment period just as well in the extended cycle regimen as with the standard regimen. This biochemical data assists the conclusion that </w:t>
      </w:r>
      <w:r w:rsidRPr="009520A1">
        <w:rPr>
          <w:lang w:val="en-US"/>
        </w:rPr>
        <w:t xml:space="preserve">there is no reason to expect the </w:t>
      </w:r>
      <w:proofErr w:type="spellStart"/>
      <w:r>
        <w:rPr>
          <w:lang w:val="en-US"/>
        </w:rPr>
        <w:t>YAZFlex</w:t>
      </w:r>
      <w:proofErr w:type="spellEnd"/>
      <w:r w:rsidRPr="009520A1">
        <w:rPr>
          <w:lang w:val="en-US"/>
        </w:rPr>
        <w:t xml:space="preserve"> regimen to be any less efficacious than the conventional YAZ regimen for the control of acne.</w:t>
      </w:r>
    </w:p>
    <w:p w:rsidR="00BB7B6F" w:rsidRPr="005A441B" w:rsidRDefault="00BB7B6F" w:rsidP="002B73F1">
      <w:pPr>
        <w:pStyle w:val="Heading5"/>
      </w:pPr>
      <w:r>
        <w:rPr>
          <w:lang w:val="en-US"/>
        </w:rPr>
        <w:t xml:space="preserve">Treatment of symptoms of </w:t>
      </w:r>
      <w:r w:rsidRPr="002B73F1">
        <w:t>premenstrual</w:t>
      </w:r>
      <w:r>
        <w:rPr>
          <w:lang w:val="en-US"/>
        </w:rPr>
        <w:t xml:space="preserve"> dysphoric disorder (PMDD) in women </w:t>
      </w:r>
      <w:r w:rsidRPr="005A441B">
        <w:rPr>
          <w:lang w:val="en-US"/>
        </w:rPr>
        <w:t>who</w:t>
      </w:r>
      <w:r>
        <w:rPr>
          <w:lang w:val="en-US"/>
        </w:rPr>
        <w:t xml:space="preserve"> </w:t>
      </w:r>
      <w:r w:rsidRPr="005A441B">
        <w:rPr>
          <w:lang w:val="en-US"/>
        </w:rPr>
        <w:t>have chosen oral contraceptives as their method of birth control</w:t>
      </w:r>
    </w:p>
    <w:p w:rsidR="00BB7B6F" w:rsidRDefault="00BB7B6F" w:rsidP="002B73F1">
      <w:r>
        <w:t xml:space="preserve">For the extension of this indication from YAZ to the extended cycle preparation </w:t>
      </w:r>
      <w:proofErr w:type="spellStart"/>
      <w:r>
        <w:t>YAZFlex</w:t>
      </w:r>
      <w:proofErr w:type="spellEnd"/>
      <w:r>
        <w:t>, there is a complete lack of information in the current submission. The letter of application provides no guidance beyond the statement that ‘</w:t>
      </w:r>
      <w:r w:rsidRPr="009520A1">
        <w:rPr>
          <w:i/>
        </w:rPr>
        <w:t xml:space="preserve">the proposed indications for </w:t>
      </w:r>
      <w:proofErr w:type="spellStart"/>
      <w:r>
        <w:rPr>
          <w:i/>
        </w:rPr>
        <w:t>YAZFlex</w:t>
      </w:r>
      <w:proofErr w:type="spellEnd"/>
      <w:r w:rsidRPr="009520A1">
        <w:rPr>
          <w:i/>
        </w:rPr>
        <w:t xml:space="preserve"> are the same as the approved indications for YAZ</w:t>
      </w:r>
      <w:r>
        <w:t xml:space="preserve">’. Whilst there were specific sponsor Summaries of Clinical Efficacy included for the contraceptive and acne indications, as referred to above, there is none for the PMDD indication. The sponsor’s Clinical Overview, an undated but reasonably recent document containing references to 2009 literature, has sections on the other two indications but that makes no reference to PMDD and states that ‘the investigational product </w:t>
      </w:r>
      <w:proofErr w:type="spellStart"/>
      <w:r>
        <w:t>YAZFlex</w:t>
      </w:r>
      <w:proofErr w:type="spellEnd"/>
      <w:r>
        <w:t xml:space="preserve"> was developed as an OC with the additional indication ‘</w:t>
      </w:r>
      <w:r w:rsidRPr="00990718">
        <w:rPr>
          <w:i/>
        </w:rPr>
        <w:t>treatment of moderate acne vulgaris only in women seeking oral contraception</w:t>
      </w:r>
      <w:r>
        <w:t>’.</w:t>
      </w:r>
    </w:p>
    <w:p w:rsidR="00BB7B6F" w:rsidRDefault="00BB7B6F" w:rsidP="002B73F1">
      <w:r>
        <w:t>This indication was approved by TGA for YAZ based on support by the clinical evaluation process, backed up by two specific clinical studies. An independently published literature review</w:t>
      </w:r>
      <w:bookmarkStart w:id="157" w:name="_Ref323814886"/>
      <w:r>
        <w:rPr>
          <w:rStyle w:val="FootnoteReference"/>
        </w:rPr>
        <w:footnoteReference w:id="5"/>
      </w:r>
      <w:bookmarkEnd w:id="157"/>
      <w:r>
        <w:t xml:space="preserve"> also provides support for the use of a low dose EE/DRSP formulation (presumably YAZ) in PMDD, although commenting that a large placebo effect was evident.</w:t>
      </w:r>
    </w:p>
    <w:p w:rsidR="00BB7B6F" w:rsidRDefault="00BB7B6F" w:rsidP="002B73F1">
      <w:r>
        <w:t xml:space="preserve">Hypothetically, sufferers from PMDD should be helped by an extended cycle preparation such as </w:t>
      </w:r>
      <w:proofErr w:type="spellStart"/>
      <w:r>
        <w:t>YAZFlex</w:t>
      </w:r>
      <w:proofErr w:type="spellEnd"/>
      <w:r>
        <w:t>. As the name of the condition suggests, its symptoms occur predominantly in the premenstrual period and should be less troublesome or at least less frequent if episodes of menstruation are suppressed. The pathophysiology of PMDD is so poorly understood, however, that this cannot simply be as</w:t>
      </w:r>
      <w:r w:rsidR="002B73F1">
        <w:t xml:space="preserve">sumed. There is some support in </w:t>
      </w:r>
      <w:r>
        <w:t>the literature that cyclical mood symptoms decrease with the use of extended cycle OC preparations</w:t>
      </w:r>
      <w:bookmarkStart w:id="158" w:name="_Ref323814909"/>
      <w:r w:rsidRPr="00B44ED3">
        <w:rPr>
          <w:rStyle w:val="FootnoteReference"/>
        </w:rPr>
        <w:footnoteReference w:id="6"/>
      </w:r>
      <w:bookmarkEnd w:id="158"/>
      <w:r w:rsidRPr="00B44ED3">
        <w:rPr>
          <w:vertAlign w:val="superscript"/>
        </w:rPr>
        <w:t>,</w:t>
      </w:r>
      <w:bookmarkStart w:id="159" w:name="_Ref323814913"/>
      <w:r>
        <w:rPr>
          <w:rStyle w:val="FootnoteReference"/>
        </w:rPr>
        <w:footnoteReference w:id="7"/>
      </w:r>
      <w:bookmarkEnd w:id="159"/>
      <w:r>
        <w:t xml:space="preserve"> but not specifically in patients who meet the diagnostic criteria for PMDD.</w:t>
      </w:r>
    </w:p>
    <w:p w:rsidR="00BB7B6F" w:rsidRPr="00EF66C3" w:rsidRDefault="00BB7B6F" w:rsidP="002B73F1">
      <w:r w:rsidRPr="00EF66C3">
        <w:lastRenderedPageBreak/>
        <w:t xml:space="preserve">While it appears likely that women with PMDD may be helped by </w:t>
      </w:r>
      <w:proofErr w:type="spellStart"/>
      <w:r>
        <w:t>YAZFlex</w:t>
      </w:r>
      <w:proofErr w:type="spellEnd"/>
      <w:r w:rsidRPr="00EF66C3">
        <w:t>, approval of this indication should be supported by specific evidence of efficacy.</w:t>
      </w:r>
    </w:p>
    <w:p w:rsidR="00BB7B6F" w:rsidRPr="00E34576" w:rsidRDefault="00BB7B6F" w:rsidP="002B73F1">
      <w:pPr>
        <w:pStyle w:val="Heading3"/>
      </w:pPr>
      <w:bookmarkStart w:id="160" w:name="_Toc323821173"/>
      <w:bookmarkStart w:id="161" w:name="_Toc335040599"/>
      <w:bookmarkStart w:id="162" w:name="_Toc398110082"/>
      <w:bookmarkStart w:id="163" w:name="_Toc401835988"/>
      <w:r w:rsidRPr="002B73F1">
        <w:t>Safety</w:t>
      </w:r>
      <w:bookmarkEnd w:id="143"/>
      <w:bookmarkEnd w:id="144"/>
      <w:bookmarkEnd w:id="145"/>
      <w:bookmarkEnd w:id="160"/>
      <w:bookmarkEnd w:id="161"/>
      <w:bookmarkEnd w:id="162"/>
      <w:bookmarkEnd w:id="163"/>
    </w:p>
    <w:p w:rsidR="00BB7B6F" w:rsidRPr="00E34576" w:rsidRDefault="00BB7B6F" w:rsidP="002B73F1">
      <w:pPr>
        <w:pStyle w:val="Heading4"/>
      </w:pPr>
      <w:bookmarkStart w:id="164" w:name="_Toc243306668"/>
      <w:bookmarkStart w:id="165" w:name="_Toc241374317"/>
      <w:bookmarkStart w:id="166" w:name="_Toc255919423"/>
      <w:bookmarkStart w:id="167" w:name="_Toc241374329"/>
      <w:bookmarkStart w:id="168" w:name="_Toc270320087"/>
      <w:bookmarkStart w:id="169" w:name="_Toc163441387"/>
      <w:r w:rsidRPr="002B73F1">
        <w:t>Introduction</w:t>
      </w:r>
      <w:bookmarkEnd w:id="164"/>
      <w:bookmarkEnd w:id="165"/>
    </w:p>
    <w:p w:rsidR="00BB7B6F" w:rsidRDefault="00BB7B6F" w:rsidP="002B73F1">
      <w:r>
        <w:t xml:space="preserve">This safety evaluation should be regarded as incremental to that of the original YAZ preparation. The short term safety profile and spectrum of potential safety issues for </w:t>
      </w:r>
      <w:proofErr w:type="spellStart"/>
      <w:r>
        <w:t>YAZFlex</w:t>
      </w:r>
      <w:proofErr w:type="spellEnd"/>
      <w:r>
        <w:t xml:space="preserve"> can be assumed to be the same as for YAZ as both the daily dosage and characteristics of the exposed population are identical. Exposure over time to the constituents of the formulation is within 5 to 10% of that for the conventional YAZ preparation. Safety issues needing to be considered by this evaluation are those which follow from the extended menstrual cycle which characterises the </w:t>
      </w:r>
      <w:proofErr w:type="spellStart"/>
      <w:r>
        <w:t>YAZFlex</w:t>
      </w:r>
      <w:proofErr w:type="spellEnd"/>
      <w:r>
        <w:t xml:space="preserve"> regimen. These include endometrial safety and any potential systemic effects which might arise from longer periods, up to 120 days, of continuous administration of EE or DRSP.</w:t>
      </w:r>
    </w:p>
    <w:p w:rsidR="00BB7B6F" w:rsidRDefault="00BB7B6F" w:rsidP="002B73F1">
      <w:pPr>
        <w:pStyle w:val="Heading4"/>
      </w:pPr>
      <w:bookmarkStart w:id="170" w:name="_Toc243306669"/>
      <w:bookmarkStart w:id="171" w:name="_Toc241374318"/>
      <w:r w:rsidRPr="002B73F1">
        <w:t>Patient</w:t>
      </w:r>
      <w:r>
        <w:t xml:space="preserve"> </w:t>
      </w:r>
      <w:r w:rsidRPr="002B73F1">
        <w:t>exposure</w:t>
      </w:r>
      <w:bookmarkEnd w:id="170"/>
      <w:bookmarkEnd w:id="171"/>
    </w:p>
    <w:p w:rsidR="00BB7B6F" w:rsidRPr="00EF66C3" w:rsidRDefault="00BB7B6F" w:rsidP="002B73F1">
      <w:r w:rsidRPr="00EF66C3">
        <w:t xml:space="preserve">The three clinical studies presented in this application involved a total of 2409 women exposed to </w:t>
      </w:r>
      <w:proofErr w:type="spellStart"/>
      <w:r>
        <w:t>YAZFlex</w:t>
      </w:r>
      <w:proofErr w:type="spellEnd"/>
      <w:r w:rsidRPr="00EF66C3">
        <w:t>.</w:t>
      </w:r>
      <w:r>
        <w:t xml:space="preserve"> </w:t>
      </w:r>
      <w:r w:rsidRPr="00EF66C3">
        <w:t xml:space="preserve">In Study A40196, 642 women were initially randomised to </w:t>
      </w:r>
      <w:proofErr w:type="spellStart"/>
      <w:r>
        <w:t>YAZFlex</w:t>
      </w:r>
      <w:proofErr w:type="spellEnd"/>
      <w:r w:rsidRPr="00EF66C3">
        <w:t xml:space="preserve"> and of these 83.9% completed the first year of treatment.</w:t>
      </w:r>
      <w:r>
        <w:t xml:space="preserve"> </w:t>
      </w:r>
      <w:r w:rsidRPr="00EF66C3">
        <w:t>Of the whole study population, 783 women entered, and 681 completed, Year 2 on</w:t>
      </w:r>
      <w:r>
        <w:t xml:space="preserve"> </w:t>
      </w:r>
      <w:proofErr w:type="spellStart"/>
      <w:r>
        <w:t>YAZFlex</w:t>
      </w:r>
      <w:proofErr w:type="spellEnd"/>
      <w:r w:rsidRPr="00EF66C3">
        <w:t>.</w:t>
      </w:r>
      <w:r>
        <w:t xml:space="preserve"> </w:t>
      </w:r>
      <w:r w:rsidRPr="00EF66C3">
        <w:t xml:space="preserve">Study A48294 included 1406 women on </w:t>
      </w:r>
      <w:proofErr w:type="spellStart"/>
      <w:r>
        <w:t>YAZFlex</w:t>
      </w:r>
      <w:proofErr w:type="spellEnd"/>
      <w:r w:rsidRPr="00EF66C3">
        <w:t>, of whom 61.6% completed 12 months treatment.</w:t>
      </w:r>
      <w:r>
        <w:t xml:space="preserve"> </w:t>
      </w:r>
      <w:r w:rsidRPr="00EF66C3">
        <w:t>This safety population adds substantially to the 1337 women treated with Y</w:t>
      </w:r>
      <w:r>
        <w:t>AZ</w:t>
      </w:r>
      <w:r w:rsidRPr="00EF66C3">
        <w:t xml:space="preserve"> for an average of 9.9 cycles, as reviewed in the original Y</w:t>
      </w:r>
      <w:r>
        <w:t>AZ</w:t>
      </w:r>
      <w:r w:rsidRPr="00EF66C3">
        <w:t xml:space="preserve"> CER.</w:t>
      </w:r>
      <w:r>
        <w:t xml:space="preserve"> </w:t>
      </w:r>
      <w:r w:rsidRPr="00EF66C3">
        <w:t>The sponsor’s Summary of Clinical Safety describes a comparison of safety data from the two pivotal studies, including all extended cycle subjects (</w:t>
      </w:r>
      <w:proofErr w:type="spellStart"/>
      <w:r>
        <w:t>YAZFlex</w:t>
      </w:r>
      <w:proofErr w:type="spellEnd"/>
      <w:r w:rsidRPr="00EF66C3">
        <w:t>, Y</w:t>
      </w:r>
      <w:r>
        <w:t>AZ</w:t>
      </w:r>
      <w:r w:rsidRPr="00EF66C3">
        <w:t xml:space="preserve"> Extend, and Y</w:t>
      </w:r>
      <w:r>
        <w:t>AZ</w:t>
      </w:r>
      <w:r w:rsidRPr="00EF66C3">
        <w:t xml:space="preserve"> </w:t>
      </w:r>
      <w:proofErr w:type="spellStart"/>
      <w:r w:rsidRPr="00EF66C3">
        <w:t>Stop&amp;Go</w:t>
      </w:r>
      <w:proofErr w:type="spellEnd"/>
      <w:r w:rsidRPr="00EF66C3">
        <w:t>), referred to as the</w:t>
      </w:r>
      <w:r>
        <w:t xml:space="preserve"> </w:t>
      </w:r>
      <w:proofErr w:type="spellStart"/>
      <w:r>
        <w:t>YAZFlex</w:t>
      </w:r>
      <w:proofErr w:type="spellEnd"/>
      <w:r w:rsidRPr="00EF66C3">
        <w:t xml:space="preserve"> safety pool, with data from the subjects in these studies who received</w:t>
      </w:r>
      <w:r>
        <w:t xml:space="preserve"> YAZ</w:t>
      </w:r>
      <w:r w:rsidRPr="00EF66C3">
        <w:t xml:space="preserve"> (Y</w:t>
      </w:r>
      <w:r>
        <w:t>AZ</w:t>
      </w:r>
      <w:r w:rsidRPr="00EF66C3">
        <w:t xml:space="preserve"> pool).</w:t>
      </w:r>
      <w:r>
        <w:t xml:space="preserve"> </w:t>
      </w:r>
      <w:r w:rsidRPr="00EF66C3">
        <w:t>Such a comparison is of particular relevance to this evaluation, although it is limited in extent and this is commented on below.</w:t>
      </w:r>
      <w:r>
        <w:t xml:space="preserve"> </w:t>
      </w:r>
      <w:r w:rsidRPr="00EF66C3">
        <w:t>The small number of subjects from Study A47505 was quite reasonably not included in the pooled analysis because of demographic and recruitment differences.</w:t>
      </w:r>
      <w:r>
        <w:t xml:space="preserve"> </w:t>
      </w:r>
      <w:r w:rsidRPr="00EF66C3">
        <w:t xml:space="preserve">The sponsor’s Summary of Clinical Safety also presents lengthy, comprehensive narratives of the existing safety data from the studies previously presented for evaluation but does not attempt a formal comparison of these data with that obtained on the </w:t>
      </w:r>
      <w:proofErr w:type="spellStart"/>
      <w:r>
        <w:t>YAZFlex</w:t>
      </w:r>
      <w:proofErr w:type="spellEnd"/>
      <w:r w:rsidRPr="00EF66C3">
        <w:t xml:space="preserve"> subjects in Studies A40196 and A48294.</w:t>
      </w:r>
      <w:r>
        <w:t xml:space="preserve"> </w:t>
      </w:r>
      <w:r w:rsidRPr="00EF66C3">
        <w:t>The comparator (Y</w:t>
      </w:r>
      <w:r>
        <w:t>AZ</w:t>
      </w:r>
      <w:r w:rsidRPr="00EF66C3">
        <w:t xml:space="preserve">) group for the safety evaluation of </w:t>
      </w:r>
      <w:proofErr w:type="spellStart"/>
      <w:r>
        <w:t>YAZFlex</w:t>
      </w:r>
      <w:proofErr w:type="spellEnd"/>
      <w:r w:rsidRPr="00EF66C3">
        <w:t xml:space="preserve"> therefore consists of the subjects who received Y</w:t>
      </w:r>
      <w:r>
        <w:t>AZ</w:t>
      </w:r>
      <w:r w:rsidRPr="00EF66C3">
        <w:t xml:space="preserve"> in these newly presented pivotal studies.</w:t>
      </w:r>
      <w:r>
        <w:t xml:space="preserve"> </w:t>
      </w:r>
      <w:r w:rsidRPr="00EF66C3">
        <w:t>Although relatively small in number (226), they are at least comparable in terms of demographic characteristics and treatment assignment/randomisation.</w:t>
      </w:r>
    </w:p>
    <w:p w:rsidR="00BB7B6F" w:rsidRDefault="00BB7B6F" w:rsidP="002B73F1">
      <w:pPr>
        <w:rPr>
          <w:lang w:val="en-US"/>
        </w:rPr>
      </w:pPr>
      <w:r>
        <w:t xml:space="preserve">Women receiving </w:t>
      </w:r>
      <w:proofErr w:type="spellStart"/>
      <w:r>
        <w:t>YAZFlex</w:t>
      </w:r>
      <w:proofErr w:type="spellEnd"/>
      <w:r>
        <w:t xml:space="preserve"> do have a greater individual exposure to the constituent medications over time as a result of the reduced number of tablet free intervals implicit in the regimen. This is, however, of relatively minor degree. Subjects on </w:t>
      </w:r>
      <w:proofErr w:type="spellStart"/>
      <w:r>
        <w:t>YAZFlex</w:t>
      </w:r>
      <w:proofErr w:type="spellEnd"/>
      <w:r>
        <w:t xml:space="preserve"> had on average 2.5 tablet free intervals over 120 days compared with 4.1 for YAZ subjects</w:t>
      </w:r>
      <w:r>
        <w:rPr>
          <w:lang w:val="en-US"/>
        </w:rPr>
        <w:t xml:space="preserve">. Based on this, mean individual exposure over the 120 day period was 6.2% higher for the </w:t>
      </w:r>
      <w:proofErr w:type="spellStart"/>
      <w:r>
        <w:rPr>
          <w:lang w:val="en-US"/>
        </w:rPr>
        <w:t>YAZFlex</w:t>
      </w:r>
      <w:proofErr w:type="spellEnd"/>
      <w:r>
        <w:rPr>
          <w:lang w:val="en-US"/>
        </w:rPr>
        <w:t xml:space="preserve"> subjects. A subject taking a full 120 day cycle without interruption, which was unusual in the </w:t>
      </w:r>
      <w:proofErr w:type="spellStart"/>
      <w:r>
        <w:rPr>
          <w:lang w:val="en-US"/>
        </w:rPr>
        <w:t>YAZFlex</w:t>
      </w:r>
      <w:proofErr w:type="spellEnd"/>
      <w:r>
        <w:rPr>
          <w:lang w:val="en-US"/>
        </w:rPr>
        <w:t xml:space="preserve"> studies but would be mandatory with YAZ Extend, would have an increase in exposure of 11.1%. These amounts are within the range of intra-individual variance seen in the PK studies and would not seem likely to be of clinical significance.</w:t>
      </w:r>
    </w:p>
    <w:p w:rsidR="00BB7B6F" w:rsidRPr="00AD62E8" w:rsidRDefault="00BB7B6F" w:rsidP="002B73F1">
      <w:pPr>
        <w:pStyle w:val="Heading4"/>
      </w:pPr>
      <w:bookmarkStart w:id="172" w:name="_Toc243306670"/>
      <w:bookmarkStart w:id="173" w:name="_Toc241374319"/>
      <w:r w:rsidRPr="002B73F1">
        <w:t>Adverse</w:t>
      </w:r>
      <w:r>
        <w:t xml:space="preserve"> events</w:t>
      </w:r>
      <w:bookmarkEnd w:id="172"/>
      <w:bookmarkEnd w:id="173"/>
    </w:p>
    <w:p w:rsidR="00BB7B6F" w:rsidRDefault="00BB7B6F" w:rsidP="002B73F1">
      <w:r>
        <w:t xml:space="preserve">In the pivotal studies, safety evaluations consisted of collecting data on adverse events (AE) and serious adverse events (SAE) and routine physical examination findings </w:t>
      </w:r>
      <w:r>
        <w:lastRenderedPageBreak/>
        <w:t xml:space="preserve">including gynaecological examination; and in subgroups of Study A40196, endometrial histology (by biopsy) and morphology and thickness by </w:t>
      </w:r>
      <w:proofErr w:type="spellStart"/>
      <w:r>
        <w:t>transvaginal</w:t>
      </w:r>
      <w:proofErr w:type="spellEnd"/>
      <w:r>
        <w:t xml:space="preserve"> ultrasound (TVU); measurement of metabolic variables including plasma lipids, carbohydrate tolerance and haemostatic parameters, and levels of reproductive hormones.</w:t>
      </w:r>
    </w:p>
    <w:p w:rsidR="00BB7B6F" w:rsidRDefault="00BB7B6F" w:rsidP="002B73F1">
      <w:r>
        <w:t xml:space="preserve">The AE profile for the ‘pooled’ analysis of </w:t>
      </w:r>
      <w:proofErr w:type="spellStart"/>
      <w:r>
        <w:t>YAZFlex</w:t>
      </w:r>
      <w:proofErr w:type="spellEnd"/>
      <w:r>
        <w:t xml:space="preserve"> and YAZ subjects is shown below in Table 12.</w:t>
      </w:r>
    </w:p>
    <w:p w:rsidR="00BB7B6F" w:rsidRDefault="00BB7B6F" w:rsidP="002B73F1">
      <w:pPr>
        <w:pStyle w:val="TableTitle"/>
      </w:pPr>
      <w:proofErr w:type="gramStart"/>
      <w:r>
        <w:t>Table 12.</w:t>
      </w:r>
      <w:proofErr w:type="gramEnd"/>
      <w:r>
        <w:t xml:space="preserve"> </w:t>
      </w:r>
      <w:proofErr w:type="gramStart"/>
      <w:r>
        <w:t>AEs.</w:t>
      </w:r>
      <w:proofErr w:type="gramEnd"/>
      <w:r>
        <w:t xml:space="preserve"> </w:t>
      </w:r>
      <w:proofErr w:type="gramStart"/>
      <w:r>
        <w:t xml:space="preserve">Pooled analysis of </w:t>
      </w:r>
      <w:proofErr w:type="spellStart"/>
      <w:r>
        <w:t>YAZFlex</w:t>
      </w:r>
      <w:proofErr w:type="spellEnd"/>
      <w:r>
        <w:t xml:space="preserve"> and YAZ subjects.</w:t>
      </w:r>
      <w:proofErr w:type="gramEnd"/>
    </w:p>
    <w:p w:rsidR="00BB7B6F" w:rsidRDefault="00BB7B6F" w:rsidP="002B73F1">
      <w:r>
        <w:rPr>
          <w:noProof/>
          <w:lang w:eastAsia="en-AU"/>
        </w:rPr>
        <w:drawing>
          <wp:inline distT="0" distB="0" distL="0" distR="0" wp14:anchorId="28E0D57F" wp14:editId="546B412D">
            <wp:extent cx="4989864" cy="2905125"/>
            <wp:effectExtent l="19050" t="19050" r="20320" b="9525"/>
            <wp:docPr id="9" name="Picture 8" descr="Table 12. AEs. Pooled analysis of YAZ Flex and YAZ subjects." title="Table 12. AEs. Pooled analysis of YAZ Flex and YAZ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lum contrast="20000"/>
                    </a:blip>
                    <a:srcRect t="1582" b="1899"/>
                    <a:stretch/>
                  </pic:blipFill>
                  <pic:spPr bwMode="auto">
                    <a:xfrm>
                      <a:off x="0" y="0"/>
                      <a:ext cx="4989864" cy="290512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BB7B6F" w:rsidRDefault="00BB7B6F" w:rsidP="002B73F1">
      <w:r>
        <w:t>There is no consistent pattern of difference between the extended cycle and conventional regimens in any of the display parameters.</w:t>
      </w:r>
    </w:p>
    <w:p w:rsidR="00BB7B6F" w:rsidRDefault="00BB7B6F" w:rsidP="002B73F1">
      <w:r>
        <w:t>As the sponsor’s Summary of Clinical Safety did not appear to contain a clear and concise summary of comparison of specific classes of AE between the ‘</w:t>
      </w:r>
      <w:proofErr w:type="spellStart"/>
      <w:r>
        <w:t>YAZFlex</w:t>
      </w:r>
      <w:proofErr w:type="spellEnd"/>
      <w:r>
        <w:t xml:space="preserve"> pool’ and general body of safety data on YAZ, reference is made to the individual pivotal study reports for this information. In the original as well as the current application, AE of specific interest are identified as those relating to venous thromboembolism (VTE), cardiovascular events, and cancer.</w:t>
      </w:r>
    </w:p>
    <w:p w:rsidR="00BB7B6F" w:rsidRDefault="00BB7B6F" w:rsidP="002B73F1">
      <w:r>
        <w:t>In Study A40196 the most commonly reported AE were headache, breast pain, nausea and dysmenorrhoea. These events were most common in the YAZ group, reflecting the increased incidence of menstruation in that group.</w:t>
      </w:r>
    </w:p>
    <w:p w:rsidR="00BB7B6F" w:rsidRDefault="00BB7B6F" w:rsidP="002B73F1">
      <w:pPr>
        <w:pStyle w:val="Heading4"/>
      </w:pPr>
      <w:bookmarkStart w:id="174" w:name="_Toc243306671"/>
      <w:bookmarkStart w:id="175" w:name="_Toc241374320"/>
      <w:r>
        <w:t xml:space="preserve">Serious adverse </w:t>
      </w:r>
      <w:r w:rsidRPr="002B73F1">
        <w:t>events</w:t>
      </w:r>
      <w:r>
        <w:t xml:space="preserve"> and deaths</w:t>
      </w:r>
      <w:bookmarkEnd w:id="174"/>
      <w:bookmarkEnd w:id="175"/>
    </w:p>
    <w:p w:rsidR="00BB7B6F" w:rsidRDefault="00BB7B6F" w:rsidP="002B73F1">
      <w:r w:rsidRPr="00306CAE">
        <w:t>In Study A40196, 23</w:t>
      </w:r>
      <w:r>
        <w:t xml:space="preserve"> SAE were reported by 19/642 (3.0%) of </w:t>
      </w:r>
      <w:proofErr w:type="spellStart"/>
      <w:r>
        <w:t>YAZFlex</w:t>
      </w:r>
      <w:proofErr w:type="spellEnd"/>
      <w:r>
        <w:t xml:space="preserve"> subjects, 9 by 7/209 (3.3%) YAZ Extend subjects and 3 by 3 (1.4%) </w:t>
      </w:r>
      <w:proofErr w:type="gramStart"/>
      <w:r>
        <w:t>YAZ  subjects</w:t>
      </w:r>
      <w:proofErr w:type="gramEnd"/>
      <w:r>
        <w:t xml:space="preserve">. Some bias in reporting might be suggested as this was an open study but most of the events were significant clinical issues which should have come to notice irrespective of the trial situation. The apparent imbalance towards the extended cycle groups is contributed to by a number of seemingly unrelated events (such as appendicitis, renal colic, chlamydia infection, </w:t>
      </w:r>
      <w:proofErr w:type="spellStart"/>
      <w:r>
        <w:t>vulval</w:t>
      </w:r>
      <w:proofErr w:type="spellEnd"/>
      <w:r>
        <w:t xml:space="preserve"> abscess, asthenia, non-specific abdominal pain, foot fracture, ligament rupture) but one area of potential concern is </w:t>
      </w:r>
      <w:r w:rsidRPr="00EF66C3">
        <w:rPr>
          <w:i/>
        </w:rPr>
        <w:t>the occurrence of three confirmed cases of venous thromboembolism (VTE)</w:t>
      </w:r>
      <w:r>
        <w:t xml:space="preserve">. Two of these were major episodes which occurred spontaneously while taking </w:t>
      </w:r>
      <w:proofErr w:type="spellStart"/>
      <w:r>
        <w:t>YAZFlex</w:t>
      </w:r>
      <w:proofErr w:type="spellEnd"/>
      <w:r>
        <w:t xml:space="preserve">. One of the subjects had an underlying risk factor in being positive for Factor 2 and Factor 5, mutations known to predispose to thrombosis. Both had a history of previous administration of EE/DRSP oral contraceptives. The third case, also taking </w:t>
      </w:r>
      <w:proofErr w:type="spellStart"/>
      <w:r>
        <w:t>YAZFlex</w:t>
      </w:r>
      <w:proofErr w:type="spellEnd"/>
      <w:r>
        <w:t>, occurred post operatively following knee surgery.</w:t>
      </w:r>
    </w:p>
    <w:p w:rsidR="00BB7B6F" w:rsidRDefault="00BB7B6F" w:rsidP="002B73F1">
      <w:r>
        <w:lastRenderedPageBreak/>
        <w:t xml:space="preserve">Another subject on </w:t>
      </w:r>
      <w:proofErr w:type="spellStart"/>
      <w:r>
        <w:t>YAZFlex</w:t>
      </w:r>
      <w:proofErr w:type="spellEnd"/>
      <w:r>
        <w:t xml:space="preserve"> for 18 months was diagnosed with focal nodular hyperplasia of the liver after developing a rising alkaline phosphatase level. There was a history of two years OC use prior to the trial including six months on Yasmin.</w:t>
      </w:r>
    </w:p>
    <w:p w:rsidR="00BB7B6F" w:rsidRDefault="00BB7B6F" w:rsidP="002B73F1">
      <w:r w:rsidRPr="00306CAE">
        <w:t>In Study A48294</w:t>
      </w:r>
      <w:r w:rsidRPr="00306CAE">
        <w:rPr>
          <w:b/>
        </w:rPr>
        <w:t xml:space="preserve">, </w:t>
      </w:r>
      <w:r w:rsidRPr="00306CAE">
        <w:t xml:space="preserve">the overall incidence of SAE was lower (1.1%), with no difference in incidence between the </w:t>
      </w:r>
      <w:proofErr w:type="spellStart"/>
      <w:r>
        <w:t>YAZFlex</w:t>
      </w:r>
      <w:proofErr w:type="spellEnd"/>
      <w:r w:rsidRPr="00306CAE">
        <w:t xml:space="preserve"> and YAZ groups. There were</w:t>
      </w:r>
      <w:r w:rsidRPr="00306CAE">
        <w:rPr>
          <w:b/>
        </w:rPr>
        <w:t xml:space="preserve"> </w:t>
      </w:r>
      <w:r w:rsidRPr="00306CAE">
        <w:t xml:space="preserve">a further two cases taking </w:t>
      </w:r>
      <w:proofErr w:type="spellStart"/>
      <w:r>
        <w:t>YAZFlex</w:t>
      </w:r>
      <w:proofErr w:type="spellEnd"/>
      <w:r w:rsidRPr="00306CAE">
        <w:t xml:space="preserve"> who were </w:t>
      </w:r>
      <w:r w:rsidRPr="002B73F1">
        <w:rPr>
          <w:b/>
        </w:rPr>
        <w:t>suspected</w:t>
      </w:r>
      <w:r w:rsidRPr="00306CAE">
        <w:t xml:space="preserve"> of deep vein thrombosis (DVT). In the</w:t>
      </w:r>
      <w:r>
        <w:t xml:space="preserve"> first case, there was a fairly clear cut diagnosis of superficial thrombophlebitis which responded to appropriate treatment. In the second case, the clinical presentation was more suggestive of DVT but, as with the first case, an apparently thorough </w:t>
      </w:r>
      <w:proofErr w:type="spellStart"/>
      <w:r>
        <w:t>ultrasonographic</w:t>
      </w:r>
      <w:proofErr w:type="spellEnd"/>
      <w:r>
        <w:t xml:space="preserve"> assessment revealed no confirmatory evidence and the patient responded to conservative treatment without anticoagulation.</w:t>
      </w:r>
    </w:p>
    <w:p w:rsidR="00BB7B6F" w:rsidRPr="00306CAE" w:rsidRDefault="00BB7B6F" w:rsidP="002B73F1">
      <w:r>
        <w:t xml:space="preserve">The overall exposure of subjects taking </w:t>
      </w:r>
      <w:proofErr w:type="spellStart"/>
      <w:r>
        <w:t>YAZFlex</w:t>
      </w:r>
      <w:proofErr w:type="spellEnd"/>
      <w:r>
        <w:t xml:space="preserve"> in the two pivotal studies combined is 2085 women-years (WY) for subjects completing the 12 month study periods. </w:t>
      </w:r>
      <w:proofErr w:type="gramStart"/>
      <w:r>
        <w:t>Adding a moiety of 415 WY for those subjects who discontinued prematurely, which is a conservative estimate (exact figure not accessed from study reports), yields an exposure base of 2500 WY.</w:t>
      </w:r>
      <w:proofErr w:type="gramEnd"/>
      <w:r>
        <w:t xml:space="preserve"> The cases described above amount to 3 definite VTE episodes (one postoperative), and 1 possible. Depending on criteria for inclusion, there are therefore either 3 or 4 cases at that exposure yielding an incidence of VTE episodes of either 1.2 or 1.6/1000 WY. Estimates of the incidence of VTE in DRSP-containing OC preparations have been published by both the European Active Surveillance Study (EURAS) and the US </w:t>
      </w:r>
      <w:proofErr w:type="spellStart"/>
      <w:r>
        <w:t>Ingenix</w:t>
      </w:r>
      <w:proofErr w:type="spellEnd"/>
      <w:r>
        <w:t xml:space="preserve"> study, both discussed below. The EURAS estimate was 0.91/1000 WY and the </w:t>
      </w:r>
      <w:proofErr w:type="spellStart"/>
      <w:r>
        <w:t>Ingenix</w:t>
      </w:r>
      <w:proofErr w:type="spellEnd"/>
      <w:r>
        <w:t xml:space="preserve"> estimate was 1.3/1000 WY (sponsor’s Summary of Clinical Safety). The </w:t>
      </w:r>
      <w:proofErr w:type="spellStart"/>
      <w:r>
        <w:t>Ingenix</w:t>
      </w:r>
      <w:proofErr w:type="spellEnd"/>
      <w:r>
        <w:t xml:space="preserve"> estimate includes arterial events which are likely to be &lt;10% of the total. Both sets of estimates have 95% CI spanning approximately 0.6-1.0/1000 WY, </w:t>
      </w:r>
      <w:r w:rsidRPr="00306CAE">
        <w:t xml:space="preserve">so the number of VTE episodes seen in the </w:t>
      </w:r>
      <w:proofErr w:type="spellStart"/>
      <w:r>
        <w:t>YAZFlex</w:t>
      </w:r>
      <w:proofErr w:type="spellEnd"/>
      <w:r w:rsidRPr="00306CAE">
        <w:t xml:space="preserve"> safety evaluation is consistent with the general experience of this serious adverse effect in the overall population of women using EE/DRSP ( YAZ) preparations.</w:t>
      </w:r>
    </w:p>
    <w:p w:rsidR="00BB7B6F" w:rsidRDefault="00BB7B6F" w:rsidP="002B73F1">
      <w:r>
        <w:t>No deaths occurred during Study A40196, nor were there any cardiovascular events of concern in either study except for VTE. One subject in Study A48294 died in an aircraft accident.</w:t>
      </w:r>
    </w:p>
    <w:p w:rsidR="00BB7B6F" w:rsidRDefault="00BB7B6F" w:rsidP="002B73F1">
      <w:r>
        <w:t xml:space="preserve">A single case of breast cancer was reported in a </w:t>
      </w:r>
      <w:proofErr w:type="spellStart"/>
      <w:r>
        <w:t>YAZFlex</w:t>
      </w:r>
      <w:proofErr w:type="spellEnd"/>
      <w:r>
        <w:t xml:space="preserve"> subject in Study A48294. The reports also include one case of benign uterine leiomyoma in a subject taking YAZ.</w:t>
      </w:r>
    </w:p>
    <w:p w:rsidR="00BB7B6F" w:rsidRDefault="00BB7B6F" w:rsidP="002B73F1">
      <w:pPr>
        <w:pStyle w:val="Heading4"/>
      </w:pPr>
      <w:bookmarkStart w:id="176" w:name="_Toc243306672"/>
      <w:bookmarkStart w:id="177" w:name="_Toc241374321"/>
      <w:r>
        <w:t>Laboratory findings</w:t>
      </w:r>
      <w:bookmarkEnd w:id="176"/>
      <w:bookmarkEnd w:id="177"/>
    </w:p>
    <w:p w:rsidR="00BB7B6F" w:rsidRDefault="00BB7B6F" w:rsidP="002B73F1">
      <w:r>
        <w:t>Many of the laboratory parameters routinely measured showed changes commonly associated with OC administration, such as a rise in plasma insulin and minor changes in the plasma lipid profile. However, there were no changes of clinical significance or differences between the extended cycle and conventional regimens.</w:t>
      </w:r>
    </w:p>
    <w:p w:rsidR="00BB7B6F" w:rsidRDefault="00BB7B6F" w:rsidP="002B73F1">
      <w:r>
        <w:t xml:space="preserve">Twelve subjects in Study A40196 and 2 subjects in Study A48294 developed high serum potassium readings, an identified issue of concern due to the anti-mineralocorticoid activity of DRSP, and not specific to the extended cycle regimens. In all cases they seem to have recovered spontaneously; a number of the blood samples concerned were haemolysed so the finding was at least in some cases </w:t>
      </w:r>
      <w:proofErr w:type="spellStart"/>
      <w:r>
        <w:t>artefactual</w:t>
      </w:r>
      <w:proofErr w:type="spellEnd"/>
      <w:r>
        <w:t>.</w:t>
      </w:r>
    </w:p>
    <w:p w:rsidR="00BB7B6F" w:rsidRDefault="00BB7B6F" w:rsidP="002B73F1">
      <w:r>
        <w:t xml:space="preserve">Endometrial biopsies were taken from a subgroup of subjects, 23 on </w:t>
      </w:r>
      <w:proofErr w:type="spellStart"/>
      <w:r>
        <w:t>YAZFlex</w:t>
      </w:r>
      <w:proofErr w:type="spellEnd"/>
      <w:r>
        <w:t xml:space="preserve"> and 17 on YAZ Extend, towards the end of the first year of Study A40196. There were no histologically abnormal findings; most biopsies showed inactive or atrophic endometrium with some 20% showing a secretory pattern.</w:t>
      </w:r>
    </w:p>
    <w:p w:rsidR="00BB7B6F" w:rsidRDefault="00BB7B6F" w:rsidP="002B73F1">
      <w:pPr>
        <w:pStyle w:val="Heading4"/>
      </w:pPr>
      <w:bookmarkStart w:id="178" w:name="_Toc243306673"/>
      <w:bookmarkStart w:id="179" w:name="_Toc241374322"/>
      <w:r>
        <w:lastRenderedPageBreak/>
        <w:t xml:space="preserve">Safety in special </w:t>
      </w:r>
      <w:r w:rsidRPr="002B73F1">
        <w:t>populations</w:t>
      </w:r>
      <w:bookmarkEnd w:id="178"/>
      <w:bookmarkEnd w:id="179"/>
    </w:p>
    <w:p w:rsidR="00BB7B6F" w:rsidRDefault="00BB7B6F" w:rsidP="002B73F1">
      <w:r>
        <w:t xml:space="preserve">No specific studies have been done in relation to </w:t>
      </w:r>
      <w:proofErr w:type="spellStart"/>
      <w:r>
        <w:t>YAZFlex</w:t>
      </w:r>
      <w:proofErr w:type="spellEnd"/>
      <w:r>
        <w:t>. Safety relating to renal impairment, hepatic impairment, age, gender and ethnicity is summarised in the sponsor’s Summary of Clinical Safety and is based on studies which were submitted with the original YAZ application already evaluated by the TGA.</w:t>
      </w:r>
    </w:p>
    <w:p w:rsidR="00BB7B6F" w:rsidRDefault="00BB7B6F" w:rsidP="002B73F1">
      <w:pPr>
        <w:pStyle w:val="Heading4"/>
      </w:pPr>
      <w:bookmarkStart w:id="180" w:name="_Toc243306674"/>
      <w:bookmarkStart w:id="181" w:name="_Toc241374323"/>
      <w:r w:rsidRPr="002B73F1">
        <w:t>Immunological</w:t>
      </w:r>
      <w:r>
        <w:t xml:space="preserve"> events</w:t>
      </w:r>
      <w:bookmarkEnd w:id="180"/>
      <w:bookmarkEnd w:id="181"/>
    </w:p>
    <w:p w:rsidR="00BB7B6F" w:rsidRDefault="00BB7B6F" w:rsidP="002B73F1">
      <w:r w:rsidRPr="00656E54">
        <w:t xml:space="preserve">None relevant; the same comment applies as for </w:t>
      </w:r>
      <w:r w:rsidRPr="00656E54">
        <w:rPr>
          <w:i/>
        </w:rPr>
        <w:t xml:space="preserve">Safety in </w:t>
      </w:r>
      <w:r>
        <w:rPr>
          <w:i/>
        </w:rPr>
        <w:t>S</w:t>
      </w:r>
      <w:r w:rsidRPr="00656E54">
        <w:rPr>
          <w:i/>
        </w:rPr>
        <w:t>pecial populations</w:t>
      </w:r>
      <w:r w:rsidRPr="00656E54">
        <w:t xml:space="preserve"> with regard to </w:t>
      </w:r>
      <w:r>
        <w:t xml:space="preserve">the </w:t>
      </w:r>
      <w:r w:rsidRPr="00656E54">
        <w:t>previous evaluation</w:t>
      </w:r>
      <w:r>
        <w:t xml:space="preserve"> by the TGA</w:t>
      </w:r>
      <w:r w:rsidRPr="00656E54">
        <w:t>.</w:t>
      </w:r>
    </w:p>
    <w:p w:rsidR="00BB7B6F" w:rsidRDefault="00BB7B6F" w:rsidP="002B73F1">
      <w:pPr>
        <w:pStyle w:val="Heading4"/>
      </w:pPr>
      <w:bookmarkStart w:id="182" w:name="_Toc243306675"/>
      <w:bookmarkStart w:id="183" w:name="_Toc241374324"/>
      <w:r>
        <w:t>Safety related to drug-drug interactions and other interactions</w:t>
      </w:r>
      <w:bookmarkEnd w:id="182"/>
      <w:bookmarkEnd w:id="183"/>
    </w:p>
    <w:p w:rsidR="00BB7B6F" w:rsidRDefault="00BB7B6F" w:rsidP="002B73F1">
      <w:bookmarkStart w:id="184" w:name="_Toc243306676"/>
      <w:bookmarkStart w:id="185" w:name="_Toc241374325"/>
      <w:r w:rsidRPr="00656E54">
        <w:t xml:space="preserve">None relevant; the same comment applies as for </w:t>
      </w:r>
      <w:r w:rsidRPr="00656E54">
        <w:rPr>
          <w:i/>
        </w:rPr>
        <w:t xml:space="preserve">Safety in </w:t>
      </w:r>
      <w:r>
        <w:rPr>
          <w:i/>
        </w:rPr>
        <w:t>S</w:t>
      </w:r>
      <w:r w:rsidRPr="00656E54">
        <w:rPr>
          <w:i/>
        </w:rPr>
        <w:t>pecial populations</w:t>
      </w:r>
      <w:r w:rsidRPr="00656E54">
        <w:t xml:space="preserve"> with regard to </w:t>
      </w:r>
      <w:r>
        <w:t xml:space="preserve">the </w:t>
      </w:r>
      <w:r w:rsidRPr="00656E54">
        <w:t>previous evaluation</w:t>
      </w:r>
      <w:r>
        <w:t xml:space="preserve"> by the TGA</w:t>
      </w:r>
      <w:r w:rsidRPr="00656E54">
        <w:t>.</w:t>
      </w:r>
    </w:p>
    <w:p w:rsidR="00BB7B6F" w:rsidRDefault="00BB7B6F" w:rsidP="002B73F1">
      <w:pPr>
        <w:pStyle w:val="Heading4"/>
      </w:pPr>
      <w:r w:rsidRPr="002B73F1">
        <w:t>Discontinuation</w:t>
      </w:r>
      <w:r>
        <w:t xml:space="preserve"> due to adverse events</w:t>
      </w:r>
      <w:bookmarkEnd w:id="184"/>
      <w:bookmarkEnd w:id="185"/>
    </w:p>
    <w:p w:rsidR="00BB7B6F" w:rsidRDefault="00BB7B6F" w:rsidP="002B73F1">
      <w:r>
        <w:t xml:space="preserve">In Study A40196, 78/1166 (6.7%) of subjects discontinued due to AE in Year 1; these comprised 6.1% of </w:t>
      </w:r>
      <w:proofErr w:type="spellStart"/>
      <w:r>
        <w:t>YAZFlex</w:t>
      </w:r>
      <w:proofErr w:type="spellEnd"/>
      <w:r>
        <w:t xml:space="preserve"> subjects, 11.0% of YAZ Extend subjects and 4.2% of YAZ subjects. Most withdrawals were related to symptoms commonly seen with OC administration including bleeding and spotting and menorrhagia, headache, nausea, irritability and migraine. The figures suggest that these symptoms were more prevalent with the longer extended cycles and are somewhat at odds with the efficacy data suggesting a reduction in menstruation related symptoms and the high degree of acceptability of the product. The finding may not be a real one as in Study A48294 , in which the overall incidence of AE and SAE was less, discontinuation due to AE were evenly distributed between the treatment groups. Alternatively, there may be a subpopulation at increased risk of development of these effects which was more strongly represented in the A40196 study population.</w:t>
      </w:r>
    </w:p>
    <w:p w:rsidR="00BB7B6F" w:rsidRPr="00AD62E8" w:rsidRDefault="00BB7B6F" w:rsidP="002B73F1">
      <w:pPr>
        <w:pStyle w:val="Heading4"/>
      </w:pPr>
      <w:bookmarkStart w:id="186" w:name="_Toc243306677"/>
      <w:bookmarkStart w:id="187" w:name="_Toc241374326"/>
      <w:proofErr w:type="spellStart"/>
      <w:r>
        <w:t>Postmarketing</w:t>
      </w:r>
      <w:proofErr w:type="spellEnd"/>
      <w:r>
        <w:t xml:space="preserve"> </w:t>
      </w:r>
      <w:r w:rsidRPr="002B73F1">
        <w:t>experience</w:t>
      </w:r>
      <w:bookmarkEnd w:id="186"/>
      <w:bookmarkEnd w:id="187"/>
    </w:p>
    <w:p w:rsidR="00BB7B6F" w:rsidRDefault="00BB7B6F" w:rsidP="002B73F1">
      <w:r>
        <w:t xml:space="preserve">There is no </w:t>
      </w:r>
      <w:proofErr w:type="spellStart"/>
      <w:r>
        <w:t>postmarketing</w:t>
      </w:r>
      <w:proofErr w:type="spellEnd"/>
      <w:r>
        <w:t xml:space="preserve"> experience with </w:t>
      </w:r>
      <w:proofErr w:type="spellStart"/>
      <w:r>
        <w:t>YAZFlex</w:t>
      </w:r>
      <w:proofErr w:type="spellEnd"/>
      <w:r>
        <w:t xml:space="preserve">, which has yet to be marketed. However, in the context of the finding of this evaluation that the safety profile of </w:t>
      </w:r>
      <w:proofErr w:type="spellStart"/>
      <w:r>
        <w:t>YAZFlex</w:t>
      </w:r>
      <w:proofErr w:type="spellEnd"/>
      <w:r>
        <w:t xml:space="preserve"> is closely related to and in most respects indistinguishable from that of YAZ, safety surveillance of YAZ is relevant. The sponsor’s Summary of Clinical Safety provides a comprehensive review of postmarketing surveillance of the company’s EE/DRSP products which have been marketed since 2000 (Yasmin, Europe) and more recently in the form of YAZ (2006, United States). There is a particularly detailed review of the EURAS and </w:t>
      </w:r>
      <w:proofErr w:type="spellStart"/>
      <w:r>
        <w:t>Ingenix</w:t>
      </w:r>
      <w:proofErr w:type="spellEnd"/>
      <w:r>
        <w:t xml:space="preserve"> studies, mentioned above, in relation to VTE risk for DRSP containing OC by comparison with those containing levonorgestrel and other forms of </w:t>
      </w:r>
      <w:proofErr w:type="spellStart"/>
      <w:r>
        <w:t>progestogen</w:t>
      </w:r>
      <w:proofErr w:type="spellEnd"/>
      <w:r>
        <w:t>. The data from these studies as presented in the sponsor's review suggest that VTE risk in these groups is comparable.</w:t>
      </w:r>
    </w:p>
    <w:p w:rsidR="00BB7B6F" w:rsidRPr="00AD62E8" w:rsidRDefault="00BB7B6F" w:rsidP="002B73F1">
      <w:pPr>
        <w:pStyle w:val="Heading4"/>
      </w:pPr>
      <w:bookmarkStart w:id="188" w:name="_Toc243306679"/>
      <w:bookmarkStart w:id="189" w:name="_Toc241374328"/>
      <w:r>
        <w:t xml:space="preserve">Evaluator’s overall conclusions on </w:t>
      </w:r>
      <w:r w:rsidRPr="002B73F1">
        <w:t>clinical</w:t>
      </w:r>
      <w:r>
        <w:t xml:space="preserve"> safety</w:t>
      </w:r>
      <w:bookmarkEnd w:id="188"/>
      <w:bookmarkEnd w:id="189"/>
    </w:p>
    <w:p w:rsidR="00BB7B6F" w:rsidRDefault="00BB7B6F" w:rsidP="002B73F1">
      <w:r>
        <w:t xml:space="preserve">With regard to the introductory comments made above, no differences are evident in either the nature or frequency of occurrence of AE reported in subjects using </w:t>
      </w:r>
      <w:proofErr w:type="spellStart"/>
      <w:r>
        <w:t>YAZFlex</w:t>
      </w:r>
      <w:proofErr w:type="spellEnd"/>
      <w:r>
        <w:t xml:space="preserve"> by comparison with control subjects using the conventional cyclical preparation YAZ. Some changes are evident in the distribution of common, menstrual cycle related symptoms; mostly these were experienced less commonly by subjects using the extended cycle preparation, but there may be a subgroup that subjectively reacts less well to this regimen. Both these observations are subject to selection bias in view of the open nature of the relevant studies.</w:t>
      </w:r>
    </w:p>
    <w:p w:rsidR="00BB7B6F" w:rsidRDefault="00BB7B6F" w:rsidP="002B73F1">
      <w:r>
        <w:lastRenderedPageBreak/>
        <w:t xml:space="preserve">Increased cumulative exposure to EE and DRSP is increased 5 to 10% with the use of </w:t>
      </w:r>
      <w:proofErr w:type="spellStart"/>
      <w:r>
        <w:t>YAZFlex</w:t>
      </w:r>
      <w:proofErr w:type="spellEnd"/>
      <w:r>
        <w:t xml:space="preserve"> by comparison with YAZ. This is not thought to be a level of concern. There is no evidence of endometrial safety being compromised by the extended cycle regimen.</w:t>
      </w:r>
    </w:p>
    <w:p w:rsidR="00BB7B6F" w:rsidRDefault="00BB7B6F" w:rsidP="002B73F1">
      <w:r>
        <w:t xml:space="preserve">The incidence of venous thromboembolism in the safety population using </w:t>
      </w:r>
      <w:proofErr w:type="spellStart"/>
      <w:r>
        <w:t>YAZFlex</w:t>
      </w:r>
      <w:proofErr w:type="spellEnd"/>
      <w:r>
        <w:t xml:space="preserve"> was within the range established for conventional cyclical EE/DRSP preparations and for OC generally, although as this is a rare side effect the statistical comparison cannot be made with confidence from the population size currently available for assessment.</w:t>
      </w:r>
    </w:p>
    <w:p w:rsidR="00BB7B6F" w:rsidRDefault="00BB7B6F" w:rsidP="002B73F1">
      <w:r>
        <w:t xml:space="preserve">All contraindications and precautionary statements applicable to YAZ should apply to </w:t>
      </w:r>
      <w:proofErr w:type="spellStart"/>
      <w:r>
        <w:t>YAZFlex</w:t>
      </w:r>
      <w:proofErr w:type="spellEnd"/>
      <w:r>
        <w:t xml:space="preserve"> on a continuing basis.</w:t>
      </w:r>
    </w:p>
    <w:p w:rsidR="00BB7B6F" w:rsidRPr="00AD62E8" w:rsidRDefault="00BB7B6F" w:rsidP="002B73F1">
      <w:pPr>
        <w:pStyle w:val="Heading3"/>
      </w:pPr>
      <w:bookmarkStart w:id="190" w:name="_Toc323821174"/>
      <w:bookmarkStart w:id="191" w:name="_Toc335040600"/>
      <w:bookmarkStart w:id="192" w:name="_Toc398110083"/>
      <w:bookmarkStart w:id="193" w:name="_Toc401835989"/>
      <w:r>
        <w:t xml:space="preserve">List of </w:t>
      </w:r>
      <w:r w:rsidR="002B73F1" w:rsidRPr="002B73F1">
        <w:t>q</w:t>
      </w:r>
      <w:r w:rsidRPr="002B73F1">
        <w:t>uestions</w:t>
      </w:r>
      <w:bookmarkEnd w:id="166"/>
      <w:bookmarkEnd w:id="167"/>
      <w:bookmarkEnd w:id="168"/>
      <w:bookmarkEnd w:id="190"/>
      <w:bookmarkEnd w:id="191"/>
      <w:bookmarkEnd w:id="192"/>
      <w:bookmarkEnd w:id="193"/>
    </w:p>
    <w:p w:rsidR="00BB7B6F" w:rsidRDefault="00BB7B6F" w:rsidP="002B73F1">
      <w:pPr>
        <w:pStyle w:val="Heading4"/>
      </w:pPr>
      <w:bookmarkStart w:id="194" w:name="_Toc243306683"/>
      <w:bookmarkStart w:id="195" w:name="_Toc247691523"/>
      <w:bookmarkStart w:id="196" w:name="_Toc184440295"/>
      <w:bookmarkStart w:id="197" w:name="_Toc184444673"/>
      <w:bookmarkStart w:id="198" w:name="_Toc196046503"/>
      <w:bookmarkEnd w:id="169"/>
      <w:r>
        <w:t>Efficacy</w:t>
      </w:r>
      <w:bookmarkEnd w:id="194"/>
    </w:p>
    <w:p w:rsidR="00BB7B6F" w:rsidRDefault="00BB7B6F" w:rsidP="002B73F1">
      <w:r>
        <w:t>The sponsor should be asked whether any evidence is available, or whether studies are in progress, to support the indication for use of the product in PMDD as discussed above.</w:t>
      </w:r>
    </w:p>
    <w:p w:rsidR="00BB7B6F" w:rsidRPr="006E137C" w:rsidRDefault="00BB7B6F" w:rsidP="002B73F1">
      <w:pPr>
        <w:pStyle w:val="Heading3"/>
      </w:pPr>
      <w:bookmarkStart w:id="199" w:name="_Toc323821175"/>
      <w:bookmarkStart w:id="200" w:name="_Toc335040601"/>
      <w:bookmarkStart w:id="201" w:name="_Toc398110084"/>
      <w:bookmarkStart w:id="202" w:name="_Toc401835990"/>
      <w:r>
        <w:t xml:space="preserve">Clinical </w:t>
      </w:r>
      <w:r w:rsidR="002B73F1">
        <w:t>s</w:t>
      </w:r>
      <w:r>
        <w:t xml:space="preserve">ummary and </w:t>
      </w:r>
      <w:r w:rsidR="002B73F1" w:rsidRPr="002B73F1">
        <w:t>c</w:t>
      </w:r>
      <w:r w:rsidRPr="002B73F1">
        <w:t>onclusions</w:t>
      </w:r>
      <w:bookmarkEnd w:id="195"/>
      <w:bookmarkEnd w:id="199"/>
      <w:bookmarkEnd w:id="200"/>
      <w:bookmarkEnd w:id="201"/>
      <w:bookmarkEnd w:id="202"/>
    </w:p>
    <w:p w:rsidR="00BB7B6F" w:rsidRPr="00AD62E8" w:rsidRDefault="00BB7B6F" w:rsidP="002B73F1">
      <w:pPr>
        <w:pStyle w:val="Heading4"/>
      </w:pPr>
      <w:bookmarkStart w:id="203" w:name="_Toc243306687"/>
      <w:bookmarkStart w:id="204" w:name="_Toc241374331"/>
      <w:bookmarkStart w:id="205" w:name="_Toc236802592"/>
      <w:bookmarkStart w:id="206" w:name="_Toc247691524"/>
      <w:bookmarkStart w:id="207" w:name="_Toc196046504"/>
      <w:bookmarkStart w:id="208" w:name="_Toc163441390"/>
      <w:bookmarkEnd w:id="196"/>
      <w:bookmarkEnd w:id="197"/>
      <w:bookmarkEnd w:id="198"/>
      <w:r w:rsidRPr="002B73F1">
        <w:t>Clinical</w:t>
      </w:r>
      <w:r w:rsidRPr="00656E54">
        <w:t xml:space="preserve"> aspects</w:t>
      </w:r>
      <w:bookmarkEnd w:id="203"/>
      <w:bookmarkEnd w:id="204"/>
      <w:bookmarkEnd w:id="205"/>
    </w:p>
    <w:p w:rsidR="00BB7B6F" w:rsidRDefault="00BB7B6F" w:rsidP="00897FA8">
      <w:r>
        <w:t>Please refer to evaluator’s summaries of pharmacokinetics, pharmacodynamics, clinical efficacy and clinical safety above.</w:t>
      </w:r>
    </w:p>
    <w:p w:rsidR="00BB7B6F" w:rsidRPr="00AD62E8" w:rsidRDefault="00BB7B6F" w:rsidP="00BB7B6F">
      <w:pPr>
        <w:pStyle w:val="Heading4"/>
      </w:pPr>
      <w:bookmarkStart w:id="209" w:name="_Toc243306688"/>
      <w:bookmarkStart w:id="210" w:name="_Toc236802594"/>
      <w:bookmarkStart w:id="211" w:name="_Toc241374332"/>
      <w:r>
        <w:t>Benefit risk assessment</w:t>
      </w:r>
      <w:bookmarkEnd w:id="209"/>
      <w:bookmarkEnd w:id="210"/>
      <w:bookmarkEnd w:id="211"/>
    </w:p>
    <w:p w:rsidR="00BB7B6F" w:rsidRDefault="00BB7B6F" w:rsidP="00897FA8">
      <w:r>
        <w:t xml:space="preserve">The comments in this section do not refer to the intrinsic benefit or safety specifications of the YAZ or </w:t>
      </w:r>
      <w:proofErr w:type="spellStart"/>
      <w:r>
        <w:t>YAZFlex</w:t>
      </w:r>
      <w:proofErr w:type="spellEnd"/>
      <w:r>
        <w:t xml:space="preserve"> treatment regimens. They specifically comprise </w:t>
      </w:r>
      <w:r w:rsidRPr="00921E42">
        <w:t xml:space="preserve">an assessment of incremental change in benefits and risk attributable to the characteristics of the </w:t>
      </w:r>
      <w:proofErr w:type="spellStart"/>
      <w:r>
        <w:t>YAZFlex</w:t>
      </w:r>
      <w:proofErr w:type="spellEnd"/>
      <w:r w:rsidRPr="00921E42">
        <w:t xml:space="preserve"> regimen with reference to the existing approved fixed 28 day cycl</w:t>
      </w:r>
      <w:r>
        <w:t>e YAZ regimen.</w:t>
      </w:r>
    </w:p>
    <w:p w:rsidR="00BB7B6F" w:rsidRDefault="00BB7B6F" w:rsidP="00897FA8">
      <w:r>
        <w:t xml:space="preserve">The sponsor's risk management plan (RMP) is an extensive 185 page document including comprehensive reviews of the literature particularly relating to established or perceived risks of OC use. The RMP makes specific mention that it relates to YAZ and that its findings will also apply to the extended cycle regimen of </w:t>
      </w:r>
      <w:proofErr w:type="spellStart"/>
      <w:r>
        <w:t>YAZFlex</w:t>
      </w:r>
      <w:proofErr w:type="spellEnd"/>
      <w:r>
        <w:t xml:space="preserve">. Breast cancer risk and venous thromboembolism receive particular attention. The RMP concludes with two commissioned external expert reports which are essentially rebuttals of the suggestion that there is a specific VTE risk associated with </w:t>
      </w:r>
      <w:proofErr w:type="spellStart"/>
      <w:r>
        <w:t>drospirenone</w:t>
      </w:r>
      <w:proofErr w:type="spellEnd"/>
      <w:r>
        <w:t xml:space="preserve"> as opposed to other </w:t>
      </w:r>
      <w:proofErr w:type="spellStart"/>
      <w:r>
        <w:t>progestogenic</w:t>
      </w:r>
      <w:proofErr w:type="spellEnd"/>
      <w:r>
        <w:t xml:space="preserve"> components of OCs.</w:t>
      </w:r>
    </w:p>
    <w:p w:rsidR="00BB7B6F" w:rsidRPr="00AD62E8" w:rsidRDefault="00BB7B6F" w:rsidP="00897FA8">
      <w:pPr>
        <w:pStyle w:val="Heading5"/>
      </w:pPr>
      <w:bookmarkStart w:id="212" w:name="_Toc243306689"/>
      <w:bookmarkStart w:id="213" w:name="_Toc241374333"/>
      <w:bookmarkStart w:id="214" w:name="_Toc236802595"/>
      <w:r w:rsidRPr="00897FA8">
        <w:t>Benefits</w:t>
      </w:r>
      <w:bookmarkEnd w:id="212"/>
      <w:bookmarkEnd w:id="213"/>
      <w:bookmarkEnd w:id="214"/>
    </w:p>
    <w:p w:rsidR="00BB7B6F" w:rsidRDefault="00BB7B6F" w:rsidP="00897FA8">
      <w:r>
        <w:t>The data reviewed in this evaluation provide sound evidence of benefits to the user in terms of reduction in bleeding and other menstrual cycle associated symptoms. These benefits do not have a major impact on health but enhance the convenience and overall acceptability of the product to the user. Contraceptive efficacy is unimpaired. Efficacy in terms of control of acne is not likely to be altered. Whether efficacy in control of PMDD symptoms will be maintained with the extended cycle regimen has yet to be established.</w:t>
      </w:r>
    </w:p>
    <w:p w:rsidR="00BB7B6F" w:rsidRPr="00AD62E8" w:rsidRDefault="00BB7B6F" w:rsidP="00897FA8">
      <w:pPr>
        <w:pStyle w:val="Heading5"/>
      </w:pPr>
      <w:bookmarkStart w:id="215" w:name="_Toc243306690"/>
      <w:bookmarkStart w:id="216" w:name="_Toc241374334"/>
      <w:bookmarkStart w:id="217" w:name="_Toc236802596"/>
      <w:r w:rsidRPr="00897FA8">
        <w:t>Risks</w:t>
      </w:r>
      <w:bookmarkEnd w:id="215"/>
      <w:bookmarkEnd w:id="216"/>
      <w:bookmarkEnd w:id="217"/>
    </w:p>
    <w:p w:rsidR="00BB7B6F" w:rsidRDefault="00BB7B6F" w:rsidP="00897FA8">
      <w:r>
        <w:t>No additional risks have been identified associated with the use of the extended cycle regimen. In particular, the possibility of a compromise to endometrial safety has been adequately excluded.</w:t>
      </w:r>
    </w:p>
    <w:p w:rsidR="00BB7B6F" w:rsidRDefault="00BB7B6F" w:rsidP="00897FA8">
      <w:pPr>
        <w:pStyle w:val="Heading5"/>
      </w:pPr>
      <w:bookmarkStart w:id="218" w:name="_Toc243306692"/>
      <w:bookmarkStart w:id="219" w:name="_Toc241374335"/>
      <w:bookmarkStart w:id="220" w:name="_Toc236802597"/>
      <w:r w:rsidRPr="00897FA8">
        <w:lastRenderedPageBreak/>
        <w:t>Balance</w:t>
      </w:r>
      <w:bookmarkEnd w:id="218"/>
      <w:bookmarkEnd w:id="219"/>
      <w:bookmarkEnd w:id="220"/>
    </w:p>
    <w:p w:rsidR="00BB7B6F" w:rsidRDefault="00BB7B6F" w:rsidP="00897FA8">
      <w:r>
        <w:t>The benefit/risk equation for the use of the extended cycle regimen is favourable on the premise that less frequent menstruation is desired by the user; there is no adverse implication for the use of the standard monthly cycle regimen as an alternative approach.</w:t>
      </w:r>
    </w:p>
    <w:p w:rsidR="00BB7B6F" w:rsidRPr="00AD62E8" w:rsidRDefault="00BB7B6F" w:rsidP="00897FA8">
      <w:pPr>
        <w:pStyle w:val="Heading4"/>
      </w:pPr>
      <w:bookmarkStart w:id="221" w:name="_Toc243306693"/>
      <w:bookmarkStart w:id="222" w:name="_Toc241374336"/>
      <w:r w:rsidRPr="00897FA8">
        <w:t>Conclusions</w:t>
      </w:r>
      <w:bookmarkEnd w:id="221"/>
      <w:bookmarkEnd w:id="222"/>
    </w:p>
    <w:p w:rsidR="00BB7B6F" w:rsidRDefault="00BB7B6F" w:rsidP="00897FA8">
      <w:proofErr w:type="spellStart"/>
      <w:r>
        <w:t>YAZFlex</w:t>
      </w:r>
      <w:proofErr w:type="spellEnd"/>
      <w:r>
        <w:t xml:space="preserve"> is suitable for clinical use by women seeking oral contraception who prefer the extended cycle, ‘managed bleeding’ approach to menstrual cycle control.</w:t>
      </w:r>
    </w:p>
    <w:p w:rsidR="00BB7B6F" w:rsidRDefault="00BB7B6F" w:rsidP="00897FA8">
      <w:pPr>
        <w:pStyle w:val="Heading4"/>
      </w:pPr>
      <w:bookmarkStart w:id="223" w:name="_Toc243306694"/>
      <w:bookmarkStart w:id="224" w:name="_Toc241374338"/>
      <w:r>
        <w:t xml:space="preserve">Recommended </w:t>
      </w:r>
      <w:r w:rsidR="00897FA8">
        <w:t>c</w:t>
      </w:r>
      <w:r>
        <w:t xml:space="preserve">onditions for </w:t>
      </w:r>
      <w:r w:rsidR="00897FA8" w:rsidRPr="00897FA8">
        <w:t>r</w:t>
      </w:r>
      <w:r w:rsidRPr="00897FA8">
        <w:t>egistration</w:t>
      </w:r>
      <w:r>
        <w:t xml:space="preserve"> </w:t>
      </w:r>
      <w:bookmarkEnd w:id="223"/>
      <w:bookmarkEnd w:id="224"/>
    </w:p>
    <w:p w:rsidR="00BB7B6F" w:rsidRDefault="00BB7B6F" w:rsidP="00897FA8">
      <w:proofErr w:type="spellStart"/>
      <w:r>
        <w:t>YAZFlex</w:t>
      </w:r>
      <w:proofErr w:type="spellEnd"/>
      <w:r>
        <w:t xml:space="preserve"> is suitable for registration provided that:</w:t>
      </w:r>
    </w:p>
    <w:p w:rsidR="00BB7B6F" w:rsidRDefault="00BB7B6F" w:rsidP="00897FA8">
      <w:pPr>
        <w:pStyle w:val="Numberbullet2"/>
        <w:ind w:left="426"/>
      </w:pPr>
      <w:r>
        <w:t>all aspects of safety monitoring continue as for the sponsor's existing registered product YAZ; and</w:t>
      </w:r>
    </w:p>
    <w:p w:rsidR="00BB7B6F" w:rsidRDefault="00BB7B6F" w:rsidP="00897FA8">
      <w:pPr>
        <w:pStyle w:val="Numberbullet2"/>
        <w:ind w:left="426"/>
      </w:pPr>
      <w:proofErr w:type="gramStart"/>
      <w:r>
        <w:t>the</w:t>
      </w:r>
      <w:proofErr w:type="gramEnd"/>
      <w:r>
        <w:t xml:space="preserve"> sponsor undertakes to provide evidence of efficacy in relation to the indication for treatment of premenstrual dysphoric disorder.</w:t>
      </w:r>
    </w:p>
    <w:p w:rsidR="00BB7B6F" w:rsidRDefault="00BB7B6F" w:rsidP="00897FA8">
      <w:pPr>
        <w:pStyle w:val="Heading2"/>
      </w:pPr>
      <w:bookmarkStart w:id="225" w:name="_Toc323821176"/>
      <w:bookmarkStart w:id="226" w:name="_Toc335040602"/>
      <w:bookmarkStart w:id="227" w:name="_Toc398110085"/>
      <w:bookmarkStart w:id="228" w:name="_Toc401835991"/>
      <w:r>
        <w:t xml:space="preserve">V. </w:t>
      </w:r>
      <w:proofErr w:type="spellStart"/>
      <w:r>
        <w:t>Pharmacovigilance</w:t>
      </w:r>
      <w:proofErr w:type="spellEnd"/>
      <w:r>
        <w:t xml:space="preserve"> </w:t>
      </w:r>
      <w:r w:rsidR="00897FA8" w:rsidRPr="00897FA8">
        <w:t>f</w:t>
      </w:r>
      <w:r w:rsidRPr="00897FA8">
        <w:t>indings</w:t>
      </w:r>
      <w:bookmarkEnd w:id="206"/>
      <w:bookmarkEnd w:id="225"/>
      <w:bookmarkEnd w:id="226"/>
      <w:bookmarkEnd w:id="227"/>
      <w:bookmarkEnd w:id="228"/>
    </w:p>
    <w:p w:rsidR="00BB7B6F" w:rsidRDefault="00BB7B6F" w:rsidP="00CF723F">
      <w:pPr>
        <w:pStyle w:val="Heading3"/>
        <w:rPr>
          <w:lang w:eastAsia="en-AU"/>
        </w:rPr>
      </w:pPr>
      <w:bookmarkStart w:id="229" w:name="_Toc247691526"/>
      <w:bookmarkStart w:id="230" w:name="_Toc323821177"/>
      <w:bookmarkStart w:id="231" w:name="_Toc335040603"/>
      <w:bookmarkStart w:id="232" w:name="_Toc398110086"/>
      <w:bookmarkStart w:id="233" w:name="_Toc401835992"/>
      <w:r>
        <w:rPr>
          <w:lang w:eastAsia="en-AU"/>
        </w:rPr>
        <w:t xml:space="preserve">Risk </w:t>
      </w:r>
      <w:r w:rsidR="00CF723F">
        <w:t>m</w:t>
      </w:r>
      <w:r w:rsidRPr="00897FA8">
        <w:t>anagement</w:t>
      </w:r>
      <w:r>
        <w:rPr>
          <w:lang w:eastAsia="en-AU"/>
        </w:rPr>
        <w:t xml:space="preserve"> </w:t>
      </w:r>
      <w:r w:rsidR="00CF723F" w:rsidRPr="00CF723F">
        <w:t>p</w:t>
      </w:r>
      <w:r w:rsidRPr="00CF723F">
        <w:t>lan</w:t>
      </w:r>
      <w:bookmarkEnd w:id="229"/>
      <w:bookmarkEnd w:id="230"/>
      <w:bookmarkEnd w:id="231"/>
      <w:bookmarkEnd w:id="232"/>
      <w:bookmarkEnd w:id="233"/>
    </w:p>
    <w:p w:rsidR="00BB7B6F" w:rsidRDefault="00BB7B6F" w:rsidP="00897FA8">
      <w:pPr>
        <w:rPr>
          <w:lang w:eastAsia="en-AU"/>
        </w:rPr>
      </w:pPr>
      <w:r>
        <w:rPr>
          <w:lang w:eastAsia="en-AU"/>
        </w:rPr>
        <w:t>The sponsor submitted a Risk Management Plan which was reviewed by the TGA’s Office of Product Review (OPR).</w:t>
      </w:r>
    </w:p>
    <w:p w:rsidR="00BB7B6F" w:rsidRDefault="00BB7B6F" w:rsidP="00897FA8">
      <w:pPr>
        <w:pStyle w:val="Heading4"/>
        <w:rPr>
          <w:lang w:eastAsia="en-AU"/>
        </w:rPr>
      </w:pPr>
      <w:r>
        <w:rPr>
          <w:lang w:eastAsia="en-AU"/>
        </w:rPr>
        <w:t xml:space="preserve">Safety </w:t>
      </w:r>
      <w:r w:rsidR="00897FA8" w:rsidRPr="00897FA8">
        <w:t>s</w:t>
      </w:r>
      <w:r w:rsidRPr="00897FA8">
        <w:t>pecification</w:t>
      </w:r>
    </w:p>
    <w:p w:rsidR="00BB7B6F" w:rsidRDefault="00BB7B6F" w:rsidP="00897FA8">
      <w:pPr>
        <w:rPr>
          <w:lang w:eastAsia="en-AU"/>
        </w:rPr>
      </w:pPr>
      <w:r>
        <w:rPr>
          <w:lang w:eastAsia="en-AU"/>
        </w:rPr>
        <w:t>The sponsor provided a summary of Ongoing Safety Concerns which are shown at Table 13.</w:t>
      </w:r>
    </w:p>
    <w:p w:rsidR="00BB7B6F" w:rsidRDefault="00BB7B6F" w:rsidP="00897FA8">
      <w:pPr>
        <w:pStyle w:val="TableTitle"/>
        <w:rPr>
          <w:lang w:eastAsia="en-AU"/>
        </w:rPr>
      </w:pPr>
      <w:proofErr w:type="gramStart"/>
      <w:r>
        <w:rPr>
          <w:lang w:eastAsia="en-AU"/>
        </w:rPr>
        <w:t>Table 13.</w:t>
      </w:r>
      <w:proofErr w:type="gramEnd"/>
      <w:r>
        <w:rPr>
          <w:lang w:eastAsia="en-AU"/>
        </w:rPr>
        <w:t xml:space="preserve"> Ongoing Safety Concerns</w:t>
      </w:r>
    </w:p>
    <w:tbl>
      <w:tblPr>
        <w:tblStyle w:val="TableTGAblue"/>
        <w:tblW w:w="0" w:type="auto"/>
        <w:tblLook w:val="0480" w:firstRow="0" w:lastRow="0" w:firstColumn="1" w:lastColumn="0" w:noHBand="0" w:noVBand="1"/>
      </w:tblPr>
      <w:tblGrid>
        <w:gridCol w:w="4318"/>
        <w:gridCol w:w="4154"/>
      </w:tblGrid>
      <w:tr w:rsidR="00BB7B6F" w:rsidRPr="00B3427F" w:rsidTr="00897FA8">
        <w:tc>
          <w:tcPr>
            <w:tcW w:w="4318" w:type="dxa"/>
            <w:shd w:val="clear" w:color="auto" w:fill="006DA7"/>
            <w:hideMark/>
          </w:tcPr>
          <w:p w:rsidR="00BB7B6F" w:rsidRPr="00897FA8" w:rsidRDefault="00BB7B6F" w:rsidP="00897FA8">
            <w:pPr>
              <w:rPr>
                <w:b/>
                <w:color w:val="FFFFFF" w:themeColor="background1"/>
                <w:kern w:val="16"/>
              </w:rPr>
            </w:pPr>
            <w:r w:rsidRPr="00897FA8">
              <w:rPr>
                <w:b/>
                <w:color w:val="FFFFFF" w:themeColor="background1"/>
              </w:rPr>
              <w:t>Important identified risks</w:t>
            </w:r>
          </w:p>
        </w:tc>
        <w:tc>
          <w:tcPr>
            <w:tcW w:w="4154" w:type="dxa"/>
            <w:hideMark/>
          </w:tcPr>
          <w:p w:rsidR="00BB7B6F" w:rsidRPr="00B3427F" w:rsidRDefault="00BB7B6F" w:rsidP="00897FA8">
            <w:pPr>
              <w:rPr>
                <w:rFonts w:eastAsia="TimesNewRoman" w:cs="TimesNewRoman"/>
              </w:rPr>
            </w:pPr>
            <w:r w:rsidRPr="00B3427F">
              <w:rPr>
                <w:rFonts w:eastAsia="TimesNewRoman" w:cs="TimesNewRoman"/>
              </w:rPr>
              <w:t>Venous thromboembolism</w:t>
            </w:r>
          </w:p>
          <w:p w:rsidR="00BB7B6F" w:rsidRPr="00B3427F" w:rsidRDefault="00BB7B6F" w:rsidP="00897FA8">
            <w:pPr>
              <w:rPr>
                <w:rFonts w:eastAsia="TimesNewRoman" w:cs="TimesNewRoman"/>
              </w:rPr>
            </w:pPr>
            <w:r w:rsidRPr="00B3427F">
              <w:rPr>
                <w:rFonts w:eastAsia="TimesNewRoman" w:cs="TimesNewRoman"/>
              </w:rPr>
              <w:t>Arterial thromboembolism</w:t>
            </w:r>
          </w:p>
          <w:p w:rsidR="00BB7B6F" w:rsidRPr="00B3427F" w:rsidRDefault="00BB7B6F" w:rsidP="00897FA8">
            <w:pPr>
              <w:rPr>
                <w:rFonts w:eastAsia="TimesNewRoman" w:cs="TimesNewRoman"/>
              </w:rPr>
            </w:pPr>
            <w:r w:rsidRPr="00B3427F">
              <w:rPr>
                <w:rFonts w:eastAsia="TimesNewRoman" w:cs="TimesNewRoman"/>
              </w:rPr>
              <w:t>Breast cancer</w:t>
            </w:r>
          </w:p>
          <w:p w:rsidR="00BB7B6F" w:rsidRPr="00B3427F" w:rsidRDefault="00BB7B6F" w:rsidP="00897FA8">
            <w:pPr>
              <w:rPr>
                <w:rFonts w:eastAsia="TimesNewRoman" w:cs="TimesNewRoman"/>
              </w:rPr>
            </w:pPr>
            <w:r w:rsidRPr="00B3427F">
              <w:rPr>
                <w:rFonts w:eastAsia="TimesNewRoman" w:cs="TimesNewRoman"/>
              </w:rPr>
              <w:t xml:space="preserve">Benign and malignant liver </w:t>
            </w:r>
            <w:proofErr w:type="spellStart"/>
            <w:r w:rsidRPr="00B3427F">
              <w:rPr>
                <w:rFonts w:eastAsia="TimesNewRoman" w:cs="TimesNewRoman"/>
              </w:rPr>
              <w:t>tumors</w:t>
            </w:r>
            <w:proofErr w:type="spellEnd"/>
          </w:p>
          <w:p w:rsidR="00BB7B6F" w:rsidRPr="00B3427F" w:rsidRDefault="00BB7B6F" w:rsidP="00897FA8">
            <w:pPr>
              <w:rPr>
                <w:rFonts w:eastAsia="TimesNewRoman" w:cs="TimesNewRoman"/>
              </w:rPr>
            </w:pPr>
            <w:r w:rsidRPr="00B3427F">
              <w:rPr>
                <w:rFonts w:eastAsia="TimesNewRoman" w:cs="TimesNewRoman"/>
              </w:rPr>
              <w:t>Disturbances of liver function</w:t>
            </w:r>
          </w:p>
          <w:p w:rsidR="00BB7B6F" w:rsidRPr="00B3427F" w:rsidRDefault="00BB7B6F" w:rsidP="00897FA8">
            <w:pPr>
              <w:rPr>
                <w:rFonts w:eastAsia="TimesNewRoman" w:cs="TimesNewRoman"/>
              </w:rPr>
            </w:pPr>
            <w:r w:rsidRPr="00B3427F">
              <w:rPr>
                <w:rFonts w:eastAsia="TimesNewRoman" w:cs="TimesNewRoman"/>
              </w:rPr>
              <w:t>Pancreatitis</w:t>
            </w:r>
          </w:p>
          <w:p w:rsidR="00BB7B6F" w:rsidRPr="00B3427F" w:rsidRDefault="00BB7B6F" w:rsidP="00897FA8">
            <w:pPr>
              <w:rPr>
                <w:rFonts w:eastAsia="TimesNewRoman" w:cs="TimesNewRoman"/>
              </w:rPr>
            </w:pPr>
            <w:r w:rsidRPr="00B3427F">
              <w:rPr>
                <w:rFonts w:eastAsia="TimesNewRoman" w:cs="TimesNewRoman"/>
              </w:rPr>
              <w:t>Increases in blood pressure</w:t>
            </w:r>
          </w:p>
          <w:p w:rsidR="00BB7B6F" w:rsidRPr="00B3427F" w:rsidRDefault="00BB7B6F" w:rsidP="00897FA8">
            <w:pPr>
              <w:rPr>
                <w:kern w:val="16"/>
              </w:rPr>
            </w:pPr>
            <w:r w:rsidRPr="00B3427F">
              <w:rPr>
                <w:rFonts w:eastAsia="TimesNewRoman" w:cs="TimesNewRoman"/>
              </w:rPr>
              <w:t>Effect on hereditary angioedema</w:t>
            </w:r>
          </w:p>
        </w:tc>
      </w:tr>
      <w:tr w:rsidR="00BB7B6F" w:rsidRPr="00B3427F" w:rsidTr="00897FA8">
        <w:tc>
          <w:tcPr>
            <w:tcW w:w="4318" w:type="dxa"/>
            <w:shd w:val="clear" w:color="auto" w:fill="006DA7"/>
            <w:hideMark/>
          </w:tcPr>
          <w:p w:rsidR="00BB7B6F" w:rsidRPr="00897FA8" w:rsidRDefault="00BB7B6F" w:rsidP="00897FA8">
            <w:pPr>
              <w:rPr>
                <w:b/>
                <w:color w:val="FFFFFF" w:themeColor="background1"/>
                <w:kern w:val="16"/>
              </w:rPr>
            </w:pPr>
            <w:r w:rsidRPr="00897FA8">
              <w:rPr>
                <w:b/>
                <w:color w:val="FFFFFF" w:themeColor="background1"/>
              </w:rPr>
              <w:t>Important potential risks</w:t>
            </w:r>
          </w:p>
        </w:tc>
        <w:tc>
          <w:tcPr>
            <w:tcW w:w="4154" w:type="dxa"/>
            <w:hideMark/>
          </w:tcPr>
          <w:p w:rsidR="00BB7B6F" w:rsidRPr="00B3427F" w:rsidRDefault="00BB7B6F" w:rsidP="00897FA8">
            <w:pPr>
              <w:rPr>
                <w:rFonts w:eastAsia="TimesNewRoman" w:cs="TimesNewRoman"/>
              </w:rPr>
            </w:pPr>
            <w:r w:rsidRPr="00B3427F">
              <w:rPr>
                <w:rFonts w:eastAsia="TimesNewRoman" w:cs="TimesNewRoman"/>
              </w:rPr>
              <w:t>Unrecognized pregnancy</w:t>
            </w:r>
          </w:p>
          <w:p w:rsidR="00BB7B6F" w:rsidRPr="00B3427F" w:rsidRDefault="00BB7B6F" w:rsidP="00897FA8">
            <w:pPr>
              <w:rPr>
                <w:rFonts w:eastAsia="TimesNewRoman" w:cs="TimesNewRoman"/>
              </w:rPr>
            </w:pPr>
            <w:r w:rsidRPr="00B3427F">
              <w:rPr>
                <w:rFonts w:eastAsia="TimesNewRoman" w:cs="TimesNewRoman"/>
              </w:rPr>
              <w:t>Cervical cancer</w:t>
            </w:r>
          </w:p>
          <w:p w:rsidR="00BB7B6F" w:rsidRPr="00B3427F" w:rsidRDefault="00BB7B6F" w:rsidP="00897FA8">
            <w:pPr>
              <w:rPr>
                <w:rFonts w:eastAsia="TimesNewRoman" w:cs="TimesNewRoman"/>
              </w:rPr>
            </w:pPr>
            <w:r w:rsidRPr="00B3427F">
              <w:rPr>
                <w:rFonts w:eastAsia="TimesNewRoman" w:cs="TimesNewRoman"/>
              </w:rPr>
              <w:t>Worsening of depression</w:t>
            </w:r>
          </w:p>
          <w:p w:rsidR="00BB7B6F" w:rsidRPr="00B3427F" w:rsidRDefault="00BB7B6F" w:rsidP="00897FA8">
            <w:pPr>
              <w:rPr>
                <w:rFonts w:eastAsia="TimesNewRoman" w:cs="TimesNewRoman"/>
              </w:rPr>
            </w:pPr>
            <w:proofErr w:type="spellStart"/>
            <w:r w:rsidRPr="00B3427F">
              <w:rPr>
                <w:rFonts w:eastAsia="TimesNewRoman" w:cs="TimesNewRoman"/>
              </w:rPr>
              <w:t>Crohns</w:t>
            </w:r>
            <w:proofErr w:type="spellEnd"/>
            <w:r w:rsidRPr="00B3427F">
              <w:rPr>
                <w:rFonts w:eastAsia="TimesNewRoman" w:cs="TimesNewRoman"/>
              </w:rPr>
              <w:t xml:space="preserve"> disease and ulcerative colitis</w:t>
            </w:r>
          </w:p>
          <w:p w:rsidR="00BB7B6F" w:rsidRPr="00B3427F" w:rsidRDefault="00BB7B6F" w:rsidP="00897FA8">
            <w:pPr>
              <w:rPr>
                <w:rFonts w:eastAsia="TimesNewRoman" w:cs="TimesNewRoman"/>
              </w:rPr>
            </w:pPr>
            <w:r w:rsidRPr="00B3427F">
              <w:rPr>
                <w:rFonts w:eastAsia="TimesNewRoman" w:cs="TimesNewRoman"/>
              </w:rPr>
              <w:t>Insulin resistance</w:t>
            </w:r>
          </w:p>
          <w:p w:rsidR="00BB7B6F" w:rsidRPr="00B3427F" w:rsidRDefault="00BB7B6F" w:rsidP="00897FA8">
            <w:pPr>
              <w:rPr>
                <w:rFonts w:eastAsia="TimesNewRoman" w:cs="TimesNewRoman"/>
              </w:rPr>
            </w:pPr>
            <w:proofErr w:type="spellStart"/>
            <w:r w:rsidRPr="00B3427F">
              <w:rPr>
                <w:rFonts w:eastAsia="TimesNewRoman" w:cs="TimesNewRoman"/>
              </w:rPr>
              <w:t>Hyperkalemia</w:t>
            </w:r>
            <w:proofErr w:type="spellEnd"/>
          </w:p>
          <w:p w:rsidR="00BB7B6F" w:rsidRPr="00B3427F" w:rsidRDefault="00BB7B6F" w:rsidP="00897FA8">
            <w:pPr>
              <w:rPr>
                <w:kern w:val="16"/>
              </w:rPr>
            </w:pPr>
            <w:r w:rsidRPr="00B3427F">
              <w:rPr>
                <w:rFonts w:eastAsia="TimesNewRoman" w:cs="TimesNewRoman"/>
              </w:rPr>
              <w:lastRenderedPageBreak/>
              <w:t>Unrecognized pregnancy</w:t>
            </w:r>
          </w:p>
        </w:tc>
      </w:tr>
      <w:tr w:rsidR="00BB7B6F" w:rsidRPr="00B3427F" w:rsidTr="00897FA8">
        <w:tc>
          <w:tcPr>
            <w:tcW w:w="4318" w:type="dxa"/>
            <w:shd w:val="clear" w:color="auto" w:fill="006DA7"/>
            <w:hideMark/>
          </w:tcPr>
          <w:p w:rsidR="00BB7B6F" w:rsidRPr="00897FA8" w:rsidRDefault="00BB7B6F" w:rsidP="00897FA8">
            <w:pPr>
              <w:rPr>
                <w:b/>
                <w:color w:val="FFFFFF" w:themeColor="background1"/>
                <w:kern w:val="16"/>
              </w:rPr>
            </w:pPr>
            <w:r w:rsidRPr="00897FA8">
              <w:rPr>
                <w:b/>
                <w:color w:val="FFFFFF" w:themeColor="background1"/>
              </w:rPr>
              <w:lastRenderedPageBreak/>
              <w:t>Important missing information</w:t>
            </w:r>
          </w:p>
        </w:tc>
        <w:tc>
          <w:tcPr>
            <w:tcW w:w="4154" w:type="dxa"/>
            <w:hideMark/>
          </w:tcPr>
          <w:p w:rsidR="00BB7B6F" w:rsidRPr="00B3427F" w:rsidRDefault="00BB7B6F" w:rsidP="00897FA8">
            <w:pPr>
              <w:rPr>
                <w:rFonts w:eastAsia="TimesNewRoman" w:cs="TimesNewRoman"/>
              </w:rPr>
            </w:pPr>
            <w:r w:rsidRPr="00B3427F">
              <w:rPr>
                <w:rFonts w:eastAsia="TimesNewRoman" w:cs="TimesNewRoman"/>
              </w:rPr>
              <w:t>No important missing information associated with YAZ</w:t>
            </w:r>
          </w:p>
          <w:p w:rsidR="00BB7B6F" w:rsidRPr="00B3427F" w:rsidRDefault="00BB7B6F" w:rsidP="00897FA8">
            <w:pPr>
              <w:rPr>
                <w:kern w:val="16"/>
              </w:rPr>
            </w:pPr>
            <w:r w:rsidRPr="00B3427F">
              <w:rPr>
                <w:rFonts w:eastAsia="TimesNewRoman" w:cs="TimesNewRoman"/>
              </w:rPr>
              <w:t>Flex has been identified</w:t>
            </w:r>
          </w:p>
        </w:tc>
      </w:tr>
    </w:tbl>
    <w:p w:rsidR="00BB7B6F" w:rsidRDefault="00BB7B6F" w:rsidP="00897FA8">
      <w:pPr>
        <w:rPr>
          <w:kern w:val="16"/>
        </w:rPr>
      </w:pPr>
      <w:r>
        <w:t>The above sponsor summary of the Ongoing Safety Concerns was considered acceptable by the TGA.</w:t>
      </w:r>
    </w:p>
    <w:p w:rsidR="00BB7B6F" w:rsidRPr="00AD62E8" w:rsidRDefault="00BB7B6F" w:rsidP="00897FA8">
      <w:pPr>
        <w:pStyle w:val="Heading4"/>
      </w:pPr>
      <w:proofErr w:type="spellStart"/>
      <w:r>
        <w:rPr>
          <w:lang w:eastAsia="en-AU"/>
        </w:rPr>
        <w:t>Pharmacovigilance</w:t>
      </w:r>
      <w:proofErr w:type="spellEnd"/>
      <w:r>
        <w:rPr>
          <w:lang w:eastAsia="en-AU"/>
        </w:rPr>
        <w:t xml:space="preserve"> </w:t>
      </w:r>
      <w:r w:rsidR="00897FA8" w:rsidRPr="00897FA8">
        <w:t>p</w:t>
      </w:r>
      <w:r w:rsidRPr="00897FA8">
        <w:t>lan</w:t>
      </w:r>
    </w:p>
    <w:p w:rsidR="00BB7B6F" w:rsidRDefault="00BB7B6F" w:rsidP="00897FA8">
      <w:r>
        <w:t>The sponsor has proposed to undertake a combination of routine</w:t>
      </w:r>
      <w:r>
        <w:rPr>
          <w:rStyle w:val="FootnoteReference"/>
        </w:rPr>
        <w:footnoteReference w:id="8"/>
      </w:r>
      <w:r>
        <w:t xml:space="preserve"> and additional pharmacovigilance activities for the ongoing safety concerns.</w:t>
      </w:r>
    </w:p>
    <w:p w:rsidR="00BB7B6F" w:rsidRDefault="00BB7B6F" w:rsidP="00897FA8">
      <w:r>
        <w:t>The sponsor was requested to provide additional information on additional pharmacovigilance activities to the TGA. The below sections on pharmacovigilance have been updated to reflect the additional information submitted by the sponsor as a result of this request. In addition, study information was also gathered from clinicaltrials.gov</w:t>
      </w:r>
      <w:r>
        <w:rPr>
          <w:vertAlign w:val="superscript"/>
        </w:rPr>
        <w:t>1</w:t>
      </w:r>
      <w:r>
        <w:t>.</w:t>
      </w:r>
    </w:p>
    <w:p w:rsidR="00BB7B6F" w:rsidRDefault="00BB7B6F" w:rsidP="00897FA8">
      <w:pPr>
        <w:pStyle w:val="Heading5"/>
      </w:pPr>
      <w:r>
        <w:t xml:space="preserve">Additional </w:t>
      </w:r>
      <w:proofErr w:type="spellStart"/>
      <w:r w:rsidRPr="00897FA8">
        <w:t>pharmacovigilance</w:t>
      </w:r>
      <w:proofErr w:type="spellEnd"/>
      <w:r>
        <w:t xml:space="preserve"> activities</w:t>
      </w:r>
    </w:p>
    <w:p w:rsidR="00BB7B6F" w:rsidRDefault="00BB7B6F" w:rsidP="00897FA8">
      <w:pPr>
        <w:pStyle w:val="Heading6"/>
      </w:pPr>
      <w:r>
        <w:rPr>
          <w:rFonts w:eastAsia="TimesNewRoman"/>
        </w:rPr>
        <w:t xml:space="preserve">Monthly targeted </w:t>
      </w:r>
      <w:r w:rsidRPr="00897FA8">
        <w:rPr>
          <w:rFonts w:eastAsia="TimesNewRoman"/>
        </w:rPr>
        <w:t>ongoing</w:t>
      </w:r>
      <w:r>
        <w:rPr>
          <w:rFonts w:eastAsia="TimesNewRoman"/>
        </w:rPr>
        <w:t xml:space="preserve"> monitoring</w:t>
      </w:r>
    </w:p>
    <w:p w:rsidR="00BB7B6F" w:rsidRDefault="00BB7B6F" w:rsidP="00897FA8">
      <w:r>
        <w:t>The aim of the targeted monthly ongoing monitoring report is to:</w:t>
      </w:r>
    </w:p>
    <w:p w:rsidR="00BB7B6F" w:rsidRPr="00897FA8" w:rsidRDefault="00BB7B6F" w:rsidP="00897FA8">
      <w:pPr>
        <w:pStyle w:val="ListBullet"/>
      </w:pPr>
      <w:r w:rsidRPr="00897FA8">
        <w:t xml:space="preserve">Monitor the number and types of thromboembolic events from various sources; </w:t>
      </w:r>
    </w:p>
    <w:p w:rsidR="00BB7B6F" w:rsidRPr="00897FA8" w:rsidRDefault="00BB7B6F" w:rsidP="00897FA8">
      <w:pPr>
        <w:pStyle w:val="ListBullet"/>
      </w:pPr>
      <w:r w:rsidRPr="00897FA8">
        <w:t>Provide information for review regarding reporting frequencies, outcomes and geographic distribution of events;</w:t>
      </w:r>
    </w:p>
    <w:p w:rsidR="00BB7B6F" w:rsidRPr="00897FA8" w:rsidRDefault="00BB7B6F" w:rsidP="00897FA8">
      <w:pPr>
        <w:pStyle w:val="ListBullet"/>
      </w:pPr>
      <w:r w:rsidRPr="00897FA8">
        <w:t>Document the trends in reporting rates over time. For the purpose of the targeted monthly monitoring, sales data are used to estimate patient exposure.</w:t>
      </w:r>
    </w:p>
    <w:p w:rsidR="00BB7B6F" w:rsidRPr="00B3427F" w:rsidRDefault="00BB7B6F" w:rsidP="00897FA8">
      <w:r w:rsidRPr="00B3427F">
        <w:t>Regular monitoring of reporting rates is expected to improve the interpretation of generated postmarketing safety data and support timely detection of potential safety signals.</w:t>
      </w:r>
    </w:p>
    <w:p w:rsidR="00BB7B6F" w:rsidRDefault="00BB7B6F" w:rsidP="00897FA8">
      <w:pPr>
        <w:pStyle w:val="Heading6"/>
      </w:pPr>
      <w:r>
        <w:t xml:space="preserve">Post </w:t>
      </w:r>
      <w:r w:rsidRPr="00897FA8">
        <w:t>authorisation</w:t>
      </w:r>
      <w:r>
        <w:t xml:space="preserve"> safety studies</w:t>
      </w:r>
    </w:p>
    <w:p w:rsidR="00BB7B6F" w:rsidRPr="00AD62E8" w:rsidRDefault="00BB7B6F" w:rsidP="00897FA8">
      <w:pPr>
        <w:pStyle w:val="TableTitle"/>
      </w:pPr>
      <w:proofErr w:type="gramStart"/>
      <w:r>
        <w:t>Table 14.</w:t>
      </w:r>
      <w:proofErr w:type="gramEnd"/>
      <w:r>
        <w:t xml:space="preserve"> Post authorisation safety studies</w:t>
      </w:r>
    </w:p>
    <w:tbl>
      <w:tblPr>
        <w:tblStyle w:val="TableTGAblue"/>
        <w:tblW w:w="0" w:type="auto"/>
        <w:tblLook w:val="04A0" w:firstRow="1" w:lastRow="0" w:firstColumn="1" w:lastColumn="0" w:noHBand="0" w:noVBand="1"/>
      </w:tblPr>
      <w:tblGrid>
        <w:gridCol w:w="1985"/>
        <w:gridCol w:w="3132"/>
        <w:gridCol w:w="1546"/>
        <w:gridCol w:w="1573"/>
      </w:tblGrid>
      <w:tr w:rsidR="00897FA8" w:rsidRPr="00897FA8" w:rsidTr="00C603CF">
        <w:trPr>
          <w:cnfStyle w:val="100000000000" w:firstRow="1" w:lastRow="0" w:firstColumn="0" w:lastColumn="0" w:oddVBand="0" w:evenVBand="0" w:oddHBand="0" w:evenHBand="0" w:firstRowFirstColumn="0" w:firstRowLastColumn="0" w:lastRowFirstColumn="0" w:lastRowLastColumn="0"/>
          <w:trHeight w:val="297"/>
        </w:trPr>
        <w:tc>
          <w:tcPr>
            <w:tcW w:w="1985" w:type="dxa"/>
            <w:vMerge w:val="restart"/>
            <w:hideMark/>
          </w:tcPr>
          <w:p w:rsidR="00897FA8" w:rsidRPr="00897FA8" w:rsidRDefault="00897FA8" w:rsidP="00897FA8">
            <w:r w:rsidRPr="00897FA8">
              <w:t>Post authorisation safety study</w:t>
            </w:r>
          </w:p>
        </w:tc>
        <w:tc>
          <w:tcPr>
            <w:tcW w:w="6251" w:type="dxa"/>
            <w:gridSpan w:val="3"/>
            <w:hideMark/>
          </w:tcPr>
          <w:p w:rsidR="00897FA8" w:rsidRPr="00897FA8" w:rsidRDefault="00897FA8" w:rsidP="00897FA8">
            <w:r w:rsidRPr="00897FA8">
              <w:t>Assigned safety concerns</w:t>
            </w:r>
          </w:p>
        </w:tc>
      </w:tr>
      <w:tr w:rsidR="00897FA8" w:rsidRPr="00897FA8" w:rsidTr="00897FA8">
        <w:trPr>
          <w:cnfStyle w:val="100000000000" w:firstRow="1" w:lastRow="0" w:firstColumn="0" w:lastColumn="0" w:oddVBand="0" w:evenVBand="0" w:oddHBand="0" w:evenHBand="0" w:firstRowFirstColumn="0" w:firstRowLastColumn="0" w:lastRowFirstColumn="0" w:lastRowLastColumn="0"/>
          <w:trHeight w:val="148"/>
        </w:trPr>
        <w:tc>
          <w:tcPr>
            <w:tcW w:w="1985" w:type="dxa"/>
            <w:vMerge/>
          </w:tcPr>
          <w:p w:rsidR="00897FA8" w:rsidRPr="00897FA8" w:rsidRDefault="00897FA8" w:rsidP="00897FA8"/>
        </w:tc>
        <w:tc>
          <w:tcPr>
            <w:tcW w:w="3132" w:type="dxa"/>
            <w:hideMark/>
          </w:tcPr>
          <w:p w:rsidR="00897FA8" w:rsidRPr="00897FA8" w:rsidRDefault="00897FA8" w:rsidP="00897FA8">
            <w:r w:rsidRPr="00897FA8">
              <w:t>Identified</w:t>
            </w:r>
          </w:p>
        </w:tc>
        <w:tc>
          <w:tcPr>
            <w:tcW w:w="1546" w:type="dxa"/>
            <w:hideMark/>
          </w:tcPr>
          <w:p w:rsidR="00897FA8" w:rsidRPr="00897FA8" w:rsidRDefault="00897FA8" w:rsidP="00897FA8">
            <w:r w:rsidRPr="00897FA8">
              <w:t>Potential</w:t>
            </w:r>
          </w:p>
        </w:tc>
        <w:tc>
          <w:tcPr>
            <w:tcW w:w="1573" w:type="dxa"/>
          </w:tcPr>
          <w:p w:rsidR="00897FA8" w:rsidRPr="00897FA8" w:rsidRDefault="00897FA8" w:rsidP="00897FA8">
            <w:r w:rsidRPr="00897FA8">
              <w:t>Study status</w:t>
            </w:r>
          </w:p>
        </w:tc>
      </w:tr>
      <w:tr w:rsidR="00BB7B6F" w:rsidTr="00897FA8">
        <w:trPr>
          <w:trHeight w:val="782"/>
        </w:trPr>
        <w:tc>
          <w:tcPr>
            <w:tcW w:w="1985" w:type="dxa"/>
            <w:hideMark/>
          </w:tcPr>
          <w:p w:rsidR="00BB7B6F" w:rsidRPr="00B3427F" w:rsidRDefault="00BB7B6F" w:rsidP="00897FA8">
            <w:r w:rsidRPr="00B3427F">
              <w:t>LASS</w:t>
            </w:r>
            <w:r w:rsidRPr="00B3427F">
              <w:rPr>
                <w:vertAlign w:val="superscript"/>
              </w:rPr>
              <w:t>1</w:t>
            </w:r>
          </w:p>
        </w:tc>
        <w:tc>
          <w:tcPr>
            <w:tcW w:w="3132" w:type="dxa"/>
            <w:hideMark/>
          </w:tcPr>
          <w:p w:rsidR="00BB7B6F" w:rsidRPr="00B3427F" w:rsidRDefault="00BB7B6F" w:rsidP="00897FA8">
            <w:r w:rsidRPr="00B3427F">
              <w:t>ATE</w:t>
            </w:r>
          </w:p>
          <w:p w:rsidR="00BB7B6F" w:rsidRPr="00B3427F" w:rsidRDefault="00BB7B6F" w:rsidP="00897FA8">
            <w:r w:rsidRPr="00B3427F">
              <w:t>VTE</w:t>
            </w:r>
          </w:p>
          <w:p w:rsidR="00BB7B6F" w:rsidRPr="00B3427F" w:rsidRDefault="00BB7B6F" w:rsidP="00897FA8">
            <w:r w:rsidRPr="00B3427F">
              <w:t>Breast cancer</w:t>
            </w:r>
          </w:p>
          <w:p w:rsidR="00BB7B6F" w:rsidRPr="00B3427F" w:rsidRDefault="00BB7B6F" w:rsidP="00897FA8">
            <w:r w:rsidRPr="00B3427F">
              <w:t xml:space="preserve">Benign and malignant liver </w:t>
            </w:r>
            <w:r w:rsidRPr="00B3427F">
              <w:lastRenderedPageBreak/>
              <w:t>tumours</w:t>
            </w:r>
          </w:p>
        </w:tc>
        <w:tc>
          <w:tcPr>
            <w:tcW w:w="1546" w:type="dxa"/>
            <w:hideMark/>
          </w:tcPr>
          <w:p w:rsidR="00BB7B6F" w:rsidRPr="00B3427F" w:rsidRDefault="00BB7B6F" w:rsidP="00897FA8">
            <w:r w:rsidRPr="00B3427F">
              <w:lastRenderedPageBreak/>
              <w:t>Cervical cancer</w:t>
            </w:r>
          </w:p>
        </w:tc>
        <w:tc>
          <w:tcPr>
            <w:tcW w:w="1573" w:type="dxa"/>
            <w:hideMark/>
          </w:tcPr>
          <w:p w:rsidR="00BB7B6F" w:rsidRPr="00B3427F" w:rsidRDefault="00BB7B6F" w:rsidP="00897FA8">
            <w:r w:rsidRPr="00B3427F">
              <w:t>Completed</w:t>
            </w:r>
          </w:p>
        </w:tc>
      </w:tr>
      <w:tr w:rsidR="00BB7B6F" w:rsidTr="00897FA8">
        <w:trPr>
          <w:trHeight w:val="775"/>
        </w:trPr>
        <w:tc>
          <w:tcPr>
            <w:tcW w:w="1985" w:type="dxa"/>
            <w:hideMark/>
          </w:tcPr>
          <w:p w:rsidR="00BB7B6F" w:rsidRPr="00B3427F" w:rsidRDefault="00BB7B6F" w:rsidP="00897FA8">
            <w:r w:rsidRPr="00B3427F">
              <w:lastRenderedPageBreak/>
              <w:t>INAS</w:t>
            </w:r>
            <w:r w:rsidRPr="00B3427F">
              <w:rPr>
                <w:vertAlign w:val="superscript"/>
              </w:rPr>
              <w:t>2</w:t>
            </w:r>
          </w:p>
        </w:tc>
        <w:tc>
          <w:tcPr>
            <w:tcW w:w="3132" w:type="dxa"/>
            <w:hideMark/>
          </w:tcPr>
          <w:p w:rsidR="00BB7B6F" w:rsidRPr="00B3427F" w:rsidRDefault="00BB7B6F" w:rsidP="00897FA8">
            <w:r w:rsidRPr="00B3427F">
              <w:t>ATE</w:t>
            </w:r>
          </w:p>
          <w:p w:rsidR="00BB7B6F" w:rsidRPr="00B3427F" w:rsidRDefault="00BB7B6F" w:rsidP="00897FA8">
            <w:r w:rsidRPr="00B3427F">
              <w:t>VTE</w:t>
            </w:r>
          </w:p>
          <w:p w:rsidR="00BB7B6F" w:rsidRPr="00B3427F" w:rsidRDefault="00BB7B6F" w:rsidP="00897FA8">
            <w:r w:rsidRPr="00B3427F">
              <w:t>Breast cancer</w:t>
            </w:r>
          </w:p>
          <w:p w:rsidR="00BB7B6F" w:rsidRPr="00B3427F" w:rsidRDefault="00BB7B6F" w:rsidP="00897FA8">
            <w:r w:rsidRPr="00B3427F">
              <w:t>Benign and malignant liver tumours</w:t>
            </w:r>
          </w:p>
        </w:tc>
        <w:tc>
          <w:tcPr>
            <w:tcW w:w="1546" w:type="dxa"/>
            <w:hideMark/>
          </w:tcPr>
          <w:p w:rsidR="00BB7B6F" w:rsidRPr="00B3427F" w:rsidRDefault="00BB7B6F" w:rsidP="00897FA8">
            <w:r w:rsidRPr="00B3427F">
              <w:t>Cervical cancer</w:t>
            </w:r>
          </w:p>
        </w:tc>
        <w:tc>
          <w:tcPr>
            <w:tcW w:w="1573" w:type="dxa"/>
            <w:hideMark/>
          </w:tcPr>
          <w:p w:rsidR="00BB7B6F" w:rsidRPr="00B3427F" w:rsidRDefault="00BB7B6F" w:rsidP="00897FA8">
            <w:r w:rsidRPr="00B3427F">
              <w:t>Ongoing</w:t>
            </w:r>
          </w:p>
        </w:tc>
      </w:tr>
      <w:tr w:rsidR="00BB7B6F" w:rsidTr="00897FA8">
        <w:trPr>
          <w:trHeight w:val="782"/>
        </w:trPr>
        <w:tc>
          <w:tcPr>
            <w:tcW w:w="1985" w:type="dxa"/>
            <w:hideMark/>
          </w:tcPr>
          <w:p w:rsidR="00BB7B6F" w:rsidRPr="00B3427F" w:rsidRDefault="00BB7B6F" w:rsidP="00897FA8">
            <w:r w:rsidRPr="00B3427F">
              <w:t>INAS-FOCUS</w:t>
            </w:r>
            <w:r w:rsidRPr="00B3427F">
              <w:rPr>
                <w:vertAlign w:val="superscript"/>
              </w:rPr>
              <w:t>3</w:t>
            </w:r>
          </w:p>
        </w:tc>
        <w:tc>
          <w:tcPr>
            <w:tcW w:w="3132" w:type="dxa"/>
            <w:hideMark/>
          </w:tcPr>
          <w:p w:rsidR="00BB7B6F" w:rsidRPr="00B3427F" w:rsidRDefault="00BB7B6F" w:rsidP="00897FA8">
            <w:r w:rsidRPr="00B3427F">
              <w:t>ATE</w:t>
            </w:r>
          </w:p>
          <w:p w:rsidR="00BB7B6F" w:rsidRPr="00B3427F" w:rsidRDefault="00BB7B6F" w:rsidP="00897FA8">
            <w:r w:rsidRPr="00B3427F">
              <w:t>VTE</w:t>
            </w:r>
          </w:p>
          <w:p w:rsidR="00BB7B6F" w:rsidRPr="00B3427F" w:rsidRDefault="00BB7B6F" w:rsidP="00897FA8">
            <w:r w:rsidRPr="00B3427F">
              <w:t>Breast cancer</w:t>
            </w:r>
          </w:p>
          <w:p w:rsidR="00BB7B6F" w:rsidRPr="00B3427F" w:rsidRDefault="00BB7B6F" w:rsidP="00897FA8">
            <w:r w:rsidRPr="00B3427F">
              <w:t>Benign and malignant liver tumours</w:t>
            </w:r>
          </w:p>
        </w:tc>
        <w:tc>
          <w:tcPr>
            <w:tcW w:w="1546" w:type="dxa"/>
            <w:hideMark/>
          </w:tcPr>
          <w:p w:rsidR="00BB7B6F" w:rsidRPr="00B3427F" w:rsidRDefault="00BB7B6F" w:rsidP="00897FA8">
            <w:r w:rsidRPr="00B3427F">
              <w:t>Cervical cancer</w:t>
            </w:r>
          </w:p>
        </w:tc>
        <w:tc>
          <w:tcPr>
            <w:tcW w:w="1573" w:type="dxa"/>
            <w:hideMark/>
          </w:tcPr>
          <w:p w:rsidR="00BB7B6F" w:rsidRPr="00B3427F" w:rsidRDefault="00BB7B6F" w:rsidP="00897FA8">
            <w:r w:rsidRPr="00B3427F">
              <w:t>Ongoing</w:t>
            </w:r>
          </w:p>
        </w:tc>
      </w:tr>
    </w:tbl>
    <w:p w:rsidR="00BB7B6F" w:rsidRPr="00AD62E8" w:rsidRDefault="00BB7B6F" w:rsidP="00897FA8">
      <w:pPr>
        <w:pStyle w:val="TableDescription"/>
      </w:pPr>
      <w:r w:rsidRPr="00AD62E8">
        <w:rPr>
          <w:vertAlign w:val="superscript"/>
        </w:rPr>
        <w:t>1</w:t>
      </w:r>
      <w:r w:rsidRPr="00AD62E8">
        <w:t xml:space="preserve">LASS =Long-term Active Surveillance Study; </w:t>
      </w:r>
      <w:r w:rsidRPr="00AD62E8">
        <w:rPr>
          <w:vertAlign w:val="superscript"/>
        </w:rPr>
        <w:t>2</w:t>
      </w:r>
      <w:r w:rsidRPr="00AD62E8">
        <w:t xml:space="preserve">INAS= International Active Surveillance Study; </w:t>
      </w:r>
      <w:r w:rsidRPr="00AD62E8">
        <w:rPr>
          <w:vertAlign w:val="superscript"/>
        </w:rPr>
        <w:t>3</w:t>
      </w:r>
      <w:r w:rsidRPr="00AD62E8">
        <w:t>INAS-FOCUS= International Active Surveillance Study - Folate in Oral Contraceptives Utilization Study.</w:t>
      </w:r>
    </w:p>
    <w:p w:rsidR="00BB7B6F" w:rsidRDefault="00BB7B6F" w:rsidP="00897FA8">
      <w:pPr>
        <w:pStyle w:val="Heading6"/>
      </w:pPr>
      <w:r>
        <w:rPr>
          <w:rFonts w:eastAsia="TimesNewRoman"/>
        </w:rPr>
        <w:t xml:space="preserve">Long-term Active </w:t>
      </w:r>
      <w:r w:rsidRPr="00897FA8">
        <w:rPr>
          <w:rFonts w:eastAsia="TimesNewRoman"/>
        </w:rPr>
        <w:t>Surveillance</w:t>
      </w:r>
      <w:r>
        <w:rPr>
          <w:rFonts w:eastAsia="TimesNewRoman"/>
        </w:rPr>
        <w:t xml:space="preserve"> Study for Oral Contraceptives (LASS)</w:t>
      </w:r>
    </w:p>
    <w:p w:rsidR="00BB7B6F" w:rsidRDefault="00BB7B6F" w:rsidP="00897FA8">
      <w:r>
        <w:t>Data from the European Active Surveillance Study</w:t>
      </w:r>
      <w:r>
        <w:rPr>
          <w:rFonts w:ascii="Arial" w:hAnsi="Arial" w:cs="Arial"/>
        </w:rPr>
        <w:t xml:space="preserve"> </w:t>
      </w:r>
      <w:r>
        <w:t>cohort (EURAS), a prospective, controlled, non-interventional, active surveillance cohort (n=59,510 oral contraceptive (OC) users) with 1 to 5 years follow-up, suggested that DRSP containing OCs may have a lower risk of arterial thromboembolic events (that is, acute myocardial infarction and stroke). However, the EURAS study was not sufficiently p</w:t>
      </w:r>
      <w:r w:rsidR="00897FA8">
        <w:t>owered to make this conclusion.</w:t>
      </w:r>
    </w:p>
    <w:p w:rsidR="00BB7B6F" w:rsidRDefault="00BB7B6F" w:rsidP="00897FA8">
      <w:r>
        <w:t xml:space="preserve">The Long-term Active Surveillance Study for Oral Contraceptives (LASS) was designed as an extension to EURAS with an additional 5 year follow-up period. </w:t>
      </w:r>
      <w:proofErr w:type="gramStart"/>
      <w:r>
        <w:t>LASS has</w:t>
      </w:r>
      <w:proofErr w:type="gramEnd"/>
      <w:r>
        <w:t xml:space="preserve"> now finished and the sponsor has provided a final study report to TGA.</w:t>
      </w:r>
      <w:r>
        <w:rPr>
          <w:rStyle w:val="FootnoteReference"/>
          <w:rFonts w:eastAsia="TimesNewRoman"/>
        </w:rPr>
        <w:footnoteReference w:id="9"/>
      </w:r>
      <w:r>
        <w:t xml:space="preserve"> This study consisted of three different groups of OCs: OCs containing DRSP (Yasmin), OCs </w:t>
      </w:r>
      <w:r w:rsidRPr="006D6C84">
        <w:t xml:space="preserve">containing </w:t>
      </w:r>
      <w:proofErr w:type="spellStart"/>
      <w:r w:rsidRPr="006D6C84">
        <w:t>levonorgestrel</w:t>
      </w:r>
      <w:proofErr w:type="spellEnd"/>
      <w:r w:rsidRPr="00CF723F">
        <w:t xml:space="preserve"> (</w:t>
      </w:r>
      <w:r>
        <w:t xml:space="preserve">LNG) and OCs containing other </w:t>
      </w:r>
      <w:proofErr w:type="spellStart"/>
      <w:r>
        <w:t>progestogens</w:t>
      </w:r>
      <w:proofErr w:type="spellEnd"/>
      <w:r>
        <w:t>. Two further cohorts developed during the study as the OC users changed their contraceptive method to a non-hormonal method or stopped using hormonal contraception during the follow up period: no oral hormonal contraceptive (NOHC) and ‘no-use’ cohorts. Primary outcomes of interest were cardiovascular, specifically the incidence of arterial thromboembolic events (ATE) but also venous thromboembolic events (VTE) and cancer (n=58, 674 OC users).</w:t>
      </w:r>
    </w:p>
    <w:p w:rsidR="00BB7B6F" w:rsidRDefault="00BB7B6F" w:rsidP="00897FA8">
      <w:r>
        <w:t xml:space="preserve">No major differences were found between the cohorts in the rates for overall SAEs, organ-system specific SAEs, overall mortality and outcome-specific mortality, overall cancer and organ-system specific cancer. Overall, for all outcomes studied an increased risk in Yasmin users compared to users of other OCs (including LNG-containing OCs) was not identified. The study results were robust enough to show non-inferiority of Yasmin for venous thromboembolic events, while fewer arterial outcomes were identified in the Yasmin cohort. These results suggest that the risk of adverse cardiovascular outcomes for Yasmin </w:t>
      </w:r>
      <w:r>
        <w:lastRenderedPageBreak/>
        <w:t>use are not higher than the venous risks associated with the use of LNG containing OCs or other OCs, while the arterial risk appears to be lower.</w:t>
      </w:r>
    </w:p>
    <w:p w:rsidR="00BB7B6F" w:rsidRDefault="00BB7B6F" w:rsidP="00897FA8">
      <w:pPr>
        <w:pStyle w:val="Heading6"/>
      </w:pPr>
      <w:r>
        <w:rPr>
          <w:rFonts w:eastAsia="TimesNewRoman"/>
        </w:rPr>
        <w:t>International Active Surveillance Study (INAS)</w:t>
      </w:r>
      <w:r w:rsidR="00897FA8">
        <w:rPr>
          <w:rFonts w:eastAsia="TimesNewRoman"/>
        </w:rPr>
        <w:t xml:space="preserve"> </w:t>
      </w:r>
      <w:r>
        <w:rPr>
          <w:rFonts w:eastAsia="TimesNewRoman"/>
        </w:rPr>
        <w:t xml:space="preserve">- Women </w:t>
      </w:r>
      <w:r w:rsidRPr="00897FA8">
        <w:rPr>
          <w:rFonts w:eastAsia="TimesNewRoman"/>
        </w:rPr>
        <w:t>taking</w:t>
      </w:r>
      <w:r>
        <w:rPr>
          <w:rFonts w:eastAsia="TimesNewRoman"/>
        </w:rPr>
        <w:t xml:space="preserve"> oral contraceptives (INAS-OC)</w:t>
      </w:r>
    </w:p>
    <w:p w:rsidR="00BB7B6F" w:rsidRDefault="00BB7B6F" w:rsidP="00897FA8">
      <w:r>
        <w:t xml:space="preserve">INAS-oral contraceptives (OC) is a prospective, controlled, non-interventional cohort study with two study arms: OCs containing </w:t>
      </w:r>
      <w:proofErr w:type="spellStart"/>
      <w:r>
        <w:t>drospirenone</w:t>
      </w:r>
      <w:proofErr w:type="spellEnd"/>
      <w:r>
        <w:t xml:space="preserve"> and OCs containing any other </w:t>
      </w:r>
      <w:proofErr w:type="spellStart"/>
      <w:r>
        <w:t>progestogen</w:t>
      </w:r>
      <w:proofErr w:type="spellEnd"/>
      <w:r>
        <w:t xml:space="preserve">. The study compares the short- and long-term risks of a 24 day regimen of a </w:t>
      </w:r>
      <w:proofErr w:type="spellStart"/>
      <w:r>
        <w:t>drospirenone</w:t>
      </w:r>
      <w:proofErr w:type="spellEnd"/>
      <w:r>
        <w:t xml:space="preserve"> (DRSP) containing oral contraceptive with the risks of established oral contraceptives in a study population that is representative of actual users. New users of an OC (starters, switchers without a pill intake break and recurrent users with a pill intake break [same or different OC]) are accrued by a network of prescribing physicians. The primary outcome is thromboembolic events. Baseline and 2 year follow-up information are collected via a self-administered questionnaire. Approximately 80, 000 participants will be recruited.</w:t>
      </w:r>
    </w:p>
    <w:p w:rsidR="00BB7B6F" w:rsidRDefault="00BB7B6F" w:rsidP="00897FA8">
      <w:pPr>
        <w:pStyle w:val="Heading6"/>
      </w:pPr>
      <w:r>
        <w:t xml:space="preserve">International active surveillance </w:t>
      </w:r>
      <w:r w:rsidRPr="00897FA8">
        <w:t>study</w:t>
      </w:r>
      <w:r>
        <w:t xml:space="preserve"> – Folate and oral contraceptives utilisation study (INAS-FOCUS)</w:t>
      </w:r>
    </w:p>
    <w:p w:rsidR="00BB7B6F" w:rsidRDefault="00BB7B6F" w:rsidP="00897FA8">
      <w:r>
        <w:t xml:space="preserve">Also utilising INAS-OC study design, INAS-FOCUS has three study arms: users of oral contraceptives containing </w:t>
      </w:r>
      <w:proofErr w:type="spellStart"/>
      <w:r>
        <w:t>drospirenone</w:t>
      </w:r>
      <w:proofErr w:type="spellEnd"/>
      <w:r>
        <w:t xml:space="preserve">, </w:t>
      </w:r>
      <w:proofErr w:type="spellStart"/>
      <w:r>
        <w:t>ethinyloestradiol</w:t>
      </w:r>
      <w:proofErr w:type="spellEnd"/>
      <w:r>
        <w:t xml:space="preserve"> and </w:t>
      </w:r>
      <w:proofErr w:type="spellStart"/>
      <w:r>
        <w:t>metafolin</w:t>
      </w:r>
      <w:proofErr w:type="spellEnd"/>
      <w:r>
        <w:t xml:space="preserve"> (DRSP/EE/</w:t>
      </w:r>
      <w:proofErr w:type="spellStart"/>
      <w:r>
        <w:t>metafolin</w:t>
      </w:r>
      <w:proofErr w:type="spellEnd"/>
      <w:r>
        <w:t xml:space="preserve">), oral contraceptives containing </w:t>
      </w:r>
      <w:proofErr w:type="spellStart"/>
      <w:r>
        <w:t>dienogest</w:t>
      </w:r>
      <w:proofErr w:type="spellEnd"/>
      <w:r>
        <w:t xml:space="preserve">, </w:t>
      </w:r>
      <w:proofErr w:type="spellStart"/>
      <w:r>
        <w:t>ethinyloestradiol</w:t>
      </w:r>
      <w:proofErr w:type="spellEnd"/>
      <w:r>
        <w:t xml:space="preserve"> and </w:t>
      </w:r>
      <w:proofErr w:type="spellStart"/>
      <w:r>
        <w:t>metafolin</w:t>
      </w:r>
      <w:proofErr w:type="spellEnd"/>
      <w:r>
        <w:t xml:space="preserve"> (DNG/EE/</w:t>
      </w:r>
      <w:proofErr w:type="spellStart"/>
      <w:r>
        <w:t>metafolin</w:t>
      </w:r>
      <w:proofErr w:type="spellEnd"/>
      <w:r>
        <w:t>) and users of oral contraceptives containing other oestrogen/</w:t>
      </w:r>
      <w:proofErr w:type="spellStart"/>
      <w:r>
        <w:t>progestogen</w:t>
      </w:r>
      <w:proofErr w:type="spellEnd"/>
      <w:r>
        <w:t xml:space="preserve"> OC combinations. This study aims to compare the risks of short- and long-term use of these contraceptives. The primary outcomes are cardiovascular events and colorectal cancer, with follow-up data of 6 and 15 years, respectively, collected. Approximately 80, 000 women are expected to be enrolled. Baseline and follow-up information are collected via a s</w:t>
      </w:r>
      <w:r w:rsidR="00897FA8">
        <w:t>elf-administered questionnaire.</w:t>
      </w:r>
    </w:p>
    <w:p w:rsidR="00BB7B6F" w:rsidRDefault="00BB7B6F" w:rsidP="00897FA8">
      <w:pPr>
        <w:pStyle w:val="Heading6"/>
        <w:rPr>
          <w:rFonts w:eastAsia="TimesNewRoman"/>
        </w:rPr>
      </w:pPr>
      <w:r>
        <w:rPr>
          <w:rFonts w:eastAsia="TimesNewRoman"/>
        </w:rPr>
        <w:t xml:space="preserve">Unrecognised </w:t>
      </w:r>
      <w:r w:rsidRPr="00897FA8">
        <w:rPr>
          <w:rFonts w:eastAsia="TimesNewRoman"/>
        </w:rPr>
        <w:t>pregnancy</w:t>
      </w:r>
      <w:r>
        <w:rPr>
          <w:rFonts w:eastAsia="TimesNewRoman"/>
        </w:rPr>
        <w:t xml:space="preserve"> and </w:t>
      </w:r>
      <w:r>
        <w:t xml:space="preserve">International Active Surveillance Study - Safety of Contraceptives: Role of </w:t>
      </w:r>
      <w:proofErr w:type="spellStart"/>
      <w:r>
        <w:t>Estrogens</w:t>
      </w:r>
      <w:proofErr w:type="spellEnd"/>
      <w:r>
        <w:t xml:space="preserve"> (INAS-like study for </w:t>
      </w:r>
      <w:proofErr w:type="spellStart"/>
      <w:r>
        <w:t>YAZFlex</w:t>
      </w:r>
      <w:proofErr w:type="spellEnd"/>
      <w:r>
        <w:t>).</w:t>
      </w:r>
    </w:p>
    <w:p w:rsidR="00BB7B6F" w:rsidRPr="00B3427F" w:rsidRDefault="00BB7B6F" w:rsidP="00897FA8">
      <w:r w:rsidRPr="00B3427F">
        <w:t xml:space="preserve">As an additional pharmacovigilance activity, for the potential risk unrecognised pregnancy, the sponsor has proposed to establish sentinel sites to capture information to assess if there is a delay in diagnosis of pregnancy resulting from the flexible cycle regimen and the decreased frequency of menses when using </w:t>
      </w:r>
      <w:proofErr w:type="spellStart"/>
      <w:r>
        <w:t>YAZFlex</w:t>
      </w:r>
      <w:proofErr w:type="spellEnd"/>
      <w:r w:rsidRPr="00B3427F">
        <w:t xml:space="preserve"> compared to selected short cycle COCs. The RMP provided very limited information on the establishment of the sentinel sites and the sponsor has provided additional information </w:t>
      </w:r>
      <w:r>
        <w:t>to TGA</w:t>
      </w:r>
      <w:r w:rsidRPr="00B3427F">
        <w:t>.</w:t>
      </w:r>
      <w:r>
        <w:rPr>
          <w:rStyle w:val="FootnoteReference"/>
        </w:rPr>
        <w:footnoteReference w:id="10"/>
      </w:r>
    </w:p>
    <w:p w:rsidR="00BB7B6F" w:rsidRDefault="00BB7B6F" w:rsidP="00897FA8">
      <w:r>
        <w:t>T</w:t>
      </w:r>
      <w:r w:rsidRPr="00B3427F">
        <w:t xml:space="preserve">he sponsor </w:t>
      </w:r>
      <w:r>
        <w:t xml:space="preserve">has </w:t>
      </w:r>
      <w:r w:rsidRPr="00B3427F">
        <w:t xml:space="preserve">agreed to investigate the question of delay in the diagnosis of pregnancy in the already planned large prospective active-surveillance study for </w:t>
      </w:r>
      <w:proofErr w:type="spellStart"/>
      <w:r>
        <w:t>YAZFlex</w:t>
      </w:r>
      <w:proofErr w:type="spellEnd"/>
      <w:r w:rsidRPr="00B3427F">
        <w:t xml:space="preserve">. This study will be initiated with the launch of </w:t>
      </w:r>
      <w:proofErr w:type="spellStart"/>
      <w:r>
        <w:t>YAZFlex</w:t>
      </w:r>
      <w:proofErr w:type="spellEnd"/>
      <w:r>
        <w:t xml:space="preserve"> in Europe</w:t>
      </w:r>
      <w:r w:rsidRPr="00B3427F">
        <w:t xml:space="preserve">, </w:t>
      </w:r>
      <w:r>
        <w:t>since it is planned to recruit its</w:t>
      </w:r>
      <w:r w:rsidRPr="00B3427F">
        <w:t xml:space="preserve"> participants from European countries. This </w:t>
      </w:r>
      <w:r>
        <w:t xml:space="preserve">INAS-like study for </w:t>
      </w:r>
      <w:proofErr w:type="spellStart"/>
      <w:r>
        <w:t>YAZFlex</w:t>
      </w:r>
      <w:proofErr w:type="spellEnd"/>
      <w:r>
        <w:t xml:space="preserve"> </w:t>
      </w:r>
      <w:r w:rsidRPr="00B3427F">
        <w:t xml:space="preserve">study will include approximately 50,000 women, representative of typical OC users. </w:t>
      </w:r>
      <w:r w:rsidRPr="00763581">
        <w:rPr>
          <w:lang w:val="en-US"/>
        </w:rPr>
        <w:t>Based on experience with INAS-OC and other INAS-like studies, the 5 year follow-up of the 50</w:t>
      </w:r>
      <w:r>
        <w:rPr>
          <w:lang w:val="en-US"/>
        </w:rPr>
        <w:t>,</w:t>
      </w:r>
      <w:r w:rsidRPr="00763581">
        <w:rPr>
          <w:lang w:val="en-US"/>
        </w:rPr>
        <w:t>000 women should result in about 150</w:t>
      </w:r>
      <w:r>
        <w:rPr>
          <w:lang w:val="en-US"/>
        </w:rPr>
        <w:t>,</w:t>
      </w:r>
      <w:r w:rsidRPr="00763581">
        <w:rPr>
          <w:lang w:val="en-US"/>
        </w:rPr>
        <w:t>000 women years.</w:t>
      </w:r>
      <w:r>
        <w:rPr>
          <w:lang w:val="en-US"/>
        </w:rPr>
        <w:t xml:space="preserve"> </w:t>
      </w:r>
      <w:r w:rsidRPr="00B3427F">
        <w:t>Outcomes will be collected via questionnaire at</w:t>
      </w:r>
      <w:r w:rsidR="00897FA8">
        <w:t xml:space="preserve"> baseline and follow-up visits.</w:t>
      </w:r>
    </w:p>
    <w:p w:rsidR="00BB7B6F" w:rsidRPr="00B3427F" w:rsidRDefault="00BB7B6F" w:rsidP="00897FA8">
      <w:r w:rsidRPr="00B3427F">
        <w:t xml:space="preserve">The main clinical outcomes of interest will be cardiovascular outcomes, in particular venous thromboembolic events (VTE, primary variable), acute myocardial infarction, cerebrovascular events (ATE, secondary variable). However, an outcome of untended </w:t>
      </w:r>
      <w:r w:rsidRPr="00B3427F">
        <w:lastRenderedPageBreak/>
        <w:t>pregnancy will also be added to the existing standard questionnaire.</w:t>
      </w:r>
      <w:r>
        <w:rPr>
          <w:rStyle w:val="FootnoteReference"/>
          <w:rFonts w:cs="TimesNewRoman"/>
        </w:rPr>
        <w:footnoteReference w:id="11"/>
      </w:r>
      <w:r>
        <w:rPr>
          <w:lang w:val="en-US"/>
        </w:rPr>
        <w:t xml:space="preserve"> </w:t>
      </w:r>
      <w:r w:rsidRPr="00B3427F">
        <w:t>In addition, a further pregnancy related outcome of interest will be return to fertility.</w:t>
      </w:r>
    </w:p>
    <w:p w:rsidR="00BB7B6F" w:rsidRDefault="00BB7B6F" w:rsidP="00897FA8">
      <w:pPr>
        <w:pStyle w:val="Heading5"/>
        <w:rPr>
          <w:kern w:val="16"/>
        </w:rPr>
      </w:pPr>
      <w:bookmarkStart w:id="234" w:name="_Toc307592607"/>
      <w:r>
        <w:t xml:space="preserve">OPR </w:t>
      </w:r>
      <w:r w:rsidRPr="00897FA8">
        <w:t>reviewer’s</w:t>
      </w:r>
      <w:r>
        <w:t xml:space="preserve"> comments in regard to the pharmacovigilance plan and the appropriateness of milestones</w:t>
      </w:r>
      <w:bookmarkEnd w:id="234"/>
    </w:p>
    <w:p w:rsidR="00BB7B6F" w:rsidRDefault="00BB7B6F" w:rsidP="00897FA8">
      <w:pPr>
        <w:pStyle w:val="Heading6"/>
        <w:rPr>
          <w:rFonts w:eastAsia="TimesNewRoman"/>
        </w:rPr>
      </w:pPr>
      <w:r>
        <w:rPr>
          <w:rFonts w:eastAsia="TimesNewRoman"/>
        </w:rPr>
        <w:t xml:space="preserve">Monthly targeted ongoing </w:t>
      </w:r>
      <w:r w:rsidRPr="00897FA8">
        <w:rPr>
          <w:rFonts w:eastAsia="TimesNewRoman"/>
        </w:rPr>
        <w:t>monitoring</w:t>
      </w:r>
    </w:p>
    <w:p w:rsidR="00BB7B6F" w:rsidRDefault="00BB7B6F" w:rsidP="00897FA8">
      <w:pPr>
        <w:rPr>
          <w:b/>
        </w:rPr>
      </w:pPr>
      <w:r>
        <w:t>The monthly targeting ongoing monitoring was considered acceptable.</w:t>
      </w:r>
    </w:p>
    <w:p w:rsidR="00BB7B6F" w:rsidRDefault="00BB7B6F" w:rsidP="00897FA8">
      <w:pPr>
        <w:pStyle w:val="Heading6"/>
        <w:rPr>
          <w:kern w:val="16"/>
        </w:rPr>
      </w:pPr>
      <w:r>
        <w:t xml:space="preserve">Post authorisation </w:t>
      </w:r>
      <w:r w:rsidRPr="00897FA8">
        <w:t>safety</w:t>
      </w:r>
      <w:r>
        <w:t xml:space="preserve"> studies</w:t>
      </w:r>
    </w:p>
    <w:p w:rsidR="00BB7B6F" w:rsidRDefault="00BB7B6F" w:rsidP="00897FA8">
      <w:r>
        <w:t xml:space="preserve">The design, outcome measures, follow-up duration and sample size of the post authorisation safety studies were considered acceptable for monitoring and further informing the assigned safety concerns. </w:t>
      </w:r>
    </w:p>
    <w:p w:rsidR="00BB7B6F" w:rsidRDefault="00BB7B6F" w:rsidP="00897FA8">
      <w:pPr>
        <w:pStyle w:val="Heading6"/>
        <w:rPr>
          <w:rFonts w:eastAsia="TimesNewRoman"/>
        </w:rPr>
      </w:pPr>
      <w:r>
        <w:rPr>
          <w:rFonts w:eastAsia="TimesNewRoman"/>
        </w:rPr>
        <w:t>Reporting milestones</w:t>
      </w:r>
    </w:p>
    <w:p w:rsidR="00BB7B6F" w:rsidRDefault="00BB7B6F" w:rsidP="00897FA8">
      <w:r>
        <w:t>The reporting milestones for the pharmacovigilance activities are considered acceptable. It is expected that study updates, including INAS-SCORE, will be provided via regular period safety update reports provided to the TGA.</w:t>
      </w:r>
    </w:p>
    <w:p w:rsidR="00BB7B6F" w:rsidRPr="00AD62E8" w:rsidRDefault="00BB7B6F" w:rsidP="00897FA8">
      <w:pPr>
        <w:pStyle w:val="Heading4"/>
      </w:pPr>
      <w:r>
        <w:rPr>
          <w:lang w:eastAsia="en-AU"/>
        </w:rPr>
        <w:t xml:space="preserve">Risk </w:t>
      </w:r>
      <w:r w:rsidR="00897FA8" w:rsidRPr="00897FA8">
        <w:t>m</w:t>
      </w:r>
      <w:r w:rsidRPr="00897FA8">
        <w:t>inimisation</w:t>
      </w:r>
      <w:r>
        <w:rPr>
          <w:lang w:eastAsia="en-AU"/>
        </w:rPr>
        <w:t xml:space="preserve"> activities</w:t>
      </w:r>
    </w:p>
    <w:p w:rsidR="00BB7B6F" w:rsidRPr="00AD62E8" w:rsidRDefault="00BB7B6F" w:rsidP="00897FA8">
      <w:pPr>
        <w:pStyle w:val="Heading5"/>
      </w:pPr>
      <w:bookmarkStart w:id="235" w:name="_Toc307592612"/>
      <w:r w:rsidRPr="00897FA8">
        <w:t>Planned</w:t>
      </w:r>
      <w:r>
        <w:t xml:space="preserve"> actions</w:t>
      </w:r>
      <w:bookmarkEnd w:id="235"/>
    </w:p>
    <w:p w:rsidR="00BB7B6F" w:rsidRDefault="00BB7B6F" w:rsidP="00897FA8">
      <w:r>
        <w:t>Although the sponsor has stated they will not be undertaking any additional risk minimisation activities, they have stated that to address concerns that there may be ‘off label’ use of the product, that is,</w:t>
      </w:r>
      <w:r>
        <w:rPr>
          <w:rFonts w:eastAsia="TimesNewRoman"/>
        </w:rPr>
        <w:t xml:space="preserve"> prescription of YAZ as acne treatment for women who do not seek hormonal contraception,</w:t>
      </w:r>
      <w:r>
        <w:t xml:space="preserve"> if the proposed indications are approved, the sponsor is committed to conducting a risk minimisation program to ensure YAZ is prescribed and used according to its labelled indications.</w:t>
      </w:r>
    </w:p>
    <w:p w:rsidR="00BB7B6F" w:rsidRDefault="00BB7B6F" w:rsidP="00897FA8">
      <w:r>
        <w:t>The sponsor states that the proposed risk minimisation plan would consist of three elements:</w:t>
      </w:r>
    </w:p>
    <w:p w:rsidR="00BB7B6F" w:rsidRDefault="00BB7B6F" w:rsidP="00897FA8">
      <w:pPr>
        <w:pStyle w:val="ListBullet"/>
      </w:pPr>
      <w:r>
        <w:t xml:space="preserve">Two </w:t>
      </w:r>
      <w:r w:rsidRPr="00897FA8">
        <w:t>independently</w:t>
      </w:r>
      <w:r>
        <w:t xml:space="preserve"> conducted drug utilisation studies:</w:t>
      </w:r>
    </w:p>
    <w:p w:rsidR="00BB7B6F" w:rsidRDefault="00BB7B6F" w:rsidP="00897FA8">
      <w:pPr>
        <w:pStyle w:val="Numberbullet2"/>
        <w:numPr>
          <w:ilvl w:val="1"/>
          <w:numId w:val="38"/>
        </w:numPr>
      </w:pPr>
      <w:r>
        <w:t>New drug utilisation study to monitor YAZ prescribing practices in Europe and the effectiveness of the educational outreach program</w:t>
      </w:r>
    </w:p>
    <w:p w:rsidR="00BB7B6F" w:rsidRDefault="00BB7B6F" w:rsidP="00BB7B6F">
      <w:pPr>
        <w:pStyle w:val="Numberbullet2"/>
        <w:numPr>
          <w:ilvl w:val="1"/>
          <w:numId w:val="8"/>
        </w:numPr>
      </w:pPr>
      <w:r>
        <w:t>Adaptation of the INAS study to monitor YAZ off label prescribing practices in Europe and to assess a potential public health risk due to YAZ off label use.</w:t>
      </w:r>
    </w:p>
    <w:p w:rsidR="00BB7B6F" w:rsidRDefault="00BB7B6F" w:rsidP="00897FA8">
      <w:pPr>
        <w:pStyle w:val="ListBullet"/>
        <w:rPr>
          <w:kern w:val="16"/>
        </w:rPr>
      </w:pPr>
      <w:r>
        <w:t xml:space="preserve">An educational outreach program to reduce potential ‘off label’ use (only if prescribing rate for </w:t>
      </w:r>
      <w:r w:rsidRPr="00897FA8">
        <w:t>treatment</w:t>
      </w:r>
      <w:r>
        <w:t xml:space="preserve"> of acne in women who are not seeking contraception is greater than 10%).</w:t>
      </w:r>
    </w:p>
    <w:p w:rsidR="00BB7B6F" w:rsidRDefault="00BB7B6F" w:rsidP="00897FA8">
      <w:r>
        <w:t>The sponsor believes that safety findings derived for conventional YAZ from this minimisation program will also apply for the extended-cycle regimen of YAZ.</w:t>
      </w:r>
    </w:p>
    <w:p w:rsidR="00BB7B6F" w:rsidRDefault="00BB7B6F" w:rsidP="00897FA8">
      <w:pPr>
        <w:pStyle w:val="Heading5"/>
      </w:pPr>
      <w:r>
        <w:t xml:space="preserve">OPR </w:t>
      </w:r>
      <w:r w:rsidRPr="00897FA8">
        <w:t>reviewer</w:t>
      </w:r>
      <w:r>
        <w:t xml:space="preserve"> comment</w:t>
      </w:r>
    </w:p>
    <w:p w:rsidR="00BB7B6F" w:rsidRDefault="00BB7B6F" w:rsidP="00897FA8">
      <w:r>
        <w:t>The sponsor was requested to provide further information on these planned activities for potential off label use to the TGA. That is, whether these studies would be conducted in Australia or, if not, whether data collected in the EU would be able to be transl</w:t>
      </w:r>
      <w:r w:rsidR="00897FA8">
        <w:t>ated to the Australian context.</w:t>
      </w:r>
    </w:p>
    <w:p w:rsidR="00BB7B6F" w:rsidRPr="001471FA" w:rsidRDefault="00BB7B6F" w:rsidP="00897FA8">
      <w:r>
        <w:t xml:space="preserve">Unfortunately, the sponsor did not provide a response to this requested. The sponsor stated that the proposed indications for </w:t>
      </w:r>
      <w:proofErr w:type="spellStart"/>
      <w:r>
        <w:t>YAZFlex</w:t>
      </w:r>
      <w:proofErr w:type="spellEnd"/>
      <w:r>
        <w:t xml:space="preserve"> are the same as currently approved for YAZ. Furthermore, </w:t>
      </w:r>
      <w:r w:rsidRPr="001471FA">
        <w:t>Y</w:t>
      </w:r>
      <w:r>
        <w:t xml:space="preserve">AZ </w:t>
      </w:r>
      <w:r w:rsidRPr="001471FA">
        <w:t xml:space="preserve">would not be appropriate for a woman with acne who does not </w:t>
      </w:r>
      <w:r w:rsidRPr="001471FA">
        <w:lastRenderedPageBreak/>
        <w:t xml:space="preserve">elect to use oral contraception as per the approved indications and the same would apply for </w:t>
      </w:r>
      <w:proofErr w:type="spellStart"/>
      <w:r>
        <w:t>YAZFlex</w:t>
      </w:r>
      <w:proofErr w:type="spellEnd"/>
      <w:r w:rsidRPr="001471FA">
        <w:t xml:space="preserve">. </w:t>
      </w:r>
    </w:p>
    <w:p w:rsidR="00BB7B6F" w:rsidRPr="00B3427F" w:rsidRDefault="00BB7B6F" w:rsidP="00897FA8">
      <w:r w:rsidRPr="00B3427F">
        <w:t xml:space="preserve">It is recommended that if this submission is approved that the sponsor provides, to the Office of Product Review (OPR), further information on these planned activities for the potential </w:t>
      </w:r>
      <w:r>
        <w:t>off label</w:t>
      </w:r>
      <w:r w:rsidRPr="00B3427F">
        <w:t xml:space="preserve"> use of</w:t>
      </w:r>
      <w:r>
        <w:t xml:space="preserve"> YAZ</w:t>
      </w:r>
      <w:r w:rsidRPr="00B3427F">
        <w:t>/</w:t>
      </w:r>
      <w:r>
        <w:t xml:space="preserve"> </w:t>
      </w:r>
      <w:proofErr w:type="spellStart"/>
      <w:r>
        <w:t>YAZFlex</w:t>
      </w:r>
      <w:proofErr w:type="spellEnd"/>
      <w:r w:rsidRPr="00B3427F">
        <w:t>. This information may include but not be limited to; if these activities are currently implemented in the EU, current synopses of these activities and whether this data is transferable to the Australian context.</w:t>
      </w:r>
      <w:r>
        <w:t xml:space="preserve"> </w:t>
      </w:r>
      <w:r w:rsidRPr="00B3427F">
        <w:t>A date or milestone that these documents will be provided should be submitted.</w:t>
      </w:r>
    </w:p>
    <w:p w:rsidR="00BB7B6F" w:rsidRDefault="00BB7B6F" w:rsidP="00897FA8">
      <w:pPr>
        <w:pStyle w:val="Heading4"/>
        <w:rPr>
          <w:lang w:eastAsia="en-AU"/>
        </w:rPr>
      </w:pPr>
      <w:r>
        <w:rPr>
          <w:lang w:eastAsia="en-AU"/>
        </w:rPr>
        <w:t xml:space="preserve">Summary of OPR </w:t>
      </w:r>
      <w:r w:rsidRPr="00897FA8">
        <w:t>recommendations</w:t>
      </w:r>
    </w:p>
    <w:p w:rsidR="00BB7B6F" w:rsidRPr="001471FA" w:rsidRDefault="00BB7B6F" w:rsidP="00897FA8">
      <w:r w:rsidRPr="001471FA">
        <w:t>The OPR provide</w:t>
      </w:r>
      <w:r>
        <w:t>d</w:t>
      </w:r>
      <w:r w:rsidRPr="001471FA">
        <w:t xml:space="preserve"> these recommendations in the context that the submitted RMP is supportive to the application;</w:t>
      </w:r>
    </w:p>
    <w:p w:rsidR="00BB7B6F" w:rsidRPr="001471FA" w:rsidRDefault="00BB7B6F" w:rsidP="00897FA8">
      <w:r>
        <w:t>It wa</w:t>
      </w:r>
      <w:r w:rsidRPr="001471FA">
        <w:t>s recommended to the Delegate that the sponsor:</w:t>
      </w:r>
    </w:p>
    <w:p w:rsidR="00BB7B6F" w:rsidRPr="00AD62E8" w:rsidRDefault="00BB7B6F" w:rsidP="00897FA8">
      <w:pPr>
        <w:pStyle w:val="Numberbullet0"/>
        <w:numPr>
          <w:ilvl w:val="0"/>
          <w:numId w:val="36"/>
        </w:numPr>
      </w:pPr>
      <w:r w:rsidRPr="00AD62E8">
        <w:t xml:space="preserve">Implement RMP Version 1, dated September 2010, including the sponsor’s response to the TGA </w:t>
      </w:r>
      <w:r w:rsidRPr="00897FA8">
        <w:t>request</w:t>
      </w:r>
      <w:r w:rsidRPr="00AD62E8">
        <w:t xml:space="preserve"> for information/documents and any future updates be imposed as a condition of registration.</w:t>
      </w:r>
    </w:p>
    <w:p w:rsidR="00BB7B6F" w:rsidRPr="00AD62E8" w:rsidRDefault="00BB7B6F" w:rsidP="00897FA8">
      <w:pPr>
        <w:pStyle w:val="Numberbullet0"/>
        <w:numPr>
          <w:ilvl w:val="0"/>
          <w:numId w:val="36"/>
        </w:numPr>
      </w:pPr>
      <w:r w:rsidRPr="00AD62E8">
        <w:t>If this submission is approved, the sponsor should provide to the Office of Product of Review (</w:t>
      </w:r>
      <w:r w:rsidRPr="00897FA8">
        <w:t>OPR</w:t>
      </w:r>
      <w:r w:rsidRPr="00AD62E8">
        <w:t>):</w:t>
      </w:r>
    </w:p>
    <w:p w:rsidR="00BB7B6F" w:rsidRPr="001471FA" w:rsidRDefault="00BB7B6F" w:rsidP="00897FA8">
      <w:pPr>
        <w:pStyle w:val="Numberbullet2"/>
        <w:rPr>
          <w:lang w:eastAsia="en-AU"/>
        </w:rPr>
      </w:pPr>
      <w:r w:rsidRPr="001471FA">
        <w:rPr>
          <w:lang w:eastAsia="en-AU"/>
        </w:rPr>
        <w:t xml:space="preserve">An </w:t>
      </w:r>
      <w:r w:rsidRPr="00897FA8">
        <w:t>updated</w:t>
      </w:r>
      <w:r w:rsidRPr="001471FA">
        <w:rPr>
          <w:lang w:eastAsia="en-AU"/>
        </w:rPr>
        <w:t xml:space="preserve"> RMP to reflect the changes requested by the nonclinical evaluator in their report.</w:t>
      </w:r>
    </w:p>
    <w:p w:rsidR="00BB7B6F" w:rsidRPr="001471FA" w:rsidRDefault="00BB7B6F" w:rsidP="00897FA8">
      <w:pPr>
        <w:pStyle w:val="Numberbullet2"/>
        <w:rPr>
          <w:lang w:eastAsia="en-AU"/>
        </w:rPr>
      </w:pPr>
      <w:r w:rsidRPr="001471FA">
        <w:rPr>
          <w:lang w:eastAsia="en-AU"/>
        </w:rPr>
        <w:t xml:space="preserve">Further information on the planned activities to address concerns that there may be off label use of </w:t>
      </w:r>
      <w:proofErr w:type="spellStart"/>
      <w:r>
        <w:rPr>
          <w:lang w:eastAsia="en-AU"/>
        </w:rPr>
        <w:t>YAZFlex</w:t>
      </w:r>
      <w:proofErr w:type="spellEnd"/>
      <w:r w:rsidRPr="001471FA">
        <w:rPr>
          <w:lang w:eastAsia="en-AU"/>
        </w:rPr>
        <w:t xml:space="preserve"> in women with acne who do not elect to use oral contraception. This </w:t>
      </w:r>
      <w:r w:rsidRPr="00897FA8">
        <w:t>information</w:t>
      </w:r>
      <w:r w:rsidRPr="001471FA">
        <w:rPr>
          <w:lang w:eastAsia="en-AU"/>
        </w:rPr>
        <w:t xml:space="preserve"> may include but not be limited to; if these activities are currently implemented in the EU, current synopses of these activities and whether this data is transferable to the Australian context.</w:t>
      </w:r>
    </w:p>
    <w:p w:rsidR="00BB7B6F" w:rsidRPr="001471FA" w:rsidRDefault="00BB7B6F" w:rsidP="00897FA8">
      <w:pPr>
        <w:pStyle w:val="Numberbullet2"/>
        <w:rPr>
          <w:lang w:eastAsia="en-AU"/>
        </w:rPr>
      </w:pPr>
      <w:r w:rsidRPr="001471FA">
        <w:rPr>
          <w:lang w:eastAsia="en-AU"/>
        </w:rPr>
        <w:t xml:space="preserve">A date or milestone that these </w:t>
      </w:r>
      <w:r w:rsidRPr="00897FA8">
        <w:t>documents</w:t>
      </w:r>
      <w:r w:rsidRPr="001471FA">
        <w:rPr>
          <w:lang w:eastAsia="en-AU"/>
        </w:rPr>
        <w:t xml:space="preserve"> will be provided should be submitted.</w:t>
      </w:r>
    </w:p>
    <w:p w:rsidR="00BB7B6F" w:rsidRPr="00792A32" w:rsidRDefault="00BB7B6F" w:rsidP="00897FA8">
      <w:pPr>
        <w:pStyle w:val="Heading2"/>
      </w:pPr>
      <w:bookmarkStart w:id="236" w:name="_Toc247691527"/>
      <w:bookmarkStart w:id="237" w:name="_Toc323821178"/>
      <w:bookmarkStart w:id="238" w:name="_Toc335040604"/>
      <w:bookmarkStart w:id="239" w:name="_Toc398110087"/>
      <w:bookmarkStart w:id="240" w:name="_Toc401835993"/>
      <w:r>
        <w:t xml:space="preserve">VI. </w:t>
      </w:r>
      <w:r w:rsidRPr="00792A32">
        <w:t xml:space="preserve">Overall </w:t>
      </w:r>
      <w:r w:rsidR="00897FA8">
        <w:t>c</w:t>
      </w:r>
      <w:r w:rsidRPr="00792A32">
        <w:t xml:space="preserve">onclusion and </w:t>
      </w:r>
      <w:r w:rsidR="00897FA8">
        <w:t>r</w:t>
      </w:r>
      <w:r w:rsidRPr="00792A32">
        <w:t>isk/</w:t>
      </w:r>
      <w:r w:rsidR="00897FA8">
        <w:t>b</w:t>
      </w:r>
      <w:r w:rsidRPr="00792A32">
        <w:t xml:space="preserve">enefit </w:t>
      </w:r>
      <w:r w:rsidR="00897FA8" w:rsidRPr="00897FA8">
        <w:t>a</w:t>
      </w:r>
      <w:r w:rsidRPr="00897FA8">
        <w:t>ssessment</w:t>
      </w:r>
      <w:bookmarkEnd w:id="207"/>
      <w:bookmarkEnd w:id="236"/>
      <w:bookmarkEnd w:id="237"/>
      <w:bookmarkEnd w:id="238"/>
      <w:bookmarkEnd w:id="239"/>
      <w:bookmarkEnd w:id="240"/>
    </w:p>
    <w:p w:rsidR="00BB7B6F" w:rsidRDefault="00BB7B6F" w:rsidP="00897FA8">
      <w:bookmarkStart w:id="241" w:name="_Toc247691528"/>
      <w:r>
        <w:t xml:space="preserve">The submission was summarised in the following </w:t>
      </w:r>
      <w:r w:rsidRPr="00EF5C48">
        <w:t xml:space="preserve">Delegate’s </w:t>
      </w:r>
      <w:r>
        <w:t>overview</w:t>
      </w:r>
      <w:r w:rsidRPr="00EF5C48">
        <w:t xml:space="preserve"> and recommendation</w:t>
      </w:r>
      <w:r>
        <w:t>s:</w:t>
      </w:r>
    </w:p>
    <w:p w:rsidR="00BB7B6F" w:rsidRPr="00AD62E8" w:rsidRDefault="00BB7B6F" w:rsidP="00897FA8">
      <w:pPr>
        <w:pStyle w:val="Heading3"/>
      </w:pPr>
      <w:bookmarkStart w:id="242" w:name="_Toc323821179"/>
      <w:bookmarkStart w:id="243" w:name="_Toc335040605"/>
      <w:bookmarkStart w:id="244" w:name="_Toc398110088"/>
      <w:bookmarkStart w:id="245" w:name="_Toc401835994"/>
      <w:r w:rsidRPr="00897FA8">
        <w:t>Quality</w:t>
      </w:r>
      <w:bookmarkEnd w:id="241"/>
      <w:bookmarkEnd w:id="242"/>
      <w:bookmarkEnd w:id="243"/>
      <w:bookmarkEnd w:id="244"/>
      <w:bookmarkEnd w:id="245"/>
    </w:p>
    <w:p w:rsidR="00BB7B6F" w:rsidRPr="00AD62E8" w:rsidRDefault="00897FA8" w:rsidP="00C603CF">
      <w:pPr>
        <w:pStyle w:val="Heading4"/>
      </w:pPr>
      <w:r>
        <w:t>Product/</w:t>
      </w:r>
      <w:r w:rsidRPr="00C603CF">
        <w:t>d</w:t>
      </w:r>
      <w:r w:rsidR="00BB7B6F" w:rsidRPr="00C603CF">
        <w:t>ose</w:t>
      </w:r>
      <w:r w:rsidR="00BB7B6F" w:rsidRPr="00AD62E8">
        <w:t xml:space="preserve"> form</w:t>
      </w:r>
    </w:p>
    <w:p w:rsidR="00BB7B6F" w:rsidRPr="006D6C84" w:rsidRDefault="00BB7B6F" w:rsidP="00C603CF">
      <w:r w:rsidRPr="006D6C84">
        <w:t xml:space="preserve">The evaluator mentioned that </w:t>
      </w:r>
      <w:proofErr w:type="spellStart"/>
      <w:r>
        <w:t>YAZFlex</w:t>
      </w:r>
      <w:proofErr w:type="spellEnd"/>
      <w:r w:rsidRPr="006D6C84">
        <w:t xml:space="preserve"> </w:t>
      </w:r>
      <w:r w:rsidRPr="00C603CF">
        <w:rPr>
          <w:i/>
        </w:rPr>
        <w:t xml:space="preserve">‘is essentially a new presentation and dosing regimen of the sponsor's existing registered product YAZ, a fixed combination oral contraceptive (OC) in which active tablets are taken for 24 days and inactive (placebo) tablets for 4 days in each 28 day cycle. </w:t>
      </w:r>
      <w:proofErr w:type="spellStart"/>
      <w:r w:rsidRPr="00C603CF">
        <w:rPr>
          <w:i/>
        </w:rPr>
        <w:t>YAZFlex</w:t>
      </w:r>
      <w:proofErr w:type="spellEnd"/>
      <w:r w:rsidRPr="00C603CF">
        <w:rPr>
          <w:i/>
        </w:rPr>
        <w:t xml:space="preserve"> differs only in that the active tablets are taken for a longer and variable period of time from 24 up to 120 days, depending on when bleeding occurs, and that the inactive tablets are replaced by a 4-day tablet free interval, managed by interaction between the consumer and a dispensing device’</w:t>
      </w:r>
      <w:r w:rsidRPr="006D6C84">
        <w:t>.</w:t>
      </w:r>
    </w:p>
    <w:p w:rsidR="00BB7B6F" w:rsidRDefault="00BB7B6F" w:rsidP="00C603CF">
      <w:r w:rsidRPr="006D6C84">
        <w:t xml:space="preserve">The letter of application states that </w:t>
      </w:r>
      <w:proofErr w:type="spellStart"/>
      <w:r>
        <w:t>YAZFlex</w:t>
      </w:r>
      <w:proofErr w:type="spellEnd"/>
      <w:r w:rsidRPr="006D6C84">
        <w:t xml:space="preserve"> tablets are contained in a plastic tube (a dispenser pack) and is inserted into a tablet dispenser. The tablet dispenser is reusable and is designed to fit a cartridge prefilled with Y</w:t>
      </w:r>
      <w:r>
        <w:t>AZ</w:t>
      </w:r>
      <w:r w:rsidRPr="006D6C84">
        <w:t xml:space="preserve"> active tablets. This dispenser assists the subject with, </w:t>
      </w:r>
      <w:r>
        <w:t>‘</w:t>
      </w:r>
      <w:r w:rsidRPr="00AD62E8">
        <w:rPr>
          <w:i/>
        </w:rPr>
        <w:t>information on the current treatment cycle for the day, number of tablets remaining in the cartridge, whether the patient can take the 4-day tablet free interval.</w:t>
      </w:r>
      <w:r w:rsidRPr="006D6C84">
        <w:t>..</w:t>
      </w:r>
      <w:proofErr w:type="gramStart"/>
      <w:r>
        <w:t>’</w:t>
      </w:r>
      <w:r w:rsidRPr="006D6C84">
        <w:t>.</w:t>
      </w:r>
      <w:proofErr w:type="gramEnd"/>
      <w:r w:rsidRPr="006D6C84">
        <w:t xml:space="preserve"> </w:t>
      </w:r>
      <w:r w:rsidRPr="006D6C84">
        <w:lastRenderedPageBreak/>
        <w:t>During the 4 day tablet free interval the device will display the day of the tablet free break and when the active tablet is due.</w:t>
      </w:r>
    </w:p>
    <w:p w:rsidR="00BB7B6F" w:rsidRDefault="00BB7B6F" w:rsidP="00C603CF">
      <w:pPr>
        <w:rPr>
          <w:color w:val="000000"/>
          <w:lang w:eastAsia="en-AU"/>
        </w:rPr>
      </w:pPr>
      <w:r>
        <w:t xml:space="preserve">There were no objections to approval of the oral contraceptive device and usability. The device evaluator recommended that a warning, ‘keep out of the reach of children’ be added on the device. The sponsor has stated that it does not wish to accept this recommendation as the risk of toxicity to the tablet is low; also the ‘risk </w:t>
      </w:r>
      <w:r>
        <w:rPr>
          <w:color w:val="000000"/>
          <w:lang w:eastAsia="en-AU"/>
        </w:rPr>
        <w:t>unauthorised use is low due to physical and cognitive barriers to tablet access’. This was considered acceptable as there are adequate warning statements in the patient information leaflet and the carton.</w:t>
      </w:r>
    </w:p>
    <w:p w:rsidR="00BB7B6F" w:rsidRDefault="00BB7B6F" w:rsidP="00C603CF">
      <w:r>
        <w:t>All chemistry and quality con</w:t>
      </w:r>
      <w:r w:rsidR="00C603CF">
        <w:t>trol issues have been resolved.</w:t>
      </w:r>
    </w:p>
    <w:p w:rsidR="00BB7B6F" w:rsidRDefault="00BB7B6F" w:rsidP="00C603CF">
      <w:pPr>
        <w:pStyle w:val="Heading3"/>
      </w:pPr>
      <w:bookmarkStart w:id="246" w:name="_Toc323821180"/>
      <w:bookmarkStart w:id="247" w:name="_Toc335040606"/>
      <w:bookmarkStart w:id="248" w:name="_Toc398110089"/>
      <w:bookmarkStart w:id="249" w:name="_Toc401835995"/>
      <w:r w:rsidRPr="00C603CF">
        <w:t>Nonclinical</w:t>
      </w:r>
      <w:bookmarkEnd w:id="246"/>
      <w:bookmarkEnd w:id="247"/>
      <w:bookmarkEnd w:id="248"/>
      <w:bookmarkEnd w:id="249"/>
    </w:p>
    <w:p w:rsidR="00BB7B6F" w:rsidRDefault="00BB7B6F" w:rsidP="00C603CF">
      <w:bookmarkStart w:id="250" w:name="_Toc247691530"/>
      <w:r>
        <w:t>The evaluator comments that the new studies were of limited relevance. Previously submitted studies on continuous daily dosing supported this regimen.</w:t>
      </w:r>
    </w:p>
    <w:p w:rsidR="00BB7B6F" w:rsidRDefault="00BB7B6F" w:rsidP="00C603CF">
      <w:r>
        <w:t xml:space="preserve">Two new studies on pharmacology confirmed previous findings, that is, </w:t>
      </w:r>
      <w:proofErr w:type="spellStart"/>
      <w:r>
        <w:t>ethinyloestradiol</w:t>
      </w:r>
      <w:proofErr w:type="spellEnd"/>
      <w:r>
        <w:t xml:space="preserve"> possessed high affinity for oestrogen receptor (rat and human uterus), moderate affinity for progesterone receptor (rabbit and human uterus) and no androgenic receptor affinity. The second study demonstrated </w:t>
      </w:r>
      <w:proofErr w:type="spellStart"/>
      <w:r>
        <w:t>progestogenic</w:t>
      </w:r>
      <w:proofErr w:type="spellEnd"/>
      <w:r>
        <w:t xml:space="preserve"> activity of </w:t>
      </w:r>
      <w:proofErr w:type="spellStart"/>
      <w:r>
        <w:t>drospirenone</w:t>
      </w:r>
      <w:proofErr w:type="spellEnd"/>
      <w:r>
        <w:t xml:space="preserve"> in rats. </w:t>
      </w:r>
    </w:p>
    <w:p w:rsidR="00BB7B6F" w:rsidRDefault="00BB7B6F" w:rsidP="00C603CF">
      <w:r w:rsidRPr="00C31A1C">
        <w:rPr>
          <w:rStyle w:val="Heading4Char"/>
        </w:rPr>
        <w:t>PK:</w:t>
      </w:r>
      <w:r>
        <w:t xml:space="preserve"> A p</w:t>
      </w:r>
      <w:r w:rsidRPr="004B4BAC">
        <w:t>harmacokinetic</w:t>
      </w:r>
      <w:r>
        <w:t xml:space="preserve"> (single dose monkey) study showed no significant interaction between the active components. Pharmacokinetics of the active components </w:t>
      </w:r>
      <w:proofErr w:type="gramStart"/>
      <w:r>
        <w:t>have</w:t>
      </w:r>
      <w:proofErr w:type="gramEnd"/>
      <w:r>
        <w:t xml:space="preserve"> been established in previous submissions on Yasmin and YAZ.</w:t>
      </w:r>
    </w:p>
    <w:p w:rsidR="00BB7B6F" w:rsidRDefault="00BB7B6F" w:rsidP="00BB7B6F">
      <w:r w:rsidRPr="00C31A1C">
        <w:rPr>
          <w:rStyle w:val="Heading4Char"/>
        </w:rPr>
        <w:t xml:space="preserve">Acute toxicity: </w:t>
      </w:r>
      <w:r>
        <w:t xml:space="preserve">A single dose toxicity study of </w:t>
      </w:r>
      <w:proofErr w:type="spellStart"/>
      <w:r>
        <w:t>ethinyloestradiol</w:t>
      </w:r>
      <w:proofErr w:type="spellEnd"/>
      <w:r>
        <w:t xml:space="preserve"> and </w:t>
      </w:r>
      <w:proofErr w:type="spellStart"/>
      <w:r>
        <w:t>drospirenone</w:t>
      </w:r>
      <w:proofErr w:type="spellEnd"/>
      <w:r>
        <w:t xml:space="preserve"> in combination (1:100 </w:t>
      </w:r>
      <w:proofErr w:type="gramStart"/>
      <w:r>
        <w:t>ratio</w:t>
      </w:r>
      <w:proofErr w:type="gramEnd"/>
      <w:r>
        <w:t>) in rats showed a low order of toxicity, consistent with previously submitted data.</w:t>
      </w:r>
    </w:p>
    <w:p w:rsidR="00BB7B6F" w:rsidRDefault="00BB7B6F" w:rsidP="00C603CF">
      <w:r w:rsidRPr="00C31A1C">
        <w:rPr>
          <w:rStyle w:val="Heading4Char"/>
        </w:rPr>
        <w:t>Repeat dose toxicity and Carcinogenicity studies:</w:t>
      </w:r>
      <w:r>
        <w:t xml:space="preserve"> No new studies were submitted. </w:t>
      </w:r>
      <w:proofErr w:type="gramStart"/>
      <w:r>
        <w:t>Previously submitted data on continuous once daily dosing support this.</w:t>
      </w:r>
      <w:proofErr w:type="gramEnd"/>
      <w:r>
        <w:t xml:space="preserve"> </w:t>
      </w:r>
    </w:p>
    <w:p w:rsidR="00BB7B6F" w:rsidRPr="006D6C84" w:rsidRDefault="00BB7B6F" w:rsidP="00C603CF">
      <w:r w:rsidRPr="00C31A1C">
        <w:t>Reproductive toxicity:</w:t>
      </w:r>
      <w:r w:rsidRPr="006D6C84">
        <w:t xml:space="preserve"> The evaluator discusses previously submitted data. A newly submitted study (EE</w:t>
      </w:r>
      <w:r>
        <w:t>±</w:t>
      </w:r>
      <w:r w:rsidRPr="006D6C84">
        <w:t xml:space="preserve">DRSP-1: 100 ratio as PO administration) revealed, </w:t>
      </w:r>
      <w:r>
        <w:t>‘</w:t>
      </w:r>
      <w:proofErr w:type="spellStart"/>
      <w:r w:rsidRPr="006D6C84">
        <w:t>embryolethality</w:t>
      </w:r>
      <w:proofErr w:type="spellEnd"/>
      <w:r w:rsidRPr="006D6C84">
        <w:t xml:space="preserve"> (increased post-implantation loss) but no teratogenicity at the highest dose in rats (0.1/10 mg/kg/day </w:t>
      </w:r>
      <w:proofErr w:type="spellStart"/>
      <w:r w:rsidRPr="006D6C84">
        <w:t>ethinyloestradiol</w:t>
      </w:r>
      <w:proofErr w:type="spellEnd"/>
      <w:r w:rsidRPr="006D6C84">
        <w:t>/</w:t>
      </w:r>
      <w:proofErr w:type="spellStart"/>
      <w:r w:rsidRPr="006D6C84">
        <w:t>drospirenone</w:t>
      </w:r>
      <w:proofErr w:type="spellEnd"/>
      <w:r w:rsidRPr="006D6C84">
        <w:t xml:space="preserve"> PO), and an increased incidence of skeletal variations (principally wavy ribs) and retardation of ossification at </w:t>
      </w:r>
      <w:r>
        <w:t>≥</w:t>
      </w:r>
      <w:r w:rsidRPr="006D6C84">
        <w:t>0.03/3 mg/kg/day</w:t>
      </w:r>
      <w:r>
        <w:t>’</w:t>
      </w:r>
      <w:r w:rsidRPr="006D6C84">
        <w:t>. These were at low multiples of clinical exposure. The evaluator recommends that</w:t>
      </w:r>
      <w:r>
        <w:t xml:space="preserve"> </w:t>
      </w:r>
      <w:proofErr w:type="spellStart"/>
      <w:r>
        <w:t>YAZFlex</w:t>
      </w:r>
      <w:proofErr w:type="spellEnd"/>
      <w:r w:rsidRPr="006D6C84">
        <w:t xml:space="preserve"> be contraindicated in known or suspected pregnancy. </w:t>
      </w:r>
    </w:p>
    <w:p w:rsidR="00BB7B6F" w:rsidRDefault="00BB7B6F" w:rsidP="00C603CF">
      <w:r>
        <w:t>Several PI amendments were recommende</w:t>
      </w:r>
      <w:r w:rsidR="00C603CF">
        <w:t>d by the nonclinical evaluator.</w:t>
      </w:r>
    </w:p>
    <w:p w:rsidR="00BB7B6F" w:rsidRPr="00AD62E8" w:rsidRDefault="00BB7B6F" w:rsidP="00C603CF">
      <w:pPr>
        <w:pStyle w:val="Heading3"/>
      </w:pPr>
      <w:bookmarkStart w:id="251" w:name="_Toc323821181"/>
      <w:bookmarkStart w:id="252" w:name="_Toc335040607"/>
      <w:bookmarkStart w:id="253" w:name="_Toc398110090"/>
      <w:bookmarkStart w:id="254" w:name="_Toc401835996"/>
      <w:r w:rsidRPr="00C603CF">
        <w:t>Clinical</w:t>
      </w:r>
      <w:bookmarkEnd w:id="250"/>
      <w:bookmarkEnd w:id="251"/>
      <w:bookmarkEnd w:id="252"/>
      <w:bookmarkEnd w:id="253"/>
      <w:bookmarkEnd w:id="254"/>
    </w:p>
    <w:p w:rsidR="00BB7B6F" w:rsidRDefault="00BB7B6F" w:rsidP="00C603CF">
      <w:pPr>
        <w:pStyle w:val="Heading4"/>
      </w:pPr>
      <w:r w:rsidRPr="00C603CF">
        <w:t>Pharmacokinetics</w:t>
      </w:r>
    </w:p>
    <w:p w:rsidR="00BB7B6F" w:rsidRPr="00A02003" w:rsidRDefault="00BB7B6F" w:rsidP="00C603CF">
      <w:r>
        <w:t>The first is the population pharmacokinetic analysis from the pivotal efficacy Study A40196</w:t>
      </w:r>
      <w:r w:rsidRPr="00A02003">
        <w:t xml:space="preserve">. This study compared the safety and efficacy of the </w:t>
      </w:r>
      <w:proofErr w:type="spellStart"/>
      <w:r>
        <w:t>YAZFlex</w:t>
      </w:r>
      <w:proofErr w:type="spellEnd"/>
      <w:r w:rsidRPr="00A02003">
        <w:t xml:space="preserve"> regimen and a fixed extended regimen (Y</w:t>
      </w:r>
      <w:r>
        <w:t>AZ</w:t>
      </w:r>
      <w:r w:rsidRPr="00A02003">
        <w:t xml:space="preserve"> Extend) to conventional</w:t>
      </w:r>
      <w:r>
        <w:t xml:space="preserve"> YAZ</w:t>
      </w:r>
      <w:r w:rsidRPr="00A02003">
        <w:t xml:space="preserve"> regimen.</w:t>
      </w:r>
      <w:r>
        <w:t xml:space="preserve"> </w:t>
      </w:r>
      <w:r w:rsidRPr="00A02003">
        <w:t>This analysis showed that there was no significant difference in drug exposure between treatment groups. However, there was significant individual variation in exposure.</w:t>
      </w:r>
    </w:p>
    <w:p w:rsidR="00BB7B6F" w:rsidRPr="00A02003" w:rsidRDefault="00BB7B6F" w:rsidP="00C603CF">
      <w:r w:rsidRPr="00A02003">
        <w:t>Clearance was shown to increase with body weight for both drug components.</w:t>
      </w:r>
    </w:p>
    <w:p w:rsidR="00BB7B6F" w:rsidRDefault="00C603CF" w:rsidP="00C603CF">
      <w:pPr>
        <w:pStyle w:val="Heading4"/>
      </w:pPr>
      <w:r w:rsidRPr="00C603CF">
        <w:t>Efficacy</w:t>
      </w:r>
    </w:p>
    <w:p w:rsidR="00BB7B6F" w:rsidRPr="00A02003" w:rsidRDefault="00BB7B6F" w:rsidP="00C603CF">
      <w:r w:rsidRPr="00A02003">
        <w:t xml:space="preserve">Two pivotal studies (A40196 and A48294) are discussed </w:t>
      </w:r>
      <w:r>
        <w:t>by the clinical evaluator</w:t>
      </w:r>
      <w:r w:rsidRPr="00A02003">
        <w:t>. Healthy women aged 18</w:t>
      </w:r>
      <w:r>
        <w:t xml:space="preserve"> to </w:t>
      </w:r>
      <w:r w:rsidRPr="00A02003">
        <w:t>35 years in A 40196 and 18</w:t>
      </w:r>
      <w:r>
        <w:t xml:space="preserve"> to </w:t>
      </w:r>
      <w:r w:rsidRPr="00A02003">
        <w:t xml:space="preserve">45 years in </w:t>
      </w:r>
      <w:r>
        <w:t xml:space="preserve">Study A48294 </w:t>
      </w:r>
      <w:r w:rsidRPr="00A02003">
        <w:t xml:space="preserve">seeking </w:t>
      </w:r>
      <w:r w:rsidRPr="00A02003">
        <w:lastRenderedPageBreak/>
        <w:t>contraception where COC use was not contraindicated were eligible to participate. There is also a supporting study, A47505.</w:t>
      </w:r>
    </w:p>
    <w:p w:rsidR="00BB7B6F" w:rsidRPr="00A02003" w:rsidRDefault="00BB7B6F" w:rsidP="00C603CF">
      <w:r>
        <w:t xml:space="preserve">Study A40196 </w:t>
      </w:r>
      <w:r w:rsidRPr="00A02003">
        <w:t xml:space="preserve">was a multicentre, open, randomised parallel group study conducted in Europe and Canada comparing </w:t>
      </w:r>
      <w:proofErr w:type="spellStart"/>
      <w:r>
        <w:t>YAZFlex</w:t>
      </w:r>
      <w:proofErr w:type="spellEnd"/>
      <w:r>
        <w:t xml:space="preserve"> </w:t>
      </w:r>
      <w:r w:rsidRPr="00A02003">
        <w:t>and Y</w:t>
      </w:r>
      <w:r>
        <w:t>AZ</w:t>
      </w:r>
      <w:r w:rsidRPr="00A02003">
        <w:t xml:space="preserve"> Extend with conventional Y</w:t>
      </w:r>
      <w:r>
        <w:t>AZ</w:t>
      </w:r>
      <w:r w:rsidRPr="00A02003">
        <w:t>, for oral contraception. Y</w:t>
      </w:r>
      <w:r>
        <w:t>AZ</w:t>
      </w:r>
      <w:r w:rsidRPr="00A02003">
        <w:t xml:space="preserve"> Extend is a regimen of one active tablet/day for 120 days followed by a 4 day tablet free interval to induce withdrawal bleeding. </w:t>
      </w:r>
    </w:p>
    <w:p w:rsidR="00BB7B6F" w:rsidRPr="00A02003" w:rsidRDefault="00BB7B6F" w:rsidP="00C603CF">
      <w:r w:rsidRPr="00A02003">
        <w:t>Study A4829</w:t>
      </w:r>
      <w:r>
        <w:t>4</w:t>
      </w:r>
      <w:r w:rsidRPr="00A02003">
        <w:t xml:space="preserve"> was a multicentre open label study conducted in USA. Here, instead of Y</w:t>
      </w:r>
      <w:r>
        <w:t>AZ</w:t>
      </w:r>
      <w:r w:rsidRPr="00A02003">
        <w:t xml:space="preserve"> Extend, Y</w:t>
      </w:r>
      <w:r>
        <w:t>AZ</w:t>
      </w:r>
      <w:r w:rsidRPr="00A02003">
        <w:t xml:space="preserve"> Stop&amp; Go was used in the third treatment arm. Y</w:t>
      </w:r>
      <w:r>
        <w:t>AZ</w:t>
      </w:r>
      <w:r w:rsidRPr="00A02003">
        <w:t xml:space="preserve"> Stop &amp; Go is similar to </w:t>
      </w:r>
      <w:proofErr w:type="spellStart"/>
      <w:r>
        <w:t>YAZFlex</w:t>
      </w:r>
      <w:proofErr w:type="spellEnd"/>
      <w:r w:rsidRPr="00A02003">
        <w:t xml:space="preserve"> except that women are allowed to schedule their withdrawal bleeding at any time between </w:t>
      </w:r>
      <w:r>
        <w:t>D</w:t>
      </w:r>
      <w:r w:rsidRPr="00A02003">
        <w:t xml:space="preserve">ays 25 to 120 of the intake </w:t>
      </w:r>
      <w:r w:rsidR="00C603CF">
        <w:t>cycle according to convenience.</w:t>
      </w:r>
    </w:p>
    <w:p w:rsidR="00BB7B6F" w:rsidRPr="00A02003" w:rsidRDefault="00BB7B6F" w:rsidP="00C603CF">
      <w:r w:rsidRPr="00A02003">
        <w:t xml:space="preserve">The primary efficacy endpoint in both studies was unintended pregnancy rate. </w:t>
      </w:r>
      <w:r>
        <w:t xml:space="preserve">Study A40196 </w:t>
      </w:r>
      <w:r w:rsidRPr="00A02003">
        <w:t>also included total number of bleeding</w:t>
      </w:r>
      <w:r w:rsidR="00C603CF">
        <w:t xml:space="preserve"> days as a co-primary endpoint.</w:t>
      </w:r>
    </w:p>
    <w:p w:rsidR="00BB7B6F" w:rsidRPr="00A02003" w:rsidRDefault="00BB7B6F" w:rsidP="00C603CF">
      <w:r w:rsidRPr="00A02003">
        <w:t xml:space="preserve">Secondary efficacy endpoint in </w:t>
      </w:r>
      <w:r>
        <w:t xml:space="preserve">Study A48294 </w:t>
      </w:r>
      <w:r w:rsidRPr="00A02003">
        <w:t>was bleeding pattern and cycle control.</w:t>
      </w:r>
    </w:p>
    <w:p w:rsidR="00BB7B6F" w:rsidRPr="00A02003" w:rsidRDefault="00BB7B6F" w:rsidP="00C603CF">
      <w:r w:rsidRPr="00A02003">
        <w:t xml:space="preserve">Details of Pearl Index calculation, the assessment used to define bleeding patterns, sample size calculations and other study design details are discussed </w:t>
      </w:r>
      <w:r>
        <w:t>in the</w:t>
      </w:r>
      <w:r w:rsidRPr="00A02003">
        <w:t xml:space="preserve"> CER.</w:t>
      </w:r>
    </w:p>
    <w:p w:rsidR="00BB7B6F" w:rsidRPr="00A02003" w:rsidRDefault="00BB7B6F" w:rsidP="00C603CF">
      <w:r w:rsidRPr="00A02003">
        <w:t xml:space="preserve">In </w:t>
      </w:r>
      <w:r>
        <w:t>Study A40196</w:t>
      </w:r>
      <w:r w:rsidRPr="00A02003">
        <w:t xml:space="preserve">, the full analysis set (FAS) included 642 subjects in the </w:t>
      </w:r>
      <w:proofErr w:type="spellStart"/>
      <w:r>
        <w:t>YAZFlex</w:t>
      </w:r>
      <w:proofErr w:type="spellEnd"/>
      <w:r w:rsidRPr="00A02003">
        <w:t xml:space="preserve"> group; 209 in the Y</w:t>
      </w:r>
      <w:r>
        <w:t>AZ</w:t>
      </w:r>
      <w:r w:rsidRPr="00A02003">
        <w:t xml:space="preserve"> Extend group and 216 in the Y</w:t>
      </w:r>
      <w:r>
        <w:t>AZ</w:t>
      </w:r>
      <w:r w:rsidR="00C603CF">
        <w:t xml:space="preserve"> group. This was at 12 months.</w:t>
      </w:r>
    </w:p>
    <w:p w:rsidR="00BB7B6F" w:rsidRPr="00A02003" w:rsidRDefault="00BB7B6F" w:rsidP="00C603CF">
      <w:r w:rsidRPr="00A02003">
        <w:t xml:space="preserve">In </w:t>
      </w:r>
      <w:r>
        <w:t xml:space="preserve">Study A48294 </w:t>
      </w:r>
      <w:r w:rsidRPr="00A02003">
        <w:t>the FAS population as follows:</w:t>
      </w:r>
      <w:r>
        <w:t xml:space="preserve"> </w:t>
      </w:r>
      <w:r w:rsidRPr="00A02003">
        <w:t xml:space="preserve">1406 in the </w:t>
      </w:r>
      <w:proofErr w:type="spellStart"/>
      <w:r>
        <w:t>YAZFlex</w:t>
      </w:r>
      <w:proofErr w:type="spellEnd"/>
      <w:r w:rsidRPr="00A02003">
        <w:t xml:space="preserve"> group; 232 in Y</w:t>
      </w:r>
      <w:r>
        <w:t>AZ</w:t>
      </w:r>
      <w:r w:rsidRPr="00A02003">
        <w:t xml:space="preserve"> Stop&amp; Go; and 226 in Y</w:t>
      </w:r>
      <w:r>
        <w:t>AZ</w:t>
      </w:r>
      <w:r w:rsidR="00C603CF">
        <w:t xml:space="preserve"> group.</w:t>
      </w:r>
    </w:p>
    <w:p w:rsidR="00BB7B6F" w:rsidRDefault="00BB7B6F" w:rsidP="00C603CF">
      <w:r>
        <w:t>With respect to t</w:t>
      </w:r>
      <w:r w:rsidRPr="00A02003">
        <w:t>he demographic details</w:t>
      </w:r>
      <w:r>
        <w:t xml:space="preserve"> (see Table 15 below), o</w:t>
      </w:r>
      <w:r w:rsidRPr="00A02003">
        <w:t xml:space="preserve">f note: </w:t>
      </w:r>
      <w:r>
        <w:t xml:space="preserve">Study A40196 </w:t>
      </w:r>
      <w:r w:rsidRPr="00A02003">
        <w:t xml:space="preserve">included a lower </w:t>
      </w:r>
      <w:r>
        <w:t>body mass index (</w:t>
      </w:r>
      <w:r w:rsidRPr="00A02003">
        <w:t>BMI</w:t>
      </w:r>
      <w:r>
        <w:t>)</w:t>
      </w:r>
      <w:r w:rsidRPr="00A02003">
        <w:t xml:space="preserve"> (22.6 kg/m2 v</w:t>
      </w:r>
      <w:r>
        <w:t>ersu</w:t>
      </w:r>
      <w:r w:rsidRPr="00A02003">
        <w:t>s 24.2 kg/m2); the population was also marginally younger (24.7 years v</w:t>
      </w:r>
      <w:r>
        <w:t>ersu</w:t>
      </w:r>
      <w:r w:rsidRPr="00A02003">
        <w:t xml:space="preserve">s 25.7 years). </w:t>
      </w:r>
      <w:r>
        <w:t xml:space="preserve">Study A48294 </w:t>
      </w:r>
      <w:r w:rsidRPr="00A02003">
        <w:t>which was to include women up to the age of 45, included 13% of women above the age of 35 years in the Y</w:t>
      </w:r>
      <w:r>
        <w:t>AZ</w:t>
      </w:r>
      <w:r w:rsidRPr="00A02003">
        <w:t xml:space="preserve"> Stop&amp; Go and Y</w:t>
      </w:r>
      <w:r>
        <w:t>AZ</w:t>
      </w:r>
      <w:r w:rsidRPr="00A02003">
        <w:t xml:space="preserve"> arms. It is not stated whether such women were recruited in the </w:t>
      </w:r>
      <w:proofErr w:type="spellStart"/>
      <w:r>
        <w:t>YAZFlex</w:t>
      </w:r>
      <w:proofErr w:type="spellEnd"/>
      <w:r w:rsidRPr="00A02003">
        <w:t xml:space="preserve"> group. This should be stated in the </w:t>
      </w:r>
      <w:r>
        <w:t xml:space="preserve">sponsor’s </w:t>
      </w:r>
      <w:r w:rsidRPr="00A02003">
        <w:t>pre-A</w:t>
      </w:r>
      <w:r>
        <w:t>dvisory Committee on Prescription Medicines (A</w:t>
      </w:r>
      <w:r w:rsidRPr="00A02003">
        <w:t>CPM</w:t>
      </w:r>
      <w:r>
        <w:t>)</w:t>
      </w:r>
      <w:r w:rsidRPr="00A02003">
        <w:t xml:space="preserve"> response.</w:t>
      </w:r>
    </w:p>
    <w:p w:rsidR="00BB7B6F" w:rsidRDefault="00BB7B6F" w:rsidP="00C603CF">
      <w:pPr>
        <w:pStyle w:val="TableTitle"/>
      </w:pPr>
      <w:proofErr w:type="gramStart"/>
      <w:r>
        <w:lastRenderedPageBreak/>
        <w:t>Table 15.</w:t>
      </w:r>
      <w:proofErr w:type="gramEnd"/>
      <w:r>
        <w:t xml:space="preserve"> </w:t>
      </w:r>
      <w:proofErr w:type="gramStart"/>
      <w:r>
        <w:t xml:space="preserve">Summary of Clinical </w:t>
      </w:r>
      <w:r w:rsidRPr="00C603CF">
        <w:t>Efficacy</w:t>
      </w:r>
      <w:r>
        <w:t>.</w:t>
      </w:r>
      <w:proofErr w:type="gramEnd"/>
      <w:r>
        <w:t xml:space="preserve"> </w:t>
      </w:r>
      <w:proofErr w:type="gramStart"/>
      <w:r>
        <w:t>Demographic details.</w:t>
      </w:r>
      <w:proofErr w:type="gramEnd"/>
    </w:p>
    <w:p w:rsidR="00BB7B6F" w:rsidRPr="00A02003" w:rsidRDefault="00BB7B6F" w:rsidP="00C603CF">
      <w:r>
        <w:rPr>
          <w:noProof/>
          <w:lang w:eastAsia="en-AU"/>
        </w:rPr>
        <w:drawing>
          <wp:inline distT="0" distB="0" distL="0" distR="0" wp14:anchorId="31B04599" wp14:editId="526AC7C9">
            <wp:extent cx="4838700" cy="6105525"/>
            <wp:effectExtent l="0" t="0" r="0" b="9525"/>
            <wp:docPr id="10" name="Picture 9" descr="Table 15. Summary of Clinical Efficacy. Demographic details." title="Table 15. Summary of Clinical Efficacy. Demographic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l="6050" t="12201" r="8571" b="2597"/>
                    <a:stretch>
                      <a:fillRect/>
                    </a:stretch>
                  </pic:blipFill>
                  <pic:spPr bwMode="auto">
                    <a:xfrm>
                      <a:off x="0" y="0"/>
                      <a:ext cx="4838700" cy="6105525"/>
                    </a:xfrm>
                    <a:prstGeom prst="rect">
                      <a:avLst/>
                    </a:prstGeom>
                    <a:noFill/>
                    <a:ln w="9525">
                      <a:noFill/>
                      <a:miter lim="800000"/>
                      <a:headEnd/>
                      <a:tailEnd/>
                    </a:ln>
                  </pic:spPr>
                </pic:pic>
              </a:graphicData>
            </a:graphic>
          </wp:inline>
        </w:drawing>
      </w:r>
    </w:p>
    <w:p w:rsidR="00BB7B6F" w:rsidRDefault="00BB7B6F" w:rsidP="00BB7B6F">
      <w:r>
        <w:t>The following table (Table 16) gives the Pearl Indices.</w:t>
      </w:r>
    </w:p>
    <w:p w:rsidR="00BB7B6F" w:rsidRDefault="00BB7B6F" w:rsidP="00C603CF">
      <w:pPr>
        <w:pStyle w:val="TableTitle"/>
      </w:pPr>
      <w:proofErr w:type="gramStart"/>
      <w:r>
        <w:lastRenderedPageBreak/>
        <w:t>Table 16.</w:t>
      </w:r>
      <w:proofErr w:type="gramEnd"/>
      <w:r>
        <w:t xml:space="preserve"> Pearl Indices based on pregnancies during treatment-FAS (pivotal studies A40196 and </w:t>
      </w:r>
      <w:r w:rsidRPr="00C603CF">
        <w:t>A48294</w:t>
      </w:r>
      <w:r>
        <w:t>)</w:t>
      </w:r>
    </w:p>
    <w:p w:rsidR="00BB7B6F" w:rsidRDefault="00BB7B6F" w:rsidP="00C603CF">
      <w:r>
        <w:rPr>
          <w:noProof/>
          <w:lang w:eastAsia="en-AU"/>
        </w:rPr>
        <w:drawing>
          <wp:inline distT="0" distB="0" distL="0" distR="0" wp14:anchorId="657F559D" wp14:editId="610461F1">
            <wp:extent cx="5191092" cy="4991100"/>
            <wp:effectExtent l="0" t="0" r="0" b="0"/>
            <wp:docPr id="11" name="Picture 10" descr="Table 16. Pearl Indices based on pregnancies during treatment-FAS (pivotal studies A40196 and A48294)" title="Table 16. Pearl Indices based on pregnancies during treatment-FAS (pivotal studies A40196 and A4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lum contrast="20000"/>
                    </a:blip>
                    <a:srcRect t="6411" b="3839"/>
                    <a:stretch>
                      <a:fillRect/>
                    </a:stretch>
                  </pic:blipFill>
                  <pic:spPr bwMode="auto">
                    <a:xfrm>
                      <a:off x="0" y="0"/>
                      <a:ext cx="5191092" cy="4991100"/>
                    </a:xfrm>
                    <a:prstGeom prst="rect">
                      <a:avLst/>
                    </a:prstGeom>
                    <a:noFill/>
                    <a:ln w="9525">
                      <a:noFill/>
                      <a:miter lim="800000"/>
                      <a:headEnd/>
                      <a:tailEnd/>
                    </a:ln>
                  </pic:spPr>
                </pic:pic>
              </a:graphicData>
            </a:graphic>
          </wp:inline>
        </w:drawing>
      </w:r>
    </w:p>
    <w:p w:rsidR="00BB7B6F" w:rsidRDefault="00BB7B6F" w:rsidP="00C603CF">
      <w:r>
        <w:t>The difference in Pearl Index in the two studies is attributed to lower compliance in US. This was dismissed by the evaluator (see above).</w:t>
      </w:r>
    </w:p>
    <w:p w:rsidR="00BB7B6F" w:rsidRDefault="00BB7B6F" w:rsidP="00C603CF">
      <w:r>
        <w:t xml:space="preserve">The life table analysis is as described in Table 17 below. </w:t>
      </w:r>
    </w:p>
    <w:p w:rsidR="00BB7B6F" w:rsidRDefault="00BB7B6F" w:rsidP="00C603CF">
      <w:pPr>
        <w:pStyle w:val="TableTitle"/>
      </w:pPr>
      <w:proofErr w:type="gramStart"/>
      <w:r>
        <w:t>Table 17.</w:t>
      </w:r>
      <w:proofErr w:type="gramEnd"/>
      <w:r>
        <w:t xml:space="preserve"> </w:t>
      </w:r>
      <w:proofErr w:type="gramStart"/>
      <w:r>
        <w:t>Summary of Kaplan Meier estimates and confidence intervals for one year of treatment by study; FAS (Studies A40196 and A48294).</w:t>
      </w:r>
      <w:proofErr w:type="gramEnd"/>
    </w:p>
    <w:p w:rsidR="00BB7B6F" w:rsidRDefault="00BB7B6F" w:rsidP="00C603CF">
      <w:r>
        <w:rPr>
          <w:noProof/>
          <w:lang w:eastAsia="en-AU"/>
        </w:rPr>
        <w:drawing>
          <wp:inline distT="0" distB="0" distL="0" distR="0" wp14:anchorId="002E48B3" wp14:editId="0AA7AEF5">
            <wp:extent cx="4972050" cy="1690863"/>
            <wp:effectExtent l="0" t="0" r="0" b="5080"/>
            <wp:docPr id="12" name="Picture 11" descr="Table 17. Summary of Kaplan Meier estimates and confidence intervals for one year of treatment by study; FAS (Studies A40196 and A48294)." title="Table 17. Summary of Kaplan Meier estimates and confidence intervals for one year of treatment by study; FAS (Studies A40196 and A4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lum contrast="20000"/>
                    </a:blip>
                    <a:srcRect t="17702" r="7640" b="8366"/>
                    <a:stretch>
                      <a:fillRect/>
                    </a:stretch>
                  </pic:blipFill>
                  <pic:spPr bwMode="auto">
                    <a:xfrm>
                      <a:off x="0" y="0"/>
                      <a:ext cx="4972050" cy="1690863"/>
                    </a:xfrm>
                    <a:prstGeom prst="rect">
                      <a:avLst/>
                    </a:prstGeom>
                    <a:noFill/>
                    <a:ln w="9525">
                      <a:noFill/>
                      <a:miter lim="800000"/>
                      <a:headEnd/>
                      <a:tailEnd/>
                    </a:ln>
                  </pic:spPr>
                </pic:pic>
              </a:graphicData>
            </a:graphic>
          </wp:inline>
        </w:drawing>
      </w:r>
    </w:p>
    <w:p w:rsidR="00BB7B6F" w:rsidRPr="006D6C84" w:rsidRDefault="00BB7B6F" w:rsidP="00C603CF">
      <w:r w:rsidRPr="006D6C84">
        <w:t xml:space="preserve">Bleeding patterns are discussed under </w:t>
      </w:r>
      <w:r w:rsidRPr="006D6C84">
        <w:rPr>
          <w:i/>
        </w:rPr>
        <w:t>Clinical Findings</w:t>
      </w:r>
      <w:r w:rsidR="00C603CF">
        <w:t xml:space="preserve"> above.</w:t>
      </w:r>
    </w:p>
    <w:p w:rsidR="00BB7B6F" w:rsidRPr="006D6C84" w:rsidRDefault="00BB7B6F" w:rsidP="00C603CF">
      <w:r w:rsidRPr="006D6C84">
        <w:t xml:space="preserve">The evaluator </w:t>
      </w:r>
      <w:r>
        <w:t>noted</w:t>
      </w:r>
      <w:r w:rsidRPr="006D6C84">
        <w:t xml:space="preserve"> that in Study A40196:</w:t>
      </w:r>
    </w:p>
    <w:p w:rsidR="00BB7B6F" w:rsidRPr="00AD62E8" w:rsidRDefault="00BB7B6F" w:rsidP="00C603CF">
      <w:pPr>
        <w:pStyle w:val="ListBullet"/>
      </w:pPr>
      <w:proofErr w:type="spellStart"/>
      <w:r>
        <w:t>YAZFlex</w:t>
      </w:r>
      <w:proofErr w:type="spellEnd"/>
      <w:r w:rsidRPr="00AD62E8">
        <w:t xml:space="preserve"> </w:t>
      </w:r>
      <w:r w:rsidRPr="00C603CF">
        <w:t>subjects</w:t>
      </w:r>
      <w:r w:rsidRPr="00AD62E8">
        <w:t xml:space="preserve"> had an average of 62% as many bleeding days as YAZ subjects.</w:t>
      </w:r>
    </w:p>
    <w:p w:rsidR="00BB7B6F" w:rsidRPr="00AD62E8" w:rsidRDefault="00BB7B6F" w:rsidP="00C603CF">
      <w:pPr>
        <w:pStyle w:val="ListBullet"/>
      </w:pPr>
      <w:proofErr w:type="spellStart"/>
      <w:r>
        <w:lastRenderedPageBreak/>
        <w:t>YAZFlex</w:t>
      </w:r>
      <w:proofErr w:type="spellEnd"/>
      <w:r w:rsidRPr="00AD62E8">
        <w:t xml:space="preserve"> subjects had less bleeding days: average 41 compared with 61 days for YAZ Extend.</w:t>
      </w:r>
    </w:p>
    <w:p w:rsidR="00BB7B6F" w:rsidRPr="00AD62E8" w:rsidRDefault="00BB7B6F" w:rsidP="00C603CF">
      <w:pPr>
        <w:pStyle w:val="ListBullet"/>
      </w:pPr>
      <w:r w:rsidRPr="00AD62E8">
        <w:t xml:space="preserve">The mean length for </w:t>
      </w:r>
      <w:r w:rsidRPr="00C603CF">
        <w:t>withdrawal</w:t>
      </w:r>
      <w:r w:rsidRPr="00AD62E8">
        <w:t xml:space="preserve"> bleeding was:</w:t>
      </w:r>
    </w:p>
    <w:p w:rsidR="00BB7B6F" w:rsidRPr="00C603CF" w:rsidRDefault="00BB7B6F" w:rsidP="00C603CF">
      <w:pPr>
        <w:tabs>
          <w:tab w:val="left" w:pos="4395"/>
        </w:tabs>
        <w:ind w:left="360"/>
      </w:pPr>
      <w:r w:rsidRPr="00C603CF">
        <w:t xml:space="preserve">Group </w:t>
      </w:r>
      <w:proofErr w:type="gramStart"/>
      <w:r w:rsidRPr="00C603CF">
        <w:t>A</w:t>
      </w:r>
      <w:proofErr w:type="gramEnd"/>
      <w:r w:rsidRPr="00C603CF">
        <w:t xml:space="preserve"> (</w:t>
      </w:r>
      <w:proofErr w:type="spellStart"/>
      <w:r w:rsidRPr="00C603CF">
        <w:t>YAZFlex</w:t>
      </w:r>
      <w:proofErr w:type="spellEnd"/>
      <w:r w:rsidRPr="00C603CF">
        <w:t>)</w:t>
      </w:r>
      <w:r w:rsidR="00C603CF">
        <w:tab/>
      </w:r>
      <w:r w:rsidRPr="00C603CF">
        <w:t>7.5 to 9.8 days</w:t>
      </w:r>
    </w:p>
    <w:p w:rsidR="00BB7B6F" w:rsidRPr="00C603CF" w:rsidRDefault="00BB7B6F" w:rsidP="00C603CF">
      <w:pPr>
        <w:tabs>
          <w:tab w:val="left" w:pos="4395"/>
        </w:tabs>
        <w:ind w:left="360"/>
      </w:pPr>
      <w:r w:rsidRPr="00C603CF">
        <w:t>Group B (YAZ Extend)</w:t>
      </w:r>
      <w:r w:rsidR="00C603CF">
        <w:tab/>
      </w:r>
      <w:r w:rsidRPr="00C603CF">
        <w:t>9.8 to 10.5 days</w:t>
      </w:r>
    </w:p>
    <w:p w:rsidR="00BB7B6F" w:rsidRPr="00C603CF" w:rsidRDefault="00BB7B6F" w:rsidP="00C603CF">
      <w:pPr>
        <w:tabs>
          <w:tab w:val="left" w:pos="4395"/>
        </w:tabs>
        <w:ind w:left="360"/>
      </w:pPr>
      <w:r w:rsidRPr="00C603CF">
        <w:t>Group C (YAZ)</w:t>
      </w:r>
      <w:r w:rsidR="00C603CF">
        <w:tab/>
      </w:r>
      <w:r w:rsidRPr="00C603CF">
        <w:t>4.4 to 5.2 days</w:t>
      </w:r>
    </w:p>
    <w:p w:rsidR="00BB7B6F" w:rsidRPr="006D6C84" w:rsidRDefault="00BB7B6F" w:rsidP="00C603CF">
      <w:r w:rsidRPr="00C603CF">
        <w:t xml:space="preserve">The evaluator mentions that these studies show that women using </w:t>
      </w:r>
      <w:proofErr w:type="spellStart"/>
      <w:r w:rsidRPr="00C603CF">
        <w:t>YAZFlex</w:t>
      </w:r>
      <w:proofErr w:type="spellEnd"/>
      <w:r w:rsidRPr="00C603CF">
        <w:t xml:space="preserve"> had</w:t>
      </w:r>
      <w:r w:rsidRPr="006D6C84">
        <w:t xml:space="preserve"> significantly less bleeding days, less frequent episodes of bleeding but longer periods of withdrawal bleeding than women using the standard cyclical preparation Y</w:t>
      </w:r>
      <w:r>
        <w:t>AZ</w:t>
      </w:r>
      <w:r w:rsidRPr="006D6C84">
        <w:t>.</w:t>
      </w:r>
    </w:p>
    <w:p w:rsidR="00BB7B6F" w:rsidRPr="006D6C84" w:rsidRDefault="00BB7B6F" w:rsidP="00C603CF">
      <w:r w:rsidRPr="006D6C84">
        <w:t xml:space="preserve">The supportive Study A47505 that evaluated the symptomatology relating to dysmenorrhoea included 115 subjects in the </w:t>
      </w:r>
      <w:proofErr w:type="spellStart"/>
      <w:r>
        <w:t>YAZFlex</w:t>
      </w:r>
      <w:proofErr w:type="spellEnd"/>
      <w:r w:rsidRPr="006D6C84">
        <w:t xml:space="preserve"> arm and 108 subjects in the Y</w:t>
      </w:r>
      <w:r>
        <w:t>AZ</w:t>
      </w:r>
      <w:r w:rsidRPr="006D6C84">
        <w:t xml:space="preserve"> arm. The data on the number of bleeding days and frequency of bleeding were similar t</w:t>
      </w:r>
      <w:r w:rsidR="00C603CF">
        <w:t>o those of the pivotal studies.</w:t>
      </w:r>
    </w:p>
    <w:p w:rsidR="00BB7B6F" w:rsidRDefault="00C603CF" w:rsidP="00C603CF">
      <w:pPr>
        <w:pStyle w:val="Heading4"/>
      </w:pPr>
      <w:r w:rsidRPr="00C603CF">
        <w:t>Safety</w:t>
      </w:r>
    </w:p>
    <w:p w:rsidR="00BB7B6F" w:rsidRDefault="00BB7B6F" w:rsidP="00C603CF">
      <w:r>
        <w:t xml:space="preserve">The evaluator mentions that 2409 women were exposed to </w:t>
      </w:r>
      <w:proofErr w:type="spellStart"/>
      <w:r>
        <w:t>YAZFlex</w:t>
      </w:r>
      <w:proofErr w:type="spellEnd"/>
      <w:r>
        <w:t>. The common adverse events are not discussed.</w:t>
      </w:r>
    </w:p>
    <w:p w:rsidR="00BB7B6F" w:rsidRDefault="00BB7B6F" w:rsidP="00C603CF">
      <w:r>
        <w:t xml:space="preserve">There were three confirmed VTE reports in </w:t>
      </w:r>
      <w:proofErr w:type="spellStart"/>
      <w:r>
        <w:t>YAZFlex</w:t>
      </w:r>
      <w:proofErr w:type="spellEnd"/>
      <w:r>
        <w:t xml:space="preserve"> group in Study A40196. In Study A48294 there were two further cases of suspected DVT. The evaluator calculates the incidence of VTE episodes as either 1.2 or 1.6/1000 WY. The evaluator concludes that this is consistent with the general experience with DRSP/</w:t>
      </w:r>
      <w:r w:rsidR="00C603CF">
        <w:t>EE preparation.</w:t>
      </w:r>
    </w:p>
    <w:p w:rsidR="00BB7B6F" w:rsidRDefault="00BB7B6F" w:rsidP="00C603CF">
      <w:r>
        <w:t>There was one episode of breast cancer in Study A40196.</w:t>
      </w:r>
    </w:p>
    <w:p w:rsidR="00BB7B6F" w:rsidRDefault="00BB7B6F" w:rsidP="00C603CF">
      <w:r>
        <w:t xml:space="preserve">Laboratory findings </w:t>
      </w:r>
      <w:r w:rsidR="00C603CF">
        <w:t>were in line with expectations.</w:t>
      </w:r>
    </w:p>
    <w:p w:rsidR="00BB7B6F" w:rsidRDefault="00BB7B6F" w:rsidP="00C603CF">
      <w:pPr>
        <w:pStyle w:val="Heading4"/>
      </w:pPr>
      <w:r w:rsidRPr="00A02003">
        <w:t>Overall</w:t>
      </w:r>
      <w:r>
        <w:t xml:space="preserve"> recommend</w:t>
      </w:r>
      <w:r w:rsidR="00C603CF">
        <w:t xml:space="preserve">ation </w:t>
      </w:r>
      <w:r w:rsidR="00C603CF" w:rsidRPr="00C603CF">
        <w:t>by</w:t>
      </w:r>
      <w:r w:rsidR="00C603CF">
        <w:t xml:space="preserve"> the clinical evaluator</w:t>
      </w:r>
    </w:p>
    <w:p w:rsidR="00BB7B6F" w:rsidRDefault="00BB7B6F" w:rsidP="00C603CF">
      <w:r>
        <w:t xml:space="preserve">Overall, the evaluator is of the opinion that efficacy results were equivalent to YAZ in terms of contraception. In terms of cycle control and bleeding </w:t>
      </w:r>
      <w:proofErr w:type="spellStart"/>
      <w:r>
        <w:t>YAZFlex</w:t>
      </w:r>
      <w:proofErr w:type="spellEnd"/>
      <w:r>
        <w:t xml:space="preserve"> was superior in reducing the number of bleeding days and improving user satisfaction. Overall, no safety concerns were identified by the evaluator to preclude registration.</w:t>
      </w:r>
    </w:p>
    <w:p w:rsidR="00BB7B6F" w:rsidRDefault="00BB7B6F" w:rsidP="00C603CF">
      <w:pPr>
        <w:pStyle w:val="Heading3"/>
        <w:rPr>
          <w:lang w:eastAsia="en-AU"/>
        </w:rPr>
      </w:pPr>
      <w:bookmarkStart w:id="255" w:name="_Toc323821182"/>
      <w:bookmarkStart w:id="256" w:name="_Toc335040608"/>
      <w:bookmarkStart w:id="257" w:name="_Toc398110091"/>
      <w:bookmarkStart w:id="258" w:name="_Toc401835997"/>
      <w:r>
        <w:rPr>
          <w:lang w:eastAsia="en-AU"/>
        </w:rPr>
        <w:t xml:space="preserve">Risk </w:t>
      </w:r>
      <w:r w:rsidR="00CF723F">
        <w:t>m</w:t>
      </w:r>
      <w:r w:rsidRPr="00C603CF">
        <w:t>anagement</w:t>
      </w:r>
      <w:r>
        <w:rPr>
          <w:lang w:eastAsia="en-AU"/>
        </w:rPr>
        <w:t xml:space="preserve"> </w:t>
      </w:r>
      <w:r w:rsidR="00CF723F">
        <w:rPr>
          <w:lang w:eastAsia="en-AU"/>
        </w:rPr>
        <w:t>p</w:t>
      </w:r>
      <w:r>
        <w:rPr>
          <w:lang w:eastAsia="en-AU"/>
        </w:rPr>
        <w:t>lan</w:t>
      </w:r>
      <w:bookmarkEnd w:id="255"/>
      <w:bookmarkEnd w:id="256"/>
      <w:bookmarkEnd w:id="257"/>
      <w:bookmarkEnd w:id="258"/>
    </w:p>
    <w:p w:rsidR="00BB7B6F" w:rsidRDefault="00BB7B6F" w:rsidP="00C603CF">
      <w:bookmarkStart w:id="259" w:name="_Toc247691531"/>
      <w:bookmarkStart w:id="260" w:name="_Toc196046505"/>
      <w:bookmarkStart w:id="261" w:name="_Toc196046949"/>
      <w:r>
        <w:t xml:space="preserve">Of note, the evaluator discusses the risk of venous and arterial </w:t>
      </w:r>
      <w:proofErr w:type="spellStart"/>
      <w:r>
        <w:t>thrombo</w:t>
      </w:r>
      <w:proofErr w:type="spellEnd"/>
      <w:r>
        <w:t xml:space="preserve">-embolism and the post market studies, European Active Surveillance Study (EURAS) and its five year extension, Long Acting Surveillance study (LASS) which support the claim that </w:t>
      </w:r>
      <w:proofErr w:type="spellStart"/>
      <w:r>
        <w:t>drospirenone</w:t>
      </w:r>
      <w:proofErr w:type="spellEnd"/>
      <w:r>
        <w:t xml:space="preserve"> does not have an increased risk of venous and arterial </w:t>
      </w:r>
      <w:proofErr w:type="spellStart"/>
      <w:r>
        <w:t>thrombo</w:t>
      </w:r>
      <w:proofErr w:type="spellEnd"/>
      <w:r>
        <w:t>-embolis</w:t>
      </w:r>
      <w:r w:rsidR="00C603CF">
        <w:t xml:space="preserve">m compared with </w:t>
      </w:r>
      <w:proofErr w:type="spellStart"/>
      <w:r w:rsidR="00C603CF">
        <w:t>levonorgestrel</w:t>
      </w:r>
      <w:proofErr w:type="spellEnd"/>
      <w:r w:rsidR="00C603CF">
        <w:t>.</w:t>
      </w:r>
    </w:p>
    <w:p w:rsidR="00BB7B6F" w:rsidRDefault="00BB7B6F" w:rsidP="00C603CF">
      <w:r>
        <w:t>Overall, the evaluator is satisfied with the routine pharmacovigilance activities and the regular updates of post authorisation safe</w:t>
      </w:r>
      <w:r w:rsidR="00C603CF">
        <w:t>ty studies proposed in the RMP.</w:t>
      </w:r>
    </w:p>
    <w:p w:rsidR="00BB7B6F" w:rsidRPr="00B51E0E" w:rsidRDefault="00BB7B6F" w:rsidP="00C603CF">
      <w:r w:rsidRPr="00B51E0E">
        <w:t xml:space="preserve">The Committee should note that an advisory committee of the FDA convened on the 8 December 2011 to review and discuss the overall risk benefit profile of oral contraceptive pills (OCPs) containing DRSP. This is because the FDA had conducted a large retrospective cohort study to evaluate the risk of venous or arterial </w:t>
      </w:r>
      <w:proofErr w:type="spellStart"/>
      <w:r w:rsidRPr="00B51E0E">
        <w:t>thrombo</w:t>
      </w:r>
      <w:proofErr w:type="spellEnd"/>
      <w:r w:rsidRPr="00B51E0E">
        <w:t>-embolic events or death. The outcome of this meeting should be provided in the sponsor’s pre Advisory Committee on Prescription Medicines (ACPM) res</w:t>
      </w:r>
      <w:r w:rsidR="00C603CF">
        <w:t>ponse.</w:t>
      </w:r>
    </w:p>
    <w:p w:rsidR="00BB7B6F" w:rsidRDefault="00BB7B6F" w:rsidP="00C603CF">
      <w:pPr>
        <w:pStyle w:val="Heading3"/>
      </w:pPr>
      <w:bookmarkStart w:id="262" w:name="_Toc323821183"/>
      <w:bookmarkStart w:id="263" w:name="_Toc335040609"/>
      <w:bookmarkStart w:id="264" w:name="_Toc398110092"/>
      <w:bookmarkStart w:id="265" w:name="_Toc401835998"/>
      <w:r>
        <w:lastRenderedPageBreak/>
        <w:t>Risk-</w:t>
      </w:r>
      <w:r w:rsidR="00C603CF" w:rsidRPr="00C603CF">
        <w:t>b</w:t>
      </w:r>
      <w:r w:rsidRPr="00C603CF">
        <w:t>enefit</w:t>
      </w:r>
      <w:r>
        <w:t xml:space="preserve"> </w:t>
      </w:r>
      <w:r w:rsidR="00C603CF" w:rsidRPr="00C603CF">
        <w:t>a</w:t>
      </w:r>
      <w:r w:rsidRPr="00C603CF">
        <w:t>nalysis</w:t>
      </w:r>
      <w:bookmarkEnd w:id="259"/>
      <w:bookmarkEnd w:id="262"/>
      <w:bookmarkEnd w:id="263"/>
      <w:bookmarkEnd w:id="264"/>
      <w:bookmarkEnd w:id="265"/>
    </w:p>
    <w:p w:rsidR="00BB7B6F" w:rsidRDefault="00BB7B6F" w:rsidP="00C603CF">
      <w:r>
        <w:t>Three TGA Delegates provided risk-benefit analyses on three different aspects of this application. The Delegate’s Overview included above was written by Delegate 1.</w:t>
      </w:r>
    </w:p>
    <w:p w:rsidR="00BB7B6F" w:rsidRDefault="00C603CF" w:rsidP="00C603CF">
      <w:r>
        <w:t>The indications</w:t>
      </w:r>
    </w:p>
    <w:p w:rsidR="00BB7B6F" w:rsidRPr="00C603CF" w:rsidRDefault="00BB7B6F" w:rsidP="00C603CF">
      <w:pPr>
        <w:rPr>
          <w:i/>
        </w:rPr>
      </w:pPr>
      <w:r w:rsidRPr="00C603CF">
        <w:rPr>
          <w:i/>
        </w:rPr>
        <w:t>Treatment of moderate acne vulgaris in women who seek oral contraception and</w:t>
      </w:r>
      <w:r w:rsidR="00C603CF">
        <w:rPr>
          <w:i/>
        </w:rPr>
        <w:br/>
      </w:r>
      <w:r w:rsidRPr="00C603CF">
        <w:rPr>
          <w:i/>
        </w:rPr>
        <w:t>Treatment of symptoms of premenstrual dysphoric disorder (PMDD) in women who have chosen oral contraceptives as their method of birth control</w:t>
      </w:r>
    </w:p>
    <w:p w:rsidR="00BB7B6F" w:rsidRDefault="00BB7B6F" w:rsidP="00C603CF">
      <w:proofErr w:type="gramStart"/>
      <w:r>
        <w:t>are</w:t>
      </w:r>
      <w:proofErr w:type="gramEnd"/>
      <w:r>
        <w:t xml:space="preserve"> the responsibility of other clinical evaluation units at the TGA. The mechanism of action in these indications is not the same as that which is the direct effect of ovarian suppression and effects on cervical mucus that pertains with the oral contraceptive indication.</w:t>
      </w:r>
    </w:p>
    <w:p w:rsidR="00BB7B6F" w:rsidRDefault="00BB7B6F" w:rsidP="00C603CF">
      <w:r>
        <w:t xml:space="preserve">The recommendations by the Delegates relating to these indications are included below as </w:t>
      </w:r>
      <w:r w:rsidRPr="00C419B9">
        <w:rPr>
          <w:i/>
        </w:rPr>
        <w:t>Delegate 2</w:t>
      </w:r>
      <w:r>
        <w:t xml:space="preserve"> and </w:t>
      </w:r>
      <w:r w:rsidRPr="00C419B9">
        <w:rPr>
          <w:i/>
        </w:rPr>
        <w:t>Delegate 3 Considerations</w:t>
      </w:r>
      <w:r>
        <w:t>.</w:t>
      </w:r>
    </w:p>
    <w:p w:rsidR="00BB7B6F" w:rsidRPr="00AD62E8" w:rsidRDefault="00BB7B6F" w:rsidP="00C603CF">
      <w:pPr>
        <w:pStyle w:val="Heading4"/>
      </w:pPr>
      <w:r>
        <w:t xml:space="preserve">Delegate 1 </w:t>
      </w:r>
      <w:r w:rsidR="00C603CF" w:rsidRPr="00C603CF">
        <w:t>c</w:t>
      </w:r>
      <w:r w:rsidRPr="00C603CF">
        <w:t>onsiderations</w:t>
      </w:r>
    </w:p>
    <w:p w:rsidR="00BB7B6F" w:rsidRDefault="00BB7B6F" w:rsidP="00C603CF">
      <w:r>
        <w:t xml:space="preserve">Efficacy for oral contraception is shown in this data set with the </w:t>
      </w:r>
      <w:proofErr w:type="spellStart"/>
      <w:r>
        <w:t>YAZFlex</w:t>
      </w:r>
      <w:proofErr w:type="spellEnd"/>
      <w:r>
        <w:t xml:space="preserve"> regimen. This regimen is advantageous due to its claims regarding withdrawal bleeding and is likely to be used by females who are younger than 18 years; however data are only submitted in those over the age of 18 years. In this context, the ACPM is asked to note and comment the following: </w:t>
      </w:r>
    </w:p>
    <w:p w:rsidR="00BB7B6F" w:rsidRDefault="00BB7B6F" w:rsidP="00C603CF">
      <w:pPr>
        <w:pStyle w:val="Numberbullet0"/>
        <w:numPr>
          <w:ilvl w:val="0"/>
          <w:numId w:val="39"/>
        </w:numPr>
      </w:pPr>
      <w:r>
        <w:t xml:space="preserve">The effect on bone mineral density (BMD) in the younger age group of women who would take </w:t>
      </w:r>
      <w:proofErr w:type="spellStart"/>
      <w:r>
        <w:t>YAZFlex</w:t>
      </w:r>
      <w:proofErr w:type="spellEnd"/>
      <w:r>
        <w:t xml:space="preserve"> over a long period of time is not known. For example, they may miss attaining peak BMD. (The evaluator mentions a subgroup of subjects in pivotal Study A40196 who had BMD </w:t>
      </w:r>
      <w:proofErr w:type="gramStart"/>
      <w:r>
        <w:t>measurements,</w:t>
      </w:r>
      <w:proofErr w:type="gramEnd"/>
      <w:r>
        <w:t xml:space="preserve"> however, this was not undertaken in the </w:t>
      </w:r>
      <w:proofErr w:type="spellStart"/>
      <w:r>
        <w:t>YAZFlex</w:t>
      </w:r>
      <w:proofErr w:type="spellEnd"/>
      <w:r>
        <w:t xml:space="preserve"> group). The suitability in women under 18 years of age is not known in regard to this safety issue. </w:t>
      </w:r>
    </w:p>
    <w:p w:rsidR="00BB7B6F" w:rsidRDefault="00BB7B6F" w:rsidP="00C603CF">
      <w:pPr>
        <w:pStyle w:val="Numberbullet0"/>
      </w:pPr>
      <w:r>
        <w:t xml:space="preserve">Return to ovulation and fertility has not been assessed in this data set. It cannot be assumed to be equivalent to YAZ, so what women might be told is unclear. </w:t>
      </w:r>
    </w:p>
    <w:p w:rsidR="00BB7B6F" w:rsidRDefault="00BB7B6F" w:rsidP="00C603CF">
      <w:pPr>
        <w:pStyle w:val="Numberbullet0"/>
      </w:pPr>
      <w:r>
        <w:t xml:space="preserve">Older women who would take combined oral contraceptives are more likely to have </w:t>
      </w:r>
      <w:proofErr w:type="spellStart"/>
      <w:r>
        <w:t>thrombo</w:t>
      </w:r>
      <w:proofErr w:type="spellEnd"/>
      <w:r>
        <w:t xml:space="preserve">-embolic episodes. Also, there may be specific risks associated with this particular </w:t>
      </w:r>
      <w:proofErr w:type="spellStart"/>
      <w:r>
        <w:t>progestogen</w:t>
      </w:r>
      <w:proofErr w:type="spellEnd"/>
      <w:r>
        <w:t xml:space="preserve">. Adequate data on this were not submitted. The second study, which included women up to the age of 45, might have information on this subgroup </w:t>
      </w:r>
      <w:proofErr w:type="gramStart"/>
      <w:r>
        <w:t>who</w:t>
      </w:r>
      <w:proofErr w:type="gramEnd"/>
      <w:r>
        <w:t xml:space="preserve"> were treated with </w:t>
      </w:r>
      <w:proofErr w:type="spellStart"/>
      <w:r>
        <w:t>YAZFlex</w:t>
      </w:r>
      <w:proofErr w:type="spellEnd"/>
      <w:r>
        <w:t>. The sponsor should submit a summary of the adverse event profile for this sub group in their pre-ACPM response.</w:t>
      </w:r>
    </w:p>
    <w:p w:rsidR="00BB7B6F" w:rsidRDefault="00BB7B6F" w:rsidP="00C603CF">
      <w:r>
        <w:t>All PI recommendations made by the evaluator should be adopted by the sponsor.</w:t>
      </w:r>
    </w:p>
    <w:p w:rsidR="00BB7B6F" w:rsidRDefault="00BB7B6F" w:rsidP="00C603CF">
      <w:r>
        <w:t xml:space="preserve">Delegate 1 proposed to approve </w:t>
      </w:r>
      <w:proofErr w:type="spellStart"/>
      <w:r w:rsidR="00C603CF">
        <w:t>YAZFlex</w:t>
      </w:r>
      <w:proofErr w:type="spellEnd"/>
      <w:r w:rsidR="00C603CF">
        <w:t xml:space="preserve"> for oral contraception.</w:t>
      </w:r>
    </w:p>
    <w:p w:rsidR="00BB7B6F" w:rsidRDefault="00BB7B6F" w:rsidP="00C603CF">
      <w:r>
        <w:t>The Committee’s advice was sought on all proposed recommendations.</w:t>
      </w:r>
    </w:p>
    <w:p w:rsidR="00BB7B6F" w:rsidRDefault="00BB7B6F" w:rsidP="00C603CF">
      <w:pPr>
        <w:pStyle w:val="Heading4"/>
      </w:pPr>
      <w:r>
        <w:t xml:space="preserve">Delegate 2 </w:t>
      </w:r>
      <w:r w:rsidR="00C603CF" w:rsidRPr="00C603CF">
        <w:t>c</w:t>
      </w:r>
      <w:r w:rsidRPr="00C603CF">
        <w:t>onsiderations</w:t>
      </w:r>
    </w:p>
    <w:p w:rsidR="00BB7B6F" w:rsidRPr="00AD62E8" w:rsidRDefault="00BB7B6F" w:rsidP="00C603CF">
      <w:pPr>
        <w:pStyle w:val="Heading5"/>
      </w:pPr>
      <w:r w:rsidRPr="00AD62E8">
        <w:t>Consideration of the proposed indication: Treatment of symptoms of premenstrual dysphoric disorder (PMDD) in women who have chosen oral contraceptives as their method of birth control. The efficacy of YAZ for PMDD was not assessed beyond three cycles. YAZ has not been evaluated for treatment of PMS (premenstrual syndrome), See CLINICAL TRIALS.</w:t>
      </w:r>
    </w:p>
    <w:p w:rsidR="00BB7B6F" w:rsidRDefault="00BB7B6F" w:rsidP="00C603CF">
      <w:r>
        <w:t xml:space="preserve">The purpose of this submission is to register a new dose regimen for an existing fixed combination oral contraceptive. The above indication was approved for YAZ when it was registered in February 2008. Prior to registration the Australian Drug Evaluation Committee (ADEC; the predecessor of the ACPM), considered evidence to support the </w:t>
      </w:r>
      <w:r>
        <w:lastRenderedPageBreak/>
        <w:t xml:space="preserve">above indication for the current dose regimen for YAZ, that is, one active tablet taken once daily for 24 days followed by a placebo tablet taken once daily for 4 days with the cycle continuing indefinitely. The Delegate noted that the </w:t>
      </w:r>
      <w:r w:rsidRPr="002D01EC">
        <w:rPr>
          <w:i/>
        </w:rPr>
        <w:t>Dose Recommendations</w:t>
      </w:r>
      <w:r>
        <w:t xml:space="preserve"> for YAZ also provide information on how to delay a period however this advice does not extend to the dose regimen that has been</w:t>
      </w:r>
      <w:r w:rsidR="00C603CF">
        <w:t xml:space="preserve"> proposed with this submission.</w:t>
      </w:r>
    </w:p>
    <w:p w:rsidR="00BB7B6F" w:rsidRDefault="00BB7B6F" w:rsidP="00C603CF">
      <w:r>
        <w:t xml:space="preserve">At the time of approval of the current indication pertaining to Premenstrual Dysphoric Disorder (PMDD) the TGA had provided no guidance on the development of medicines for the treatment of symptoms of PMDD. On 14 April 2009 the TGA published on its website </w:t>
      </w:r>
      <w:proofErr w:type="gramStart"/>
      <w:r>
        <w:t>an</w:t>
      </w:r>
      <w:proofErr w:type="gramEnd"/>
      <w:r>
        <w:t xml:space="preserve"> European Medicines Agency (EMA) Concept Paper on the need for a guideline on the treatment of PMDD. That paper was provided for information only. The EMA has now developed a guidance document which comes into effect within the EMA from February 2012. It is likely the TGA will seek to adopt this guideline in due course. While not currently adopted by the TGA [at the time of this Overview], this guideline nevertheless contains important guidance concerning the assessment of PMDD, including the recommended duration of asse</w:t>
      </w:r>
      <w:r w:rsidR="00C603CF">
        <w:t>ssment for efficacy and safety.</w:t>
      </w:r>
    </w:p>
    <w:p w:rsidR="00BB7B6F" w:rsidRDefault="00BB7B6F" w:rsidP="00C603CF">
      <w:r>
        <w:t>Of particular note the guideline provides the following information and recommendations:</w:t>
      </w:r>
    </w:p>
    <w:p w:rsidR="00BB7B6F" w:rsidRPr="00AD62E8" w:rsidRDefault="00BB7B6F" w:rsidP="00C603CF">
      <w:pPr>
        <w:pStyle w:val="ListBullet"/>
      </w:pPr>
      <w:r w:rsidRPr="00AD62E8">
        <w:t xml:space="preserve">The document is intended to provide </w:t>
      </w:r>
      <w:r w:rsidRPr="00C603CF">
        <w:t>information</w:t>
      </w:r>
      <w:r w:rsidRPr="00AD62E8">
        <w:t xml:space="preserve"> on the identification of the target population including special populations (adolescents), study duration, efficacy and safety endpoints to establish efficacy and safety in PMDD. </w:t>
      </w:r>
    </w:p>
    <w:p w:rsidR="00BB7B6F" w:rsidRPr="00AD62E8" w:rsidRDefault="00BB7B6F" w:rsidP="00C603CF">
      <w:pPr>
        <w:pStyle w:val="ListBullet"/>
      </w:pPr>
      <w:r w:rsidRPr="00AD62E8">
        <w:t xml:space="preserve">Due to the chronic nature of the disorder special attention should be paid to maintenance of effect and long-term safety, and the presence and acceptance of co </w:t>
      </w:r>
      <w:r w:rsidRPr="00C603CF">
        <w:t>morbidity</w:t>
      </w:r>
      <w:r w:rsidR="00C603CF">
        <w:t>.</w:t>
      </w:r>
    </w:p>
    <w:p w:rsidR="00BB7B6F" w:rsidRPr="00AD62E8" w:rsidRDefault="00BB7B6F" w:rsidP="00C603CF">
      <w:pPr>
        <w:pStyle w:val="ListBullet"/>
      </w:pPr>
      <w:r w:rsidRPr="00AD62E8">
        <w:t xml:space="preserve">Given the chronicity and </w:t>
      </w:r>
      <w:proofErr w:type="spellStart"/>
      <w:r w:rsidRPr="00AD62E8">
        <w:t>cyclicity</w:t>
      </w:r>
      <w:proofErr w:type="spellEnd"/>
      <w:r w:rsidRPr="00AD62E8">
        <w:t xml:space="preserve"> of the symptoms, the maintenance of therapeutic efficacy should be </w:t>
      </w:r>
      <w:r w:rsidRPr="00C603CF">
        <w:t>demonstrated</w:t>
      </w:r>
      <w:r w:rsidRPr="00AD62E8">
        <w:t xml:space="preserve"> over at least 6 cycles. Since PMDD is a chronic condition, clinical studies should be long enough to provide information about effectiveness, tolerability and patient compliance. In order to establish efficacy, placebo-controlled data are needed over at least 6 cycles (2 run-in </w:t>
      </w:r>
      <w:proofErr w:type="gramStart"/>
      <w:r w:rsidRPr="00AD62E8">
        <w:t>cycles</w:t>
      </w:r>
      <w:proofErr w:type="gramEnd"/>
      <w:r w:rsidRPr="00AD62E8">
        <w:t xml:space="preserve"> </w:t>
      </w:r>
      <w:r>
        <w:t>±</w:t>
      </w:r>
      <w:r w:rsidRPr="00AD62E8">
        <w:t xml:space="preserve"> 6 treatment cycles), especially since a large placebo effect is expected.</w:t>
      </w:r>
    </w:p>
    <w:p w:rsidR="00BB7B6F" w:rsidRPr="00AD62E8" w:rsidRDefault="00BB7B6F" w:rsidP="00C603CF">
      <w:pPr>
        <w:pStyle w:val="ListBullet"/>
      </w:pPr>
      <w:r w:rsidRPr="00AD62E8">
        <w:t xml:space="preserve">There is a need to demonstrate that specific therapeutic strategies have similar beneficial effects in adolescents </w:t>
      </w:r>
      <w:r w:rsidRPr="00C603CF">
        <w:t>and</w:t>
      </w:r>
      <w:r w:rsidRPr="00AD62E8">
        <w:t xml:space="preserve"> it is requested to include adolescents in the development program according to the prevalence in the general population.</w:t>
      </w:r>
    </w:p>
    <w:p w:rsidR="00BB7B6F" w:rsidRPr="00AD62E8" w:rsidRDefault="00BB7B6F" w:rsidP="00C603CF">
      <w:pPr>
        <w:pStyle w:val="ListBullet"/>
      </w:pPr>
      <w:r w:rsidRPr="00AD62E8">
        <w:t xml:space="preserve">When pharmacological treatment is stopped, rebound and/or withdrawal phenomena may occur. </w:t>
      </w:r>
      <w:r w:rsidRPr="00C603CF">
        <w:t>Therefore</w:t>
      </w:r>
      <w:r w:rsidRPr="00AD62E8">
        <w:t>, rebound and/or withdrawal phenomena should be systematically investigated.</w:t>
      </w:r>
    </w:p>
    <w:p w:rsidR="00BB7B6F" w:rsidRPr="00AD62E8" w:rsidRDefault="00BB7B6F" w:rsidP="00C603CF">
      <w:pPr>
        <w:pStyle w:val="ListBullet"/>
      </w:pPr>
      <w:r w:rsidRPr="00AD62E8">
        <w:t>Since PMDD is a chronic disorder expected to last until menopause, long-term safety of therapeutic interventions has to be established. The total clinical experience should generally include data on a large and representative group of patients in line with the guideline on population exposure (ICH E1</w:t>
      </w:r>
      <w:r w:rsidRPr="00AD62E8">
        <w:rPr>
          <w:rStyle w:val="FootnoteReference"/>
        </w:rPr>
        <w:footnoteReference w:id="12"/>
      </w:r>
      <w:r w:rsidRPr="00AD62E8">
        <w:t xml:space="preserve">). Depending on the mode of action of the examined treatment special attention should be paid to long-term effects on </w:t>
      </w:r>
      <w:proofErr w:type="spellStart"/>
      <w:r w:rsidRPr="00AD62E8">
        <w:t>endocrinium</w:t>
      </w:r>
      <w:proofErr w:type="spellEnd"/>
      <w:r w:rsidRPr="00AD62E8">
        <w:t>. Intermittent versus continuous treatment strategies might have different impacts on long-term adverse events.</w:t>
      </w:r>
    </w:p>
    <w:p w:rsidR="00BB7B6F" w:rsidRDefault="00BB7B6F" w:rsidP="00C603CF">
      <w:pPr>
        <w:rPr>
          <w:rFonts w:ascii="Times New Roman" w:hAnsi="Times New Roman"/>
        </w:rPr>
      </w:pPr>
      <w:r>
        <w:t xml:space="preserve">The current submission contains no new data on efficacy or safety of YAZ in the treatment of PMDD. The proposed dose regimen has not been examined in women with PMDD. An assumption has been made by the sponsor that data on efficacy and safety of YAZ in the treatment of PMDD could be extrapolated to the new dose regimen. </w:t>
      </w:r>
    </w:p>
    <w:p w:rsidR="00BB7B6F" w:rsidRDefault="00BB7B6F" w:rsidP="00C603CF">
      <w:r>
        <w:t>Delegate 2 did not accept that this extrapolation was warranted. Delegate 2 considered that:</w:t>
      </w:r>
    </w:p>
    <w:p w:rsidR="00BB7B6F" w:rsidRPr="00A02003" w:rsidRDefault="00BB7B6F" w:rsidP="00C603CF">
      <w:pPr>
        <w:pStyle w:val="ListBullet"/>
      </w:pPr>
      <w:r w:rsidRPr="00A02003">
        <w:lastRenderedPageBreak/>
        <w:t>symptoms of PMDD may be different with a prolonged cycle of exposure to the components of</w:t>
      </w:r>
      <w:r>
        <w:t xml:space="preserve"> YAZ, that is,</w:t>
      </w:r>
      <w:r w:rsidRPr="00A02003">
        <w:t xml:space="preserve"> either more or less severe;</w:t>
      </w:r>
    </w:p>
    <w:p w:rsidR="00BB7B6F" w:rsidRPr="00A02003" w:rsidRDefault="00BB7B6F" w:rsidP="00C603CF">
      <w:pPr>
        <w:pStyle w:val="ListBullet"/>
      </w:pPr>
      <w:r w:rsidRPr="00A02003">
        <w:t>that efficacy with use of</w:t>
      </w:r>
      <w:r>
        <w:t xml:space="preserve"> </w:t>
      </w:r>
      <w:r w:rsidRPr="00A02003">
        <w:t>the proposed new dose regimen may be different from efficacy of</w:t>
      </w:r>
      <w:r>
        <w:t xml:space="preserve"> YAZ</w:t>
      </w:r>
      <w:r w:rsidRPr="00A02003">
        <w:t xml:space="preserve"> given in a 28 day cycle;</w:t>
      </w:r>
    </w:p>
    <w:p w:rsidR="00BB7B6F" w:rsidRPr="00A02003" w:rsidRDefault="00BB7B6F" w:rsidP="00C603CF">
      <w:pPr>
        <w:pStyle w:val="ListBullet"/>
      </w:pPr>
      <w:r w:rsidRPr="00A02003">
        <w:t xml:space="preserve"> there has been no assessment of whether efficacy would be maintained; and that</w:t>
      </w:r>
      <w:r>
        <w:t xml:space="preserve"> </w:t>
      </w:r>
    </w:p>
    <w:p w:rsidR="00BB7B6F" w:rsidRPr="00A02003" w:rsidRDefault="00BB7B6F" w:rsidP="00C603CF">
      <w:pPr>
        <w:pStyle w:val="ListBullet"/>
      </w:pPr>
      <w:proofErr w:type="gramStart"/>
      <w:r w:rsidRPr="00A02003">
        <w:t>rebound</w:t>
      </w:r>
      <w:proofErr w:type="gramEnd"/>
      <w:r w:rsidRPr="00A02003">
        <w:t xml:space="preserve"> and/or withdrawal effects in women with PMDD given the proposed dose regimen have not been </w:t>
      </w:r>
      <w:r w:rsidRPr="00C603CF">
        <w:t>examined</w:t>
      </w:r>
      <w:r w:rsidRPr="00A02003">
        <w:t>.</w:t>
      </w:r>
    </w:p>
    <w:p w:rsidR="00BB7B6F" w:rsidRDefault="00BB7B6F" w:rsidP="00C603CF">
      <w:r>
        <w:t xml:space="preserve">Delegate 2 was concerned that long term effects on the </w:t>
      </w:r>
      <w:proofErr w:type="spellStart"/>
      <w:r>
        <w:t>endocrinium</w:t>
      </w:r>
      <w:proofErr w:type="spellEnd"/>
      <w:r>
        <w:t xml:space="preserve"> from the proposed new dose regimen have not been assessed. This safety concern applies to all indications proposed for this new </w:t>
      </w:r>
      <w:r w:rsidR="00C603CF">
        <w:t>dose regimen for YAZ.</w:t>
      </w:r>
    </w:p>
    <w:p w:rsidR="00BB7B6F" w:rsidRPr="00AD62E8" w:rsidRDefault="00BB7B6F" w:rsidP="00C603CF">
      <w:pPr>
        <w:pStyle w:val="Heading5"/>
      </w:pPr>
      <w:r>
        <w:t xml:space="preserve">Conclusion and </w:t>
      </w:r>
      <w:r w:rsidRPr="00C603CF">
        <w:t>recommendation</w:t>
      </w:r>
      <w:r>
        <w:t xml:space="preserve"> by Delegate 2</w:t>
      </w:r>
    </w:p>
    <w:p w:rsidR="00BB7B6F" w:rsidRDefault="00BB7B6F" w:rsidP="00C603CF">
      <w:r>
        <w:t>Delegate 2 proposed to reject the indication of:</w:t>
      </w:r>
    </w:p>
    <w:p w:rsidR="00BB7B6F" w:rsidRPr="00C603CF" w:rsidRDefault="00BB7B6F" w:rsidP="00C603CF">
      <w:pPr>
        <w:ind w:left="720"/>
        <w:rPr>
          <w:i/>
        </w:rPr>
      </w:pPr>
      <w:proofErr w:type="gramStart"/>
      <w:r w:rsidRPr="00C603CF">
        <w:rPr>
          <w:i/>
        </w:rPr>
        <w:t>Treatment of symptoms of premenstrual dysphoric disorder (PMDD) in women who have chosen oral contraceptives as their method of birth control.</w:t>
      </w:r>
      <w:proofErr w:type="gramEnd"/>
      <w:r w:rsidRPr="00C603CF">
        <w:rPr>
          <w:i/>
        </w:rPr>
        <w:t xml:space="preserve"> The efficacy of YAZ for PMDD was not assessed beyond three cycles. YAZ has not been evaluated for treatment of PMS (premenstrual syndrome), See CLINICAL TRIALS for YAZ.</w:t>
      </w:r>
    </w:p>
    <w:p w:rsidR="00BB7B6F" w:rsidRDefault="00BB7B6F" w:rsidP="00C603CF">
      <w:r>
        <w:t xml:space="preserve">If other indications are approved the PI should include a statement that efficacy and safety of </w:t>
      </w:r>
      <w:proofErr w:type="spellStart"/>
      <w:r>
        <w:t>YAZFlex</w:t>
      </w:r>
      <w:proofErr w:type="spellEnd"/>
      <w:r>
        <w:t xml:space="preserve"> has not been assessed for: </w:t>
      </w:r>
    </w:p>
    <w:p w:rsidR="00BB7B6F" w:rsidRPr="00C603CF" w:rsidRDefault="00BB7B6F" w:rsidP="00C603CF">
      <w:pPr>
        <w:ind w:left="720"/>
        <w:rPr>
          <w:i/>
        </w:rPr>
      </w:pPr>
      <w:proofErr w:type="gramStart"/>
      <w:r w:rsidRPr="00C603CF">
        <w:rPr>
          <w:i/>
        </w:rPr>
        <w:t>Treatment of symptoms of premenstrual dysphoric disorder (PMDD) in women who have chosen oral contraceptives as their method of birth control.</w:t>
      </w:r>
      <w:proofErr w:type="gramEnd"/>
      <w:r w:rsidRPr="00C603CF">
        <w:rPr>
          <w:i/>
        </w:rPr>
        <w:t xml:space="preserve">  </w:t>
      </w:r>
      <w:proofErr w:type="spellStart"/>
      <w:r w:rsidRPr="00C603CF">
        <w:rPr>
          <w:i/>
        </w:rPr>
        <w:t>YAZFlex</w:t>
      </w:r>
      <w:proofErr w:type="spellEnd"/>
      <w:r w:rsidRPr="00C603CF">
        <w:rPr>
          <w:i/>
        </w:rPr>
        <w:t xml:space="preserve"> is not recommended for treatment of PMDD.</w:t>
      </w:r>
    </w:p>
    <w:p w:rsidR="00BB7B6F" w:rsidRDefault="00BB7B6F" w:rsidP="00C603CF">
      <w:r>
        <w:t>The general ad</w:t>
      </w:r>
      <w:r w:rsidR="00C603CF">
        <w:t>vice of the ACPM was requested.</w:t>
      </w:r>
    </w:p>
    <w:p w:rsidR="00BB7B6F" w:rsidRPr="00AD62E8" w:rsidRDefault="00BB7B6F" w:rsidP="00C603CF">
      <w:pPr>
        <w:pStyle w:val="Heading4"/>
      </w:pPr>
      <w:r>
        <w:t xml:space="preserve">Delegate 3 </w:t>
      </w:r>
      <w:r w:rsidR="00C603CF" w:rsidRPr="00C603CF">
        <w:t>c</w:t>
      </w:r>
      <w:r w:rsidRPr="00C603CF">
        <w:t>onsiderations</w:t>
      </w:r>
    </w:p>
    <w:p w:rsidR="00BB7B6F" w:rsidRPr="00AD62E8" w:rsidRDefault="00BB7B6F" w:rsidP="00C603CF">
      <w:pPr>
        <w:pStyle w:val="Heading5"/>
      </w:pPr>
      <w:r w:rsidRPr="00AD62E8">
        <w:t>Consideration of the proposed indication: Treatment of moderate acne vulgaris in women seeking oral contraception.</w:t>
      </w:r>
    </w:p>
    <w:p w:rsidR="00BB7B6F" w:rsidRDefault="00BB7B6F" w:rsidP="00C603CF">
      <w:r>
        <w:t xml:space="preserve">This indication is currently approved for the standard YAZ dosing regimen. No new efficacy data were included in the application for </w:t>
      </w:r>
      <w:proofErr w:type="spellStart"/>
      <w:r>
        <w:t>YAZFlex</w:t>
      </w:r>
      <w:proofErr w:type="spellEnd"/>
      <w:r>
        <w:t xml:space="preserve">. </w:t>
      </w:r>
    </w:p>
    <w:p w:rsidR="00BB7B6F" w:rsidRDefault="00BB7B6F" w:rsidP="00C603CF">
      <w:r>
        <w:t xml:space="preserve">The clinical evaluator has discussed the proposed acne indication for </w:t>
      </w:r>
      <w:proofErr w:type="spellStart"/>
      <w:r>
        <w:t>YAZFlex</w:t>
      </w:r>
      <w:proofErr w:type="spellEnd"/>
      <w:r>
        <w:t xml:space="preserve"> in the clinical evaluation report. The evaluator considered that suppression of ovarian hormone production, including androgen production, would be maintained throughout the extended treatment cycle of </w:t>
      </w:r>
      <w:proofErr w:type="spellStart"/>
      <w:r>
        <w:t>YAZFlex</w:t>
      </w:r>
      <w:proofErr w:type="spellEnd"/>
      <w:r>
        <w:t xml:space="preserve"> and that therefore efficacy in a</w:t>
      </w:r>
      <w:r w:rsidR="00C603CF">
        <w:t>cne is likely to be maintained.</w:t>
      </w:r>
    </w:p>
    <w:p w:rsidR="00BB7B6F" w:rsidRDefault="00BB7B6F" w:rsidP="00C603CF">
      <w:r>
        <w:t xml:space="preserve">The submission contained some data on testosterone suppression in a subgroup of subjects in Study A40196 (308683). Treatment with either YAZ or </w:t>
      </w:r>
      <w:proofErr w:type="spellStart"/>
      <w:r>
        <w:t>YAZFlex</w:t>
      </w:r>
      <w:proofErr w:type="spellEnd"/>
      <w:r>
        <w:t xml:space="preserve"> was associated with approximately a 50% reduction in serum testosterone levels which was maintained out to 1 year. The evaluator therefore concluded that </w:t>
      </w:r>
      <w:proofErr w:type="spellStart"/>
      <w:r>
        <w:t>YAZFlex</w:t>
      </w:r>
      <w:proofErr w:type="spellEnd"/>
      <w:r>
        <w:t xml:space="preserve"> is likely to be as effective as YAZ for the control of moderate acne.</w:t>
      </w:r>
    </w:p>
    <w:p w:rsidR="00BB7B6F" w:rsidRDefault="00BB7B6F" w:rsidP="00C603CF">
      <w:r>
        <w:t>The safety data from the submitted studies did not raise any concerns that would preclude approval for use in oral contraception, and therefore safety will be acceptable in patients with moderate acne who seek oral contraception.</w:t>
      </w:r>
    </w:p>
    <w:p w:rsidR="00BB7B6F" w:rsidRDefault="00BB7B6F" w:rsidP="00C603CF">
      <w:r>
        <w:t>Delegate 3 proposed to approve the application. The advice of the Committee was requested.</w:t>
      </w:r>
    </w:p>
    <w:p w:rsidR="00BB7B6F" w:rsidRPr="00AD62E8" w:rsidRDefault="00BB7B6F" w:rsidP="00C603CF">
      <w:pPr>
        <w:pStyle w:val="Heading4"/>
      </w:pPr>
      <w:r>
        <w:lastRenderedPageBreak/>
        <w:t xml:space="preserve">Advisory Committee </w:t>
      </w:r>
      <w:r w:rsidR="00C603CF" w:rsidRPr="00C603CF">
        <w:t>c</w:t>
      </w:r>
      <w:r w:rsidRPr="00C603CF">
        <w:t>onsiderations</w:t>
      </w:r>
    </w:p>
    <w:p w:rsidR="00BB7B6F" w:rsidRPr="002115B4" w:rsidRDefault="00BB7B6F" w:rsidP="00C603CF">
      <w:r w:rsidRPr="002115B4">
        <w:t>The Advisory Committee on Prescription Medicines (ACPM), having considered the evaluations and the Delegate’s overview, as well as the sponsor’s response to these documents, advised the following:</w:t>
      </w:r>
    </w:p>
    <w:p w:rsidR="00BB7B6F" w:rsidRPr="00C603CF" w:rsidRDefault="00BB7B6F" w:rsidP="00C603CF">
      <w:r w:rsidRPr="002115B4">
        <w:t>The ACPM, taking into account the submitted evidence of pharmaceutical efficacy, safety and quality considered this product to have a positive benefit-risk profile for the indication:</w:t>
      </w:r>
    </w:p>
    <w:p w:rsidR="00BB7B6F" w:rsidRPr="00C603CF" w:rsidRDefault="00BB7B6F" w:rsidP="00C603CF">
      <w:pPr>
        <w:ind w:left="425"/>
        <w:rPr>
          <w:i/>
          <w:lang w:eastAsia="en-AU"/>
        </w:rPr>
      </w:pPr>
      <w:proofErr w:type="spellStart"/>
      <w:r w:rsidRPr="00C603CF">
        <w:rPr>
          <w:i/>
          <w:lang w:eastAsia="en-AU"/>
        </w:rPr>
        <w:t>YAZFlex</w:t>
      </w:r>
      <w:proofErr w:type="spellEnd"/>
      <w:r w:rsidRPr="00C603CF">
        <w:rPr>
          <w:i/>
          <w:lang w:eastAsia="en-AU"/>
        </w:rPr>
        <w:t xml:space="preserve"> is indicated for:</w:t>
      </w:r>
    </w:p>
    <w:p w:rsidR="00BB7B6F" w:rsidRPr="00C603CF" w:rsidRDefault="00BB7B6F" w:rsidP="00C603CF">
      <w:pPr>
        <w:pStyle w:val="Numberbullet0"/>
        <w:numPr>
          <w:ilvl w:val="0"/>
          <w:numId w:val="40"/>
        </w:numPr>
        <w:ind w:left="850"/>
        <w:rPr>
          <w:i/>
          <w:lang w:eastAsia="en-AU"/>
        </w:rPr>
      </w:pPr>
      <w:r w:rsidRPr="00C603CF">
        <w:rPr>
          <w:i/>
          <w:lang w:eastAsia="en-AU"/>
        </w:rPr>
        <w:t>Oral contraception</w:t>
      </w:r>
    </w:p>
    <w:p w:rsidR="00BB7B6F" w:rsidRPr="00C603CF" w:rsidRDefault="00BB7B6F" w:rsidP="00C603CF">
      <w:pPr>
        <w:pStyle w:val="Numberbullet0"/>
        <w:ind w:left="850"/>
        <w:rPr>
          <w:i/>
          <w:lang w:eastAsia="en-AU"/>
        </w:rPr>
      </w:pPr>
      <w:r w:rsidRPr="00C603CF">
        <w:rPr>
          <w:i/>
          <w:lang w:eastAsia="en-AU"/>
        </w:rPr>
        <w:t>Treatment of moderate acne vulgaris in women who seek oral contraception.</w:t>
      </w:r>
    </w:p>
    <w:p w:rsidR="00CF723F" w:rsidRDefault="00BB7B6F" w:rsidP="00CF723F">
      <w:r w:rsidRPr="002115B4">
        <w:t>In considering this application, the ACPM advised that the absence of efficacy data to support the broader indication for premenstrual dysphoric disorder (PMDD) precludes the incorporation of this condition in the indications. The ACPM noted the imminence of guidelines on PMDD and clarification of diagnostic status in the near future and recommends the sponsor provide suitable d</w:t>
      </w:r>
      <w:r w:rsidR="00CF723F">
        <w:t>ata to support efficacy claims.</w:t>
      </w:r>
    </w:p>
    <w:p w:rsidR="00CF723F" w:rsidRDefault="00BB7B6F" w:rsidP="00CF723F">
      <w:r w:rsidRPr="002115B4">
        <w:t>The ACPM supported the amendments proposed by the Delegate to the Product Information (PI) and Consumer Medic</w:t>
      </w:r>
      <w:r w:rsidR="00CF723F">
        <w:t>ines Information (CMI).</w:t>
      </w:r>
    </w:p>
    <w:p w:rsidR="00CF723F" w:rsidRDefault="00BB7B6F" w:rsidP="00CF723F">
      <w:r w:rsidRPr="002115B4">
        <w:t xml:space="preserve">Specific conditions of registration which may be considered include the submission of further evidence to support PMDD indication. Longer term (&gt;3 cycles) data for </w:t>
      </w:r>
      <w:proofErr w:type="spellStart"/>
      <w:r>
        <w:t>YAZFlex</w:t>
      </w:r>
      <w:proofErr w:type="spellEnd"/>
      <w:r w:rsidRPr="002115B4">
        <w:t xml:space="preserve"> should be submitted.</w:t>
      </w:r>
    </w:p>
    <w:p w:rsidR="00BB7B6F" w:rsidRPr="002115B4" w:rsidRDefault="00BB7B6F" w:rsidP="00CF723F">
      <w:r w:rsidRPr="002115B4">
        <w:t>The ACPM advised that the implementation by the sponsor of the recommendations outlined above to the satisfaction of the TGA, in addition to the evidence of efficacy and safety provided would support the safe and effective use of this product.</w:t>
      </w:r>
    </w:p>
    <w:p w:rsidR="00BB7B6F" w:rsidRPr="002E238E" w:rsidRDefault="00BB7B6F" w:rsidP="00CF723F">
      <w:pPr>
        <w:pStyle w:val="Heading3"/>
      </w:pPr>
      <w:bookmarkStart w:id="266" w:name="_Toc247691532"/>
      <w:bookmarkStart w:id="267" w:name="_Toc323821184"/>
      <w:bookmarkStart w:id="268" w:name="_Toc335040610"/>
      <w:bookmarkStart w:id="269" w:name="_Toc398110093"/>
      <w:bookmarkStart w:id="270" w:name="_Toc401835999"/>
      <w:bookmarkEnd w:id="208"/>
      <w:bookmarkEnd w:id="260"/>
      <w:bookmarkEnd w:id="261"/>
      <w:r w:rsidRPr="00CF723F">
        <w:t>Outcome</w:t>
      </w:r>
      <w:bookmarkEnd w:id="266"/>
      <w:bookmarkEnd w:id="267"/>
      <w:bookmarkEnd w:id="268"/>
      <w:bookmarkEnd w:id="269"/>
      <w:bookmarkEnd w:id="270"/>
    </w:p>
    <w:p w:rsidR="00BB7B6F" w:rsidRPr="00F45B4C" w:rsidRDefault="00BB7B6F" w:rsidP="00CF723F">
      <w:pPr>
        <w:rPr>
          <w:lang w:eastAsia="en-AU"/>
        </w:rPr>
      </w:pPr>
      <w:r w:rsidRPr="00F45B4C">
        <w:rPr>
          <w:lang w:eastAsia="en-AU"/>
        </w:rPr>
        <w:t>Bayer withdrew their application for the Indication</w:t>
      </w:r>
      <w:r>
        <w:rPr>
          <w:lang w:eastAsia="en-AU"/>
        </w:rPr>
        <w:t>:</w:t>
      </w:r>
      <w:r w:rsidRPr="00F45B4C">
        <w:rPr>
          <w:lang w:eastAsia="en-AU"/>
        </w:rPr>
        <w:t xml:space="preserve"> </w:t>
      </w:r>
    </w:p>
    <w:p w:rsidR="00BB7B6F" w:rsidRPr="00CF723F" w:rsidRDefault="00BB7B6F" w:rsidP="00CF723F">
      <w:pPr>
        <w:ind w:left="720"/>
        <w:rPr>
          <w:i/>
        </w:rPr>
      </w:pPr>
      <w:proofErr w:type="gramStart"/>
      <w:r w:rsidRPr="00CF723F">
        <w:rPr>
          <w:i/>
          <w:lang w:eastAsia="en-AU"/>
        </w:rPr>
        <w:t>‘Treatment of symptoms of premenstrual dysphoric disorder (PMDD) in women who have chosen oral contraceptives as their method of birth control.</w:t>
      </w:r>
      <w:proofErr w:type="gramEnd"/>
      <w:r w:rsidRPr="00CF723F">
        <w:rPr>
          <w:i/>
          <w:lang w:eastAsia="en-AU"/>
        </w:rPr>
        <w:t xml:space="preserve"> The efficacy of YAZ for PMDD was not assessed beyond 3 months. YAZ has not been evaluated for treatment of PMS (premenstrual syndrome), See CLINICAL TRIALS’.</w:t>
      </w:r>
    </w:p>
    <w:p w:rsidR="00BB7B6F" w:rsidRDefault="00BB7B6F" w:rsidP="00CF723F">
      <w:r>
        <w:t xml:space="preserve">Based on a review of quality, safety and efficacy, TGA approved the registration of </w:t>
      </w:r>
      <w:proofErr w:type="spellStart"/>
      <w:r>
        <w:t>YAZFlex</w:t>
      </w:r>
      <w:proofErr w:type="spellEnd"/>
      <w:r>
        <w:t xml:space="preserve"> </w:t>
      </w:r>
      <w:proofErr w:type="spellStart"/>
      <w:r>
        <w:t>ethinyloestradiol</w:t>
      </w:r>
      <w:proofErr w:type="spellEnd"/>
      <w:r>
        <w:t xml:space="preserve"> (as </w:t>
      </w:r>
      <w:proofErr w:type="spellStart"/>
      <w:r>
        <w:t>betadex</w:t>
      </w:r>
      <w:proofErr w:type="spellEnd"/>
      <w:r>
        <w:t xml:space="preserve"> </w:t>
      </w:r>
      <w:proofErr w:type="spellStart"/>
      <w:r>
        <w:t>clathrate</w:t>
      </w:r>
      <w:proofErr w:type="spellEnd"/>
      <w:r>
        <w:t xml:space="preserve">) 20 µg, </w:t>
      </w:r>
      <w:proofErr w:type="spellStart"/>
      <w:r>
        <w:t>drospirenone</w:t>
      </w:r>
      <w:proofErr w:type="spellEnd"/>
      <w:r>
        <w:t xml:space="preserve"> 3 mg tablet dispenser pack for oral administration, indicated for:</w:t>
      </w:r>
    </w:p>
    <w:p w:rsidR="00BB7B6F" w:rsidRPr="00CF723F" w:rsidRDefault="00BB7B6F" w:rsidP="00CF723F">
      <w:pPr>
        <w:ind w:left="425"/>
        <w:rPr>
          <w:i/>
        </w:rPr>
      </w:pPr>
      <w:bookmarkStart w:id="271" w:name="_Toc247691533"/>
      <w:proofErr w:type="spellStart"/>
      <w:r w:rsidRPr="00CF723F">
        <w:rPr>
          <w:i/>
        </w:rPr>
        <w:t>YAZFlex</w:t>
      </w:r>
      <w:proofErr w:type="spellEnd"/>
      <w:r w:rsidRPr="00CF723F">
        <w:rPr>
          <w:i/>
        </w:rPr>
        <w:t xml:space="preserve"> is indicated for use as:</w:t>
      </w:r>
    </w:p>
    <w:p w:rsidR="00BB7B6F" w:rsidRPr="00CF723F" w:rsidRDefault="00BB7B6F" w:rsidP="00CF723F">
      <w:pPr>
        <w:pStyle w:val="Numberbullet0"/>
        <w:numPr>
          <w:ilvl w:val="0"/>
          <w:numId w:val="41"/>
        </w:numPr>
        <w:ind w:left="850"/>
        <w:rPr>
          <w:i/>
        </w:rPr>
      </w:pPr>
      <w:r w:rsidRPr="00CF723F">
        <w:rPr>
          <w:i/>
        </w:rPr>
        <w:t>an oral contraceptive</w:t>
      </w:r>
    </w:p>
    <w:p w:rsidR="00BB7B6F" w:rsidRPr="00CF723F" w:rsidRDefault="00BB7B6F" w:rsidP="00CF723F">
      <w:pPr>
        <w:pStyle w:val="Numberbullet0"/>
        <w:ind w:left="850"/>
        <w:rPr>
          <w:i/>
        </w:rPr>
      </w:pPr>
      <w:proofErr w:type="gramStart"/>
      <w:r w:rsidRPr="00CF723F">
        <w:rPr>
          <w:i/>
        </w:rPr>
        <w:t>treatment</w:t>
      </w:r>
      <w:proofErr w:type="gramEnd"/>
      <w:r w:rsidRPr="00CF723F">
        <w:rPr>
          <w:i/>
        </w:rPr>
        <w:t xml:space="preserve"> of moderate acne vulgaris in women who seek oral contraception.</w:t>
      </w:r>
    </w:p>
    <w:p w:rsidR="00BB7B6F" w:rsidRDefault="00BB7B6F" w:rsidP="00CF723F">
      <w:pPr>
        <w:pStyle w:val="Heading4"/>
      </w:pPr>
      <w:r>
        <w:t xml:space="preserve">Specific </w:t>
      </w:r>
      <w:r w:rsidR="00CF723F">
        <w:t>c</w:t>
      </w:r>
      <w:r>
        <w:t xml:space="preserve">onditions </w:t>
      </w:r>
      <w:r w:rsidR="00CF723F">
        <w:t>a</w:t>
      </w:r>
      <w:r>
        <w:t xml:space="preserve">pplying to these </w:t>
      </w:r>
      <w:r w:rsidR="00CF723F">
        <w:t>t</w:t>
      </w:r>
      <w:r>
        <w:t xml:space="preserve">herapeutic </w:t>
      </w:r>
      <w:r w:rsidR="00CF723F" w:rsidRPr="00CF723F">
        <w:t>g</w:t>
      </w:r>
      <w:r w:rsidRPr="00CF723F">
        <w:t>oods</w:t>
      </w:r>
    </w:p>
    <w:p w:rsidR="00BB7B6F" w:rsidRPr="005E4DE6" w:rsidRDefault="00BB7B6F" w:rsidP="00CF723F">
      <w:pPr>
        <w:pStyle w:val="Numberbullet0"/>
        <w:numPr>
          <w:ilvl w:val="0"/>
          <w:numId w:val="42"/>
        </w:numPr>
      </w:pPr>
      <w:r w:rsidRPr="005E4DE6">
        <w:t xml:space="preserve">The implementation in Australia of the </w:t>
      </w:r>
      <w:proofErr w:type="spellStart"/>
      <w:r>
        <w:t>YAZFlex</w:t>
      </w:r>
      <w:proofErr w:type="spellEnd"/>
      <w:r w:rsidRPr="005E4DE6">
        <w:t xml:space="preserve"> </w:t>
      </w:r>
      <w:proofErr w:type="spellStart"/>
      <w:r w:rsidRPr="005E4DE6">
        <w:t>ethinyloestradiol</w:t>
      </w:r>
      <w:proofErr w:type="spellEnd"/>
      <w:r w:rsidRPr="005E4DE6">
        <w:t xml:space="preserve"> (as </w:t>
      </w:r>
      <w:proofErr w:type="spellStart"/>
      <w:r w:rsidRPr="005E4DE6">
        <w:t>betadex</w:t>
      </w:r>
      <w:proofErr w:type="spellEnd"/>
      <w:r w:rsidRPr="005E4DE6">
        <w:t xml:space="preserve"> </w:t>
      </w:r>
      <w:proofErr w:type="spellStart"/>
      <w:r w:rsidRPr="005E4DE6">
        <w:t>clathrate</w:t>
      </w:r>
      <w:proofErr w:type="spellEnd"/>
      <w:r w:rsidRPr="005E4DE6">
        <w:t xml:space="preserve">) 20 µg, </w:t>
      </w:r>
      <w:proofErr w:type="spellStart"/>
      <w:r w:rsidRPr="005E4DE6">
        <w:t>drospirenone</w:t>
      </w:r>
      <w:proofErr w:type="spellEnd"/>
      <w:r w:rsidRPr="005E4DE6">
        <w:t xml:space="preserve"> 3 mg tablet dispenser pack Risk Management Plan (RMP) version Implement RMP Version 1, dated September 2010, included with this submission, and any subsequent revisions, as agreed with the TGA and its Office of Product Review.</w:t>
      </w:r>
    </w:p>
    <w:p w:rsidR="00BB7B6F" w:rsidRDefault="00BB7B6F" w:rsidP="00CF723F">
      <w:pPr>
        <w:pStyle w:val="Heading2"/>
      </w:pPr>
      <w:bookmarkStart w:id="272" w:name="_Toc323821185"/>
      <w:bookmarkStart w:id="273" w:name="_Toc335040611"/>
      <w:bookmarkStart w:id="274" w:name="_Toc398110094"/>
      <w:bookmarkStart w:id="275" w:name="_Toc401836000"/>
      <w:proofErr w:type="gramStart"/>
      <w:r>
        <w:lastRenderedPageBreak/>
        <w:t>Attachment 1.</w:t>
      </w:r>
      <w:proofErr w:type="gramEnd"/>
      <w:r>
        <w:tab/>
        <w:t>Product Information</w:t>
      </w:r>
      <w:bookmarkEnd w:id="271"/>
      <w:bookmarkEnd w:id="272"/>
      <w:bookmarkEnd w:id="273"/>
      <w:bookmarkEnd w:id="274"/>
      <w:bookmarkEnd w:id="275"/>
    </w:p>
    <w:p w:rsidR="001C32CD" w:rsidRDefault="00BB7B6F" w:rsidP="00291957">
      <w:pPr>
        <w:rPr>
          <w:lang w:eastAsia="ja-JP"/>
        </w:rPr>
      </w:pPr>
      <w:r>
        <w:rPr>
          <w:lang w:eastAsia="en-AU"/>
        </w:rPr>
        <w:t xml:space="preserve">The Product Information current at the time this AusPAR was published is at Attachment 1. For the current Product Information please refer to the TGA website at </w:t>
      </w:r>
      <w:r w:rsidRPr="005E4DE6">
        <w:rPr>
          <w:lang w:eastAsia="en-AU"/>
        </w:rPr>
        <w:t>&lt;</w:t>
      </w:r>
      <w:hyperlink r:id="rId26" w:history="1">
        <w:r w:rsidRPr="005E4DE6">
          <w:rPr>
            <w:rStyle w:val="Hyperlink"/>
            <w:lang w:eastAsia="en-AU"/>
          </w:rPr>
          <w:t>http://www.tga.gov.au/hp/information-medicines-pi.htm</w:t>
        </w:r>
      </w:hyperlink>
      <w:hyperlink w:history="1"/>
      <w:r w:rsidRPr="005E4DE6">
        <w:rPr>
          <w:lang w:eastAsia="en-AU"/>
        </w:rPr>
        <w:t>&gt;</w:t>
      </w:r>
    </w:p>
    <w:p w:rsidR="00291957" w:rsidRDefault="00291957" w:rsidP="00CF723F">
      <w:pPr>
        <w:rPr>
          <w:lang w:eastAsia="ja-JP"/>
        </w:rPr>
      </w:pPr>
    </w:p>
    <w:p w:rsidR="00C80137" w:rsidRPr="001D043B" w:rsidRDefault="00C80137" w:rsidP="00CF723F">
      <w:pPr>
        <w:sectPr w:rsidR="00C80137" w:rsidRPr="001D043B" w:rsidSect="002B73F1">
          <w:headerReference w:type="even" r:id="rId27"/>
          <w:headerReference w:type="default" r:id="rId28"/>
          <w:headerReference w:type="first" r:id="rId29"/>
          <w:footerReference w:type="first" r:id="rId30"/>
          <w:pgSz w:w="11906" w:h="16838" w:code="9"/>
          <w:pgMar w:top="834" w:right="1701" w:bottom="993" w:left="1701" w:header="907" w:footer="73"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E94BBF">
        <w:trPr>
          <w:trHeight w:hRule="exact" w:val="704"/>
        </w:trPr>
        <w:tc>
          <w:tcPr>
            <w:tcW w:w="9175" w:type="dxa"/>
          </w:tcPr>
          <w:p w:rsidR="001C32CD" w:rsidRPr="00487162" w:rsidRDefault="001C32CD" w:rsidP="00E94BBF">
            <w:pPr>
              <w:pStyle w:val="TGASignoff"/>
            </w:pPr>
            <w:r w:rsidRPr="00487162">
              <w:lastRenderedPageBreak/>
              <w:t>Therapeutic Goods Administration</w:t>
            </w:r>
          </w:p>
        </w:tc>
      </w:tr>
      <w:tr w:rsidR="001C32CD" w:rsidRPr="004C239D" w:rsidTr="00E94BBF">
        <w:trPr>
          <w:trHeight w:val="1221"/>
        </w:trPr>
        <w:tc>
          <w:tcPr>
            <w:tcW w:w="9175" w:type="dxa"/>
            <w:tcMar>
              <w:top w:w="28" w:type="dxa"/>
            </w:tcMar>
          </w:tcPr>
          <w:p w:rsidR="001C32CD" w:rsidRPr="00487162" w:rsidRDefault="001C32CD" w:rsidP="00E94BBF">
            <w:pPr>
              <w:pStyle w:val="Address"/>
            </w:pPr>
            <w:r w:rsidRPr="00487162">
              <w:t>PO Box 100 Woden ACT 2606 Australia</w:t>
            </w:r>
          </w:p>
          <w:p w:rsidR="001C32CD" w:rsidRPr="00487162" w:rsidRDefault="001C32CD" w:rsidP="00E94BBF">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rsidR="001C32CD" w:rsidRPr="004C239D" w:rsidRDefault="00E94BBF" w:rsidP="00E94BBF">
            <w:pPr>
              <w:pStyle w:val="Address"/>
              <w:spacing w:line="260" w:lineRule="atLeast"/>
              <w:rPr>
                <w:b/>
                <w:color w:val="0000FF"/>
                <w:u w:val="single"/>
              </w:rPr>
            </w:pPr>
            <w:hyperlink r:id="rId32"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3CF" w:rsidRDefault="00C603CF" w:rsidP="00C40A36">
      <w:pPr>
        <w:spacing w:after="0"/>
      </w:pPr>
      <w:r>
        <w:separator/>
      </w:r>
    </w:p>
  </w:endnote>
  <w:endnote w:type="continuationSeparator" w:id="0">
    <w:p w:rsidR="00C603CF" w:rsidRDefault="00C603C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603CF" w:rsidRPr="00487162" w:rsidTr="00DB750B">
      <w:trPr>
        <w:trHeight w:val="269"/>
      </w:trPr>
      <w:tc>
        <w:tcPr>
          <w:tcW w:w="7371" w:type="dxa"/>
          <w:tcMar>
            <w:top w:w="142" w:type="dxa"/>
            <w:bottom w:w="0" w:type="dxa"/>
          </w:tcMar>
        </w:tcPr>
        <w:p w:rsidR="00C603CF" w:rsidRPr="00487162" w:rsidRDefault="00C603CF" w:rsidP="00396874">
          <w:pPr>
            <w:pStyle w:val="Footer"/>
          </w:pPr>
          <w:proofErr w:type="spellStart"/>
          <w:r w:rsidRPr="00E34576">
            <w:t>AusPAR</w:t>
          </w:r>
          <w:proofErr w:type="spellEnd"/>
          <w:r w:rsidRPr="00E34576">
            <w:t xml:space="preserve"> </w:t>
          </w:r>
          <w:proofErr w:type="spellStart"/>
          <w:r w:rsidRPr="00E34576">
            <w:t>YAZFlex</w:t>
          </w:r>
          <w:proofErr w:type="spellEnd"/>
          <w:r w:rsidRPr="00E34576">
            <w:t xml:space="preserve"> </w:t>
          </w:r>
          <w:proofErr w:type="spellStart"/>
          <w:r w:rsidRPr="00E34576">
            <w:t>Drospirenone</w:t>
          </w:r>
          <w:proofErr w:type="spellEnd"/>
          <w:r w:rsidRPr="00E34576">
            <w:t xml:space="preserve"> and </w:t>
          </w:r>
          <w:proofErr w:type="spellStart"/>
          <w:r w:rsidRPr="00E34576">
            <w:t>ethinyloestradiol</w:t>
          </w:r>
          <w:proofErr w:type="spellEnd"/>
          <w:r w:rsidRPr="00E34576">
            <w:t xml:space="preserve"> (as </w:t>
          </w:r>
          <w:proofErr w:type="spellStart"/>
          <w:r w:rsidRPr="00E34576">
            <w:t>betadex</w:t>
          </w:r>
          <w:proofErr w:type="spellEnd"/>
          <w:r>
            <w:t xml:space="preserve"> </w:t>
          </w:r>
          <w:proofErr w:type="spellStart"/>
          <w:r>
            <w:t>clathrate</w:t>
          </w:r>
          <w:proofErr w:type="spellEnd"/>
          <w:r>
            <w:t>) Bayer Australia Ltd</w:t>
          </w:r>
          <w:r>
            <w:br/>
          </w:r>
          <w:r w:rsidRPr="00E34576">
            <w:t xml:space="preserve">PM-2010-03613-3-5 Final </w:t>
          </w:r>
          <w:r>
            <w:t>14 October 2014</w:t>
          </w:r>
        </w:p>
      </w:tc>
      <w:tc>
        <w:tcPr>
          <w:tcW w:w="1490" w:type="dxa"/>
          <w:tcMar>
            <w:top w:w="142" w:type="dxa"/>
            <w:bottom w:w="0" w:type="dxa"/>
          </w:tcMar>
        </w:tcPr>
        <w:p w:rsidR="00C603CF" w:rsidRPr="00487162" w:rsidRDefault="00C603CF" w:rsidP="00DB750B">
          <w:pPr>
            <w:pStyle w:val="Footer"/>
            <w:jc w:val="right"/>
          </w:pPr>
          <w:r w:rsidRPr="00487162">
            <w:t xml:space="preserve">Page </w:t>
          </w:r>
          <w:r>
            <w:fldChar w:fldCharType="begin"/>
          </w:r>
          <w:r>
            <w:instrText xml:space="preserve"> PAGE  \* Arabic </w:instrText>
          </w:r>
          <w:r>
            <w:fldChar w:fldCharType="separate"/>
          </w:r>
          <w:r w:rsidR="004055BE">
            <w:rPr>
              <w:noProof/>
            </w:rPr>
            <w:t>6</w:t>
          </w:r>
          <w:r>
            <w:fldChar w:fldCharType="end"/>
          </w:r>
          <w:r w:rsidRPr="00487162">
            <w:t xml:space="preserve"> of </w:t>
          </w:r>
          <w:fldSimple w:instr=" NUMPAGES  \* Arabic ">
            <w:r w:rsidR="004055BE">
              <w:rPr>
                <w:noProof/>
              </w:rPr>
              <w:t>46</w:t>
            </w:r>
          </w:fldSimple>
        </w:p>
      </w:tc>
    </w:tr>
  </w:tbl>
  <w:p w:rsidR="00C603CF" w:rsidRDefault="00C603C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603CF" w:rsidRPr="00487162" w:rsidTr="00E45619">
      <w:trPr>
        <w:trHeight w:val="269"/>
      </w:trPr>
      <w:tc>
        <w:tcPr>
          <w:tcW w:w="4519" w:type="dxa"/>
          <w:tcBorders>
            <w:top w:val="single" w:sz="4" w:space="0" w:color="auto"/>
          </w:tcBorders>
          <w:tcMar>
            <w:top w:w="142" w:type="dxa"/>
            <w:bottom w:w="0" w:type="dxa"/>
          </w:tcMar>
        </w:tcPr>
        <w:p w:rsidR="00C603CF" w:rsidRPr="00487162" w:rsidRDefault="00C603CF" w:rsidP="00FE1DEE">
          <w:pPr>
            <w:pStyle w:val="Footer"/>
          </w:pPr>
          <w:r w:rsidRPr="00487162">
            <w:t>Document title, Part #, Section # - Section title</w:t>
          </w:r>
        </w:p>
        <w:p w:rsidR="00C603CF" w:rsidRPr="00487162" w:rsidRDefault="00C603CF" w:rsidP="00FE1DEE">
          <w:pPr>
            <w:pStyle w:val="Footer"/>
          </w:pPr>
          <w:r w:rsidRPr="00487162">
            <w:t>V1.0 October 2010</w:t>
          </w:r>
        </w:p>
      </w:tc>
      <w:tc>
        <w:tcPr>
          <w:tcW w:w="4342" w:type="dxa"/>
          <w:tcBorders>
            <w:top w:val="single" w:sz="4" w:space="0" w:color="auto"/>
          </w:tcBorders>
          <w:tcMar>
            <w:top w:w="142" w:type="dxa"/>
            <w:bottom w:w="0" w:type="dxa"/>
          </w:tcMar>
        </w:tcPr>
        <w:p w:rsidR="00C603CF" w:rsidRPr="00487162" w:rsidRDefault="00C603C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C603CF" w:rsidRDefault="00C603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CF" w:rsidRPr="001C32CD" w:rsidRDefault="00C603C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603CF" w:rsidTr="0010601F">
      <w:trPr>
        <w:trHeight w:val="108"/>
      </w:trPr>
      <w:tc>
        <w:tcPr>
          <w:tcW w:w="8875" w:type="dxa"/>
          <w:gridSpan w:val="2"/>
          <w:tcBorders>
            <w:bottom w:val="single" w:sz="4" w:space="0" w:color="auto"/>
          </w:tcBorders>
          <w:tcMar>
            <w:right w:w="284" w:type="dxa"/>
          </w:tcMar>
        </w:tcPr>
        <w:p w:rsidR="00C603CF" w:rsidRDefault="00C603CF" w:rsidP="006E08B3">
          <w:pPr>
            <w:pStyle w:val="Heading3"/>
          </w:pPr>
          <w:r>
            <w:t>Copyright</w:t>
          </w:r>
        </w:p>
        <w:p w:rsidR="00C603CF" w:rsidRDefault="00C603CF" w:rsidP="006E08B3">
          <w:r>
            <w:rPr>
              <w:rFonts w:cs="Arial"/>
            </w:rPr>
            <w:t>©</w:t>
          </w:r>
          <w:r>
            <w:t xml:space="preserve"> Commonwealth of Australia [add year]</w:t>
          </w:r>
        </w:p>
        <w:p w:rsidR="00C603CF" w:rsidRDefault="00C603CF" w:rsidP="006E08B3"/>
        <w:p w:rsidR="00C603CF" w:rsidRDefault="00C603C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603CF" w:rsidRDefault="00C603CF" w:rsidP="006E08B3"/>
        <w:p w:rsidR="00C603CF" w:rsidRDefault="00C603CF" w:rsidP="006E08B3">
          <w:pPr>
            <w:pStyle w:val="Heading3"/>
          </w:pPr>
          <w:r>
            <w:t>Confidentiality</w:t>
          </w:r>
        </w:p>
        <w:p w:rsidR="00C603CF" w:rsidRDefault="00C603C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603CF" w:rsidRDefault="00C603CF" w:rsidP="006E08B3"/>
        <w:p w:rsidR="00C603CF" w:rsidRDefault="00C603CF" w:rsidP="006E08B3">
          <w:r>
            <w:t>For submission made by individuals, all personal details, other than your name, will be removed from your submission before it is published on the TGA’s Internet site.</w:t>
          </w:r>
        </w:p>
        <w:p w:rsidR="00C603CF" w:rsidRDefault="00C603CF" w:rsidP="006E08B3"/>
        <w:p w:rsidR="00C603CF" w:rsidRDefault="00C603CF" w:rsidP="006E08B3">
          <w:r>
            <w:t>In addition, a list of parties making submissions will be published. If you do not wish to be identified with your submission you must specifically request this in the space provided ib the submission coversheet.</w:t>
          </w:r>
        </w:p>
      </w:tc>
    </w:tr>
    <w:tr w:rsidR="00C603CF" w:rsidTr="0010601F">
      <w:trPr>
        <w:trHeight w:val="417"/>
      </w:trPr>
      <w:tc>
        <w:tcPr>
          <w:tcW w:w="4519" w:type="dxa"/>
          <w:tcBorders>
            <w:top w:val="single" w:sz="4" w:space="0" w:color="auto"/>
          </w:tcBorders>
          <w:tcMar>
            <w:top w:w="142" w:type="dxa"/>
            <w:bottom w:w="0" w:type="dxa"/>
          </w:tcMar>
        </w:tcPr>
        <w:p w:rsidR="00C603CF" w:rsidRDefault="00C603CF" w:rsidP="006E08B3">
          <w:r>
            <w:t>Document title, Part #, Section # - Section title</w:t>
          </w:r>
        </w:p>
        <w:p w:rsidR="00C603CF" w:rsidRDefault="00C603CF" w:rsidP="006E08B3">
          <w:r>
            <w:t>V1.0 October 2010</w:t>
          </w:r>
        </w:p>
      </w:tc>
      <w:tc>
        <w:tcPr>
          <w:tcW w:w="4356" w:type="dxa"/>
          <w:tcBorders>
            <w:top w:val="single" w:sz="4" w:space="0" w:color="auto"/>
          </w:tcBorders>
          <w:tcMar>
            <w:top w:w="142" w:type="dxa"/>
            <w:bottom w:w="0" w:type="dxa"/>
          </w:tcMar>
        </w:tcPr>
        <w:p w:rsidR="00C603CF" w:rsidRDefault="00C603C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C603CF" w:rsidRDefault="00C603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3CF" w:rsidRDefault="00C603CF" w:rsidP="00C40A36">
      <w:pPr>
        <w:spacing w:after="0"/>
      </w:pPr>
      <w:r>
        <w:separator/>
      </w:r>
    </w:p>
  </w:footnote>
  <w:footnote w:type="continuationSeparator" w:id="0">
    <w:p w:rsidR="00C603CF" w:rsidRDefault="00C603CF" w:rsidP="00C40A36">
      <w:pPr>
        <w:spacing w:after="0"/>
      </w:pPr>
      <w:r>
        <w:continuationSeparator/>
      </w:r>
    </w:p>
  </w:footnote>
  <w:footnote w:id="1">
    <w:p w:rsidR="00C603CF" w:rsidRDefault="00C603CF" w:rsidP="00BB7B6F">
      <w:pPr>
        <w:pStyle w:val="FootnoteText"/>
      </w:pPr>
      <w:r w:rsidRPr="00F45B4C">
        <w:rPr>
          <w:rStyle w:val="FootnoteReference"/>
          <w:szCs w:val="18"/>
        </w:rPr>
        <w:footnoteRef/>
      </w:r>
      <w:r w:rsidRPr="00F45B4C">
        <w:rPr>
          <w:szCs w:val="18"/>
        </w:rPr>
        <w:t xml:space="preserve"> </w:t>
      </w:r>
      <w:r>
        <w:rPr>
          <w:szCs w:val="18"/>
        </w:rPr>
        <w:t xml:space="preserve">On 27 February 2012 </w:t>
      </w:r>
      <w:r w:rsidRPr="00F45B4C">
        <w:rPr>
          <w:rFonts w:cs="Calibri"/>
          <w:szCs w:val="18"/>
          <w:lang w:eastAsia="en-AU"/>
        </w:rPr>
        <w:t xml:space="preserve">Bayer withdrew the indication </w:t>
      </w:r>
      <w:r>
        <w:rPr>
          <w:rFonts w:cs="Calibri"/>
          <w:iCs/>
          <w:szCs w:val="18"/>
          <w:lang w:eastAsia="en-AU"/>
        </w:rPr>
        <w:t>‘</w:t>
      </w:r>
      <w:r w:rsidRPr="00D05574">
        <w:rPr>
          <w:rFonts w:cs="Calibri"/>
          <w:i/>
          <w:iCs/>
          <w:szCs w:val="18"/>
          <w:lang w:eastAsia="en-AU"/>
        </w:rPr>
        <w:t>treatment of symptoms of premenstrual dysphoric disorder (PMDD) in women who have chosen oral contraceptives as their method of birth control. The efficacy of YAZ for PMDD was not assessed beyond 3 months. YAZ has not been evaluated for treatment of PMS (premenstrual syndrome), See CLINICAL TRIALS</w:t>
      </w:r>
      <w:r>
        <w:rPr>
          <w:rFonts w:cs="Calibri"/>
          <w:iCs/>
          <w:szCs w:val="18"/>
          <w:lang w:eastAsia="en-AU"/>
        </w:rPr>
        <w:t>’</w:t>
      </w:r>
      <w:r w:rsidRPr="00F45B4C">
        <w:rPr>
          <w:rFonts w:cs="Calibri"/>
          <w:szCs w:val="18"/>
          <w:lang w:eastAsia="en-AU"/>
        </w:rPr>
        <w:t xml:space="preserve"> from th</w:t>
      </w:r>
      <w:r>
        <w:rPr>
          <w:rFonts w:cs="Calibri"/>
          <w:szCs w:val="18"/>
          <w:lang w:eastAsia="en-AU"/>
        </w:rPr>
        <w:t>is</w:t>
      </w:r>
      <w:r w:rsidRPr="00F45B4C">
        <w:rPr>
          <w:rFonts w:cs="Calibri"/>
          <w:szCs w:val="18"/>
          <w:lang w:eastAsia="en-AU"/>
        </w:rPr>
        <w:t xml:space="preserve"> Y</w:t>
      </w:r>
      <w:r>
        <w:rPr>
          <w:rFonts w:cs="Calibri"/>
          <w:szCs w:val="18"/>
          <w:lang w:eastAsia="en-AU"/>
        </w:rPr>
        <w:t>AZ</w:t>
      </w:r>
      <w:r w:rsidRPr="00F45B4C">
        <w:rPr>
          <w:rFonts w:cs="Calibri"/>
          <w:szCs w:val="18"/>
          <w:lang w:eastAsia="en-AU"/>
        </w:rPr>
        <w:t xml:space="preserve"> Flex application.</w:t>
      </w:r>
    </w:p>
  </w:footnote>
  <w:footnote w:id="2">
    <w:p w:rsidR="00C603CF" w:rsidRPr="00E34576" w:rsidRDefault="00C603CF" w:rsidP="00BB7B6F">
      <w:pPr>
        <w:pStyle w:val="FootnoteText"/>
        <w:rPr>
          <w:szCs w:val="18"/>
        </w:rPr>
      </w:pPr>
      <w:r w:rsidRPr="00E34576">
        <w:rPr>
          <w:rStyle w:val="FootnoteReference"/>
          <w:szCs w:val="18"/>
        </w:rPr>
        <w:footnoteRef/>
      </w:r>
      <w:r w:rsidRPr="00E34576">
        <w:rPr>
          <w:szCs w:val="18"/>
        </w:rPr>
        <w:t xml:space="preserve"> </w:t>
      </w:r>
      <w:proofErr w:type="gramStart"/>
      <w:r w:rsidRPr="00F477B7">
        <w:t>Guideline on the Non-Clinical Development of Fixed Combinations of Medicinal Products.</w:t>
      </w:r>
      <w:proofErr w:type="gramEnd"/>
      <w:r w:rsidRPr="00F477B7">
        <w:t xml:space="preserve"> </w:t>
      </w:r>
      <w:proofErr w:type="gramStart"/>
      <w:r w:rsidRPr="00F477B7">
        <w:t>EMEA/CHMP/SWP/258498/2005.</w:t>
      </w:r>
      <w:proofErr w:type="gramEnd"/>
      <w:r w:rsidRPr="00F477B7">
        <w:t xml:space="preserve"> </w:t>
      </w:r>
      <w:r>
        <w:t>&lt;</w:t>
      </w:r>
      <w:hyperlink r:id="rId1" w:history="1">
        <w:r w:rsidRPr="00F477B7">
          <w:rPr>
            <w:rStyle w:val="Hyperlink"/>
          </w:rPr>
          <w:t>http://www.tga.gov.au/pdf/euguide/swp25849805final.pdf</w:t>
        </w:r>
      </w:hyperlink>
      <w:r>
        <w:t>&gt;</w:t>
      </w:r>
    </w:p>
  </w:footnote>
  <w:footnote w:id="3">
    <w:p w:rsidR="00C603CF" w:rsidRDefault="00C603CF" w:rsidP="00396874">
      <w:pPr>
        <w:pStyle w:val="FootnoteText"/>
      </w:pPr>
      <w:r w:rsidRPr="00B44ED3">
        <w:rPr>
          <w:rStyle w:val="FootnoteReference"/>
          <w:szCs w:val="18"/>
        </w:rPr>
        <w:footnoteRef/>
      </w:r>
      <w:r w:rsidRPr="00B44ED3">
        <w:t xml:space="preserve"> </w:t>
      </w:r>
      <w:proofErr w:type="gramStart"/>
      <w:r w:rsidRPr="00B44ED3">
        <w:rPr>
          <w:lang w:val="en-US"/>
        </w:rPr>
        <w:t>McGraw-Hill Concise Dictio</w:t>
      </w:r>
      <w:r>
        <w:rPr>
          <w:lang w:val="en-US"/>
        </w:rPr>
        <w:t xml:space="preserve">nary of Modern </w:t>
      </w:r>
      <w:r w:rsidRPr="00396874">
        <w:t>Medicine</w:t>
      </w:r>
      <w:r>
        <w:rPr>
          <w:lang w:val="en-US"/>
        </w:rPr>
        <w:t>.</w:t>
      </w:r>
      <w:proofErr w:type="gramEnd"/>
      <w:r>
        <w:rPr>
          <w:lang w:val="en-US"/>
        </w:rPr>
        <w:t xml:space="preserve"> (2002)</w:t>
      </w:r>
    </w:p>
  </w:footnote>
  <w:footnote w:id="4">
    <w:p w:rsidR="00C603CF" w:rsidRPr="00E34576" w:rsidRDefault="00C603CF" w:rsidP="002B73F1">
      <w:pPr>
        <w:pStyle w:val="FootnoteText"/>
      </w:pPr>
      <w:r w:rsidRPr="00E34576">
        <w:rPr>
          <w:rStyle w:val="FootnoteReference"/>
          <w:szCs w:val="18"/>
        </w:rPr>
        <w:footnoteRef/>
      </w:r>
      <w:r w:rsidRPr="00E34576">
        <w:t xml:space="preserve"> </w:t>
      </w:r>
      <w:r w:rsidRPr="00E34576">
        <w:rPr>
          <w:lang w:eastAsia="en-AU"/>
        </w:rPr>
        <w:t xml:space="preserve">Guideline </w:t>
      </w:r>
      <w:r>
        <w:rPr>
          <w:lang w:eastAsia="en-AU"/>
        </w:rPr>
        <w:t>o</w:t>
      </w:r>
      <w:r w:rsidRPr="00E34576">
        <w:rPr>
          <w:lang w:eastAsia="en-AU"/>
        </w:rPr>
        <w:t xml:space="preserve">n Clinical Investigation </w:t>
      </w:r>
      <w:proofErr w:type="gramStart"/>
      <w:r w:rsidRPr="00E34576">
        <w:rPr>
          <w:lang w:eastAsia="en-AU"/>
        </w:rPr>
        <w:t>Of</w:t>
      </w:r>
      <w:proofErr w:type="gramEnd"/>
      <w:r w:rsidRPr="00E34576">
        <w:rPr>
          <w:lang w:eastAsia="en-AU"/>
        </w:rPr>
        <w:t xml:space="preserve"> Steroid Contraceptives In Women</w:t>
      </w:r>
      <w:r w:rsidRPr="00E34576">
        <w:rPr>
          <w:b/>
          <w:lang w:eastAsia="en-AU"/>
        </w:rPr>
        <w:t xml:space="preserve">. </w:t>
      </w:r>
      <w:r>
        <w:rPr>
          <w:lang w:eastAsia="en-AU"/>
        </w:rPr>
        <w:t>EMEA/CPMP/EWP/519/98 Rev 1</w:t>
      </w:r>
    </w:p>
  </w:footnote>
  <w:footnote w:id="5">
    <w:p w:rsidR="00C603CF" w:rsidRPr="002B73F1" w:rsidRDefault="00C603CF" w:rsidP="002B73F1">
      <w:pPr>
        <w:pStyle w:val="FootnoteText"/>
        <w:rPr>
          <w:szCs w:val="18"/>
        </w:rPr>
      </w:pPr>
      <w:r w:rsidRPr="002B73F1">
        <w:rPr>
          <w:rStyle w:val="FootnoteReference"/>
          <w:szCs w:val="18"/>
        </w:rPr>
        <w:footnoteRef/>
      </w:r>
      <w:proofErr w:type="gramStart"/>
      <w:r w:rsidRPr="002B73F1">
        <w:rPr>
          <w:szCs w:val="18"/>
        </w:rPr>
        <w:t xml:space="preserve">Oral contraceptives containing </w:t>
      </w:r>
      <w:proofErr w:type="spellStart"/>
      <w:r w:rsidRPr="002B73F1">
        <w:rPr>
          <w:szCs w:val="18"/>
        </w:rPr>
        <w:t>drospirenone</w:t>
      </w:r>
      <w:proofErr w:type="spellEnd"/>
      <w:r w:rsidRPr="002B73F1">
        <w:rPr>
          <w:szCs w:val="18"/>
        </w:rPr>
        <w:t xml:space="preserve"> for premenstrual syndrome.</w:t>
      </w:r>
      <w:proofErr w:type="gramEnd"/>
      <w:r w:rsidRPr="002B73F1">
        <w:rPr>
          <w:szCs w:val="18"/>
        </w:rPr>
        <w:t xml:space="preserve"> Lopez LM, </w:t>
      </w:r>
      <w:proofErr w:type="spellStart"/>
      <w:r w:rsidRPr="002B73F1">
        <w:rPr>
          <w:szCs w:val="18"/>
        </w:rPr>
        <w:t>Kaptein</w:t>
      </w:r>
      <w:proofErr w:type="spellEnd"/>
      <w:r w:rsidRPr="002B73F1">
        <w:rPr>
          <w:szCs w:val="18"/>
        </w:rPr>
        <w:t xml:space="preserve"> AA, </w:t>
      </w:r>
      <w:proofErr w:type="spellStart"/>
      <w:r w:rsidRPr="002B73F1">
        <w:rPr>
          <w:szCs w:val="18"/>
        </w:rPr>
        <w:t>Helmerhorst</w:t>
      </w:r>
      <w:proofErr w:type="spellEnd"/>
      <w:r w:rsidRPr="002B73F1">
        <w:rPr>
          <w:szCs w:val="18"/>
        </w:rPr>
        <w:t xml:space="preserve"> FM. Cochrane Database </w:t>
      </w:r>
      <w:proofErr w:type="spellStart"/>
      <w:r w:rsidRPr="002B73F1">
        <w:rPr>
          <w:szCs w:val="18"/>
        </w:rPr>
        <w:t>Syst</w:t>
      </w:r>
      <w:proofErr w:type="spellEnd"/>
      <w:r w:rsidRPr="002B73F1">
        <w:rPr>
          <w:szCs w:val="18"/>
        </w:rPr>
        <w:t xml:space="preserve"> Rev. 2009</w:t>
      </w:r>
    </w:p>
  </w:footnote>
  <w:footnote w:id="6">
    <w:p w:rsidR="00C603CF" w:rsidRPr="00B641B0" w:rsidRDefault="00C603CF" w:rsidP="002B73F1">
      <w:pPr>
        <w:pStyle w:val="FootnoteText"/>
      </w:pPr>
      <w:r w:rsidRPr="002B73F1">
        <w:rPr>
          <w:rStyle w:val="FootnoteReference"/>
          <w:szCs w:val="18"/>
        </w:rPr>
        <w:footnoteRef/>
      </w:r>
      <w:r w:rsidRPr="002B73F1">
        <w:rPr>
          <w:szCs w:val="18"/>
        </w:rPr>
        <w:t xml:space="preserve">Effects of continuous versus cyclical oral contraception: a randomized controlled trial. </w:t>
      </w:r>
      <w:proofErr w:type="spellStart"/>
      <w:r w:rsidRPr="002B73F1">
        <w:rPr>
          <w:szCs w:val="18"/>
        </w:rPr>
        <w:t>Legro</w:t>
      </w:r>
      <w:proofErr w:type="spellEnd"/>
      <w:r w:rsidRPr="002B73F1">
        <w:rPr>
          <w:szCs w:val="18"/>
        </w:rPr>
        <w:t xml:space="preserve"> RS, Pauli JG, </w:t>
      </w:r>
      <w:proofErr w:type="spellStart"/>
      <w:r w:rsidRPr="002B73F1">
        <w:rPr>
          <w:szCs w:val="18"/>
        </w:rPr>
        <w:t>Kunselman</w:t>
      </w:r>
      <w:proofErr w:type="spellEnd"/>
      <w:r w:rsidRPr="002B73F1">
        <w:rPr>
          <w:szCs w:val="18"/>
        </w:rPr>
        <w:t xml:space="preserve"> AR, Meadows JW, </w:t>
      </w:r>
      <w:proofErr w:type="spellStart"/>
      <w:r w:rsidRPr="002B73F1">
        <w:rPr>
          <w:szCs w:val="18"/>
        </w:rPr>
        <w:t>Kesner</w:t>
      </w:r>
      <w:proofErr w:type="spellEnd"/>
      <w:r w:rsidRPr="002B73F1">
        <w:rPr>
          <w:szCs w:val="18"/>
        </w:rPr>
        <w:t xml:space="preserve"> JS, </w:t>
      </w:r>
      <w:proofErr w:type="spellStart"/>
      <w:r w:rsidRPr="002B73F1">
        <w:rPr>
          <w:szCs w:val="18"/>
        </w:rPr>
        <w:t>Zaino</w:t>
      </w:r>
      <w:proofErr w:type="spellEnd"/>
      <w:r w:rsidRPr="002B73F1">
        <w:rPr>
          <w:szCs w:val="18"/>
        </w:rPr>
        <w:t xml:space="preserve"> RJ, Demers LM, </w:t>
      </w:r>
      <w:proofErr w:type="spellStart"/>
      <w:r w:rsidRPr="002B73F1">
        <w:rPr>
          <w:szCs w:val="18"/>
        </w:rPr>
        <w:t>Gnatuk</w:t>
      </w:r>
      <w:proofErr w:type="spellEnd"/>
      <w:r w:rsidRPr="002B73F1">
        <w:rPr>
          <w:szCs w:val="18"/>
        </w:rPr>
        <w:t xml:space="preserve"> CL, Dodson WC. J </w:t>
      </w:r>
      <w:proofErr w:type="spellStart"/>
      <w:r w:rsidRPr="002B73F1">
        <w:rPr>
          <w:szCs w:val="18"/>
        </w:rPr>
        <w:t>Clin</w:t>
      </w:r>
      <w:proofErr w:type="spellEnd"/>
      <w:r w:rsidRPr="002B73F1">
        <w:rPr>
          <w:szCs w:val="18"/>
        </w:rPr>
        <w:t xml:space="preserve"> </w:t>
      </w:r>
      <w:proofErr w:type="spellStart"/>
      <w:r w:rsidRPr="002B73F1">
        <w:rPr>
          <w:szCs w:val="18"/>
        </w:rPr>
        <w:t>Endocrinol</w:t>
      </w:r>
      <w:proofErr w:type="spellEnd"/>
      <w:r w:rsidRPr="002B73F1">
        <w:rPr>
          <w:szCs w:val="18"/>
        </w:rPr>
        <w:t xml:space="preserve"> </w:t>
      </w:r>
      <w:proofErr w:type="spellStart"/>
      <w:r w:rsidRPr="002B73F1">
        <w:rPr>
          <w:szCs w:val="18"/>
        </w:rPr>
        <w:t>Metab</w:t>
      </w:r>
      <w:proofErr w:type="spellEnd"/>
      <w:r w:rsidRPr="002B73F1">
        <w:rPr>
          <w:szCs w:val="18"/>
        </w:rPr>
        <w:t xml:space="preserve"> 93(2):420 (2008)</w:t>
      </w:r>
    </w:p>
  </w:footnote>
  <w:footnote w:id="7">
    <w:p w:rsidR="00C603CF" w:rsidRPr="002B73F1" w:rsidRDefault="00C603CF" w:rsidP="002B73F1">
      <w:pPr>
        <w:pStyle w:val="FootnoteText"/>
      </w:pPr>
      <w:r w:rsidRPr="002B73F1">
        <w:rPr>
          <w:rStyle w:val="FootnoteReference"/>
          <w:szCs w:val="18"/>
        </w:rPr>
        <w:footnoteRef/>
      </w:r>
      <w:proofErr w:type="gramStart"/>
      <w:r w:rsidRPr="002B73F1">
        <w:t>Long-term assessment of symptomatology and satisfaction of an extended oral contraceptive regimen.</w:t>
      </w:r>
      <w:proofErr w:type="gramEnd"/>
      <w:r w:rsidRPr="002B73F1">
        <w:t xml:space="preserve"> </w:t>
      </w:r>
      <w:proofErr w:type="gramStart"/>
      <w:r w:rsidRPr="002B73F1">
        <w:rPr>
          <w:lang w:val="en-US"/>
        </w:rPr>
        <w:t xml:space="preserve">Coffee AL, </w:t>
      </w:r>
      <w:proofErr w:type="spellStart"/>
      <w:r w:rsidRPr="002B73F1">
        <w:rPr>
          <w:lang w:val="en-US"/>
        </w:rPr>
        <w:t>Sulak</w:t>
      </w:r>
      <w:proofErr w:type="spellEnd"/>
      <w:r w:rsidRPr="002B73F1">
        <w:rPr>
          <w:lang w:val="en-US"/>
        </w:rPr>
        <w:t xml:space="preserve"> PJ, </w:t>
      </w:r>
      <w:proofErr w:type="spellStart"/>
      <w:r w:rsidRPr="002B73F1">
        <w:rPr>
          <w:lang w:val="en-US"/>
        </w:rPr>
        <w:t>Kuehl</w:t>
      </w:r>
      <w:proofErr w:type="spellEnd"/>
      <w:r w:rsidRPr="002B73F1">
        <w:rPr>
          <w:lang w:val="en-US"/>
        </w:rPr>
        <w:t xml:space="preserve"> TJ.</w:t>
      </w:r>
      <w:proofErr w:type="gramEnd"/>
      <w:r w:rsidRPr="002B73F1">
        <w:rPr>
          <w:lang w:val="en-US"/>
        </w:rPr>
        <w:t xml:space="preserve"> </w:t>
      </w:r>
      <w:r w:rsidRPr="002B73F1">
        <w:t>Contraception 75(6):444 (2007)</w:t>
      </w:r>
    </w:p>
  </w:footnote>
  <w:footnote w:id="8">
    <w:p w:rsidR="00C603CF" w:rsidRPr="00AD62E8" w:rsidRDefault="00C603CF" w:rsidP="00897FA8">
      <w:pPr>
        <w:pStyle w:val="FootnoteText"/>
      </w:pPr>
      <w:r>
        <w:rPr>
          <w:rStyle w:val="FootnoteReference"/>
        </w:rPr>
        <w:footnoteRef/>
      </w:r>
      <w:r w:rsidRPr="00AD62E8">
        <w:rPr>
          <w:lang w:val="en-US"/>
        </w:rPr>
        <w:t>Routine pharmacovigilance practices involve the following activities:</w:t>
      </w:r>
    </w:p>
    <w:p w:rsidR="00C603CF" w:rsidRPr="00AD62E8" w:rsidRDefault="00C603CF" w:rsidP="00897FA8">
      <w:pPr>
        <w:pStyle w:val="FootnoteText"/>
        <w:numPr>
          <w:ilvl w:val="0"/>
          <w:numId w:val="37"/>
        </w:numPr>
      </w:pPr>
      <w:r w:rsidRPr="00AD62E8">
        <w:rPr>
          <w:lang w:val="en-US"/>
        </w:rPr>
        <w:t>All suspected adverse reactions that are reported to the personnel of the company are collected and collated in an accessible manner;</w:t>
      </w:r>
    </w:p>
    <w:p w:rsidR="00C603CF" w:rsidRPr="00AD62E8" w:rsidRDefault="00C603CF" w:rsidP="00897FA8">
      <w:pPr>
        <w:pStyle w:val="FootnoteText"/>
        <w:numPr>
          <w:ilvl w:val="0"/>
          <w:numId w:val="37"/>
        </w:numPr>
      </w:pPr>
      <w:r w:rsidRPr="00AD62E8">
        <w:rPr>
          <w:lang w:val="en-US"/>
        </w:rPr>
        <w:t>Reporting to regulatory authorities;</w:t>
      </w:r>
    </w:p>
    <w:p w:rsidR="00C603CF" w:rsidRPr="00AD62E8" w:rsidRDefault="00C603CF" w:rsidP="00897FA8">
      <w:pPr>
        <w:pStyle w:val="FootnoteText"/>
        <w:numPr>
          <w:ilvl w:val="0"/>
          <w:numId w:val="37"/>
        </w:numPr>
      </w:pPr>
      <w:r w:rsidRPr="00AD62E8">
        <w:rPr>
          <w:lang w:val="en-US"/>
        </w:rPr>
        <w:t>Continuous monitoring of the safety profiles of approved products including signal detection and updating of labeling;</w:t>
      </w:r>
    </w:p>
    <w:p w:rsidR="00C603CF" w:rsidRPr="00AD62E8" w:rsidRDefault="00C603CF" w:rsidP="00897FA8">
      <w:pPr>
        <w:pStyle w:val="FootnoteText"/>
        <w:numPr>
          <w:ilvl w:val="0"/>
          <w:numId w:val="37"/>
        </w:numPr>
      </w:pPr>
      <w:r w:rsidRPr="00AD62E8">
        <w:rPr>
          <w:lang w:val="en-US"/>
        </w:rPr>
        <w:t>Submission of PSURs;</w:t>
      </w:r>
    </w:p>
    <w:p w:rsidR="00C603CF" w:rsidRPr="00AD62E8" w:rsidRDefault="00C603CF" w:rsidP="00897FA8">
      <w:pPr>
        <w:pStyle w:val="FootnoteText"/>
        <w:numPr>
          <w:ilvl w:val="0"/>
          <w:numId w:val="37"/>
        </w:numPr>
      </w:pPr>
      <w:r w:rsidRPr="00AD62E8">
        <w:rPr>
          <w:lang w:val="en-US"/>
        </w:rPr>
        <w:t>Meeting other local regulatory agency requirements.</w:t>
      </w:r>
    </w:p>
  </w:footnote>
  <w:footnote w:id="9">
    <w:p w:rsidR="00C603CF" w:rsidRPr="00AD62E8" w:rsidRDefault="00C603CF" w:rsidP="00897FA8">
      <w:pPr>
        <w:pStyle w:val="FootnoteText"/>
      </w:pPr>
      <w:r w:rsidRPr="00AD62E8">
        <w:rPr>
          <w:rStyle w:val="FootnoteReference"/>
          <w:szCs w:val="18"/>
        </w:rPr>
        <w:footnoteRef/>
      </w:r>
      <w:r w:rsidRPr="00AD62E8">
        <w:t xml:space="preserve">Sponsor comment: </w:t>
      </w:r>
      <w:r>
        <w:t>‘</w:t>
      </w:r>
      <w:r w:rsidRPr="00AD62E8">
        <w:rPr>
          <w:lang w:val="en-US"/>
        </w:rPr>
        <w:t xml:space="preserve">LASS is a prospective, </w:t>
      </w:r>
      <w:r w:rsidRPr="00897FA8">
        <w:t>controlled</w:t>
      </w:r>
      <w:r w:rsidRPr="00AD62E8">
        <w:rPr>
          <w:lang w:val="en-US"/>
        </w:rPr>
        <w:t xml:space="preserve">, non-interventional cohort study with two study arms: OCs containing </w:t>
      </w:r>
      <w:proofErr w:type="spellStart"/>
      <w:r w:rsidRPr="00AD62E8">
        <w:rPr>
          <w:lang w:val="en-US"/>
        </w:rPr>
        <w:t>drospirenone</w:t>
      </w:r>
      <w:proofErr w:type="spellEnd"/>
      <w:r w:rsidRPr="00AD62E8">
        <w:rPr>
          <w:lang w:val="en-US"/>
        </w:rPr>
        <w:t xml:space="preserve"> and OCs containing any other </w:t>
      </w:r>
      <w:proofErr w:type="spellStart"/>
      <w:r w:rsidRPr="00AD62E8">
        <w:rPr>
          <w:lang w:val="en-US"/>
        </w:rPr>
        <w:t>progestogen</w:t>
      </w:r>
      <w:proofErr w:type="spellEnd"/>
      <w:r w:rsidRPr="00AD62E8">
        <w:rPr>
          <w:lang w:val="en-US"/>
        </w:rPr>
        <w:t>, in addition the study allowed to compare</w:t>
      </w:r>
      <w:r w:rsidRPr="00AD62E8">
        <w:rPr>
          <w:i/>
          <w:lang w:val="en-US"/>
        </w:rPr>
        <w:t xml:space="preserve"> </w:t>
      </w:r>
      <w:proofErr w:type="spellStart"/>
      <w:r w:rsidRPr="00AD62E8">
        <w:rPr>
          <w:lang w:val="en-US"/>
        </w:rPr>
        <w:t>drospirenone</w:t>
      </w:r>
      <w:proofErr w:type="spellEnd"/>
      <w:r w:rsidRPr="00AD62E8">
        <w:rPr>
          <w:lang w:val="en-US"/>
        </w:rPr>
        <w:t>-containing OCs</w:t>
      </w:r>
      <w:r w:rsidRPr="00AD62E8">
        <w:t xml:space="preserve">  to OCs containing levonorgestrel (LNG) as a subgroup of the Other OC cohort.</w:t>
      </w:r>
      <w:r>
        <w:t>’</w:t>
      </w:r>
    </w:p>
  </w:footnote>
  <w:footnote w:id="10">
    <w:p w:rsidR="00C603CF" w:rsidRPr="00AD62E8" w:rsidRDefault="00C603CF" w:rsidP="00897FA8">
      <w:pPr>
        <w:pStyle w:val="FootnoteText"/>
      </w:pPr>
      <w:r w:rsidRPr="00AD62E8">
        <w:rPr>
          <w:rStyle w:val="FootnoteReference"/>
          <w:szCs w:val="18"/>
        </w:rPr>
        <w:footnoteRef/>
      </w:r>
      <w:r w:rsidRPr="00AD62E8">
        <w:t xml:space="preserve"> Sponsor comment: </w:t>
      </w:r>
      <w:r>
        <w:t>‘</w:t>
      </w:r>
      <w:r w:rsidRPr="00AD62E8">
        <w:t xml:space="preserve">Bayer informed the TGA, </w:t>
      </w:r>
      <w:r w:rsidRPr="00897FA8">
        <w:t>that</w:t>
      </w:r>
      <w:r w:rsidRPr="00AD62E8">
        <w:t xml:space="preserve"> the sentinel site approach was </w:t>
      </w:r>
      <w:r w:rsidRPr="00AD62E8">
        <w:rPr>
          <w:lang w:val="en-US"/>
        </w:rPr>
        <w:t>abandoned due to feasibility issues and was replaced by the observational study approach.</w:t>
      </w:r>
      <w:r>
        <w:rPr>
          <w:lang w:val="en-US"/>
        </w:rPr>
        <w:t>’</w:t>
      </w:r>
    </w:p>
  </w:footnote>
  <w:footnote w:id="11">
    <w:p w:rsidR="00C603CF" w:rsidRPr="00AD62E8" w:rsidRDefault="00C603CF" w:rsidP="00897FA8">
      <w:pPr>
        <w:pStyle w:val="FootnoteText"/>
      </w:pPr>
      <w:r w:rsidRPr="00AD62E8">
        <w:rPr>
          <w:rStyle w:val="FootnoteReference"/>
          <w:szCs w:val="18"/>
        </w:rPr>
        <w:footnoteRef/>
      </w:r>
      <w:r w:rsidRPr="00AD62E8">
        <w:t xml:space="preserve"> Sponsor comment: </w:t>
      </w:r>
      <w:r>
        <w:t>‘</w:t>
      </w:r>
      <w:r w:rsidRPr="00AD62E8">
        <w:rPr>
          <w:lang w:val="en-US"/>
        </w:rPr>
        <w:t xml:space="preserve">Relevant data will be extracted both from user’s questionnaire and her medical records. The question of delay in the diagnosis of </w:t>
      </w:r>
      <w:r w:rsidRPr="00897FA8">
        <w:t>pregnancy</w:t>
      </w:r>
      <w:r w:rsidRPr="00AD62E8">
        <w:rPr>
          <w:lang w:val="en-US"/>
        </w:rPr>
        <w:t xml:space="preserve"> will be subject to validation process.</w:t>
      </w:r>
      <w:r>
        <w:rPr>
          <w:lang w:val="en-US"/>
        </w:rPr>
        <w:t>’</w:t>
      </w:r>
    </w:p>
  </w:footnote>
  <w:footnote w:id="12">
    <w:p w:rsidR="00C603CF" w:rsidRPr="00AD62E8" w:rsidRDefault="00C603CF" w:rsidP="00C603CF">
      <w:pPr>
        <w:pStyle w:val="FootnoteText"/>
      </w:pPr>
      <w:r w:rsidRPr="00AD62E8">
        <w:rPr>
          <w:rStyle w:val="FootnoteReference"/>
          <w:szCs w:val="18"/>
        </w:rPr>
        <w:footnoteRef/>
      </w:r>
      <w:r w:rsidRPr="00AD62E8">
        <w:rPr>
          <w:lang w:eastAsia="en-AU"/>
        </w:rPr>
        <w:t>ICH E1: The Extent of Population Exposure to Assess Clinical Safety</w:t>
      </w:r>
      <w:r w:rsidRPr="00AD62E8">
        <w:rPr>
          <w:i/>
          <w:lang w:eastAsia="en-AU"/>
        </w:rPr>
        <w:t xml:space="preserve"> </w:t>
      </w:r>
      <w:r w:rsidRPr="00AD62E8">
        <w:rPr>
          <w:lang w:eastAsia="en-AU"/>
        </w:rPr>
        <w:t>/III/5084/94, CPMP/ICH/375/95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CF" w:rsidRDefault="00C603C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CF" w:rsidRDefault="00C603CF">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603CF" w:rsidRDefault="00C603CF"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CF" w:rsidRDefault="00C603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CF" w:rsidRDefault="00C603C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CF" w:rsidRDefault="00C603C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CF" w:rsidRDefault="00C603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CF" w:rsidRDefault="00C603C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3CF" w:rsidRDefault="00C603CF" w:rsidP="006E08B3">
    <w:r>
      <w:t>Therapeutic Goods Administration</w:t>
    </w:r>
  </w:p>
  <w:p w:rsidR="00C603CF" w:rsidRDefault="00C603C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E0E0423"/>
    <w:multiLevelType w:val="multilevel"/>
    <w:tmpl w:val="C7603FC6"/>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rPr>
        <w:rFonts w:hint="default"/>
        <w:b/>
        <w:i w:val="0"/>
      </w:rPr>
    </w:lvl>
    <w:lvl w:ilvl="2">
      <w:start w:val="1"/>
      <w:numFmt w:val="decimal"/>
      <w:lvlText w:val="%3."/>
      <w:lvlJc w:val="left"/>
      <w:pPr>
        <w:ind w:left="1080" w:hanging="360"/>
      </w:pPr>
      <w:rPr>
        <w:rFonts w:hint="default"/>
        <w:b w:val="0"/>
        <w:i w:val="0"/>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347A5BFA"/>
    <w:multiLevelType w:val="hybridMultilevel"/>
    <w:tmpl w:val="9BFC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BED3A68"/>
    <w:multiLevelType w:val="multilevel"/>
    <w:tmpl w:val="B6C8C7F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F6703D8"/>
    <w:multiLevelType w:val="multilevel"/>
    <w:tmpl w:val="6C880668"/>
    <w:lvl w:ilvl="0">
      <w:start w:val="1"/>
      <w:numFmt w:val="decimal"/>
      <w:lvlText w:val="%1."/>
      <w:lvlJc w:val="left"/>
      <w:pPr>
        <w:ind w:left="360" w:hanging="360"/>
      </w:pPr>
      <w:rPr>
        <w:rFonts w:hint="default"/>
        <w:b w:val="0"/>
        <w:i w:val="0"/>
        <w:sz w:val="22"/>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45064B70"/>
    <w:multiLevelType w:val="multilevel"/>
    <w:tmpl w:val="20C0E83A"/>
    <w:styleLink w:val="Style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489B15D7"/>
    <w:multiLevelType w:val="hybridMultilevel"/>
    <w:tmpl w:val="9984D4DE"/>
    <w:lvl w:ilvl="0" w:tplc="04CEB5FC">
      <w:start w:val="1"/>
      <w:numFmt w:val="bullet"/>
      <w:pStyle w:val="Bulletpoint"/>
      <w:lvlText w:val=""/>
      <w:lvlJc w:val="left"/>
      <w:pPr>
        <w:tabs>
          <w:tab w:val="num" w:pos="369"/>
        </w:tabs>
        <w:ind w:left="369" w:hanging="227"/>
      </w:pPr>
      <w:rPr>
        <w:rFonts w:ascii="Symbol" w:hAnsi="Symbol" w:hint="default"/>
        <w:position w:val="0"/>
        <w:sz w:val="22"/>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2">
    <w:nsid w:val="56430E4D"/>
    <w:multiLevelType w:val="hybridMultilevel"/>
    <w:tmpl w:val="AEC8D062"/>
    <w:lvl w:ilvl="0" w:tplc="0C090001">
      <w:start w:val="1"/>
      <w:numFmt w:val="bullet"/>
      <w:lvlText w:val=""/>
      <w:lvlJc w:val="left"/>
      <w:pPr>
        <w:ind w:left="36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3">
    <w:nsid w:val="5C237575"/>
    <w:multiLevelType w:val="multilevel"/>
    <w:tmpl w:val="9AB6B90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65F9551D"/>
    <w:multiLevelType w:val="hybridMultilevel"/>
    <w:tmpl w:val="666A4950"/>
    <w:lvl w:ilvl="0" w:tplc="A13CE1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5"/>
  </w:num>
  <w:num w:numId="31">
    <w:abstractNumId w:val="8"/>
  </w:num>
  <w:num w:numId="32">
    <w:abstractNumId w:val="6"/>
  </w:num>
  <w:num w:numId="33">
    <w:abstractNumId w:val="13"/>
  </w:num>
  <w:num w:numId="34">
    <w:abstractNumId w:val="9"/>
  </w:num>
  <w:num w:numId="35">
    <w:abstractNumId w:val="14"/>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B6F"/>
    <w:rsid w:val="00002031"/>
    <w:rsid w:val="00004734"/>
    <w:rsid w:val="00006B22"/>
    <w:rsid w:val="0001276A"/>
    <w:rsid w:val="000246AE"/>
    <w:rsid w:val="00025C67"/>
    <w:rsid w:val="00044772"/>
    <w:rsid w:val="0005559E"/>
    <w:rsid w:val="000604D6"/>
    <w:rsid w:val="000734D8"/>
    <w:rsid w:val="00077775"/>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B1638"/>
    <w:rsid w:val="002B3624"/>
    <w:rsid w:val="002B73F1"/>
    <w:rsid w:val="002E40B3"/>
    <w:rsid w:val="002E4C9A"/>
    <w:rsid w:val="002F11F8"/>
    <w:rsid w:val="002F3F56"/>
    <w:rsid w:val="002F44B5"/>
    <w:rsid w:val="00311AC0"/>
    <w:rsid w:val="0032583B"/>
    <w:rsid w:val="00327883"/>
    <w:rsid w:val="00335504"/>
    <w:rsid w:val="00347824"/>
    <w:rsid w:val="00350567"/>
    <w:rsid w:val="003521E8"/>
    <w:rsid w:val="003728F3"/>
    <w:rsid w:val="0037496E"/>
    <w:rsid w:val="00386150"/>
    <w:rsid w:val="003874CE"/>
    <w:rsid w:val="00390900"/>
    <w:rsid w:val="00396874"/>
    <w:rsid w:val="003A7F6C"/>
    <w:rsid w:val="003B4D60"/>
    <w:rsid w:val="003B7E39"/>
    <w:rsid w:val="003C58DC"/>
    <w:rsid w:val="003D1E62"/>
    <w:rsid w:val="003E2486"/>
    <w:rsid w:val="003E3208"/>
    <w:rsid w:val="003F0B04"/>
    <w:rsid w:val="0040134E"/>
    <w:rsid w:val="004055BE"/>
    <w:rsid w:val="004334C7"/>
    <w:rsid w:val="00440A2D"/>
    <w:rsid w:val="004564A7"/>
    <w:rsid w:val="004617BF"/>
    <w:rsid w:val="00463658"/>
    <w:rsid w:val="004722CC"/>
    <w:rsid w:val="004936E4"/>
    <w:rsid w:val="00494E60"/>
    <w:rsid w:val="00497487"/>
    <w:rsid w:val="004A7390"/>
    <w:rsid w:val="004B7B76"/>
    <w:rsid w:val="004C239D"/>
    <w:rsid w:val="004C2DCA"/>
    <w:rsid w:val="004F0C4A"/>
    <w:rsid w:val="004F0F38"/>
    <w:rsid w:val="00501921"/>
    <w:rsid w:val="00530354"/>
    <w:rsid w:val="0053625B"/>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A68B6"/>
    <w:rsid w:val="005C5570"/>
    <w:rsid w:val="005C79A4"/>
    <w:rsid w:val="005D5442"/>
    <w:rsid w:val="00603F32"/>
    <w:rsid w:val="00605AD4"/>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4253D"/>
    <w:rsid w:val="0074429B"/>
    <w:rsid w:val="007615BC"/>
    <w:rsid w:val="00762F05"/>
    <w:rsid w:val="007652FF"/>
    <w:rsid w:val="00770EF1"/>
    <w:rsid w:val="00773EF7"/>
    <w:rsid w:val="00774E1D"/>
    <w:rsid w:val="0077675A"/>
    <w:rsid w:val="00780355"/>
    <w:rsid w:val="007819FD"/>
    <w:rsid w:val="00785721"/>
    <w:rsid w:val="00793A59"/>
    <w:rsid w:val="007B6132"/>
    <w:rsid w:val="007B6E9F"/>
    <w:rsid w:val="007C1216"/>
    <w:rsid w:val="007C1AF7"/>
    <w:rsid w:val="00805D27"/>
    <w:rsid w:val="00821776"/>
    <w:rsid w:val="008321F5"/>
    <w:rsid w:val="00832369"/>
    <w:rsid w:val="00834660"/>
    <w:rsid w:val="00836BC2"/>
    <w:rsid w:val="0085156D"/>
    <w:rsid w:val="0085641B"/>
    <w:rsid w:val="00857136"/>
    <w:rsid w:val="00885B11"/>
    <w:rsid w:val="00886D15"/>
    <w:rsid w:val="00887DD8"/>
    <w:rsid w:val="00896018"/>
    <w:rsid w:val="008960DD"/>
    <w:rsid w:val="0089635C"/>
    <w:rsid w:val="00897FA8"/>
    <w:rsid w:val="008A2B9D"/>
    <w:rsid w:val="008A3D9F"/>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0A89"/>
    <w:rsid w:val="00946EA5"/>
    <w:rsid w:val="00963C08"/>
    <w:rsid w:val="0098585A"/>
    <w:rsid w:val="009A4CED"/>
    <w:rsid w:val="009A690D"/>
    <w:rsid w:val="009B1D12"/>
    <w:rsid w:val="009B416B"/>
    <w:rsid w:val="009C4BD5"/>
    <w:rsid w:val="009D7B77"/>
    <w:rsid w:val="009E0BB0"/>
    <w:rsid w:val="009E3FBB"/>
    <w:rsid w:val="00A102E4"/>
    <w:rsid w:val="00A12C42"/>
    <w:rsid w:val="00A1431C"/>
    <w:rsid w:val="00A14DF7"/>
    <w:rsid w:val="00A3246D"/>
    <w:rsid w:val="00A36FA7"/>
    <w:rsid w:val="00A44DDB"/>
    <w:rsid w:val="00A475B7"/>
    <w:rsid w:val="00A47AF7"/>
    <w:rsid w:val="00A47C3E"/>
    <w:rsid w:val="00A50226"/>
    <w:rsid w:val="00A60BAD"/>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B7B6F"/>
    <w:rsid w:val="00BC622A"/>
    <w:rsid w:val="00BE0A78"/>
    <w:rsid w:val="00BE79F0"/>
    <w:rsid w:val="00BF046D"/>
    <w:rsid w:val="00BF1190"/>
    <w:rsid w:val="00BF5D04"/>
    <w:rsid w:val="00C1164D"/>
    <w:rsid w:val="00C16861"/>
    <w:rsid w:val="00C404A6"/>
    <w:rsid w:val="00C40A36"/>
    <w:rsid w:val="00C44419"/>
    <w:rsid w:val="00C45E7B"/>
    <w:rsid w:val="00C471B1"/>
    <w:rsid w:val="00C603CF"/>
    <w:rsid w:val="00C6316B"/>
    <w:rsid w:val="00C634A9"/>
    <w:rsid w:val="00C64586"/>
    <w:rsid w:val="00C70D53"/>
    <w:rsid w:val="00C73D0B"/>
    <w:rsid w:val="00C772FF"/>
    <w:rsid w:val="00C80137"/>
    <w:rsid w:val="00C801AF"/>
    <w:rsid w:val="00C80256"/>
    <w:rsid w:val="00C9747E"/>
    <w:rsid w:val="00CB6BC0"/>
    <w:rsid w:val="00CC1B7C"/>
    <w:rsid w:val="00CC727F"/>
    <w:rsid w:val="00CF15C3"/>
    <w:rsid w:val="00CF2B6F"/>
    <w:rsid w:val="00CF58B6"/>
    <w:rsid w:val="00CF723F"/>
    <w:rsid w:val="00D017ED"/>
    <w:rsid w:val="00D040D3"/>
    <w:rsid w:val="00D04C65"/>
    <w:rsid w:val="00D201D2"/>
    <w:rsid w:val="00D224FE"/>
    <w:rsid w:val="00D23139"/>
    <w:rsid w:val="00D425BB"/>
    <w:rsid w:val="00D6493E"/>
    <w:rsid w:val="00D7195D"/>
    <w:rsid w:val="00D7301E"/>
    <w:rsid w:val="00D83AE1"/>
    <w:rsid w:val="00D855D4"/>
    <w:rsid w:val="00D93466"/>
    <w:rsid w:val="00DA1124"/>
    <w:rsid w:val="00DB6124"/>
    <w:rsid w:val="00DB750B"/>
    <w:rsid w:val="00DB75B7"/>
    <w:rsid w:val="00DC6E02"/>
    <w:rsid w:val="00DE02AE"/>
    <w:rsid w:val="00DF1D7F"/>
    <w:rsid w:val="00DF4BE4"/>
    <w:rsid w:val="00E02FB4"/>
    <w:rsid w:val="00E20571"/>
    <w:rsid w:val="00E235F7"/>
    <w:rsid w:val="00E23659"/>
    <w:rsid w:val="00E239D4"/>
    <w:rsid w:val="00E26130"/>
    <w:rsid w:val="00E40B22"/>
    <w:rsid w:val="00E44ED1"/>
    <w:rsid w:val="00E45619"/>
    <w:rsid w:val="00E4588F"/>
    <w:rsid w:val="00E46DA3"/>
    <w:rsid w:val="00E51BB1"/>
    <w:rsid w:val="00E624A5"/>
    <w:rsid w:val="00E7344E"/>
    <w:rsid w:val="00E94BBF"/>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7B7"/>
    <w:rsid w:val="00F47E37"/>
    <w:rsid w:val="00F53C07"/>
    <w:rsid w:val="00F54B65"/>
    <w:rsid w:val="00F640B6"/>
    <w:rsid w:val="00F80E40"/>
    <w:rsid w:val="00F848D9"/>
    <w:rsid w:val="00FA5B82"/>
    <w:rsid w:val="00FA639E"/>
    <w:rsid w:val="00FC25E4"/>
    <w:rsid w:val="00FC4EF7"/>
    <w:rsid w:val="00FD0824"/>
    <w:rsid w:val="00FD119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F723F"/>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9"/>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AD3935"/>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2E40B3"/>
    <w:pPr>
      <w:keepNext/>
    </w:pPr>
    <w:rPr>
      <w:b/>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TableHeading">
    <w:name w:val="Table Heading"/>
    <w:basedOn w:val="Normal"/>
    <w:uiPriority w:val="99"/>
    <w:qFormat/>
    <w:rsid w:val="00BB7B6F"/>
    <w:rPr>
      <w:rFonts w:ascii="Calibri" w:eastAsia="Calibri" w:hAnsi="Calibri"/>
      <w:b/>
      <w:color w:val="FFFFFF"/>
      <w:sz w:val="20"/>
    </w:rPr>
  </w:style>
  <w:style w:type="paragraph" w:customStyle="1" w:styleId="TableHeading1">
    <w:name w:val="Table Heading 1"/>
    <w:basedOn w:val="Normal"/>
    <w:qFormat/>
    <w:rsid w:val="00BB7B6F"/>
    <w:rPr>
      <w:b/>
      <w:color w:val="FFFFFF"/>
      <w:sz w:val="19"/>
    </w:rPr>
  </w:style>
  <w:style w:type="paragraph" w:customStyle="1" w:styleId="TableHeading2">
    <w:name w:val="Table Heading 2"/>
    <w:basedOn w:val="Normal"/>
    <w:uiPriority w:val="99"/>
    <w:qFormat/>
    <w:rsid w:val="00BB7B6F"/>
    <w:rPr>
      <w:b/>
      <w:sz w:val="19"/>
    </w:rPr>
  </w:style>
  <w:style w:type="paragraph" w:customStyle="1" w:styleId="FigureCaption">
    <w:name w:val="Figure Caption"/>
    <w:basedOn w:val="Normal"/>
    <w:qFormat/>
    <w:rsid w:val="00BB7B6F"/>
    <w:pPr>
      <w:spacing w:before="0" w:after="0"/>
    </w:pPr>
    <w:rPr>
      <w:rFonts w:eastAsia="Times New Roman"/>
    </w:rPr>
  </w:style>
  <w:style w:type="table" w:customStyle="1" w:styleId="TableTGA1">
    <w:name w:val="Table_TGA_1"/>
    <w:basedOn w:val="TableNormal"/>
    <w:uiPriority w:val="99"/>
    <w:rsid w:val="00BB7B6F"/>
    <w:pPr>
      <w:spacing w:after="0" w:line="240" w:lineRule="auto"/>
    </w:pPr>
    <w:rPr>
      <w:rFonts w:ascii="Minion Pro" w:eastAsia="Times New Roman" w:hAnsi="Minion Pro" w:cs="Times New Roman"/>
      <w:sz w:val="20"/>
      <w:szCs w:val="20"/>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spacing w:beforeLines="0" w:beforeAutospacing="0" w:afterLines="0" w:afterAutospacing="0"/>
      </w:pPr>
      <w:rPr>
        <w:rFonts w:ascii="Tahoma" w:hAnsi="Tahoma" w:cs="Times New Roman"/>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link w:val="TableCaptionChar"/>
    <w:qFormat/>
    <w:rsid w:val="00BB7B6F"/>
    <w:rPr>
      <w:kern w:val="16"/>
    </w:rPr>
  </w:style>
  <w:style w:type="table" w:customStyle="1" w:styleId="TableTGA2">
    <w:name w:val="Table_TGA_2"/>
    <w:basedOn w:val="TableNormal"/>
    <w:uiPriority w:val="99"/>
    <w:qFormat/>
    <w:rsid w:val="00BB7B6F"/>
    <w:pPr>
      <w:spacing w:after="0" w:line="240" w:lineRule="auto"/>
    </w:pPr>
    <w:rPr>
      <w:rFonts w:ascii="Cambria" w:eastAsia="Times New Roman" w:hAnsi="Cambria" w:cs="Times New Roman"/>
      <w:sz w:val="20"/>
      <w:szCs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cs="Times New Roman"/>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character" w:customStyle="1" w:styleId="StandardChar">
    <w:name w:val="Standard Char"/>
    <w:link w:val="Standard1"/>
    <w:locked/>
    <w:rsid w:val="00BB7B6F"/>
    <w:rPr>
      <w:snapToGrid w:val="0"/>
      <w:kern w:val="16"/>
      <w:sz w:val="24"/>
    </w:rPr>
  </w:style>
  <w:style w:type="paragraph" w:customStyle="1" w:styleId="Standard1">
    <w:name w:val="Standard1"/>
    <w:basedOn w:val="Normal"/>
    <w:link w:val="StandardChar"/>
    <w:rsid w:val="00BB7B6F"/>
    <w:pPr>
      <w:snapToGrid w:val="0"/>
      <w:spacing w:before="0" w:after="220" w:line="252" w:lineRule="auto"/>
    </w:pPr>
    <w:rPr>
      <w:rFonts w:asciiTheme="minorHAnsi" w:eastAsiaTheme="minorHAnsi" w:hAnsiTheme="minorHAnsi" w:cstheme="minorBidi"/>
      <w:snapToGrid w:val="0"/>
      <w:kern w:val="16"/>
      <w:sz w:val="24"/>
    </w:rPr>
  </w:style>
  <w:style w:type="paragraph" w:customStyle="1" w:styleId="AssessmentSection">
    <w:name w:val="Assessment Section"/>
    <w:basedOn w:val="Normal"/>
    <w:next w:val="Standard1"/>
    <w:rsid w:val="00BB7B6F"/>
    <w:pPr>
      <w:keepNext/>
      <w:snapToGrid w:val="0"/>
      <w:spacing w:before="0" w:after="110" w:line="252" w:lineRule="auto"/>
      <w:outlineLvl w:val="1"/>
    </w:pPr>
    <w:rPr>
      <w:rFonts w:eastAsia="Times New Roman"/>
      <w:b/>
      <w:kern w:val="16"/>
      <w:sz w:val="23"/>
      <w:szCs w:val="24"/>
    </w:rPr>
  </w:style>
  <w:style w:type="character" w:customStyle="1" w:styleId="TabletextChar">
    <w:name w:val="Table text Char"/>
    <w:link w:val="Tabletext"/>
    <w:locked/>
    <w:rsid w:val="00BB7B6F"/>
    <w:rPr>
      <w:rFonts w:ascii="Cambria" w:eastAsia="Cambria" w:hAnsi="Cambria" w:cs="Times New Roman"/>
      <w:sz w:val="19"/>
    </w:rPr>
  </w:style>
  <w:style w:type="character" w:customStyle="1" w:styleId="WhiteSpaceChar">
    <w:name w:val="White Space Char"/>
    <w:link w:val="WhiteSpace"/>
    <w:locked/>
    <w:rsid w:val="00BB7B6F"/>
    <w:rPr>
      <w:snapToGrid w:val="0"/>
      <w:kern w:val="16"/>
      <w:sz w:val="16"/>
    </w:rPr>
  </w:style>
  <w:style w:type="paragraph" w:customStyle="1" w:styleId="WhiteSpace">
    <w:name w:val="White Space"/>
    <w:basedOn w:val="Standard1"/>
    <w:link w:val="WhiteSpaceChar"/>
    <w:rsid w:val="00BB7B6F"/>
    <w:pPr>
      <w:spacing w:after="0"/>
    </w:pPr>
    <w:rPr>
      <w:sz w:val="16"/>
    </w:rPr>
  </w:style>
  <w:style w:type="paragraph" w:customStyle="1" w:styleId="AssessmentSubsection">
    <w:name w:val="Assessment Subsection"/>
    <w:basedOn w:val="Standard1"/>
    <w:next w:val="Standard1"/>
    <w:rsid w:val="00BB7B6F"/>
    <w:pPr>
      <w:keepNext/>
      <w:spacing w:after="110"/>
      <w:outlineLvl w:val="2"/>
    </w:pPr>
    <w:rPr>
      <w:b/>
      <w:i/>
    </w:rPr>
  </w:style>
  <w:style w:type="paragraph" w:customStyle="1" w:styleId="AssessmentSubsection2">
    <w:name w:val="Assessment Subsection 2"/>
    <w:basedOn w:val="AssessmentSubsection"/>
    <w:next w:val="Standard1"/>
    <w:rsid w:val="00BB7B6F"/>
    <w:pPr>
      <w:outlineLvl w:val="3"/>
    </w:pPr>
    <w:rPr>
      <w:b w:val="0"/>
    </w:rPr>
  </w:style>
  <w:style w:type="character" w:customStyle="1" w:styleId="TableCaptionChar">
    <w:name w:val="Table Caption Char"/>
    <w:link w:val="TableCaption"/>
    <w:locked/>
    <w:rsid w:val="00BB7B6F"/>
    <w:rPr>
      <w:rFonts w:ascii="Cambria" w:eastAsia="Times New Roman" w:hAnsi="Cambria" w:cs="Times New Roman"/>
      <w:kern w:val="16"/>
    </w:rPr>
  </w:style>
  <w:style w:type="character" w:customStyle="1" w:styleId="SectionHeadingCharChar">
    <w:name w:val="Section Heading Char Char"/>
    <w:link w:val="SectionHeading"/>
    <w:locked/>
    <w:rsid w:val="00BB7B6F"/>
    <w:rPr>
      <w:b/>
      <w:caps/>
      <w:snapToGrid w:val="0"/>
      <w:kern w:val="16"/>
      <w:sz w:val="24"/>
    </w:rPr>
  </w:style>
  <w:style w:type="paragraph" w:customStyle="1" w:styleId="SectionHeading">
    <w:name w:val="Section Heading"/>
    <w:basedOn w:val="Normal"/>
    <w:next w:val="Normal"/>
    <w:link w:val="SectionHeadingCharChar"/>
    <w:rsid w:val="00BB7B6F"/>
    <w:pPr>
      <w:keepNext/>
      <w:snapToGrid w:val="0"/>
      <w:spacing w:before="0" w:after="220" w:line="252" w:lineRule="auto"/>
      <w:outlineLvl w:val="0"/>
    </w:pPr>
    <w:rPr>
      <w:rFonts w:asciiTheme="minorHAnsi" w:eastAsiaTheme="minorHAnsi" w:hAnsiTheme="minorHAnsi" w:cstheme="minorBidi"/>
      <w:b/>
      <w:caps/>
      <w:snapToGrid w:val="0"/>
      <w:kern w:val="16"/>
      <w:sz w:val="24"/>
    </w:rPr>
  </w:style>
  <w:style w:type="paragraph" w:customStyle="1" w:styleId="Bulletpoint">
    <w:name w:val="Bullet point"/>
    <w:basedOn w:val="Normal"/>
    <w:rsid w:val="00BB7B6F"/>
    <w:pPr>
      <w:numPr>
        <w:numId w:val="27"/>
      </w:numPr>
      <w:tabs>
        <w:tab w:val="left" w:pos="397"/>
      </w:tabs>
      <w:snapToGrid w:val="0"/>
      <w:spacing w:before="0" w:after="180" w:line="252" w:lineRule="auto"/>
    </w:pPr>
    <w:rPr>
      <w:rFonts w:eastAsia="Times New Roman"/>
      <w:kern w:val="16"/>
      <w:sz w:val="23"/>
      <w:szCs w:val="24"/>
    </w:rPr>
  </w:style>
  <w:style w:type="paragraph" w:styleId="ListParagraph">
    <w:name w:val="List Paragraph"/>
    <w:basedOn w:val="Normal"/>
    <w:uiPriority w:val="34"/>
    <w:qFormat/>
    <w:rsid w:val="00BB7B6F"/>
    <w:pPr>
      <w:spacing w:before="0" w:after="200" w:line="276" w:lineRule="auto"/>
      <w:ind w:left="720"/>
      <w:contextualSpacing/>
    </w:pPr>
    <w:rPr>
      <w:rFonts w:ascii="Calibri" w:eastAsia="Times New Roman" w:hAnsi="Calibri"/>
    </w:rPr>
  </w:style>
  <w:style w:type="paragraph" w:styleId="BodyText2">
    <w:name w:val="Body Text 2"/>
    <w:basedOn w:val="Normal"/>
    <w:link w:val="BodyText2Char"/>
    <w:uiPriority w:val="99"/>
    <w:semiHidden/>
    <w:unhideWhenUsed/>
    <w:rsid w:val="00BB7B6F"/>
    <w:pPr>
      <w:spacing w:before="0" w:after="0" w:line="240" w:lineRule="auto"/>
    </w:pPr>
    <w:rPr>
      <w:rFonts w:ascii="Times New Roman" w:eastAsia="Times New Roman" w:hAnsi="Times New Roman"/>
      <w:b/>
      <w:sz w:val="24"/>
      <w:szCs w:val="20"/>
    </w:rPr>
  </w:style>
  <w:style w:type="character" w:customStyle="1" w:styleId="BodyText2Char">
    <w:name w:val="Body Text 2 Char"/>
    <w:basedOn w:val="DefaultParagraphFont"/>
    <w:link w:val="BodyText2"/>
    <w:uiPriority w:val="99"/>
    <w:semiHidden/>
    <w:rsid w:val="00BB7B6F"/>
    <w:rPr>
      <w:rFonts w:ascii="Times New Roman" w:eastAsia="Times New Roman" w:hAnsi="Times New Roman" w:cs="Times New Roman"/>
      <w:b/>
      <w:sz w:val="24"/>
      <w:szCs w:val="20"/>
    </w:rPr>
  </w:style>
  <w:style w:type="paragraph" w:styleId="BodyText3">
    <w:name w:val="Body Text 3"/>
    <w:basedOn w:val="Normal"/>
    <w:link w:val="BodyText3Char"/>
    <w:uiPriority w:val="99"/>
    <w:semiHidden/>
    <w:unhideWhenUsed/>
    <w:rsid w:val="00BB7B6F"/>
    <w:pPr>
      <w:spacing w:before="0" w:after="0" w:line="240" w:lineRule="auto"/>
      <w:jc w:val="center"/>
    </w:pPr>
    <w:rPr>
      <w:rFonts w:ascii="Times New Roman" w:eastAsia="Times New Roman" w:hAnsi="Times New Roman"/>
      <w:sz w:val="24"/>
      <w:szCs w:val="20"/>
    </w:rPr>
  </w:style>
  <w:style w:type="character" w:customStyle="1" w:styleId="BodyText3Char">
    <w:name w:val="Body Text 3 Char"/>
    <w:basedOn w:val="DefaultParagraphFont"/>
    <w:link w:val="BodyText3"/>
    <w:uiPriority w:val="99"/>
    <w:semiHidden/>
    <w:rsid w:val="00BB7B6F"/>
    <w:rPr>
      <w:rFonts w:ascii="Times New Roman" w:eastAsia="Times New Roman" w:hAnsi="Times New Roman" w:cs="Times New Roman"/>
      <w:sz w:val="24"/>
      <w:szCs w:val="20"/>
    </w:rPr>
  </w:style>
  <w:style w:type="paragraph" w:customStyle="1" w:styleId="Default">
    <w:name w:val="Default"/>
    <w:rsid w:val="00BB7B6F"/>
    <w:pPr>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st1">
    <w:name w:val="st1"/>
    <w:basedOn w:val="DefaultParagraphFont"/>
    <w:rsid w:val="00BB7B6F"/>
    <w:rPr>
      <w:rFonts w:cs="Times New Roman"/>
    </w:rPr>
  </w:style>
  <w:style w:type="character" w:customStyle="1" w:styleId="keywords">
    <w:name w:val="keywords"/>
    <w:basedOn w:val="DefaultParagraphFont"/>
    <w:rsid w:val="00BB7B6F"/>
    <w:rPr>
      <w:rFonts w:cs="Times New Roman"/>
    </w:rPr>
  </w:style>
  <w:style w:type="character" w:styleId="CommentReference">
    <w:name w:val="annotation reference"/>
    <w:basedOn w:val="DefaultParagraphFont"/>
    <w:uiPriority w:val="99"/>
    <w:semiHidden/>
    <w:unhideWhenUsed/>
    <w:rsid w:val="00BB7B6F"/>
    <w:rPr>
      <w:rFonts w:cs="Times New Roman"/>
      <w:sz w:val="16"/>
    </w:rPr>
  </w:style>
  <w:style w:type="paragraph" w:styleId="CommentText">
    <w:name w:val="annotation text"/>
    <w:basedOn w:val="Normal"/>
    <w:link w:val="CommentTextChar"/>
    <w:uiPriority w:val="99"/>
    <w:semiHidden/>
    <w:unhideWhenUsed/>
    <w:rsid w:val="00BB7B6F"/>
    <w:pPr>
      <w:spacing w:before="0"/>
    </w:pPr>
    <w:rPr>
      <w:rFonts w:eastAsia="Times New Roman"/>
      <w:sz w:val="20"/>
      <w:szCs w:val="20"/>
    </w:rPr>
  </w:style>
  <w:style w:type="character" w:customStyle="1" w:styleId="CommentTextChar">
    <w:name w:val="Comment Text Char"/>
    <w:basedOn w:val="DefaultParagraphFont"/>
    <w:link w:val="CommentText"/>
    <w:uiPriority w:val="99"/>
    <w:semiHidden/>
    <w:rsid w:val="00BB7B6F"/>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B7B6F"/>
    <w:rPr>
      <w:b/>
      <w:bCs/>
    </w:rPr>
  </w:style>
  <w:style w:type="character" w:customStyle="1" w:styleId="CommentSubjectChar">
    <w:name w:val="Comment Subject Char"/>
    <w:basedOn w:val="CommentTextChar"/>
    <w:link w:val="CommentSubject"/>
    <w:uiPriority w:val="99"/>
    <w:semiHidden/>
    <w:rsid w:val="00BB7B6F"/>
    <w:rPr>
      <w:rFonts w:ascii="Cambria" w:eastAsia="Times New Roman" w:hAnsi="Cambria" w:cs="Times New Roman"/>
      <w:b/>
      <w:bCs/>
      <w:sz w:val="20"/>
      <w:szCs w:val="20"/>
    </w:rPr>
  </w:style>
  <w:style w:type="numbering" w:customStyle="1" w:styleId="Style1">
    <w:name w:val="Style1"/>
    <w:rsid w:val="00BB7B6F"/>
    <w:pPr>
      <w:numPr>
        <w:numId w:val="29"/>
      </w:numPr>
    </w:pPr>
  </w:style>
  <w:style w:type="character" w:styleId="Emphasis">
    <w:name w:val="Emphasis"/>
    <w:basedOn w:val="DefaultParagraphFont"/>
    <w:uiPriority w:val="20"/>
    <w:qFormat/>
    <w:rsid w:val="00BB7B6F"/>
    <w:rPr>
      <w:b/>
      <w:bCs/>
      <w:i w:val="0"/>
      <w:iCs w:val="0"/>
    </w:rPr>
  </w:style>
  <w:style w:type="paragraph" w:customStyle="1" w:styleId="Abbreviations">
    <w:name w:val="Abbreviations"/>
    <w:basedOn w:val="Normal"/>
    <w:rsid w:val="00BB7B6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CF723F"/>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9"/>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AD3935"/>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24"/>
      </w:numPr>
    </w:pPr>
  </w:style>
  <w:style w:type="paragraph" w:customStyle="1" w:styleId="Numberbullet2">
    <w:name w:val="Number bullet 2"/>
    <w:basedOn w:val="ListBullet2"/>
    <w:uiPriority w:val="99"/>
    <w:qFormat/>
    <w:rsid w:val="004C2DCA"/>
    <w:pPr>
      <w:numPr>
        <w:numId w:val="24"/>
      </w:numPr>
    </w:pPr>
  </w:style>
  <w:style w:type="paragraph" w:customStyle="1" w:styleId="Numberbullet3">
    <w:name w:val="Number bullet 3"/>
    <w:basedOn w:val="ListBullet3"/>
    <w:uiPriority w:val="99"/>
    <w:qFormat/>
    <w:rsid w:val="004C2DCA"/>
    <w:pPr>
      <w:numPr>
        <w:numId w:val="24"/>
      </w:numPr>
    </w:pPr>
  </w:style>
  <w:style w:type="numbering" w:customStyle="1" w:styleId="NumberBullet">
    <w:name w:val="NumberBullet"/>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2E40B3"/>
    <w:pPr>
      <w:keepNext/>
    </w:pPr>
    <w:rPr>
      <w:b/>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TableHeading">
    <w:name w:val="Table Heading"/>
    <w:basedOn w:val="Normal"/>
    <w:uiPriority w:val="99"/>
    <w:qFormat/>
    <w:rsid w:val="00BB7B6F"/>
    <w:rPr>
      <w:rFonts w:ascii="Calibri" w:eastAsia="Calibri" w:hAnsi="Calibri"/>
      <w:b/>
      <w:color w:val="FFFFFF"/>
      <w:sz w:val="20"/>
    </w:rPr>
  </w:style>
  <w:style w:type="paragraph" w:customStyle="1" w:styleId="TableHeading1">
    <w:name w:val="Table Heading 1"/>
    <w:basedOn w:val="Normal"/>
    <w:qFormat/>
    <w:rsid w:val="00BB7B6F"/>
    <w:rPr>
      <w:b/>
      <w:color w:val="FFFFFF"/>
      <w:sz w:val="19"/>
    </w:rPr>
  </w:style>
  <w:style w:type="paragraph" w:customStyle="1" w:styleId="TableHeading2">
    <w:name w:val="Table Heading 2"/>
    <w:basedOn w:val="Normal"/>
    <w:uiPriority w:val="99"/>
    <w:qFormat/>
    <w:rsid w:val="00BB7B6F"/>
    <w:rPr>
      <w:b/>
      <w:sz w:val="19"/>
    </w:rPr>
  </w:style>
  <w:style w:type="paragraph" w:customStyle="1" w:styleId="FigureCaption">
    <w:name w:val="Figure Caption"/>
    <w:basedOn w:val="Normal"/>
    <w:qFormat/>
    <w:rsid w:val="00BB7B6F"/>
    <w:pPr>
      <w:spacing w:before="0" w:after="0"/>
    </w:pPr>
    <w:rPr>
      <w:rFonts w:eastAsia="Times New Roman"/>
    </w:rPr>
  </w:style>
  <w:style w:type="table" w:customStyle="1" w:styleId="TableTGA1">
    <w:name w:val="Table_TGA_1"/>
    <w:basedOn w:val="TableNormal"/>
    <w:uiPriority w:val="99"/>
    <w:rsid w:val="00BB7B6F"/>
    <w:pPr>
      <w:spacing w:after="0" w:line="240" w:lineRule="auto"/>
    </w:pPr>
    <w:rPr>
      <w:rFonts w:ascii="Minion Pro" w:eastAsia="Times New Roman" w:hAnsi="Minion Pro" w:cs="Times New Roman"/>
      <w:sz w:val="20"/>
      <w:szCs w:val="20"/>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spacing w:beforeLines="0" w:beforeAutospacing="0" w:afterLines="0" w:afterAutospacing="0"/>
      </w:pPr>
      <w:rPr>
        <w:rFonts w:ascii="Tahoma" w:hAnsi="Tahoma" w:cs="Times New Roman"/>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link w:val="TableCaptionChar"/>
    <w:qFormat/>
    <w:rsid w:val="00BB7B6F"/>
    <w:rPr>
      <w:kern w:val="16"/>
    </w:rPr>
  </w:style>
  <w:style w:type="table" w:customStyle="1" w:styleId="TableTGA2">
    <w:name w:val="Table_TGA_2"/>
    <w:basedOn w:val="TableNormal"/>
    <w:uiPriority w:val="99"/>
    <w:qFormat/>
    <w:rsid w:val="00BB7B6F"/>
    <w:pPr>
      <w:spacing w:after="0" w:line="240" w:lineRule="auto"/>
    </w:pPr>
    <w:rPr>
      <w:rFonts w:ascii="Cambria" w:eastAsia="Times New Roman" w:hAnsi="Cambria" w:cs="Times New Roman"/>
      <w:sz w:val="20"/>
      <w:szCs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cs="Times New Roman"/>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character" w:customStyle="1" w:styleId="StandardChar">
    <w:name w:val="Standard Char"/>
    <w:link w:val="Standard1"/>
    <w:locked/>
    <w:rsid w:val="00BB7B6F"/>
    <w:rPr>
      <w:snapToGrid w:val="0"/>
      <w:kern w:val="16"/>
      <w:sz w:val="24"/>
    </w:rPr>
  </w:style>
  <w:style w:type="paragraph" w:customStyle="1" w:styleId="Standard1">
    <w:name w:val="Standard1"/>
    <w:basedOn w:val="Normal"/>
    <w:link w:val="StandardChar"/>
    <w:rsid w:val="00BB7B6F"/>
    <w:pPr>
      <w:snapToGrid w:val="0"/>
      <w:spacing w:before="0" w:after="220" w:line="252" w:lineRule="auto"/>
    </w:pPr>
    <w:rPr>
      <w:rFonts w:asciiTheme="minorHAnsi" w:eastAsiaTheme="minorHAnsi" w:hAnsiTheme="minorHAnsi" w:cstheme="minorBidi"/>
      <w:snapToGrid w:val="0"/>
      <w:kern w:val="16"/>
      <w:sz w:val="24"/>
    </w:rPr>
  </w:style>
  <w:style w:type="paragraph" w:customStyle="1" w:styleId="AssessmentSection">
    <w:name w:val="Assessment Section"/>
    <w:basedOn w:val="Normal"/>
    <w:next w:val="Standard1"/>
    <w:rsid w:val="00BB7B6F"/>
    <w:pPr>
      <w:keepNext/>
      <w:snapToGrid w:val="0"/>
      <w:spacing w:before="0" w:after="110" w:line="252" w:lineRule="auto"/>
      <w:outlineLvl w:val="1"/>
    </w:pPr>
    <w:rPr>
      <w:rFonts w:eastAsia="Times New Roman"/>
      <w:b/>
      <w:kern w:val="16"/>
      <w:sz w:val="23"/>
      <w:szCs w:val="24"/>
    </w:rPr>
  </w:style>
  <w:style w:type="character" w:customStyle="1" w:styleId="TabletextChar">
    <w:name w:val="Table text Char"/>
    <w:link w:val="Tabletext"/>
    <w:locked/>
    <w:rsid w:val="00BB7B6F"/>
    <w:rPr>
      <w:rFonts w:ascii="Cambria" w:eastAsia="Cambria" w:hAnsi="Cambria" w:cs="Times New Roman"/>
      <w:sz w:val="19"/>
    </w:rPr>
  </w:style>
  <w:style w:type="character" w:customStyle="1" w:styleId="WhiteSpaceChar">
    <w:name w:val="White Space Char"/>
    <w:link w:val="WhiteSpace"/>
    <w:locked/>
    <w:rsid w:val="00BB7B6F"/>
    <w:rPr>
      <w:snapToGrid w:val="0"/>
      <w:kern w:val="16"/>
      <w:sz w:val="16"/>
    </w:rPr>
  </w:style>
  <w:style w:type="paragraph" w:customStyle="1" w:styleId="WhiteSpace">
    <w:name w:val="White Space"/>
    <w:basedOn w:val="Standard1"/>
    <w:link w:val="WhiteSpaceChar"/>
    <w:rsid w:val="00BB7B6F"/>
    <w:pPr>
      <w:spacing w:after="0"/>
    </w:pPr>
    <w:rPr>
      <w:sz w:val="16"/>
    </w:rPr>
  </w:style>
  <w:style w:type="paragraph" w:customStyle="1" w:styleId="AssessmentSubsection">
    <w:name w:val="Assessment Subsection"/>
    <w:basedOn w:val="Standard1"/>
    <w:next w:val="Standard1"/>
    <w:rsid w:val="00BB7B6F"/>
    <w:pPr>
      <w:keepNext/>
      <w:spacing w:after="110"/>
      <w:outlineLvl w:val="2"/>
    </w:pPr>
    <w:rPr>
      <w:b/>
      <w:i/>
    </w:rPr>
  </w:style>
  <w:style w:type="paragraph" w:customStyle="1" w:styleId="AssessmentSubsection2">
    <w:name w:val="Assessment Subsection 2"/>
    <w:basedOn w:val="AssessmentSubsection"/>
    <w:next w:val="Standard1"/>
    <w:rsid w:val="00BB7B6F"/>
    <w:pPr>
      <w:outlineLvl w:val="3"/>
    </w:pPr>
    <w:rPr>
      <w:b w:val="0"/>
    </w:rPr>
  </w:style>
  <w:style w:type="character" w:customStyle="1" w:styleId="TableCaptionChar">
    <w:name w:val="Table Caption Char"/>
    <w:link w:val="TableCaption"/>
    <w:locked/>
    <w:rsid w:val="00BB7B6F"/>
    <w:rPr>
      <w:rFonts w:ascii="Cambria" w:eastAsia="Times New Roman" w:hAnsi="Cambria" w:cs="Times New Roman"/>
      <w:kern w:val="16"/>
    </w:rPr>
  </w:style>
  <w:style w:type="character" w:customStyle="1" w:styleId="SectionHeadingCharChar">
    <w:name w:val="Section Heading Char Char"/>
    <w:link w:val="SectionHeading"/>
    <w:locked/>
    <w:rsid w:val="00BB7B6F"/>
    <w:rPr>
      <w:b/>
      <w:caps/>
      <w:snapToGrid w:val="0"/>
      <w:kern w:val="16"/>
      <w:sz w:val="24"/>
    </w:rPr>
  </w:style>
  <w:style w:type="paragraph" w:customStyle="1" w:styleId="SectionHeading">
    <w:name w:val="Section Heading"/>
    <w:basedOn w:val="Normal"/>
    <w:next w:val="Normal"/>
    <w:link w:val="SectionHeadingCharChar"/>
    <w:rsid w:val="00BB7B6F"/>
    <w:pPr>
      <w:keepNext/>
      <w:snapToGrid w:val="0"/>
      <w:spacing w:before="0" w:after="220" w:line="252" w:lineRule="auto"/>
      <w:outlineLvl w:val="0"/>
    </w:pPr>
    <w:rPr>
      <w:rFonts w:asciiTheme="minorHAnsi" w:eastAsiaTheme="minorHAnsi" w:hAnsiTheme="minorHAnsi" w:cstheme="minorBidi"/>
      <w:b/>
      <w:caps/>
      <w:snapToGrid w:val="0"/>
      <w:kern w:val="16"/>
      <w:sz w:val="24"/>
    </w:rPr>
  </w:style>
  <w:style w:type="paragraph" w:customStyle="1" w:styleId="Bulletpoint">
    <w:name w:val="Bullet point"/>
    <w:basedOn w:val="Normal"/>
    <w:rsid w:val="00BB7B6F"/>
    <w:pPr>
      <w:numPr>
        <w:numId w:val="27"/>
      </w:numPr>
      <w:tabs>
        <w:tab w:val="left" w:pos="397"/>
      </w:tabs>
      <w:snapToGrid w:val="0"/>
      <w:spacing w:before="0" w:after="180" w:line="252" w:lineRule="auto"/>
    </w:pPr>
    <w:rPr>
      <w:rFonts w:eastAsia="Times New Roman"/>
      <w:kern w:val="16"/>
      <w:sz w:val="23"/>
      <w:szCs w:val="24"/>
    </w:rPr>
  </w:style>
  <w:style w:type="paragraph" w:styleId="ListParagraph">
    <w:name w:val="List Paragraph"/>
    <w:basedOn w:val="Normal"/>
    <w:uiPriority w:val="34"/>
    <w:qFormat/>
    <w:rsid w:val="00BB7B6F"/>
    <w:pPr>
      <w:spacing w:before="0" w:after="200" w:line="276" w:lineRule="auto"/>
      <w:ind w:left="720"/>
      <w:contextualSpacing/>
    </w:pPr>
    <w:rPr>
      <w:rFonts w:ascii="Calibri" w:eastAsia="Times New Roman" w:hAnsi="Calibri"/>
    </w:rPr>
  </w:style>
  <w:style w:type="paragraph" w:styleId="BodyText2">
    <w:name w:val="Body Text 2"/>
    <w:basedOn w:val="Normal"/>
    <w:link w:val="BodyText2Char"/>
    <w:uiPriority w:val="99"/>
    <w:semiHidden/>
    <w:unhideWhenUsed/>
    <w:rsid w:val="00BB7B6F"/>
    <w:pPr>
      <w:spacing w:before="0" w:after="0" w:line="240" w:lineRule="auto"/>
    </w:pPr>
    <w:rPr>
      <w:rFonts w:ascii="Times New Roman" w:eastAsia="Times New Roman" w:hAnsi="Times New Roman"/>
      <w:b/>
      <w:sz w:val="24"/>
      <w:szCs w:val="20"/>
    </w:rPr>
  </w:style>
  <w:style w:type="character" w:customStyle="1" w:styleId="BodyText2Char">
    <w:name w:val="Body Text 2 Char"/>
    <w:basedOn w:val="DefaultParagraphFont"/>
    <w:link w:val="BodyText2"/>
    <w:uiPriority w:val="99"/>
    <w:semiHidden/>
    <w:rsid w:val="00BB7B6F"/>
    <w:rPr>
      <w:rFonts w:ascii="Times New Roman" w:eastAsia="Times New Roman" w:hAnsi="Times New Roman" w:cs="Times New Roman"/>
      <w:b/>
      <w:sz w:val="24"/>
      <w:szCs w:val="20"/>
    </w:rPr>
  </w:style>
  <w:style w:type="paragraph" w:styleId="BodyText3">
    <w:name w:val="Body Text 3"/>
    <w:basedOn w:val="Normal"/>
    <w:link w:val="BodyText3Char"/>
    <w:uiPriority w:val="99"/>
    <w:semiHidden/>
    <w:unhideWhenUsed/>
    <w:rsid w:val="00BB7B6F"/>
    <w:pPr>
      <w:spacing w:before="0" w:after="0" w:line="240" w:lineRule="auto"/>
      <w:jc w:val="center"/>
    </w:pPr>
    <w:rPr>
      <w:rFonts w:ascii="Times New Roman" w:eastAsia="Times New Roman" w:hAnsi="Times New Roman"/>
      <w:sz w:val="24"/>
      <w:szCs w:val="20"/>
    </w:rPr>
  </w:style>
  <w:style w:type="character" w:customStyle="1" w:styleId="BodyText3Char">
    <w:name w:val="Body Text 3 Char"/>
    <w:basedOn w:val="DefaultParagraphFont"/>
    <w:link w:val="BodyText3"/>
    <w:uiPriority w:val="99"/>
    <w:semiHidden/>
    <w:rsid w:val="00BB7B6F"/>
    <w:rPr>
      <w:rFonts w:ascii="Times New Roman" w:eastAsia="Times New Roman" w:hAnsi="Times New Roman" w:cs="Times New Roman"/>
      <w:sz w:val="24"/>
      <w:szCs w:val="20"/>
    </w:rPr>
  </w:style>
  <w:style w:type="paragraph" w:customStyle="1" w:styleId="Default">
    <w:name w:val="Default"/>
    <w:rsid w:val="00BB7B6F"/>
    <w:pPr>
      <w:autoSpaceDE w:val="0"/>
      <w:autoSpaceDN w:val="0"/>
      <w:adjustRightInd w:val="0"/>
      <w:spacing w:after="0" w:line="240" w:lineRule="auto"/>
    </w:pPr>
    <w:rPr>
      <w:rFonts w:ascii="Verdana" w:eastAsia="Times New Roman" w:hAnsi="Verdana" w:cs="Verdana"/>
      <w:color w:val="000000"/>
      <w:sz w:val="24"/>
      <w:szCs w:val="24"/>
    </w:rPr>
  </w:style>
  <w:style w:type="character" w:customStyle="1" w:styleId="st1">
    <w:name w:val="st1"/>
    <w:basedOn w:val="DefaultParagraphFont"/>
    <w:rsid w:val="00BB7B6F"/>
    <w:rPr>
      <w:rFonts w:cs="Times New Roman"/>
    </w:rPr>
  </w:style>
  <w:style w:type="character" w:customStyle="1" w:styleId="keywords">
    <w:name w:val="keywords"/>
    <w:basedOn w:val="DefaultParagraphFont"/>
    <w:rsid w:val="00BB7B6F"/>
    <w:rPr>
      <w:rFonts w:cs="Times New Roman"/>
    </w:rPr>
  </w:style>
  <w:style w:type="character" w:styleId="CommentReference">
    <w:name w:val="annotation reference"/>
    <w:basedOn w:val="DefaultParagraphFont"/>
    <w:uiPriority w:val="99"/>
    <w:semiHidden/>
    <w:unhideWhenUsed/>
    <w:rsid w:val="00BB7B6F"/>
    <w:rPr>
      <w:rFonts w:cs="Times New Roman"/>
      <w:sz w:val="16"/>
    </w:rPr>
  </w:style>
  <w:style w:type="paragraph" w:styleId="CommentText">
    <w:name w:val="annotation text"/>
    <w:basedOn w:val="Normal"/>
    <w:link w:val="CommentTextChar"/>
    <w:uiPriority w:val="99"/>
    <w:semiHidden/>
    <w:unhideWhenUsed/>
    <w:rsid w:val="00BB7B6F"/>
    <w:pPr>
      <w:spacing w:before="0"/>
    </w:pPr>
    <w:rPr>
      <w:rFonts w:eastAsia="Times New Roman"/>
      <w:sz w:val="20"/>
      <w:szCs w:val="20"/>
    </w:rPr>
  </w:style>
  <w:style w:type="character" w:customStyle="1" w:styleId="CommentTextChar">
    <w:name w:val="Comment Text Char"/>
    <w:basedOn w:val="DefaultParagraphFont"/>
    <w:link w:val="CommentText"/>
    <w:uiPriority w:val="99"/>
    <w:semiHidden/>
    <w:rsid w:val="00BB7B6F"/>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B7B6F"/>
    <w:rPr>
      <w:b/>
      <w:bCs/>
    </w:rPr>
  </w:style>
  <w:style w:type="character" w:customStyle="1" w:styleId="CommentSubjectChar">
    <w:name w:val="Comment Subject Char"/>
    <w:basedOn w:val="CommentTextChar"/>
    <w:link w:val="CommentSubject"/>
    <w:uiPriority w:val="99"/>
    <w:semiHidden/>
    <w:rsid w:val="00BB7B6F"/>
    <w:rPr>
      <w:rFonts w:ascii="Cambria" w:eastAsia="Times New Roman" w:hAnsi="Cambria" w:cs="Times New Roman"/>
      <w:b/>
      <w:bCs/>
      <w:sz w:val="20"/>
      <w:szCs w:val="20"/>
    </w:rPr>
  </w:style>
  <w:style w:type="numbering" w:customStyle="1" w:styleId="Style1">
    <w:name w:val="Style1"/>
    <w:rsid w:val="00BB7B6F"/>
    <w:pPr>
      <w:numPr>
        <w:numId w:val="29"/>
      </w:numPr>
    </w:pPr>
  </w:style>
  <w:style w:type="character" w:styleId="Emphasis">
    <w:name w:val="Emphasis"/>
    <w:basedOn w:val="DefaultParagraphFont"/>
    <w:uiPriority w:val="20"/>
    <w:qFormat/>
    <w:rsid w:val="00BB7B6F"/>
    <w:rPr>
      <w:b/>
      <w:bCs/>
      <w:i w:val="0"/>
      <w:iCs w:val="0"/>
    </w:rPr>
  </w:style>
  <w:style w:type="paragraph" w:customStyle="1" w:styleId="Abbreviations">
    <w:name w:val="Abbreviations"/>
    <w:basedOn w:val="Normal"/>
    <w:rsid w:val="00BB7B6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hyperlink" Target="http://www.tga.gov.au/hp/information-medicines-pi.ht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harmacopoeia.co.uk/bp2011updated/ixbin/bp.cgi?a=imagezoom&amp;file=bp2011_v1_16_monographs_medicinal_and_pharmaceutical_substances/large/ethinylestradiol_1_2012_70_cs.pn" TargetMode="External"/><Relationship Id="rId20" Type="http://schemas.openxmlformats.org/officeDocument/2006/relationships/image" Target="media/image7.emf"/><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hyperlink" Target="http://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6.emf"/><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pharmacopoeia.co.uk/bp2011updated/ixbin/bp.cgi?a=imagezoom&amp;file=bp2011_v1_16_monographs_medicinal_and_pharmaceutical_substances/large/drospirenone_1_2012_70_cs.pn" TargetMode="External"/><Relationship Id="rId22" Type="http://schemas.openxmlformats.org/officeDocument/2006/relationships/image" Target="media/image9.emf"/><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tga.gov.au/pdf/euguide/swp25849805final.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00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F111F-573D-48A4-8091-F9523B457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121</TotalTime>
  <Pages>46</Pages>
  <Words>16485</Words>
  <Characters>93970</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Australian public assessment report for Drospirenone and ethinyloestradiol (as betadex clathrate)</vt:lpstr>
    </vt:vector>
  </TitlesOfParts>
  <Company>Department of Health Therapeutic Goods Administration</Company>
  <LinksUpToDate>false</LinksUpToDate>
  <CharactersWithSpaces>110235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Drospirenone and ethinyloestradiol (as betadex clathrate)</dc:title>
  <dc:subject>prescription medicine regulation</dc:subject>
  <dc:creator>Therapeutic Goods Administration</dc:creator>
  <cp:keywords>auspar, prescription, medicine, assessment, regulation, australia, drospirenone, ethinyloestradiol, betadex, clathrate, yazflex, bayer</cp:keywords>
  <cp:lastModifiedBy>Searson, Lisa</cp:lastModifiedBy>
  <cp:revision>5</cp:revision>
  <cp:lastPrinted>2010-12-20T22:59:00Z</cp:lastPrinted>
  <dcterms:created xsi:type="dcterms:W3CDTF">2014-10-13T23:35:00Z</dcterms:created>
  <dcterms:modified xsi:type="dcterms:W3CDTF">2014-10-23T02:57:00Z</dcterms:modified>
</cp:coreProperties>
</file>