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6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7"/>
      </w:tblGrid>
      <w:tr w:rsidR="008E7846" w:rsidRPr="00487162" w:rsidTr="00152865">
        <w:trPr>
          <w:trHeight w:val="1878"/>
        </w:trPr>
        <w:tc>
          <w:tcPr>
            <w:tcW w:w="6187" w:type="dxa"/>
            <w:tcBorders>
              <w:top w:val="nil"/>
              <w:left w:val="nil"/>
              <w:bottom w:val="nil"/>
              <w:right w:val="nil"/>
            </w:tcBorders>
          </w:tcPr>
          <w:p w:rsidR="008E7846" w:rsidRPr="0017078F" w:rsidRDefault="00152865" w:rsidP="0017078F">
            <w:pPr>
              <w:rPr>
                <w:rFonts w:ascii="Arial" w:hAnsi="Arial" w:cs="Arial"/>
                <w:b/>
                <w:color w:val="002C47"/>
                <w:sz w:val="36"/>
                <w:szCs w:val="36"/>
              </w:rPr>
            </w:pPr>
            <w:r>
              <w:rPr>
                <w:rFonts w:ascii="Arial" w:hAnsi="Arial" w:cs="Arial"/>
                <w:b/>
                <w:color w:val="002C47"/>
                <w:sz w:val="36"/>
                <w:szCs w:val="36"/>
              </w:rPr>
              <w:t xml:space="preserve">Date of </w:t>
            </w:r>
            <w:r w:rsidR="0017078F">
              <w:rPr>
                <w:rFonts w:ascii="Arial" w:hAnsi="Arial" w:cs="Arial"/>
                <w:b/>
                <w:color w:val="002C47"/>
                <w:sz w:val="36"/>
                <w:szCs w:val="36"/>
              </w:rPr>
              <w:t>CER</w:t>
            </w:r>
            <w:r>
              <w:rPr>
                <w:rFonts w:ascii="Arial" w:hAnsi="Arial" w:cs="Arial"/>
                <w:b/>
                <w:color w:val="002C47"/>
                <w:sz w:val="36"/>
                <w:szCs w:val="36"/>
              </w:rPr>
              <w:t>: 12 May 2011</w:t>
            </w:r>
          </w:p>
        </w:tc>
      </w:tr>
    </w:tbl>
    <w:tbl>
      <w:tblPr>
        <w:tblpPr w:leftFromText="180" w:rightFromText="180" w:vertAnchor="page" w:tblpY="3316"/>
        <w:tblW w:w="9079" w:type="dxa"/>
        <w:tblLayout w:type="fixed"/>
        <w:tblLook w:val="04A0"/>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proofErr w:type="spellStart"/>
            <w:r>
              <w:rPr>
                <w:color w:val="FFFFFF" w:themeColor="background1"/>
              </w:rPr>
              <w:t>AusPAR</w:t>
            </w:r>
            <w:proofErr w:type="spellEnd"/>
            <w:r>
              <w:rPr>
                <w:color w:val="FFFFFF" w:themeColor="background1"/>
              </w:rPr>
              <w:t xml:space="preserve"> Attachment </w:t>
            </w:r>
            <w:r w:rsidR="00AA6927">
              <w:rPr>
                <w:color w:val="FFFFFF" w:themeColor="background1"/>
              </w:rPr>
              <w:t>1</w:t>
            </w:r>
          </w:p>
        </w:tc>
      </w:tr>
      <w:tr w:rsidR="00E07F15" w:rsidRPr="00A964D1" w:rsidTr="00E07F15">
        <w:trPr>
          <w:trHeight w:val="868"/>
        </w:trPr>
        <w:tc>
          <w:tcPr>
            <w:tcW w:w="9079" w:type="dxa"/>
          </w:tcPr>
          <w:p w:rsidR="00E07F15" w:rsidRPr="00A964D1" w:rsidRDefault="00E07F15" w:rsidP="00152865">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152865">
              <w:rPr>
                <w:color w:val="FFFFFF" w:themeColor="background1"/>
              </w:rPr>
              <w:t>Doxycycline monohydrate</w:t>
            </w:r>
          </w:p>
        </w:tc>
      </w:tr>
      <w:tr w:rsidR="00E07F15" w:rsidRPr="00B64760" w:rsidTr="00E07F15">
        <w:tc>
          <w:tcPr>
            <w:tcW w:w="9079" w:type="dxa"/>
          </w:tcPr>
          <w:p w:rsidR="00E07F15" w:rsidRPr="008E7846" w:rsidRDefault="00E07F15" w:rsidP="00152865">
            <w:pPr>
              <w:pStyle w:val="Subtitle"/>
              <w:rPr>
                <w:color w:val="FFFFFF" w:themeColor="background1"/>
              </w:rPr>
            </w:pPr>
            <w:r w:rsidRPr="008E7846">
              <w:rPr>
                <w:color w:val="FFFFFF" w:themeColor="background1"/>
              </w:rPr>
              <w:t xml:space="preserve">Proprietary Product Name: </w:t>
            </w:r>
            <w:proofErr w:type="spellStart"/>
            <w:r w:rsidR="00152865">
              <w:rPr>
                <w:color w:val="FFFFFF" w:themeColor="background1"/>
              </w:rPr>
              <w:t>Oracea</w:t>
            </w:r>
            <w:proofErr w:type="spellEnd"/>
          </w:p>
        </w:tc>
      </w:tr>
      <w:tr w:rsidR="00E07F15" w:rsidRPr="00B64760" w:rsidTr="00E07F15">
        <w:trPr>
          <w:trHeight w:val="486"/>
        </w:trPr>
        <w:tc>
          <w:tcPr>
            <w:tcW w:w="9079" w:type="dxa"/>
          </w:tcPr>
          <w:p w:rsidR="00E07F15" w:rsidRPr="008E7846" w:rsidRDefault="00E07F15" w:rsidP="00152865">
            <w:pPr>
              <w:pStyle w:val="Subtitle"/>
              <w:rPr>
                <w:color w:val="FFFFFF" w:themeColor="background1"/>
              </w:rPr>
            </w:pPr>
            <w:r w:rsidRPr="008E7846">
              <w:rPr>
                <w:color w:val="FFFFFF" w:themeColor="background1"/>
              </w:rPr>
              <w:t xml:space="preserve">Sponsor: </w:t>
            </w:r>
            <w:proofErr w:type="spellStart"/>
            <w:r w:rsidR="00152865">
              <w:rPr>
                <w:color w:val="FFFFFF" w:themeColor="background1"/>
              </w:rPr>
              <w:t>Galderma</w:t>
            </w:r>
            <w:proofErr w:type="spellEnd"/>
            <w:r w:rsidR="00152865">
              <w:rPr>
                <w:color w:val="FFFFFF" w:themeColor="background1"/>
              </w:rPr>
              <w:t xml:space="preserve">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534BB4">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11C0" w:rsidP="00534BB4">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534BB4">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534BB4">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534BB4">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9"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AA6927" w:rsidRDefault="006B2E6E">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6439562" w:history="1">
            <w:r w:rsidR="00AA6927" w:rsidRPr="00CA0905">
              <w:rPr>
                <w:rStyle w:val="Hyperlink"/>
                <w:noProof/>
              </w:rPr>
              <w:t>List of abbreviations</w:t>
            </w:r>
            <w:r w:rsidR="00AA6927">
              <w:rPr>
                <w:noProof/>
                <w:webHidden/>
              </w:rPr>
              <w:tab/>
            </w:r>
            <w:r w:rsidR="00AA6927">
              <w:rPr>
                <w:noProof/>
                <w:webHidden/>
              </w:rPr>
              <w:fldChar w:fldCharType="begin"/>
            </w:r>
            <w:r w:rsidR="00AA6927">
              <w:rPr>
                <w:noProof/>
                <w:webHidden/>
              </w:rPr>
              <w:instrText xml:space="preserve"> PAGEREF _Toc366439562 \h </w:instrText>
            </w:r>
            <w:r w:rsidR="00AA6927">
              <w:rPr>
                <w:noProof/>
                <w:webHidden/>
              </w:rPr>
            </w:r>
            <w:r w:rsidR="00AA6927">
              <w:rPr>
                <w:noProof/>
                <w:webHidden/>
              </w:rPr>
              <w:fldChar w:fldCharType="separate"/>
            </w:r>
            <w:r w:rsidR="00AA6927">
              <w:rPr>
                <w:noProof/>
                <w:webHidden/>
              </w:rPr>
              <w:t>5</w:t>
            </w:r>
            <w:r w:rsidR="00AA6927">
              <w:rPr>
                <w:noProof/>
                <w:webHidden/>
              </w:rPr>
              <w:fldChar w:fldCharType="end"/>
            </w:r>
          </w:hyperlink>
        </w:p>
        <w:p w:rsidR="00AA6927" w:rsidRDefault="00AA6927">
          <w:pPr>
            <w:pStyle w:val="TOC2"/>
            <w:tabs>
              <w:tab w:val="left" w:pos="1247"/>
            </w:tabs>
            <w:rPr>
              <w:rFonts w:asciiTheme="minorHAnsi" w:eastAsiaTheme="minorEastAsia" w:hAnsiTheme="minorHAnsi" w:cstheme="minorBidi"/>
              <w:b w:val="0"/>
              <w:noProof/>
              <w:sz w:val="22"/>
              <w:lang w:eastAsia="en-AU"/>
            </w:rPr>
          </w:pPr>
          <w:hyperlink w:anchor="_Toc366439563" w:history="1">
            <w:r w:rsidRPr="00CA0905">
              <w:rPr>
                <w:rStyle w:val="Hyperlink"/>
                <w:noProof/>
                <w:lang w:eastAsia="en-AU"/>
              </w:rPr>
              <w:t>1.</w:t>
            </w:r>
            <w:r>
              <w:rPr>
                <w:rFonts w:asciiTheme="minorHAnsi" w:eastAsiaTheme="minorEastAsia" w:hAnsiTheme="minorHAnsi" w:cstheme="minorBidi"/>
                <w:b w:val="0"/>
                <w:noProof/>
                <w:sz w:val="22"/>
                <w:lang w:eastAsia="en-AU"/>
              </w:rPr>
              <w:tab/>
            </w:r>
            <w:r w:rsidRPr="00CA0905">
              <w:rPr>
                <w:rStyle w:val="Hyperlink"/>
                <w:noProof/>
                <w:lang w:eastAsia="en-AU"/>
              </w:rPr>
              <w:t>Clinical rationale</w:t>
            </w:r>
            <w:r>
              <w:rPr>
                <w:noProof/>
                <w:webHidden/>
              </w:rPr>
              <w:tab/>
            </w:r>
            <w:r>
              <w:rPr>
                <w:noProof/>
                <w:webHidden/>
              </w:rPr>
              <w:fldChar w:fldCharType="begin"/>
            </w:r>
            <w:r>
              <w:rPr>
                <w:noProof/>
                <w:webHidden/>
              </w:rPr>
              <w:instrText xml:space="preserve"> PAGEREF _Toc366439563 \h </w:instrText>
            </w:r>
            <w:r>
              <w:rPr>
                <w:noProof/>
                <w:webHidden/>
              </w:rPr>
            </w:r>
            <w:r>
              <w:rPr>
                <w:noProof/>
                <w:webHidden/>
              </w:rPr>
              <w:fldChar w:fldCharType="separate"/>
            </w:r>
            <w:r>
              <w:rPr>
                <w:noProof/>
                <w:webHidden/>
              </w:rPr>
              <w:t>7</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64" w:history="1">
            <w:r w:rsidRPr="00CA0905">
              <w:rPr>
                <w:rStyle w:val="Hyperlink"/>
                <w:noProof/>
              </w:rPr>
              <w:t>1.1.</w:t>
            </w:r>
            <w:r>
              <w:rPr>
                <w:rFonts w:asciiTheme="minorHAnsi" w:eastAsiaTheme="minorEastAsia" w:hAnsiTheme="minorHAnsi" w:cstheme="minorBidi"/>
                <w:noProof/>
                <w:lang w:eastAsia="en-AU"/>
              </w:rPr>
              <w:tab/>
            </w:r>
            <w:r w:rsidRPr="00CA0905">
              <w:rPr>
                <w:rStyle w:val="Hyperlink"/>
                <w:noProof/>
              </w:rPr>
              <w:t>Guidance</w:t>
            </w:r>
            <w:r>
              <w:rPr>
                <w:noProof/>
                <w:webHidden/>
              </w:rPr>
              <w:tab/>
            </w:r>
            <w:r>
              <w:rPr>
                <w:noProof/>
                <w:webHidden/>
              </w:rPr>
              <w:fldChar w:fldCharType="begin"/>
            </w:r>
            <w:r>
              <w:rPr>
                <w:noProof/>
                <w:webHidden/>
              </w:rPr>
              <w:instrText xml:space="preserve"> PAGEREF _Toc366439564 \h </w:instrText>
            </w:r>
            <w:r>
              <w:rPr>
                <w:noProof/>
                <w:webHidden/>
              </w:rPr>
            </w:r>
            <w:r>
              <w:rPr>
                <w:noProof/>
                <w:webHidden/>
              </w:rPr>
              <w:fldChar w:fldCharType="separate"/>
            </w:r>
            <w:r>
              <w:rPr>
                <w:noProof/>
                <w:webHidden/>
              </w:rPr>
              <w:t>7</w:t>
            </w:r>
            <w:r>
              <w:rPr>
                <w:noProof/>
                <w:webHidden/>
              </w:rPr>
              <w:fldChar w:fldCharType="end"/>
            </w:r>
          </w:hyperlink>
        </w:p>
        <w:p w:rsidR="00AA6927" w:rsidRDefault="00AA6927">
          <w:pPr>
            <w:pStyle w:val="TOC2"/>
            <w:tabs>
              <w:tab w:val="left" w:pos="1247"/>
            </w:tabs>
            <w:rPr>
              <w:rFonts w:asciiTheme="minorHAnsi" w:eastAsiaTheme="minorEastAsia" w:hAnsiTheme="minorHAnsi" w:cstheme="minorBidi"/>
              <w:b w:val="0"/>
              <w:noProof/>
              <w:sz w:val="22"/>
              <w:lang w:eastAsia="en-AU"/>
            </w:rPr>
          </w:pPr>
          <w:hyperlink w:anchor="_Toc366439565" w:history="1">
            <w:r w:rsidRPr="00CA0905">
              <w:rPr>
                <w:rStyle w:val="Hyperlink"/>
                <w:noProof/>
                <w:lang w:eastAsia="en-AU"/>
              </w:rPr>
              <w:t>2.</w:t>
            </w:r>
            <w:r>
              <w:rPr>
                <w:rFonts w:asciiTheme="minorHAnsi" w:eastAsiaTheme="minorEastAsia" w:hAnsiTheme="minorHAnsi" w:cstheme="minorBidi"/>
                <w:b w:val="0"/>
                <w:noProof/>
                <w:sz w:val="22"/>
                <w:lang w:eastAsia="en-AU"/>
              </w:rPr>
              <w:tab/>
            </w:r>
            <w:r w:rsidRPr="00CA0905">
              <w:rPr>
                <w:rStyle w:val="Hyperlink"/>
                <w:noProof/>
                <w:lang w:eastAsia="en-AU"/>
              </w:rPr>
              <w:t>Contents of the clinical dossier</w:t>
            </w:r>
            <w:r>
              <w:rPr>
                <w:noProof/>
                <w:webHidden/>
              </w:rPr>
              <w:tab/>
            </w:r>
            <w:r>
              <w:rPr>
                <w:noProof/>
                <w:webHidden/>
              </w:rPr>
              <w:fldChar w:fldCharType="begin"/>
            </w:r>
            <w:r>
              <w:rPr>
                <w:noProof/>
                <w:webHidden/>
              </w:rPr>
              <w:instrText xml:space="preserve"> PAGEREF _Toc366439565 \h </w:instrText>
            </w:r>
            <w:r>
              <w:rPr>
                <w:noProof/>
                <w:webHidden/>
              </w:rPr>
            </w:r>
            <w:r>
              <w:rPr>
                <w:noProof/>
                <w:webHidden/>
              </w:rPr>
              <w:fldChar w:fldCharType="separate"/>
            </w:r>
            <w:r>
              <w:rPr>
                <w:noProof/>
                <w:webHidden/>
              </w:rPr>
              <w:t>7</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66" w:history="1">
            <w:r w:rsidRPr="00CA0905">
              <w:rPr>
                <w:rStyle w:val="Hyperlink"/>
                <w:noProof/>
              </w:rPr>
              <w:t>2.1.</w:t>
            </w:r>
            <w:r>
              <w:rPr>
                <w:rFonts w:asciiTheme="minorHAnsi" w:eastAsiaTheme="minorEastAsia" w:hAnsiTheme="minorHAnsi" w:cstheme="minorBidi"/>
                <w:noProof/>
                <w:lang w:eastAsia="en-AU"/>
              </w:rPr>
              <w:tab/>
            </w:r>
            <w:r w:rsidRPr="00CA0905">
              <w:rPr>
                <w:rStyle w:val="Hyperlink"/>
                <w:noProof/>
              </w:rPr>
              <w:t>Scope of the clinical dossier</w:t>
            </w:r>
            <w:r>
              <w:rPr>
                <w:noProof/>
                <w:webHidden/>
              </w:rPr>
              <w:tab/>
            </w:r>
            <w:r>
              <w:rPr>
                <w:noProof/>
                <w:webHidden/>
              </w:rPr>
              <w:fldChar w:fldCharType="begin"/>
            </w:r>
            <w:r>
              <w:rPr>
                <w:noProof/>
                <w:webHidden/>
              </w:rPr>
              <w:instrText xml:space="preserve"> PAGEREF _Toc366439566 \h </w:instrText>
            </w:r>
            <w:r>
              <w:rPr>
                <w:noProof/>
                <w:webHidden/>
              </w:rPr>
            </w:r>
            <w:r>
              <w:rPr>
                <w:noProof/>
                <w:webHidden/>
              </w:rPr>
              <w:fldChar w:fldCharType="separate"/>
            </w:r>
            <w:r>
              <w:rPr>
                <w:noProof/>
                <w:webHidden/>
              </w:rPr>
              <w:t>7</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67" w:history="1">
            <w:r w:rsidRPr="00CA0905">
              <w:rPr>
                <w:rStyle w:val="Hyperlink"/>
                <w:noProof/>
              </w:rPr>
              <w:t>2.2.</w:t>
            </w:r>
            <w:r>
              <w:rPr>
                <w:rFonts w:asciiTheme="minorHAnsi" w:eastAsiaTheme="minorEastAsia" w:hAnsiTheme="minorHAnsi" w:cstheme="minorBidi"/>
                <w:noProof/>
                <w:lang w:eastAsia="en-AU"/>
              </w:rPr>
              <w:tab/>
            </w:r>
            <w:r w:rsidRPr="00CA0905">
              <w:rPr>
                <w:rStyle w:val="Hyperlink"/>
                <w:noProof/>
              </w:rPr>
              <w:t>Good clinical practice (GCP)</w:t>
            </w:r>
            <w:r>
              <w:rPr>
                <w:noProof/>
                <w:webHidden/>
              </w:rPr>
              <w:tab/>
            </w:r>
            <w:r>
              <w:rPr>
                <w:noProof/>
                <w:webHidden/>
              </w:rPr>
              <w:fldChar w:fldCharType="begin"/>
            </w:r>
            <w:r>
              <w:rPr>
                <w:noProof/>
                <w:webHidden/>
              </w:rPr>
              <w:instrText xml:space="preserve"> PAGEREF _Toc366439567 \h </w:instrText>
            </w:r>
            <w:r>
              <w:rPr>
                <w:noProof/>
                <w:webHidden/>
              </w:rPr>
            </w:r>
            <w:r>
              <w:rPr>
                <w:noProof/>
                <w:webHidden/>
              </w:rPr>
              <w:fldChar w:fldCharType="separate"/>
            </w:r>
            <w:r>
              <w:rPr>
                <w:noProof/>
                <w:webHidden/>
              </w:rPr>
              <w:t>8</w:t>
            </w:r>
            <w:r>
              <w:rPr>
                <w:noProof/>
                <w:webHidden/>
              </w:rPr>
              <w:fldChar w:fldCharType="end"/>
            </w:r>
          </w:hyperlink>
        </w:p>
        <w:p w:rsidR="00AA6927" w:rsidRDefault="00AA6927">
          <w:pPr>
            <w:pStyle w:val="TOC2"/>
            <w:tabs>
              <w:tab w:val="left" w:pos="1247"/>
            </w:tabs>
            <w:rPr>
              <w:rFonts w:asciiTheme="minorHAnsi" w:eastAsiaTheme="minorEastAsia" w:hAnsiTheme="minorHAnsi" w:cstheme="minorBidi"/>
              <w:b w:val="0"/>
              <w:noProof/>
              <w:sz w:val="22"/>
              <w:lang w:eastAsia="en-AU"/>
            </w:rPr>
          </w:pPr>
          <w:hyperlink w:anchor="_Toc366439568" w:history="1">
            <w:r w:rsidRPr="00CA0905">
              <w:rPr>
                <w:rStyle w:val="Hyperlink"/>
                <w:noProof/>
              </w:rPr>
              <w:t>3.</w:t>
            </w:r>
            <w:r>
              <w:rPr>
                <w:rFonts w:asciiTheme="minorHAnsi" w:eastAsiaTheme="minorEastAsia" w:hAnsiTheme="minorHAnsi" w:cstheme="minorBidi"/>
                <w:b w:val="0"/>
                <w:noProof/>
                <w:sz w:val="22"/>
                <w:lang w:eastAsia="en-AU"/>
              </w:rPr>
              <w:tab/>
            </w:r>
            <w:r w:rsidRPr="00CA0905">
              <w:rPr>
                <w:rStyle w:val="Hyperlink"/>
                <w:noProof/>
              </w:rPr>
              <w:t>Pharmacokinetics</w:t>
            </w:r>
            <w:r>
              <w:rPr>
                <w:noProof/>
                <w:webHidden/>
              </w:rPr>
              <w:tab/>
            </w:r>
            <w:r>
              <w:rPr>
                <w:noProof/>
                <w:webHidden/>
              </w:rPr>
              <w:fldChar w:fldCharType="begin"/>
            </w:r>
            <w:r>
              <w:rPr>
                <w:noProof/>
                <w:webHidden/>
              </w:rPr>
              <w:instrText xml:space="preserve"> PAGEREF _Toc366439568 \h </w:instrText>
            </w:r>
            <w:r>
              <w:rPr>
                <w:noProof/>
                <w:webHidden/>
              </w:rPr>
            </w:r>
            <w:r>
              <w:rPr>
                <w:noProof/>
                <w:webHidden/>
              </w:rPr>
              <w:fldChar w:fldCharType="separate"/>
            </w:r>
            <w:r>
              <w:rPr>
                <w:noProof/>
                <w:webHidden/>
              </w:rPr>
              <w:t>8</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69" w:history="1">
            <w:r w:rsidRPr="00CA0905">
              <w:rPr>
                <w:rStyle w:val="Hyperlink"/>
                <w:noProof/>
              </w:rPr>
              <w:t>3.1.</w:t>
            </w:r>
            <w:r>
              <w:rPr>
                <w:rFonts w:asciiTheme="minorHAnsi" w:eastAsiaTheme="minorEastAsia" w:hAnsiTheme="minorHAnsi" w:cstheme="minorBidi"/>
                <w:noProof/>
                <w:lang w:eastAsia="en-AU"/>
              </w:rPr>
              <w:tab/>
            </w:r>
            <w:r w:rsidRPr="00CA0905">
              <w:rPr>
                <w:rStyle w:val="Hyperlink"/>
                <w:noProof/>
              </w:rPr>
              <w:t>Studies providing pharmacokinetic data</w:t>
            </w:r>
            <w:r>
              <w:rPr>
                <w:noProof/>
                <w:webHidden/>
              </w:rPr>
              <w:tab/>
            </w:r>
            <w:r>
              <w:rPr>
                <w:noProof/>
                <w:webHidden/>
              </w:rPr>
              <w:fldChar w:fldCharType="begin"/>
            </w:r>
            <w:r>
              <w:rPr>
                <w:noProof/>
                <w:webHidden/>
              </w:rPr>
              <w:instrText xml:space="preserve"> PAGEREF _Toc366439569 \h </w:instrText>
            </w:r>
            <w:r>
              <w:rPr>
                <w:noProof/>
                <w:webHidden/>
              </w:rPr>
            </w:r>
            <w:r>
              <w:rPr>
                <w:noProof/>
                <w:webHidden/>
              </w:rPr>
              <w:fldChar w:fldCharType="separate"/>
            </w:r>
            <w:r>
              <w:rPr>
                <w:noProof/>
                <w:webHidden/>
              </w:rPr>
              <w:t>8</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70" w:history="1">
            <w:r w:rsidRPr="00CA0905">
              <w:rPr>
                <w:rStyle w:val="Hyperlink"/>
                <w:noProof/>
              </w:rPr>
              <w:t>3.2.</w:t>
            </w:r>
            <w:r>
              <w:rPr>
                <w:rFonts w:asciiTheme="minorHAnsi" w:eastAsiaTheme="minorEastAsia" w:hAnsiTheme="minorHAnsi" w:cstheme="minorBidi"/>
                <w:noProof/>
                <w:lang w:eastAsia="en-AU"/>
              </w:rPr>
              <w:tab/>
            </w:r>
            <w:r w:rsidRPr="00CA0905">
              <w:rPr>
                <w:rStyle w:val="Hyperlink"/>
                <w:noProof/>
              </w:rPr>
              <w:t>Summary of pharmacokinetics</w:t>
            </w:r>
            <w:r>
              <w:rPr>
                <w:noProof/>
                <w:webHidden/>
              </w:rPr>
              <w:tab/>
            </w:r>
            <w:r>
              <w:rPr>
                <w:noProof/>
                <w:webHidden/>
              </w:rPr>
              <w:fldChar w:fldCharType="begin"/>
            </w:r>
            <w:r>
              <w:rPr>
                <w:noProof/>
                <w:webHidden/>
              </w:rPr>
              <w:instrText xml:space="preserve"> PAGEREF _Toc366439570 \h </w:instrText>
            </w:r>
            <w:r>
              <w:rPr>
                <w:noProof/>
                <w:webHidden/>
              </w:rPr>
            </w:r>
            <w:r>
              <w:rPr>
                <w:noProof/>
                <w:webHidden/>
              </w:rPr>
              <w:fldChar w:fldCharType="separate"/>
            </w:r>
            <w:r>
              <w:rPr>
                <w:noProof/>
                <w:webHidden/>
              </w:rPr>
              <w:t>9</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71" w:history="1">
            <w:r w:rsidRPr="00CA0905">
              <w:rPr>
                <w:rStyle w:val="Hyperlink"/>
                <w:noProof/>
              </w:rPr>
              <w:t>3.3.</w:t>
            </w:r>
            <w:r>
              <w:rPr>
                <w:rFonts w:asciiTheme="minorHAnsi" w:eastAsiaTheme="minorEastAsia" w:hAnsiTheme="minorHAnsi" w:cstheme="minorBidi"/>
                <w:noProof/>
                <w:lang w:eastAsia="en-AU"/>
              </w:rPr>
              <w:tab/>
            </w:r>
            <w:r w:rsidRPr="00CA0905">
              <w:rPr>
                <w:rStyle w:val="Hyperlink"/>
                <w:noProof/>
              </w:rPr>
              <w:t>Evaluator’s overall conclusions on pharmacokinetics</w:t>
            </w:r>
            <w:r>
              <w:rPr>
                <w:noProof/>
                <w:webHidden/>
              </w:rPr>
              <w:tab/>
            </w:r>
            <w:r>
              <w:rPr>
                <w:noProof/>
                <w:webHidden/>
              </w:rPr>
              <w:fldChar w:fldCharType="begin"/>
            </w:r>
            <w:r>
              <w:rPr>
                <w:noProof/>
                <w:webHidden/>
              </w:rPr>
              <w:instrText xml:space="preserve"> PAGEREF _Toc366439571 \h </w:instrText>
            </w:r>
            <w:r>
              <w:rPr>
                <w:noProof/>
                <w:webHidden/>
              </w:rPr>
            </w:r>
            <w:r>
              <w:rPr>
                <w:noProof/>
                <w:webHidden/>
              </w:rPr>
              <w:fldChar w:fldCharType="separate"/>
            </w:r>
            <w:r>
              <w:rPr>
                <w:noProof/>
                <w:webHidden/>
              </w:rPr>
              <w:t>10</w:t>
            </w:r>
            <w:r>
              <w:rPr>
                <w:noProof/>
                <w:webHidden/>
              </w:rPr>
              <w:fldChar w:fldCharType="end"/>
            </w:r>
          </w:hyperlink>
        </w:p>
        <w:p w:rsidR="00AA6927" w:rsidRDefault="00AA6927">
          <w:pPr>
            <w:pStyle w:val="TOC2"/>
            <w:tabs>
              <w:tab w:val="left" w:pos="1247"/>
            </w:tabs>
            <w:rPr>
              <w:rFonts w:asciiTheme="minorHAnsi" w:eastAsiaTheme="minorEastAsia" w:hAnsiTheme="minorHAnsi" w:cstheme="minorBidi"/>
              <w:b w:val="0"/>
              <w:noProof/>
              <w:sz w:val="22"/>
              <w:lang w:eastAsia="en-AU"/>
            </w:rPr>
          </w:pPr>
          <w:hyperlink w:anchor="_Toc366439572" w:history="1">
            <w:r w:rsidRPr="00CA0905">
              <w:rPr>
                <w:rStyle w:val="Hyperlink"/>
                <w:noProof/>
              </w:rPr>
              <w:t>4.</w:t>
            </w:r>
            <w:r>
              <w:rPr>
                <w:rFonts w:asciiTheme="minorHAnsi" w:eastAsiaTheme="minorEastAsia" w:hAnsiTheme="minorHAnsi" w:cstheme="minorBidi"/>
                <w:b w:val="0"/>
                <w:noProof/>
                <w:sz w:val="22"/>
                <w:lang w:eastAsia="en-AU"/>
              </w:rPr>
              <w:tab/>
            </w:r>
            <w:r w:rsidRPr="00CA0905">
              <w:rPr>
                <w:rStyle w:val="Hyperlink"/>
                <w:noProof/>
              </w:rPr>
              <w:t>Pharmacodynamics</w:t>
            </w:r>
            <w:r>
              <w:rPr>
                <w:noProof/>
                <w:webHidden/>
              </w:rPr>
              <w:tab/>
            </w:r>
            <w:r>
              <w:rPr>
                <w:noProof/>
                <w:webHidden/>
              </w:rPr>
              <w:fldChar w:fldCharType="begin"/>
            </w:r>
            <w:r>
              <w:rPr>
                <w:noProof/>
                <w:webHidden/>
              </w:rPr>
              <w:instrText xml:space="preserve"> PAGEREF _Toc366439572 \h </w:instrText>
            </w:r>
            <w:r>
              <w:rPr>
                <w:noProof/>
                <w:webHidden/>
              </w:rPr>
            </w:r>
            <w:r>
              <w:rPr>
                <w:noProof/>
                <w:webHidden/>
              </w:rPr>
              <w:fldChar w:fldCharType="separate"/>
            </w:r>
            <w:r>
              <w:rPr>
                <w:noProof/>
                <w:webHidden/>
              </w:rPr>
              <w:t>10</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73" w:history="1">
            <w:r w:rsidRPr="00CA0905">
              <w:rPr>
                <w:rStyle w:val="Hyperlink"/>
                <w:noProof/>
              </w:rPr>
              <w:t>4.1.</w:t>
            </w:r>
            <w:r>
              <w:rPr>
                <w:rFonts w:asciiTheme="minorHAnsi" w:eastAsiaTheme="minorEastAsia" w:hAnsiTheme="minorHAnsi" w:cstheme="minorBidi"/>
                <w:noProof/>
                <w:lang w:eastAsia="en-AU"/>
              </w:rPr>
              <w:tab/>
            </w:r>
            <w:r w:rsidRPr="00CA0905">
              <w:rPr>
                <w:rStyle w:val="Hyperlink"/>
                <w:noProof/>
              </w:rPr>
              <w:t>Studies providing pharmacodynamic data</w:t>
            </w:r>
            <w:r>
              <w:rPr>
                <w:noProof/>
                <w:webHidden/>
              </w:rPr>
              <w:tab/>
            </w:r>
            <w:r>
              <w:rPr>
                <w:noProof/>
                <w:webHidden/>
              </w:rPr>
              <w:fldChar w:fldCharType="begin"/>
            </w:r>
            <w:r>
              <w:rPr>
                <w:noProof/>
                <w:webHidden/>
              </w:rPr>
              <w:instrText xml:space="preserve"> PAGEREF _Toc366439573 \h </w:instrText>
            </w:r>
            <w:r>
              <w:rPr>
                <w:noProof/>
                <w:webHidden/>
              </w:rPr>
            </w:r>
            <w:r>
              <w:rPr>
                <w:noProof/>
                <w:webHidden/>
              </w:rPr>
              <w:fldChar w:fldCharType="separate"/>
            </w:r>
            <w:r>
              <w:rPr>
                <w:noProof/>
                <w:webHidden/>
              </w:rPr>
              <w:t>10</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74" w:history="1">
            <w:r w:rsidRPr="00CA0905">
              <w:rPr>
                <w:rStyle w:val="Hyperlink"/>
                <w:noProof/>
              </w:rPr>
              <w:t>4.2.</w:t>
            </w:r>
            <w:r>
              <w:rPr>
                <w:rFonts w:asciiTheme="minorHAnsi" w:eastAsiaTheme="minorEastAsia" w:hAnsiTheme="minorHAnsi" w:cstheme="minorBidi"/>
                <w:noProof/>
                <w:lang w:eastAsia="en-AU"/>
              </w:rPr>
              <w:tab/>
            </w:r>
            <w:r w:rsidRPr="00CA0905">
              <w:rPr>
                <w:rStyle w:val="Hyperlink"/>
                <w:noProof/>
              </w:rPr>
              <w:t>Summary of pharmacodynamics</w:t>
            </w:r>
            <w:r>
              <w:rPr>
                <w:noProof/>
                <w:webHidden/>
              </w:rPr>
              <w:tab/>
            </w:r>
            <w:r>
              <w:rPr>
                <w:noProof/>
                <w:webHidden/>
              </w:rPr>
              <w:fldChar w:fldCharType="begin"/>
            </w:r>
            <w:r>
              <w:rPr>
                <w:noProof/>
                <w:webHidden/>
              </w:rPr>
              <w:instrText xml:space="preserve"> PAGEREF _Toc366439574 \h </w:instrText>
            </w:r>
            <w:r>
              <w:rPr>
                <w:noProof/>
                <w:webHidden/>
              </w:rPr>
            </w:r>
            <w:r>
              <w:rPr>
                <w:noProof/>
                <w:webHidden/>
              </w:rPr>
              <w:fldChar w:fldCharType="separate"/>
            </w:r>
            <w:r>
              <w:rPr>
                <w:noProof/>
                <w:webHidden/>
              </w:rPr>
              <w:t>11</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75" w:history="1">
            <w:r w:rsidRPr="00CA0905">
              <w:rPr>
                <w:rStyle w:val="Hyperlink"/>
                <w:noProof/>
              </w:rPr>
              <w:t>4.3.</w:t>
            </w:r>
            <w:r>
              <w:rPr>
                <w:rFonts w:asciiTheme="minorHAnsi" w:eastAsiaTheme="minorEastAsia" w:hAnsiTheme="minorHAnsi" w:cstheme="minorBidi"/>
                <w:noProof/>
                <w:lang w:eastAsia="en-AU"/>
              </w:rPr>
              <w:tab/>
            </w:r>
            <w:r w:rsidRPr="00CA0905">
              <w:rPr>
                <w:rStyle w:val="Hyperlink"/>
                <w:noProof/>
              </w:rPr>
              <w:t>Evaluator’s overall conclusions on pharmacodynamics</w:t>
            </w:r>
            <w:r>
              <w:rPr>
                <w:noProof/>
                <w:webHidden/>
              </w:rPr>
              <w:tab/>
            </w:r>
            <w:r>
              <w:rPr>
                <w:noProof/>
                <w:webHidden/>
              </w:rPr>
              <w:fldChar w:fldCharType="begin"/>
            </w:r>
            <w:r>
              <w:rPr>
                <w:noProof/>
                <w:webHidden/>
              </w:rPr>
              <w:instrText xml:space="preserve"> PAGEREF _Toc366439575 \h </w:instrText>
            </w:r>
            <w:r>
              <w:rPr>
                <w:noProof/>
                <w:webHidden/>
              </w:rPr>
            </w:r>
            <w:r>
              <w:rPr>
                <w:noProof/>
                <w:webHidden/>
              </w:rPr>
              <w:fldChar w:fldCharType="separate"/>
            </w:r>
            <w:r>
              <w:rPr>
                <w:noProof/>
                <w:webHidden/>
              </w:rPr>
              <w:t>11</w:t>
            </w:r>
            <w:r>
              <w:rPr>
                <w:noProof/>
                <w:webHidden/>
              </w:rPr>
              <w:fldChar w:fldCharType="end"/>
            </w:r>
          </w:hyperlink>
        </w:p>
        <w:p w:rsidR="00AA6927" w:rsidRDefault="00AA6927">
          <w:pPr>
            <w:pStyle w:val="TOC2"/>
            <w:tabs>
              <w:tab w:val="left" w:pos="1247"/>
            </w:tabs>
            <w:rPr>
              <w:rFonts w:asciiTheme="minorHAnsi" w:eastAsiaTheme="minorEastAsia" w:hAnsiTheme="minorHAnsi" w:cstheme="minorBidi"/>
              <w:b w:val="0"/>
              <w:noProof/>
              <w:sz w:val="22"/>
              <w:lang w:eastAsia="en-AU"/>
            </w:rPr>
          </w:pPr>
          <w:hyperlink w:anchor="_Toc366439576" w:history="1">
            <w:r w:rsidRPr="00CA0905">
              <w:rPr>
                <w:rStyle w:val="Hyperlink"/>
                <w:noProof/>
              </w:rPr>
              <w:t>5.</w:t>
            </w:r>
            <w:r>
              <w:rPr>
                <w:rFonts w:asciiTheme="minorHAnsi" w:eastAsiaTheme="minorEastAsia" w:hAnsiTheme="minorHAnsi" w:cstheme="minorBidi"/>
                <w:b w:val="0"/>
                <w:noProof/>
                <w:sz w:val="22"/>
                <w:lang w:eastAsia="en-AU"/>
              </w:rPr>
              <w:tab/>
            </w:r>
            <w:r w:rsidRPr="00CA0905">
              <w:rPr>
                <w:rStyle w:val="Hyperlink"/>
                <w:noProof/>
              </w:rPr>
              <w:t>Dosage selection for the pivotal studies</w:t>
            </w:r>
            <w:r>
              <w:rPr>
                <w:noProof/>
                <w:webHidden/>
              </w:rPr>
              <w:tab/>
            </w:r>
            <w:r>
              <w:rPr>
                <w:noProof/>
                <w:webHidden/>
              </w:rPr>
              <w:fldChar w:fldCharType="begin"/>
            </w:r>
            <w:r>
              <w:rPr>
                <w:noProof/>
                <w:webHidden/>
              </w:rPr>
              <w:instrText xml:space="preserve"> PAGEREF _Toc366439576 \h </w:instrText>
            </w:r>
            <w:r>
              <w:rPr>
                <w:noProof/>
                <w:webHidden/>
              </w:rPr>
            </w:r>
            <w:r>
              <w:rPr>
                <w:noProof/>
                <w:webHidden/>
              </w:rPr>
              <w:fldChar w:fldCharType="separate"/>
            </w:r>
            <w:r>
              <w:rPr>
                <w:noProof/>
                <w:webHidden/>
              </w:rPr>
              <w:t>11</w:t>
            </w:r>
            <w:r>
              <w:rPr>
                <w:noProof/>
                <w:webHidden/>
              </w:rPr>
              <w:fldChar w:fldCharType="end"/>
            </w:r>
          </w:hyperlink>
        </w:p>
        <w:p w:rsidR="00AA6927" w:rsidRDefault="00AA6927">
          <w:pPr>
            <w:pStyle w:val="TOC2"/>
            <w:tabs>
              <w:tab w:val="left" w:pos="1247"/>
            </w:tabs>
            <w:rPr>
              <w:rFonts w:asciiTheme="minorHAnsi" w:eastAsiaTheme="minorEastAsia" w:hAnsiTheme="minorHAnsi" w:cstheme="minorBidi"/>
              <w:b w:val="0"/>
              <w:noProof/>
              <w:sz w:val="22"/>
              <w:lang w:eastAsia="en-AU"/>
            </w:rPr>
          </w:pPr>
          <w:hyperlink w:anchor="_Toc366439577" w:history="1">
            <w:r w:rsidRPr="00CA0905">
              <w:rPr>
                <w:rStyle w:val="Hyperlink"/>
                <w:noProof/>
              </w:rPr>
              <w:t>6.</w:t>
            </w:r>
            <w:r>
              <w:rPr>
                <w:rFonts w:asciiTheme="minorHAnsi" w:eastAsiaTheme="minorEastAsia" w:hAnsiTheme="minorHAnsi" w:cstheme="minorBidi"/>
                <w:b w:val="0"/>
                <w:noProof/>
                <w:sz w:val="22"/>
                <w:lang w:eastAsia="en-AU"/>
              </w:rPr>
              <w:tab/>
            </w:r>
            <w:r w:rsidRPr="00CA0905">
              <w:rPr>
                <w:rStyle w:val="Hyperlink"/>
                <w:noProof/>
              </w:rPr>
              <w:t>Clinical efficacy</w:t>
            </w:r>
            <w:r>
              <w:rPr>
                <w:noProof/>
                <w:webHidden/>
              </w:rPr>
              <w:tab/>
            </w:r>
            <w:r>
              <w:rPr>
                <w:noProof/>
                <w:webHidden/>
              </w:rPr>
              <w:fldChar w:fldCharType="begin"/>
            </w:r>
            <w:r>
              <w:rPr>
                <w:noProof/>
                <w:webHidden/>
              </w:rPr>
              <w:instrText xml:space="preserve"> PAGEREF _Toc366439577 \h </w:instrText>
            </w:r>
            <w:r>
              <w:rPr>
                <w:noProof/>
                <w:webHidden/>
              </w:rPr>
            </w:r>
            <w:r>
              <w:rPr>
                <w:noProof/>
                <w:webHidden/>
              </w:rPr>
              <w:fldChar w:fldCharType="separate"/>
            </w:r>
            <w:r>
              <w:rPr>
                <w:noProof/>
                <w:webHidden/>
              </w:rPr>
              <w:t>12</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78" w:history="1">
            <w:r w:rsidRPr="00CA0905">
              <w:rPr>
                <w:rStyle w:val="Hyperlink"/>
                <w:noProof/>
              </w:rPr>
              <w:t>6.1.</w:t>
            </w:r>
            <w:r>
              <w:rPr>
                <w:rFonts w:asciiTheme="minorHAnsi" w:eastAsiaTheme="minorEastAsia" w:hAnsiTheme="minorHAnsi" w:cstheme="minorBidi"/>
                <w:noProof/>
                <w:lang w:eastAsia="en-AU"/>
              </w:rPr>
              <w:tab/>
            </w:r>
            <w:r w:rsidRPr="00CA0905">
              <w:rPr>
                <w:rStyle w:val="Hyperlink"/>
                <w:noProof/>
              </w:rPr>
              <w:t>Facial rosacea indication</w:t>
            </w:r>
            <w:r>
              <w:rPr>
                <w:noProof/>
                <w:webHidden/>
              </w:rPr>
              <w:tab/>
            </w:r>
            <w:r>
              <w:rPr>
                <w:noProof/>
                <w:webHidden/>
              </w:rPr>
              <w:fldChar w:fldCharType="begin"/>
            </w:r>
            <w:r>
              <w:rPr>
                <w:noProof/>
                <w:webHidden/>
              </w:rPr>
              <w:instrText xml:space="preserve"> PAGEREF _Toc366439578 \h </w:instrText>
            </w:r>
            <w:r>
              <w:rPr>
                <w:noProof/>
                <w:webHidden/>
              </w:rPr>
            </w:r>
            <w:r>
              <w:rPr>
                <w:noProof/>
                <w:webHidden/>
              </w:rPr>
              <w:fldChar w:fldCharType="separate"/>
            </w:r>
            <w:r>
              <w:rPr>
                <w:noProof/>
                <w:webHidden/>
              </w:rPr>
              <w:t>12</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79" w:history="1">
            <w:r w:rsidRPr="00CA0905">
              <w:rPr>
                <w:rStyle w:val="Hyperlink"/>
                <w:noProof/>
              </w:rPr>
              <w:t>6.2.</w:t>
            </w:r>
            <w:r>
              <w:rPr>
                <w:rFonts w:asciiTheme="minorHAnsi" w:eastAsiaTheme="minorEastAsia" w:hAnsiTheme="minorHAnsi" w:cstheme="minorBidi"/>
                <w:noProof/>
                <w:lang w:eastAsia="en-AU"/>
              </w:rPr>
              <w:tab/>
            </w:r>
            <w:r w:rsidRPr="00CA0905">
              <w:rPr>
                <w:rStyle w:val="Hyperlink"/>
                <w:noProof/>
              </w:rPr>
              <w:t>Analyses performed across trials (pooled analyses and meta-analyses)</w:t>
            </w:r>
            <w:r>
              <w:rPr>
                <w:noProof/>
                <w:webHidden/>
              </w:rPr>
              <w:tab/>
            </w:r>
            <w:r>
              <w:rPr>
                <w:noProof/>
                <w:webHidden/>
              </w:rPr>
              <w:fldChar w:fldCharType="begin"/>
            </w:r>
            <w:r>
              <w:rPr>
                <w:noProof/>
                <w:webHidden/>
              </w:rPr>
              <w:instrText xml:space="preserve"> PAGEREF _Toc366439579 \h </w:instrText>
            </w:r>
            <w:r>
              <w:rPr>
                <w:noProof/>
                <w:webHidden/>
              </w:rPr>
            </w:r>
            <w:r>
              <w:rPr>
                <w:noProof/>
                <w:webHidden/>
              </w:rPr>
              <w:fldChar w:fldCharType="separate"/>
            </w:r>
            <w:r>
              <w:rPr>
                <w:noProof/>
                <w:webHidden/>
              </w:rPr>
              <w:t>24</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80" w:history="1">
            <w:r w:rsidRPr="00CA0905">
              <w:rPr>
                <w:rStyle w:val="Hyperlink"/>
                <w:noProof/>
              </w:rPr>
              <w:t>6.3.</w:t>
            </w:r>
            <w:r>
              <w:rPr>
                <w:rFonts w:asciiTheme="minorHAnsi" w:eastAsiaTheme="minorEastAsia" w:hAnsiTheme="minorHAnsi" w:cstheme="minorBidi"/>
                <w:noProof/>
                <w:lang w:eastAsia="en-AU"/>
              </w:rPr>
              <w:tab/>
            </w:r>
            <w:r w:rsidRPr="00CA0905">
              <w:rPr>
                <w:rStyle w:val="Hyperlink"/>
                <w:noProof/>
              </w:rPr>
              <w:t>Evaluator’s conclusions on clinical efficacy</w:t>
            </w:r>
            <w:r>
              <w:rPr>
                <w:noProof/>
                <w:webHidden/>
              </w:rPr>
              <w:tab/>
            </w:r>
            <w:r>
              <w:rPr>
                <w:noProof/>
                <w:webHidden/>
              </w:rPr>
              <w:fldChar w:fldCharType="begin"/>
            </w:r>
            <w:r>
              <w:rPr>
                <w:noProof/>
                <w:webHidden/>
              </w:rPr>
              <w:instrText xml:space="preserve"> PAGEREF _Toc366439580 \h </w:instrText>
            </w:r>
            <w:r>
              <w:rPr>
                <w:noProof/>
                <w:webHidden/>
              </w:rPr>
            </w:r>
            <w:r>
              <w:rPr>
                <w:noProof/>
                <w:webHidden/>
              </w:rPr>
              <w:fldChar w:fldCharType="separate"/>
            </w:r>
            <w:r>
              <w:rPr>
                <w:noProof/>
                <w:webHidden/>
              </w:rPr>
              <w:t>24</w:t>
            </w:r>
            <w:r>
              <w:rPr>
                <w:noProof/>
                <w:webHidden/>
              </w:rPr>
              <w:fldChar w:fldCharType="end"/>
            </w:r>
          </w:hyperlink>
        </w:p>
        <w:p w:rsidR="00AA6927" w:rsidRDefault="00AA6927">
          <w:pPr>
            <w:pStyle w:val="TOC2"/>
            <w:tabs>
              <w:tab w:val="left" w:pos="1247"/>
            </w:tabs>
            <w:rPr>
              <w:rFonts w:asciiTheme="minorHAnsi" w:eastAsiaTheme="minorEastAsia" w:hAnsiTheme="minorHAnsi" w:cstheme="minorBidi"/>
              <w:b w:val="0"/>
              <w:noProof/>
              <w:sz w:val="22"/>
              <w:lang w:eastAsia="en-AU"/>
            </w:rPr>
          </w:pPr>
          <w:hyperlink w:anchor="_Toc366439581" w:history="1">
            <w:r w:rsidRPr="00CA0905">
              <w:rPr>
                <w:rStyle w:val="Hyperlink"/>
                <w:noProof/>
              </w:rPr>
              <w:t>7.</w:t>
            </w:r>
            <w:r>
              <w:rPr>
                <w:rFonts w:asciiTheme="minorHAnsi" w:eastAsiaTheme="minorEastAsia" w:hAnsiTheme="minorHAnsi" w:cstheme="minorBidi"/>
                <w:b w:val="0"/>
                <w:noProof/>
                <w:sz w:val="22"/>
                <w:lang w:eastAsia="en-AU"/>
              </w:rPr>
              <w:tab/>
            </w:r>
            <w:r w:rsidRPr="00CA0905">
              <w:rPr>
                <w:rStyle w:val="Hyperlink"/>
                <w:noProof/>
              </w:rPr>
              <w:t>Clinical safety</w:t>
            </w:r>
            <w:r>
              <w:rPr>
                <w:noProof/>
                <w:webHidden/>
              </w:rPr>
              <w:tab/>
            </w:r>
            <w:r>
              <w:rPr>
                <w:noProof/>
                <w:webHidden/>
              </w:rPr>
              <w:fldChar w:fldCharType="begin"/>
            </w:r>
            <w:r>
              <w:rPr>
                <w:noProof/>
                <w:webHidden/>
              </w:rPr>
              <w:instrText xml:space="preserve"> PAGEREF _Toc366439581 \h </w:instrText>
            </w:r>
            <w:r>
              <w:rPr>
                <w:noProof/>
                <w:webHidden/>
              </w:rPr>
            </w:r>
            <w:r>
              <w:rPr>
                <w:noProof/>
                <w:webHidden/>
              </w:rPr>
              <w:fldChar w:fldCharType="separate"/>
            </w:r>
            <w:r>
              <w:rPr>
                <w:noProof/>
                <w:webHidden/>
              </w:rPr>
              <w:t>26</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82" w:history="1">
            <w:r w:rsidRPr="00CA0905">
              <w:rPr>
                <w:rStyle w:val="Hyperlink"/>
                <w:noProof/>
              </w:rPr>
              <w:t>7.1.</w:t>
            </w:r>
            <w:r>
              <w:rPr>
                <w:rFonts w:asciiTheme="minorHAnsi" w:eastAsiaTheme="minorEastAsia" w:hAnsiTheme="minorHAnsi" w:cstheme="minorBidi"/>
                <w:noProof/>
                <w:lang w:eastAsia="en-AU"/>
              </w:rPr>
              <w:tab/>
            </w:r>
            <w:r w:rsidRPr="00CA0905">
              <w:rPr>
                <w:rStyle w:val="Hyperlink"/>
                <w:noProof/>
              </w:rPr>
              <w:t>Studies providing evaluable safety data</w:t>
            </w:r>
            <w:r>
              <w:rPr>
                <w:noProof/>
                <w:webHidden/>
              </w:rPr>
              <w:tab/>
            </w:r>
            <w:r>
              <w:rPr>
                <w:noProof/>
                <w:webHidden/>
              </w:rPr>
              <w:fldChar w:fldCharType="begin"/>
            </w:r>
            <w:r>
              <w:rPr>
                <w:noProof/>
                <w:webHidden/>
              </w:rPr>
              <w:instrText xml:space="preserve"> PAGEREF _Toc366439582 \h </w:instrText>
            </w:r>
            <w:r>
              <w:rPr>
                <w:noProof/>
                <w:webHidden/>
              </w:rPr>
            </w:r>
            <w:r>
              <w:rPr>
                <w:noProof/>
                <w:webHidden/>
              </w:rPr>
              <w:fldChar w:fldCharType="separate"/>
            </w:r>
            <w:r>
              <w:rPr>
                <w:noProof/>
                <w:webHidden/>
              </w:rPr>
              <w:t>26</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83" w:history="1">
            <w:r w:rsidRPr="00CA0905">
              <w:rPr>
                <w:rStyle w:val="Hyperlink"/>
                <w:noProof/>
              </w:rPr>
              <w:t>7.2.</w:t>
            </w:r>
            <w:r>
              <w:rPr>
                <w:rFonts w:asciiTheme="minorHAnsi" w:eastAsiaTheme="minorEastAsia" w:hAnsiTheme="minorHAnsi" w:cstheme="minorBidi"/>
                <w:noProof/>
                <w:lang w:eastAsia="en-AU"/>
              </w:rPr>
              <w:tab/>
            </w:r>
            <w:r w:rsidRPr="00CA0905">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_Toc366439583 \h </w:instrText>
            </w:r>
            <w:r>
              <w:rPr>
                <w:noProof/>
                <w:webHidden/>
              </w:rPr>
            </w:r>
            <w:r>
              <w:rPr>
                <w:noProof/>
                <w:webHidden/>
              </w:rPr>
              <w:fldChar w:fldCharType="separate"/>
            </w:r>
            <w:r>
              <w:rPr>
                <w:noProof/>
                <w:webHidden/>
              </w:rPr>
              <w:t>26</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84" w:history="1">
            <w:r w:rsidRPr="00CA0905">
              <w:rPr>
                <w:rStyle w:val="Hyperlink"/>
                <w:noProof/>
              </w:rPr>
              <w:t>7.3.</w:t>
            </w:r>
            <w:r>
              <w:rPr>
                <w:rFonts w:asciiTheme="minorHAnsi" w:eastAsiaTheme="minorEastAsia" w:hAnsiTheme="minorHAnsi" w:cstheme="minorBidi"/>
                <w:noProof/>
                <w:lang w:eastAsia="en-AU"/>
              </w:rPr>
              <w:tab/>
            </w:r>
            <w:r w:rsidRPr="00CA0905">
              <w:rPr>
                <w:rStyle w:val="Hyperlink"/>
                <w:noProof/>
              </w:rPr>
              <w:t>Patient exposure</w:t>
            </w:r>
            <w:r>
              <w:rPr>
                <w:noProof/>
                <w:webHidden/>
              </w:rPr>
              <w:tab/>
            </w:r>
            <w:r>
              <w:rPr>
                <w:noProof/>
                <w:webHidden/>
              </w:rPr>
              <w:fldChar w:fldCharType="begin"/>
            </w:r>
            <w:r>
              <w:rPr>
                <w:noProof/>
                <w:webHidden/>
              </w:rPr>
              <w:instrText xml:space="preserve"> PAGEREF _Toc366439584 \h </w:instrText>
            </w:r>
            <w:r>
              <w:rPr>
                <w:noProof/>
                <w:webHidden/>
              </w:rPr>
            </w:r>
            <w:r>
              <w:rPr>
                <w:noProof/>
                <w:webHidden/>
              </w:rPr>
              <w:fldChar w:fldCharType="separate"/>
            </w:r>
            <w:r>
              <w:rPr>
                <w:noProof/>
                <w:webHidden/>
              </w:rPr>
              <w:t>27</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85" w:history="1">
            <w:r w:rsidRPr="00CA0905">
              <w:rPr>
                <w:rStyle w:val="Hyperlink"/>
                <w:noProof/>
              </w:rPr>
              <w:t>7.4.</w:t>
            </w:r>
            <w:r>
              <w:rPr>
                <w:rFonts w:asciiTheme="minorHAnsi" w:eastAsiaTheme="minorEastAsia" w:hAnsiTheme="minorHAnsi" w:cstheme="minorBidi"/>
                <w:noProof/>
                <w:lang w:eastAsia="en-AU"/>
              </w:rPr>
              <w:tab/>
            </w:r>
            <w:r w:rsidRPr="00CA0905">
              <w:rPr>
                <w:rStyle w:val="Hyperlink"/>
                <w:noProof/>
              </w:rPr>
              <w:t>Adverse events</w:t>
            </w:r>
            <w:r>
              <w:rPr>
                <w:noProof/>
                <w:webHidden/>
              </w:rPr>
              <w:tab/>
            </w:r>
            <w:r>
              <w:rPr>
                <w:noProof/>
                <w:webHidden/>
              </w:rPr>
              <w:fldChar w:fldCharType="begin"/>
            </w:r>
            <w:r>
              <w:rPr>
                <w:noProof/>
                <w:webHidden/>
              </w:rPr>
              <w:instrText xml:space="preserve"> PAGEREF _Toc366439585 \h </w:instrText>
            </w:r>
            <w:r>
              <w:rPr>
                <w:noProof/>
                <w:webHidden/>
              </w:rPr>
            </w:r>
            <w:r>
              <w:rPr>
                <w:noProof/>
                <w:webHidden/>
              </w:rPr>
              <w:fldChar w:fldCharType="separate"/>
            </w:r>
            <w:r>
              <w:rPr>
                <w:noProof/>
                <w:webHidden/>
              </w:rPr>
              <w:t>28</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86" w:history="1">
            <w:r w:rsidRPr="00CA0905">
              <w:rPr>
                <w:rStyle w:val="Hyperlink"/>
                <w:noProof/>
              </w:rPr>
              <w:t>7.5.</w:t>
            </w:r>
            <w:r>
              <w:rPr>
                <w:rFonts w:asciiTheme="minorHAnsi" w:eastAsiaTheme="minorEastAsia" w:hAnsiTheme="minorHAnsi" w:cstheme="minorBidi"/>
                <w:noProof/>
                <w:lang w:eastAsia="en-AU"/>
              </w:rPr>
              <w:tab/>
            </w:r>
            <w:r w:rsidRPr="00CA0905">
              <w:rPr>
                <w:rStyle w:val="Hyperlink"/>
                <w:noProof/>
              </w:rPr>
              <w:t>Laboratory tests</w:t>
            </w:r>
            <w:r>
              <w:rPr>
                <w:noProof/>
                <w:webHidden/>
              </w:rPr>
              <w:tab/>
            </w:r>
            <w:r>
              <w:rPr>
                <w:noProof/>
                <w:webHidden/>
              </w:rPr>
              <w:fldChar w:fldCharType="begin"/>
            </w:r>
            <w:r>
              <w:rPr>
                <w:noProof/>
                <w:webHidden/>
              </w:rPr>
              <w:instrText xml:space="preserve"> PAGEREF _Toc366439586 \h </w:instrText>
            </w:r>
            <w:r>
              <w:rPr>
                <w:noProof/>
                <w:webHidden/>
              </w:rPr>
            </w:r>
            <w:r>
              <w:rPr>
                <w:noProof/>
                <w:webHidden/>
              </w:rPr>
              <w:fldChar w:fldCharType="separate"/>
            </w:r>
            <w:r>
              <w:rPr>
                <w:noProof/>
                <w:webHidden/>
              </w:rPr>
              <w:t>33</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87" w:history="1">
            <w:r w:rsidRPr="00CA0905">
              <w:rPr>
                <w:rStyle w:val="Hyperlink"/>
                <w:noProof/>
              </w:rPr>
              <w:t>7.6.</w:t>
            </w:r>
            <w:r>
              <w:rPr>
                <w:rFonts w:asciiTheme="minorHAnsi" w:eastAsiaTheme="minorEastAsia" w:hAnsiTheme="minorHAnsi" w:cstheme="minorBidi"/>
                <w:noProof/>
                <w:lang w:eastAsia="en-AU"/>
              </w:rPr>
              <w:tab/>
            </w:r>
            <w:r w:rsidRPr="00CA0905">
              <w:rPr>
                <w:rStyle w:val="Hyperlink"/>
                <w:noProof/>
              </w:rPr>
              <w:t>Postmarketing experience</w:t>
            </w:r>
            <w:r>
              <w:rPr>
                <w:noProof/>
                <w:webHidden/>
              </w:rPr>
              <w:tab/>
            </w:r>
            <w:r>
              <w:rPr>
                <w:noProof/>
                <w:webHidden/>
              </w:rPr>
              <w:fldChar w:fldCharType="begin"/>
            </w:r>
            <w:r>
              <w:rPr>
                <w:noProof/>
                <w:webHidden/>
              </w:rPr>
              <w:instrText xml:space="preserve"> PAGEREF _Toc366439587 \h </w:instrText>
            </w:r>
            <w:r>
              <w:rPr>
                <w:noProof/>
                <w:webHidden/>
              </w:rPr>
            </w:r>
            <w:r>
              <w:rPr>
                <w:noProof/>
                <w:webHidden/>
              </w:rPr>
              <w:fldChar w:fldCharType="separate"/>
            </w:r>
            <w:r>
              <w:rPr>
                <w:noProof/>
                <w:webHidden/>
              </w:rPr>
              <w:t>34</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88" w:history="1">
            <w:r w:rsidRPr="00CA0905">
              <w:rPr>
                <w:rStyle w:val="Hyperlink"/>
                <w:noProof/>
              </w:rPr>
              <w:t>7.7.</w:t>
            </w:r>
            <w:r>
              <w:rPr>
                <w:rFonts w:asciiTheme="minorHAnsi" w:eastAsiaTheme="minorEastAsia" w:hAnsiTheme="minorHAnsi" w:cstheme="minorBidi"/>
                <w:noProof/>
                <w:lang w:eastAsia="en-AU"/>
              </w:rPr>
              <w:tab/>
            </w:r>
            <w:r w:rsidRPr="00CA0905">
              <w:rPr>
                <w:rStyle w:val="Hyperlink"/>
                <w:noProof/>
              </w:rPr>
              <w:t>Specific safety issues of regulatory importance</w:t>
            </w:r>
            <w:r>
              <w:rPr>
                <w:noProof/>
                <w:webHidden/>
              </w:rPr>
              <w:tab/>
            </w:r>
            <w:r>
              <w:rPr>
                <w:noProof/>
                <w:webHidden/>
              </w:rPr>
              <w:fldChar w:fldCharType="begin"/>
            </w:r>
            <w:r>
              <w:rPr>
                <w:noProof/>
                <w:webHidden/>
              </w:rPr>
              <w:instrText xml:space="preserve"> PAGEREF _Toc366439588 \h </w:instrText>
            </w:r>
            <w:r>
              <w:rPr>
                <w:noProof/>
                <w:webHidden/>
              </w:rPr>
            </w:r>
            <w:r>
              <w:rPr>
                <w:noProof/>
                <w:webHidden/>
              </w:rPr>
              <w:fldChar w:fldCharType="separate"/>
            </w:r>
            <w:r>
              <w:rPr>
                <w:noProof/>
                <w:webHidden/>
              </w:rPr>
              <w:t>34</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89" w:history="1">
            <w:r w:rsidRPr="00CA0905">
              <w:rPr>
                <w:rStyle w:val="Hyperlink"/>
                <w:noProof/>
              </w:rPr>
              <w:t>7.8.</w:t>
            </w:r>
            <w:r>
              <w:rPr>
                <w:rFonts w:asciiTheme="minorHAnsi" w:eastAsiaTheme="minorEastAsia" w:hAnsiTheme="minorHAnsi" w:cstheme="minorBidi"/>
                <w:noProof/>
                <w:lang w:eastAsia="en-AU"/>
              </w:rPr>
              <w:tab/>
            </w:r>
            <w:r w:rsidRPr="00CA0905">
              <w:rPr>
                <w:rStyle w:val="Hyperlink"/>
                <w:noProof/>
              </w:rPr>
              <w:t>Other safety issues</w:t>
            </w:r>
            <w:r>
              <w:rPr>
                <w:noProof/>
                <w:webHidden/>
              </w:rPr>
              <w:tab/>
            </w:r>
            <w:r>
              <w:rPr>
                <w:noProof/>
                <w:webHidden/>
              </w:rPr>
              <w:fldChar w:fldCharType="begin"/>
            </w:r>
            <w:r>
              <w:rPr>
                <w:noProof/>
                <w:webHidden/>
              </w:rPr>
              <w:instrText xml:space="preserve"> PAGEREF _Toc366439589 \h </w:instrText>
            </w:r>
            <w:r>
              <w:rPr>
                <w:noProof/>
                <w:webHidden/>
              </w:rPr>
            </w:r>
            <w:r>
              <w:rPr>
                <w:noProof/>
                <w:webHidden/>
              </w:rPr>
              <w:fldChar w:fldCharType="separate"/>
            </w:r>
            <w:r>
              <w:rPr>
                <w:noProof/>
                <w:webHidden/>
              </w:rPr>
              <w:t>35</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90" w:history="1">
            <w:r w:rsidRPr="00CA0905">
              <w:rPr>
                <w:rStyle w:val="Hyperlink"/>
                <w:noProof/>
              </w:rPr>
              <w:t>7.9.</w:t>
            </w:r>
            <w:r>
              <w:rPr>
                <w:rFonts w:asciiTheme="minorHAnsi" w:eastAsiaTheme="minorEastAsia" w:hAnsiTheme="minorHAnsi" w:cstheme="minorBidi"/>
                <w:noProof/>
                <w:lang w:eastAsia="en-AU"/>
              </w:rPr>
              <w:tab/>
            </w:r>
            <w:r w:rsidRPr="00CA0905">
              <w:rPr>
                <w:rStyle w:val="Hyperlink"/>
                <w:noProof/>
              </w:rPr>
              <w:t>Evaluator’s overall conclusions on clinical safety</w:t>
            </w:r>
            <w:r>
              <w:rPr>
                <w:noProof/>
                <w:webHidden/>
              </w:rPr>
              <w:tab/>
            </w:r>
            <w:r>
              <w:rPr>
                <w:noProof/>
                <w:webHidden/>
              </w:rPr>
              <w:fldChar w:fldCharType="begin"/>
            </w:r>
            <w:r>
              <w:rPr>
                <w:noProof/>
                <w:webHidden/>
              </w:rPr>
              <w:instrText xml:space="preserve"> PAGEREF _Toc366439590 \h </w:instrText>
            </w:r>
            <w:r>
              <w:rPr>
                <w:noProof/>
                <w:webHidden/>
              </w:rPr>
            </w:r>
            <w:r>
              <w:rPr>
                <w:noProof/>
                <w:webHidden/>
              </w:rPr>
              <w:fldChar w:fldCharType="separate"/>
            </w:r>
            <w:r>
              <w:rPr>
                <w:noProof/>
                <w:webHidden/>
              </w:rPr>
              <w:t>35</w:t>
            </w:r>
            <w:r>
              <w:rPr>
                <w:noProof/>
                <w:webHidden/>
              </w:rPr>
              <w:fldChar w:fldCharType="end"/>
            </w:r>
          </w:hyperlink>
        </w:p>
        <w:p w:rsidR="00AA6927" w:rsidRDefault="00AA6927">
          <w:pPr>
            <w:pStyle w:val="TOC2"/>
            <w:tabs>
              <w:tab w:val="left" w:pos="1247"/>
            </w:tabs>
            <w:rPr>
              <w:rFonts w:asciiTheme="minorHAnsi" w:eastAsiaTheme="minorEastAsia" w:hAnsiTheme="minorHAnsi" w:cstheme="minorBidi"/>
              <w:b w:val="0"/>
              <w:noProof/>
              <w:sz w:val="22"/>
              <w:lang w:eastAsia="en-AU"/>
            </w:rPr>
          </w:pPr>
          <w:hyperlink w:anchor="_Toc366439591" w:history="1">
            <w:r w:rsidRPr="00CA0905">
              <w:rPr>
                <w:rStyle w:val="Hyperlink"/>
                <w:noProof/>
              </w:rPr>
              <w:t>8.</w:t>
            </w:r>
            <w:r>
              <w:rPr>
                <w:rFonts w:asciiTheme="minorHAnsi" w:eastAsiaTheme="minorEastAsia" w:hAnsiTheme="minorHAnsi" w:cstheme="minorBidi"/>
                <w:b w:val="0"/>
                <w:noProof/>
                <w:sz w:val="22"/>
                <w:lang w:eastAsia="en-AU"/>
              </w:rPr>
              <w:tab/>
            </w:r>
            <w:r w:rsidRPr="00CA0905">
              <w:rPr>
                <w:rStyle w:val="Hyperlink"/>
                <w:noProof/>
              </w:rPr>
              <w:t>First round benefit-risk assessment</w:t>
            </w:r>
            <w:r>
              <w:rPr>
                <w:noProof/>
                <w:webHidden/>
              </w:rPr>
              <w:tab/>
            </w:r>
            <w:r>
              <w:rPr>
                <w:noProof/>
                <w:webHidden/>
              </w:rPr>
              <w:fldChar w:fldCharType="begin"/>
            </w:r>
            <w:r>
              <w:rPr>
                <w:noProof/>
                <w:webHidden/>
              </w:rPr>
              <w:instrText xml:space="preserve"> PAGEREF _Toc366439591 \h </w:instrText>
            </w:r>
            <w:r>
              <w:rPr>
                <w:noProof/>
                <w:webHidden/>
              </w:rPr>
            </w:r>
            <w:r>
              <w:rPr>
                <w:noProof/>
                <w:webHidden/>
              </w:rPr>
              <w:fldChar w:fldCharType="separate"/>
            </w:r>
            <w:r>
              <w:rPr>
                <w:noProof/>
                <w:webHidden/>
              </w:rPr>
              <w:t>35</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92" w:history="1">
            <w:r w:rsidRPr="00CA0905">
              <w:rPr>
                <w:rStyle w:val="Hyperlink"/>
                <w:noProof/>
              </w:rPr>
              <w:t>8.1.</w:t>
            </w:r>
            <w:r>
              <w:rPr>
                <w:rFonts w:asciiTheme="minorHAnsi" w:eastAsiaTheme="minorEastAsia" w:hAnsiTheme="minorHAnsi" w:cstheme="minorBidi"/>
                <w:noProof/>
                <w:lang w:eastAsia="en-AU"/>
              </w:rPr>
              <w:tab/>
            </w:r>
            <w:r w:rsidRPr="00CA0905">
              <w:rPr>
                <w:rStyle w:val="Hyperlink"/>
                <w:noProof/>
              </w:rPr>
              <w:t>Preliminary assessment of benefits</w:t>
            </w:r>
            <w:r>
              <w:rPr>
                <w:noProof/>
                <w:webHidden/>
              </w:rPr>
              <w:tab/>
            </w:r>
            <w:r>
              <w:rPr>
                <w:noProof/>
                <w:webHidden/>
              </w:rPr>
              <w:fldChar w:fldCharType="begin"/>
            </w:r>
            <w:r>
              <w:rPr>
                <w:noProof/>
                <w:webHidden/>
              </w:rPr>
              <w:instrText xml:space="preserve"> PAGEREF _Toc366439592 \h </w:instrText>
            </w:r>
            <w:r>
              <w:rPr>
                <w:noProof/>
                <w:webHidden/>
              </w:rPr>
            </w:r>
            <w:r>
              <w:rPr>
                <w:noProof/>
                <w:webHidden/>
              </w:rPr>
              <w:fldChar w:fldCharType="separate"/>
            </w:r>
            <w:r>
              <w:rPr>
                <w:noProof/>
                <w:webHidden/>
              </w:rPr>
              <w:t>35</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93" w:history="1">
            <w:r w:rsidRPr="00CA0905">
              <w:rPr>
                <w:rStyle w:val="Hyperlink"/>
                <w:noProof/>
              </w:rPr>
              <w:t>8.2.</w:t>
            </w:r>
            <w:r>
              <w:rPr>
                <w:rFonts w:asciiTheme="minorHAnsi" w:eastAsiaTheme="minorEastAsia" w:hAnsiTheme="minorHAnsi" w:cstheme="minorBidi"/>
                <w:noProof/>
                <w:lang w:eastAsia="en-AU"/>
              </w:rPr>
              <w:tab/>
            </w:r>
            <w:r w:rsidRPr="00CA0905">
              <w:rPr>
                <w:rStyle w:val="Hyperlink"/>
                <w:noProof/>
              </w:rPr>
              <w:t>Preliminary assessment of risks</w:t>
            </w:r>
            <w:r>
              <w:rPr>
                <w:noProof/>
                <w:webHidden/>
              </w:rPr>
              <w:tab/>
            </w:r>
            <w:r>
              <w:rPr>
                <w:noProof/>
                <w:webHidden/>
              </w:rPr>
              <w:fldChar w:fldCharType="begin"/>
            </w:r>
            <w:r>
              <w:rPr>
                <w:noProof/>
                <w:webHidden/>
              </w:rPr>
              <w:instrText xml:space="preserve"> PAGEREF _Toc366439593 \h </w:instrText>
            </w:r>
            <w:r>
              <w:rPr>
                <w:noProof/>
                <w:webHidden/>
              </w:rPr>
            </w:r>
            <w:r>
              <w:rPr>
                <w:noProof/>
                <w:webHidden/>
              </w:rPr>
              <w:fldChar w:fldCharType="separate"/>
            </w:r>
            <w:r>
              <w:rPr>
                <w:noProof/>
                <w:webHidden/>
              </w:rPr>
              <w:t>36</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94" w:history="1">
            <w:r w:rsidRPr="00CA0905">
              <w:rPr>
                <w:rStyle w:val="Hyperlink"/>
                <w:noProof/>
              </w:rPr>
              <w:t>8.3.</w:t>
            </w:r>
            <w:r>
              <w:rPr>
                <w:rFonts w:asciiTheme="minorHAnsi" w:eastAsiaTheme="minorEastAsia" w:hAnsiTheme="minorHAnsi" w:cstheme="minorBidi"/>
                <w:noProof/>
                <w:lang w:eastAsia="en-AU"/>
              </w:rPr>
              <w:tab/>
            </w:r>
            <w:r w:rsidRPr="00CA0905">
              <w:rPr>
                <w:rStyle w:val="Hyperlink"/>
                <w:noProof/>
              </w:rPr>
              <w:t>Preliminary assessment of benefit-risk balance</w:t>
            </w:r>
            <w:r>
              <w:rPr>
                <w:noProof/>
                <w:webHidden/>
              </w:rPr>
              <w:tab/>
            </w:r>
            <w:r>
              <w:rPr>
                <w:noProof/>
                <w:webHidden/>
              </w:rPr>
              <w:fldChar w:fldCharType="begin"/>
            </w:r>
            <w:r>
              <w:rPr>
                <w:noProof/>
                <w:webHidden/>
              </w:rPr>
              <w:instrText xml:space="preserve"> PAGEREF _Toc366439594 \h </w:instrText>
            </w:r>
            <w:r>
              <w:rPr>
                <w:noProof/>
                <w:webHidden/>
              </w:rPr>
            </w:r>
            <w:r>
              <w:rPr>
                <w:noProof/>
                <w:webHidden/>
              </w:rPr>
              <w:fldChar w:fldCharType="separate"/>
            </w:r>
            <w:r>
              <w:rPr>
                <w:noProof/>
                <w:webHidden/>
              </w:rPr>
              <w:t>36</w:t>
            </w:r>
            <w:r>
              <w:rPr>
                <w:noProof/>
                <w:webHidden/>
              </w:rPr>
              <w:fldChar w:fldCharType="end"/>
            </w:r>
          </w:hyperlink>
        </w:p>
        <w:p w:rsidR="00AA6927" w:rsidRDefault="00AA6927">
          <w:pPr>
            <w:pStyle w:val="TOC3"/>
            <w:tabs>
              <w:tab w:val="left" w:pos="1680"/>
            </w:tabs>
            <w:rPr>
              <w:rFonts w:asciiTheme="minorHAnsi" w:eastAsiaTheme="minorEastAsia" w:hAnsiTheme="minorHAnsi" w:cstheme="minorBidi"/>
              <w:noProof/>
              <w:lang w:eastAsia="en-AU"/>
            </w:rPr>
          </w:pPr>
          <w:hyperlink w:anchor="_Toc366439595" w:history="1">
            <w:r w:rsidRPr="00CA0905">
              <w:rPr>
                <w:rStyle w:val="Hyperlink"/>
                <w:noProof/>
              </w:rPr>
              <w:t>8.4.</w:t>
            </w:r>
            <w:r>
              <w:rPr>
                <w:rFonts w:asciiTheme="minorHAnsi" w:eastAsiaTheme="minorEastAsia" w:hAnsiTheme="minorHAnsi" w:cstheme="minorBidi"/>
                <w:noProof/>
                <w:lang w:eastAsia="en-AU"/>
              </w:rPr>
              <w:tab/>
            </w:r>
            <w:r w:rsidRPr="00CA0905">
              <w:rPr>
                <w:rStyle w:val="Hyperlink"/>
                <w:noProof/>
              </w:rPr>
              <w:t>First round recommendation regarding authorisation</w:t>
            </w:r>
            <w:r>
              <w:rPr>
                <w:noProof/>
                <w:webHidden/>
              </w:rPr>
              <w:tab/>
            </w:r>
            <w:r>
              <w:rPr>
                <w:noProof/>
                <w:webHidden/>
              </w:rPr>
              <w:fldChar w:fldCharType="begin"/>
            </w:r>
            <w:r>
              <w:rPr>
                <w:noProof/>
                <w:webHidden/>
              </w:rPr>
              <w:instrText xml:space="preserve"> PAGEREF _Toc366439595 \h </w:instrText>
            </w:r>
            <w:r>
              <w:rPr>
                <w:noProof/>
                <w:webHidden/>
              </w:rPr>
            </w:r>
            <w:r>
              <w:rPr>
                <w:noProof/>
                <w:webHidden/>
              </w:rPr>
              <w:fldChar w:fldCharType="separate"/>
            </w:r>
            <w:r>
              <w:rPr>
                <w:noProof/>
                <w:webHidden/>
              </w:rPr>
              <w:t>36</w:t>
            </w:r>
            <w:r>
              <w:rPr>
                <w:noProof/>
                <w:webHidden/>
              </w:rPr>
              <w:fldChar w:fldCharType="end"/>
            </w:r>
          </w:hyperlink>
        </w:p>
        <w:p w:rsidR="00AA6927" w:rsidRDefault="00AA6927">
          <w:pPr>
            <w:pStyle w:val="TOC2"/>
            <w:tabs>
              <w:tab w:val="left" w:pos="1247"/>
            </w:tabs>
            <w:rPr>
              <w:rFonts w:asciiTheme="minorHAnsi" w:eastAsiaTheme="minorEastAsia" w:hAnsiTheme="minorHAnsi" w:cstheme="minorBidi"/>
              <w:b w:val="0"/>
              <w:noProof/>
              <w:sz w:val="22"/>
              <w:lang w:eastAsia="en-AU"/>
            </w:rPr>
          </w:pPr>
          <w:hyperlink w:anchor="_Toc366439596" w:history="1">
            <w:r w:rsidRPr="00CA0905">
              <w:rPr>
                <w:rStyle w:val="Hyperlink"/>
                <w:noProof/>
              </w:rPr>
              <w:t>9.</w:t>
            </w:r>
            <w:r>
              <w:rPr>
                <w:rFonts w:asciiTheme="minorHAnsi" w:eastAsiaTheme="minorEastAsia" w:hAnsiTheme="minorHAnsi" w:cstheme="minorBidi"/>
                <w:b w:val="0"/>
                <w:noProof/>
                <w:sz w:val="22"/>
                <w:lang w:eastAsia="en-AU"/>
              </w:rPr>
              <w:tab/>
            </w:r>
            <w:r w:rsidRPr="00CA0905">
              <w:rPr>
                <w:rStyle w:val="Hyperlink"/>
                <w:noProof/>
              </w:rPr>
              <w:t>Clinical questions</w:t>
            </w:r>
            <w:r>
              <w:rPr>
                <w:noProof/>
                <w:webHidden/>
              </w:rPr>
              <w:tab/>
            </w:r>
            <w:r>
              <w:rPr>
                <w:noProof/>
                <w:webHidden/>
              </w:rPr>
              <w:fldChar w:fldCharType="begin"/>
            </w:r>
            <w:r>
              <w:rPr>
                <w:noProof/>
                <w:webHidden/>
              </w:rPr>
              <w:instrText xml:space="preserve"> PAGEREF _Toc366439596 \h </w:instrText>
            </w:r>
            <w:r>
              <w:rPr>
                <w:noProof/>
                <w:webHidden/>
              </w:rPr>
            </w:r>
            <w:r>
              <w:rPr>
                <w:noProof/>
                <w:webHidden/>
              </w:rPr>
              <w:fldChar w:fldCharType="separate"/>
            </w:r>
            <w:r>
              <w:rPr>
                <w:noProof/>
                <w:webHidden/>
              </w:rPr>
              <w:t>36</w:t>
            </w:r>
            <w:r>
              <w:rPr>
                <w:noProof/>
                <w:webHidden/>
              </w:rPr>
              <w:fldChar w:fldCharType="end"/>
            </w:r>
          </w:hyperlink>
        </w:p>
        <w:p w:rsidR="00AA6927" w:rsidRDefault="00AA6927">
          <w:pPr>
            <w:pStyle w:val="TOC2"/>
            <w:tabs>
              <w:tab w:val="left" w:pos="1247"/>
            </w:tabs>
            <w:rPr>
              <w:rFonts w:asciiTheme="minorHAnsi" w:eastAsiaTheme="minorEastAsia" w:hAnsiTheme="minorHAnsi" w:cstheme="minorBidi"/>
              <w:b w:val="0"/>
              <w:noProof/>
              <w:sz w:val="22"/>
              <w:lang w:eastAsia="en-AU"/>
            </w:rPr>
          </w:pPr>
          <w:hyperlink w:anchor="_Toc366439597" w:history="1">
            <w:r w:rsidRPr="00CA0905">
              <w:rPr>
                <w:rStyle w:val="Hyperlink"/>
                <w:noProof/>
              </w:rPr>
              <w:t>10.</w:t>
            </w:r>
            <w:r>
              <w:rPr>
                <w:rFonts w:asciiTheme="minorHAnsi" w:eastAsiaTheme="minorEastAsia" w:hAnsiTheme="minorHAnsi" w:cstheme="minorBidi"/>
                <w:b w:val="0"/>
                <w:noProof/>
                <w:sz w:val="22"/>
                <w:lang w:eastAsia="en-AU"/>
              </w:rPr>
              <w:tab/>
            </w:r>
            <w:r w:rsidRPr="00CA0905">
              <w:rPr>
                <w:rStyle w:val="Hyperlink"/>
                <w:noProof/>
              </w:rPr>
              <w:t>References</w:t>
            </w:r>
            <w:r>
              <w:rPr>
                <w:noProof/>
                <w:webHidden/>
              </w:rPr>
              <w:tab/>
            </w:r>
            <w:r>
              <w:rPr>
                <w:noProof/>
                <w:webHidden/>
              </w:rPr>
              <w:fldChar w:fldCharType="begin"/>
            </w:r>
            <w:r>
              <w:rPr>
                <w:noProof/>
                <w:webHidden/>
              </w:rPr>
              <w:instrText xml:space="preserve"> PAGEREF _Toc366439597 \h </w:instrText>
            </w:r>
            <w:r>
              <w:rPr>
                <w:noProof/>
                <w:webHidden/>
              </w:rPr>
            </w:r>
            <w:r>
              <w:rPr>
                <w:noProof/>
                <w:webHidden/>
              </w:rPr>
              <w:fldChar w:fldCharType="separate"/>
            </w:r>
            <w:r>
              <w:rPr>
                <w:noProof/>
                <w:webHidden/>
              </w:rPr>
              <w:t>36</w:t>
            </w:r>
            <w:r>
              <w:rPr>
                <w:noProof/>
                <w:webHidden/>
              </w:rPr>
              <w:fldChar w:fldCharType="end"/>
            </w:r>
          </w:hyperlink>
        </w:p>
        <w:p w:rsidR="00AA6927" w:rsidRDefault="00AA6927">
          <w:pPr>
            <w:pStyle w:val="TOC3"/>
            <w:tabs>
              <w:tab w:val="left" w:pos="1920"/>
            </w:tabs>
            <w:rPr>
              <w:rFonts w:asciiTheme="minorHAnsi" w:eastAsiaTheme="minorEastAsia" w:hAnsiTheme="minorHAnsi" w:cstheme="minorBidi"/>
              <w:noProof/>
              <w:lang w:eastAsia="en-AU"/>
            </w:rPr>
          </w:pPr>
          <w:hyperlink w:anchor="_Toc366439598" w:history="1">
            <w:r w:rsidRPr="00CA0905">
              <w:rPr>
                <w:rStyle w:val="Hyperlink"/>
                <w:noProof/>
              </w:rPr>
              <w:t>10.1.</w:t>
            </w:r>
            <w:r>
              <w:rPr>
                <w:rFonts w:asciiTheme="minorHAnsi" w:eastAsiaTheme="minorEastAsia" w:hAnsiTheme="minorHAnsi" w:cstheme="minorBidi"/>
                <w:noProof/>
                <w:lang w:eastAsia="en-AU"/>
              </w:rPr>
              <w:tab/>
            </w:r>
            <w:r w:rsidRPr="00CA0905">
              <w:rPr>
                <w:rStyle w:val="Hyperlink"/>
                <w:noProof/>
              </w:rPr>
              <w:t>Published papers presented for evaluation</w:t>
            </w:r>
            <w:r>
              <w:rPr>
                <w:noProof/>
                <w:webHidden/>
              </w:rPr>
              <w:tab/>
            </w:r>
            <w:r>
              <w:rPr>
                <w:noProof/>
                <w:webHidden/>
              </w:rPr>
              <w:fldChar w:fldCharType="begin"/>
            </w:r>
            <w:r>
              <w:rPr>
                <w:noProof/>
                <w:webHidden/>
              </w:rPr>
              <w:instrText xml:space="preserve"> PAGEREF _Toc366439598 \h </w:instrText>
            </w:r>
            <w:r>
              <w:rPr>
                <w:noProof/>
                <w:webHidden/>
              </w:rPr>
            </w:r>
            <w:r>
              <w:rPr>
                <w:noProof/>
                <w:webHidden/>
              </w:rPr>
              <w:fldChar w:fldCharType="separate"/>
            </w:r>
            <w:r>
              <w:rPr>
                <w:noProof/>
                <w:webHidden/>
              </w:rPr>
              <w:t>36</w:t>
            </w:r>
            <w:r>
              <w:rPr>
                <w:noProof/>
                <w:webHidden/>
              </w:rPr>
              <w:fldChar w:fldCharType="end"/>
            </w:r>
          </w:hyperlink>
        </w:p>
        <w:p w:rsidR="00AA6927" w:rsidRDefault="00AA6927">
          <w:pPr>
            <w:pStyle w:val="TOC3"/>
            <w:tabs>
              <w:tab w:val="left" w:pos="1920"/>
            </w:tabs>
            <w:rPr>
              <w:rFonts w:asciiTheme="minorHAnsi" w:eastAsiaTheme="minorEastAsia" w:hAnsiTheme="minorHAnsi" w:cstheme="minorBidi"/>
              <w:noProof/>
              <w:lang w:eastAsia="en-AU"/>
            </w:rPr>
          </w:pPr>
          <w:hyperlink w:anchor="_Toc366439599" w:history="1">
            <w:r w:rsidRPr="00CA0905">
              <w:rPr>
                <w:rStyle w:val="Hyperlink"/>
                <w:noProof/>
              </w:rPr>
              <w:t>10.2.</w:t>
            </w:r>
            <w:r>
              <w:rPr>
                <w:rFonts w:asciiTheme="minorHAnsi" w:eastAsiaTheme="minorEastAsia" w:hAnsiTheme="minorHAnsi" w:cstheme="minorBidi"/>
                <w:noProof/>
                <w:lang w:eastAsia="en-AU"/>
              </w:rPr>
              <w:tab/>
            </w:r>
            <w:r w:rsidRPr="00CA0905">
              <w:rPr>
                <w:rStyle w:val="Hyperlink"/>
                <w:noProof/>
              </w:rPr>
              <w:t>Other references</w:t>
            </w:r>
            <w:r>
              <w:rPr>
                <w:noProof/>
                <w:webHidden/>
              </w:rPr>
              <w:tab/>
            </w:r>
            <w:r>
              <w:rPr>
                <w:noProof/>
                <w:webHidden/>
              </w:rPr>
              <w:fldChar w:fldCharType="begin"/>
            </w:r>
            <w:r>
              <w:rPr>
                <w:noProof/>
                <w:webHidden/>
              </w:rPr>
              <w:instrText xml:space="preserve"> PAGEREF _Toc366439599 \h </w:instrText>
            </w:r>
            <w:r>
              <w:rPr>
                <w:noProof/>
                <w:webHidden/>
              </w:rPr>
            </w:r>
            <w:r>
              <w:rPr>
                <w:noProof/>
                <w:webHidden/>
              </w:rPr>
              <w:fldChar w:fldCharType="separate"/>
            </w:r>
            <w:r>
              <w:rPr>
                <w:noProof/>
                <w:webHidden/>
              </w:rPr>
              <w:t>37</w:t>
            </w:r>
            <w:r>
              <w:rPr>
                <w:noProof/>
                <w:webHidden/>
              </w:rPr>
              <w:fldChar w:fldCharType="end"/>
            </w:r>
          </w:hyperlink>
        </w:p>
        <w:p w:rsidR="00534BB4" w:rsidRDefault="006B2E6E" w:rsidP="00B811C6">
          <w:pPr>
            <w:pStyle w:val="TOC2"/>
          </w:pPr>
          <w:r>
            <w:fldChar w:fldCharType="end"/>
          </w:r>
        </w:p>
      </w:sdtContent>
    </w:sdt>
    <w:bookmarkStart w:id="2" w:name="_Toc314842482" w:displacedByCustomXml="prev"/>
    <w:p w:rsidR="00AA6927" w:rsidRDefault="00AA6927">
      <w:pPr>
        <w:spacing w:before="0" w:after="200" w:line="0" w:lineRule="auto"/>
        <w:rPr>
          <w:rFonts w:ascii="Arial" w:eastAsia="Times New Roman" w:hAnsi="Arial"/>
          <w:b/>
          <w:bCs/>
          <w:sz w:val="32"/>
          <w:szCs w:val="26"/>
          <w:lang w:eastAsia="ja-JP"/>
        </w:rPr>
      </w:pPr>
      <w:bookmarkStart w:id="3" w:name="_Toc351716269"/>
      <w:bookmarkStart w:id="4" w:name="_Toc351718881"/>
      <w:bookmarkStart w:id="5" w:name="_Toc355338616"/>
      <w:r>
        <w:br w:type="page"/>
      </w:r>
    </w:p>
    <w:p w:rsidR="00586F98" w:rsidRDefault="00586F98" w:rsidP="00586F98">
      <w:pPr>
        <w:pStyle w:val="Heading2"/>
        <w:numPr>
          <w:ilvl w:val="0"/>
          <w:numId w:val="0"/>
        </w:numPr>
      </w:pPr>
      <w:bookmarkStart w:id="6" w:name="_Toc366439562"/>
      <w:r>
        <w:lastRenderedPageBreak/>
        <w:t>List of abbreviations</w:t>
      </w:r>
      <w:bookmarkEnd w:id="3"/>
      <w:bookmarkEnd w:id="4"/>
      <w:bookmarkEnd w:id="5"/>
      <w:bookmarkEnd w:id="6"/>
    </w:p>
    <w:tbl>
      <w:tblPr>
        <w:tblStyle w:val="TableTGAblue"/>
        <w:tblW w:w="0" w:type="auto"/>
        <w:tblLook w:val="04A0"/>
      </w:tblPr>
      <w:tblGrid>
        <w:gridCol w:w="1890"/>
        <w:gridCol w:w="6911"/>
      </w:tblGrid>
      <w:tr w:rsidR="00586F98" w:rsidTr="002A418E">
        <w:trPr>
          <w:cnfStyle w:val="100000000000"/>
          <w:trHeight w:val="498"/>
          <w:tblHeader/>
        </w:trPr>
        <w:tc>
          <w:tcPr>
            <w:cnfStyle w:val="001000000000"/>
            <w:tcW w:w="1890" w:type="dxa"/>
          </w:tcPr>
          <w:p w:rsidR="00586F98" w:rsidRDefault="00586F98" w:rsidP="000A63AF">
            <w:r>
              <w:t>Abbreviation</w:t>
            </w:r>
          </w:p>
        </w:tc>
        <w:tc>
          <w:tcPr>
            <w:tcW w:w="6911" w:type="dxa"/>
          </w:tcPr>
          <w:p w:rsidR="00586F98" w:rsidRDefault="00586F98" w:rsidP="000A63AF">
            <w:pPr>
              <w:cnfStyle w:val="100000000000"/>
            </w:pPr>
            <w:r>
              <w:t>Meaning</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AAN</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Australian approved name</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AE</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Adverse event</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ALT</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Alanine aminotransferase</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AST</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Aspartate aminotransferase</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BMI</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Body mass index</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CEA</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Clinician's Erythema Assessment</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CER</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Clinical evaluation report</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COPD</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Chronic obstructive pulmonary disease</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CSR</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Clinical study report</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GCP</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Good clinical (research) practice</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GGT</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Gamma glutamyl transferase</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HPLC</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High performance liquid chromatography</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IGA</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Investigator's Global Assessment</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ITT</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Intention to treat</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LC-MS/MS</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Liquid chromatography–tandem mass spectrometry</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LLQ</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Lower limit of quantitation</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LSM</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Geometric least square mean</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NA</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Not applicable</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PI</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Product information</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PK</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Pharmacokinetic</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PP</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Per protocol</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SAE</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Serious adverse event</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SOC</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System organ class</w:t>
            </w:r>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SRP</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 xml:space="preserve">Scaling and root </w:t>
            </w:r>
            <w:proofErr w:type="spellStart"/>
            <w:r w:rsidRPr="001529F1">
              <w:rPr>
                <w:rFonts w:ascii="Cambria" w:hAnsi="Cambria"/>
                <w:sz w:val="22"/>
                <w:szCs w:val="22"/>
              </w:rPr>
              <w:t>planing</w:t>
            </w:r>
            <w:proofErr w:type="spellEnd"/>
          </w:p>
        </w:tc>
      </w:tr>
      <w:tr w:rsidR="00534BB4" w:rsidTr="00AA6927">
        <w:trPr>
          <w:trHeight w:val="454"/>
        </w:trPr>
        <w:tc>
          <w:tcPr>
            <w:cnfStyle w:val="001000000000"/>
            <w:tcW w:w="1890"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rPr>
                <w:rFonts w:ascii="Cambria" w:hAnsi="Cambria"/>
                <w:sz w:val="22"/>
                <w:szCs w:val="22"/>
              </w:rPr>
            </w:pPr>
            <w:r w:rsidRPr="001529F1">
              <w:rPr>
                <w:rFonts w:ascii="Cambria" w:hAnsi="Cambria"/>
                <w:sz w:val="22"/>
                <w:szCs w:val="22"/>
              </w:rPr>
              <w:t>TIL</w:t>
            </w:r>
          </w:p>
        </w:tc>
        <w:tc>
          <w:tcPr>
            <w:tcW w:w="6911" w:type="dxa"/>
            <w:vAlign w:val="center"/>
          </w:tcPr>
          <w:p w:rsidR="00534BB4" w:rsidRPr="001529F1" w:rsidRDefault="00534BB4" w:rsidP="00AA692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cnfStyle w:val="000000000000"/>
              <w:rPr>
                <w:rFonts w:ascii="Cambria" w:hAnsi="Cambria"/>
                <w:sz w:val="22"/>
                <w:szCs w:val="22"/>
              </w:rPr>
            </w:pPr>
            <w:r w:rsidRPr="001529F1">
              <w:rPr>
                <w:rFonts w:ascii="Cambria" w:hAnsi="Cambria"/>
                <w:sz w:val="22"/>
                <w:szCs w:val="22"/>
              </w:rPr>
              <w:t>Total inflammatory lesions (papules + pustules + nodules)</w:t>
            </w:r>
          </w:p>
        </w:tc>
      </w:tr>
    </w:tbl>
    <w:p w:rsidR="00586F98" w:rsidRDefault="00586F98" w:rsidP="00AA6927">
      <w:pPr>
        <w:pStyle w:val="Heading2"/>
        <w:rPr>
          <w:lang w:eastAsia="en-AU"/>
        </w:rPr>
      </w:pPr>
      <w:bookmarkStart w:id="7" w:name="_Toc351718900"/>
      <w:bookmarkStart w:id="8" w:name="_Toc355338635"/>
      <w:bookmarkStart w:id="9" w:name="_Toc366439563"/>
      <w:r>
        <w:rPr>
          <w:lang w:eastAsia="en-AU"/>
        </w:rPr>
        <w:lastRenderedPageBreak/>
        <w:t>Clinical rationale</w:t>
      </w:r>
      <w:bookmarkEnd w:id="9"/>
    </w:p>
    <w:p w:rsidR="00586F98" w:rsidRDefault="00534BB4" w:rsidP="00586F98">
      <w:pPr>
        <w:rPr>
          <w:lang w:eastAsia="en-AU"/>
        </w:rPr>
      </w:pPr>
      <w:r w:rsidRPr="00534BB4">
        <w:rPr>
          <w:lang w:eastAsia="en-AU"/>
        </w:rPr>
        <w:t xml:space="preserve">The mode of action in rosacea is thought to be </w:t>
      </w:r>
      <w:r w:rsidRPr="00534BB4">
        <w:rPr>
          <w:i/>
          <w:lang w:eastAsia="en-AU"/>
        </w:rPr>
        <w:t>via</w:t>
      </w:r>
      <w:r w:rsidRPr="00534BB4">
        <w:rPr>
          <w:lang w:eastAsia="en-AU"/>
        </w:rPr>
        <w:t xml:space="preserve"> properties of the drug other than its antimicrobial activity. Pre-clinical studies, and also some clinical </w:t>
      </w:r>
      <w:proofErr w:type="spellStart"/>
      <w:r w:rsidRPr="00534BB4">
        <w:rPr>
          <w:lang w:eastAsia="en-AU"/>
        </w:rPr>
        <w:t>pharmacodynamic</w:t>
      </w:r>
      <w:proofErr w:type="spellEnd"/>
      <w:r w:rsidRPr="00534BB4">
        <w:rPr>
          <w:lang w:eastAsia="en-AU"/>
        </w:rPr>
        <w:t xml:space="preserve"> results (</w:t>
      </w:r>
      <w:r w:rsidRPr="00534BB4">
        <w:rPr>
          <w:i/>
          <w:lang w:eastAsia="en-AU"/>
        </w:rPr>
        <w:t>e</w:t>
      </w:r>
      <w:r w:rsidR="00AA6927">
        <w:rPr>
          <w:i/>
          <w:lang w:eastAsia="en-AU"/>
        </w:rPr>
        <w:t>.</w:t>
      </w:r>
      <w:r w:rsidRPr="00534BB4">
        <w:rPr>
          <w:i/>
          <w:lang w:eastAsia="en-AU"/>
        </w:rPr>
        <w:t>g</w:t>
      </w:r>
      <w:r w:rsidR="00AA6927">
        <w:rPr>
          <w:i/>
          <w:lang w:eastAsia="en-AU"/>
        </w:rPr>
        <w:t>.</w:t>
      </w:r>
      <w:r w:rsidRPr="00534BB4">
        <w:rPr>
          <w:lang w:eastAsia="en-AU"/>
        </w:rPr>
        <w:t xml:space="preserve"> Skidmore </w:t>
      </w:r>
      <w:r w:rsidR="00A23E93" w:rsidRPr="00A23E93">
        <w:rPr>
          <w:i/>
          <w:lang w:eastAsia="en-AU"/>
        </w:rPr>
        <w:t>et al.</w:t>
      </w:r>
      <w:r w:rsidRPr="00534BB4">
        <w:rPr>
          <w:lang w:eastAsia="en-AU"/>
        </w:rPr>
        <w:t xml:space="preserve"> 2003), suggest that the drug has effects in certain dermatologic conditions at concentrations generally below the antimicrobial level.</w:t>
      </w:r>
    </w:p>
    <w:p w:rsidR="00534BB4" w:rsidRDefault="00534BB4" w:rsidP="00AA6927">
      <w:pPr>
        <w:pStyle w:val="Heading3"/>
      </w:pPr>
      <w:bookmarkStart w:id="10" w:name="_Toc272414609"/>
      <w:bookmarkStart w:id="11" w:name="_Toc273018172"/>
      <w:bookmarkStart w:id="12" w:name="_Toc348527467"/>
      <w:bookmarkStart w:id="13" w:name="_Toc366439564"/>
      <w:r>
        <w:t>Guidance</w:t>
      </w:r>
      <w:bookmarkEnd w:id="10"/>
      <w:bookmarkEnd w:id="11"/>
      <w:bookmarkEnd w:id="12"/>
      <w:bookmarkEnd w:id="13"/>
    </w:p>
    <w:p w:rsidR="00534BB4" w:rsidRDefault="00534BB4" w:rsidP="00534BB4">
      <w:r>
        <w:t>TGA had advised as follows:</w:t>
      </w:r>
    </w:p>
    <w:p w:rsidR="00534BB4" w:rsidRPr="000C380B" w:rsidRDefault="00534BB4" w:rsidP="00534BB4">
      <w:pPr>
        <w:ind w:left="567"/>
        <w:rPr>
          <w:sz w:val="20"/>
          <w:szCs w:val="20"/>
        </w:rPr>
      </w:pPr>
      <w:r>
        <w:rPr>
          <w:sz w:val="20"/>
          <w:szCs w:val="20"/>
        </w:rPr>
        <w:t>"</w:t>
      </w:r>
      <w:r w:rsidRPr="00152865">
        <w:rPr>
          <w:i/>
        </w:rPr>
        <w:t>TGA advises that the pharmacokinetic studies include comparisons with Periostat tablets. As this product is not registered in Australia, the sponsor is required to provide either a comparison with relevant Australian registered formulation, or a justification/comparative data etc for not doing so.</w:t>
      </w:r>
      <w:r>
        <w:rPr>
          <w:sz w:val="20"/>
          <w:szCs w:val="20"/>
        </w:rPr>
        <w:t>"</w:t>
      </w:r>
    </w:p>
    <w:p w:rsidR="00534BB4" w:rsidRPr="00134413" w:rsidRDefault="00152865" w:rsidP="00534BB4">
      <w:pPr>
        <w:autoSpaceDE w:val="0"/>
        <w:autoSpaceDN w:val="0"/>
        <w:adjustRightInd w:val="0"/>
      </w:pPr>
      <w:r>
        <w:t>The sponsor's response wa</w:t>
      </w:r>
      <w:r w:rsidR="00534BB4" w:rsidRPr="00134413">
        <w:t>s:</w:t>
      </w:r>
    </w:p>
    <w:p w:rsidR="00534BB4" w:rsidRPr="00152865" w:rsidRDefault="00534BB4" w:rsidP="00152865">
      <w:pPr>
        <w:ind w:left="567"/>
        <w:rPr>
          <w:i/>
        </w:rPr>
      </w:pPr>
      <w:r w:rsidRPr="00152865">
        <w:rPr>
          <w:i/>
        </w:rPr>
        <w:t>"The comparative PK studies with Periostat, PERIO-DOXYSR-103 (Mod 5, Vol 1), PERIODOXYSR-104 (Mod 5, Vol 3) &amp; COL-101-SSPK-106 (Mod 5, Vol 4), submitted in Module 5.3.1.2 of the registration dossier are included in the dossier to demonstrate the PK parameters of doxycycline monohydrate (Oracea) which is the subject of</w:t>
      </w:r>
      <w:r w:rsidR="00AA6927">
        <w:rPr>
          <w:i/>
        </w:rPr>
        <w:t xml:space="preserve"> this registration application.</w:t>
      </w:r>
    </w:p>
    <w:p w:rsidR="00534BB4" w:rsidRPr="00152865" w:rsidRDefault="00534BB4" w:rsidP="00152865">
      <w:pPr>
        <w:ind w:left="567"/>
        <w:rPr>
          <w:i/>
        </w:rPr>
      </w:pPr>
      <w:r w:rsidRPr="00152865">
        <w:rPr>
          <w:i/>
        </w:rPr>
        <w:t xml:space="preserve">The dossier is not intended to be comparative and the studies are included as the available PK data for ORACEA. These PK studies in comparison with Periostat have been provided to show the bioequivalence with Oracea. Therefore, </w:t>
      </w:r>
      <w:proofErr w:type="spellStart"/>
      <w:r w:rsidRPr="00152865">
        <w:rPr>
          <w:i/>
        </w:rPr>
        <w:t>Galderma</w:t>
      </w:r>
      <w:proofErr w:type="spellEnd"/>
      <w:r w:rsidRPr="00152865">
        <w:rPr>
          <w:i/>
        </w:rPr>
        <w:t xml:space="preserve"> used the existing animal safety data performed with the product Periostat in</w:t>
      </w:r>
      <w:r w:rsidR="00AA6927">
        <w:rPr>
          <w:i/>
        </w:rPr>
        <w:t xml:space="preserve"> this registration application.</w:t>
      </w:r>
    </w:p>
    <w:p w:rsidR="00534BB4" w:rsidRPr="00152865" w:rsidRDefault="00534BB4" w:rsidP="00152865">
      <w:pPr>
        <w:ind w:left="567"/>
        <w:rPr>
          <w:i/>
        </w:rPr>
      </w:pPr>
      <w:r w:rsidRPr="00152865">
        <w:rPr>
          <w:i/>
        </w:rPr>
        <w:t>Oracea dossier is a stand-alone application with a full package of clinical data to demonstrate the safety &amp; efficacy of a doxycycline product with a new indication."</w:t>
      </w:r>
    </w:p>
    <w:p w:rsidR="00586F98" w:rsidRDefault="00586F98" w:rsidP="00AA6927">
      <w:pPr>
        <w:pStyle w:val="Heading2"/>
        <w:rPr>
          <w:lang w:eastAsia="en-AU"/>
        </w:rPr>
      </w:pPr>
      <w:bookmarkStart w:id="14" w:name="_Toc366439565"/>
      <w:r>
        <w:rPr>
          <w:lang w:eastAsia="en-AU"/>
        </w:rPr>
        <w:t>Contents of the clinical dossier</w:t>
      </w:r>
      <w:bookmarkEnd w:id="7"/>
      <w:bookmarkEnd w:id="8"/>
      <w:bookmarkEnd w:id="14"/>
    </w:p>
    <w:p w:rsidR="00586F98" w:rsidRDefault="00586F98" w:rsidP="00AA6927">
      <w:pPr>
        <w:pStyle w:val="Heading3"/>
      </w:pPr>
      <w:bookmarkStart w:id="15" w:name="_Toc366439566"/>
      <w:r>
        <w:t>Scope of the clinical dossier</w:t>
      </w:r>
      <w:bookmarkEnd w:id="15"/>
    </w:p>
    <w:p w:rsidR="00534BB4" w:rsidRDefault="00534BB4" w:rsidP="00534BB4">
      <w:r>
        <w:t>The submission contained the following clinical information:</w:t>
      </w:r>
    </w:p>
    <w:p w:rsidR="00534BB4" w:rsidRPr="008028EB" w:rsidRDefault="00AA6927" w:rsidP="00AA6927">
      <w:pPr>
        <w:pStyle w:val="ListBullet"/>
      </w:pPr>
      <w:r>
        <w:t>Module 5</w:t>
      </w:r>
    </w:p>
    <w:p w:rsidR="00534BB4" w:rsidRPr="008028EB" w:rsidRDefault="00534BB4" w:rsidP="00AA6927">
      <w:pPr>
        <w:pStyle w:val="ListBullet2"/>
      </w:pPr>
      <w:r w:rsidRPr="008028EB">
        <w:t>Five pharmacokinetic / bioavailability studies (nos. 110801, COL-101-SDPK-105, PERIO-DOXYSR-103, PERIO-DOXYSR-104 and COL-101-SSPK-106).</w:t>
      </w:r>
    </w:p>
    <w:p w:rsidR="00534BB4" w:rsidRPr="008028EB" w:rsidRDefault="00534BB4" w:rsidP="008028EB">
      <w:pPr>
        <w:pStyle w:val="ListBullet2"/>
      </w:pPr>
      <w:r w:rsidRPr="008028EB">
        <w:t xml:space="preserve">Five published clinical studies ( in which the effect of chronic administration of low doses of </w:t>
      </w:r>
      <w:proofErr w:type="spellStart"/>
      <w:r w:rsidRPr="008028EB">
        <w:t>doxycycline</w:t>
      </w:r>
      <w:proofErr w:type="spellEnd"/>
      <w:r w:rsidRPr="008028EB">
        <w:t xml:space="preserve"> on antimicrobial resistance was examined: Thomas </w:t>
      </w:r>
      <w:r w:rsidR="00A23E93" w:rsidRPr="00AA6927">
        <w:rPr>
          <w:i/>
        </w:rPr>
        <w:t>et al.</w:t>
      </w:r>
      <w:r w:rsidRPr="008028EB">
        <w:t xml:space="preserve"> (1998), Walker </w:t>
      </w:r>
      <w:r w:rsidR="00A23E93" w:rsidRPr="00AA6927">
        <w:rPr>
          <w:i/>
        </w:rPr>
        <w:t>et al.</w:t>
      </w:r>
      <w:r w:rsidRPr="008028EB">
        <w:t xml:space="preserve"> (2000), Thomas </w:t>
      </w:r>
      <w:r w:rsidR="00A23E93" w:rsidRPr="00AA6927">
        <w:rPr>
          <w:i/>
        </w:rPr>
        <w:t>et al.</w:t>
      </w:r>
      <w:r w:rsidRPr="008028EB">
        <w:t xml:space="preserve"> (2000), Skidmore </w:t>
      </w:r>
      <w:r w:rsidR="00A23E93" w:rsidRPr="00AA6927">
        <w:rPr>
          <w:i/>
        </w:rPr>
        <w:t>et al.</w:t>
      </w:r>
      <w:r w:rsidRPr="008028EB">
        <w:t xml:space="preserve"> (2003) and Walker </w:t>
      </w:r>
      <w:r w:rsidR="00A23E93" w:rsidRPr="00AA6927">
        <w:rPr>
          <w:i/>
        </w:rPr>
        <w:t>et al.</w:t>
      </w:r>
      <w:r w:rsidRPr="008028EB">
        <w:t xml:space="preserve"> (2005).</w:t>
      </w:r>
    </w:p>
    <w:p w:rsidR="00534BB4" w:rsidRPr="008028EB" w:rsidRDefault="00534BB4" w:rsidP="008028EB">
      <w:pPr>
        <w:pStyle w:val="ListBullet2"/>
      </w:pPr>
      <w:r w:rsidRPr="008028EB">
        <w:t xml:space="preserve">Three </w:t>
      </w:r>
      <w:proofErr w:type="gramStart"/>
      <w:r w:rsidRPr="008028EB">
        <w:t>phase</w:t>
      </w:r>
      <w:proofErr w:type="gramEnd"/>
      <w:r w:rsidRPr="008028EB">
        <w:t xml:space="preserve"> III, placebo-controlled studies in patients with </w:t>
      </w:r>
      <w:proofErr w:type="spellStart"/>
      <w:r w:rsidRPr="008028EB">
        <w:t>rosacea</w:t>
      </w:r>
      <w:proofErr w:type="spellEnd"/>
      <w:r w:rsidRPr="008028EB">
        <w:t xml:space="preserve">: 2 with </w:t>
      </w:r>
      <w:proofErr w:type="spellStart"/>
      <w:r w:rsidRPr="008028EB">
        <w:t>Oracea</w:t>
      </w:r>
      <w:proofErr w:type="spellEnd"/>
      <w:r w:rsidRPr="008028EB">
        <w:t xml:space="preserve"> (COL-101-ROSE-301 and COL-101-ROSE-302) and 1 with a different product (DERM-303).</w:t>
      </w:r>
    </w:p>
    <w:p w:rsidR="00534BB4" w:rsidRDefault="00534BB4" w:rsidP="00AA6927">
      <w:r>
        <w:t>The level of detail provided in these study reports was as follows:</w:t>
      </w:r>
    </w:p>
    <w:p w:rsidR="00534BB4" w:rsidRPr="008028EB" w:rsidRDefault="00534BB4" w:rsidP="004626E1">
      <w:pPr>
        <w:pStyle w:val="ListBullet2"/>
      </w:pPr>
      <w:r w:rsidRPr="008028EB">
        <w:t xml:space="preserve">110801: A brief report only, lacking protocol and individual subject measurements. The document was not indexed, and referred extensively to documentation which was not presented. </w:t>
      </w:r>
      <w:proofErr w:type="spellStart"/>
      <w:r w:rsidR="00152865" w:rsidRPr="008028EB">
        <w:t>Th</w:t>
      </w:r>
      <w:proofErr w:type="spellEnd"/>
      <w:r w:rsidR="00152865" w:rsidRPr="008028EB">
        <w:t xml:space="preserve"> evaluator</w:t>
      </w:r>
      <w:r w:rsidR="004626E1">
        <w:t xml:space="preserve"> considered it </w:t>
      </w:r>
      <w:proofErr w:type="spellStart"/>
      <w:r w:rsidR="004626E1">
        <w:t>unevaluable</w:t>
      </w:r>
      <w:proofErr w:type="spellEnd"/>
      <w:r w:rsidR="004626E1">
        <w:t>.</w:t>
      </w:r>
    </w:p>
    <w:p w:rsidR="00534BB4" w:rsidRPr="008028EB" w:rsidRDefault="00534BB4" w:rsidP="008028EB">
      <w:pPr>
        <w:pStyle w:val="ListBullet2"/>
      </w:pPr>
      <w:r w:rsidRPr="008028EB">
        <w:lastRenderedPageBreak/>
        <w:t>COL-101-SDPK-105, PERIO-DOXYSR-103, PERIO-DOXYSR-104 and COL-101-SSPK-106: Full reports.</w:t>
      </w:r>
    </w:p>
    <w:p w:rsidR="00534BB4" w:rsidRPr="008028EB" w:rsidRDefault="00534BB4" w:rsidP="008028EB">
      <w:pPr>
        <w:pStyle w:val="ListBullet2"/>
      </w:pPr>
      <w:r w:rsidRPr="008028EB">
        <w:t xml:space="preserve">Thomas </w:t>
      </w:r>
      <w:r w:rsidR="00A23E93" w:rsidRPr="008028EB">
        <w:t>et al.</w:t>
      </w:r>
      <w:r w:rsidRPr="008028EB">
        <w:t xml:space="preserve"> (1998), Walker </w:t>
      </w:r>
      <w:r w:rsidR="00A23E93" w:rsidRPr="008028EB">
        <w:t>et al.</w:t>
      </w:r>
      <w:r w:rsidRPr="008028EB">
        <w:t xml:space="preserve"> (2000), Thomas </w:t>
      </w:r>
      <w:r w:rsidR="00A23E93" w:rsidRPr="008028EB">
        <w:t>et al.</w:t>
      </w:r>
      <w:r w:rsidRPr="008028EB">
        <w:t xml:space="preserve"> (2000) and Walker </w:t>
      </w:r>
      <w:r w:rsidR="00A23E93" w:rsidRPr="008028EB">
        <w:t>et al.</w:t>
      </w:r>
      <w:r w:rsidRPr="008028EB">
        <w:t xml:space="preserve"> (2005): Brief published reports including data from apparently overlapping studies. I considered this material </w:t>
      </w:r>
      <w:proofErr w:type="spellStart"/>
      <w:r w:rsidRPr="008028EB">
        <w:t>unevalua</w:t>
      </w:r>
      <w:r w:rsidR="004626E1">
        <w:t>ble</w:t>
      </w:r>
      <w:proofErr w:type="spellEnd"/>
      <w:r w:rsidR="004626E1">
        <w:t>.</w:t>
      </w:r>
    </w:p>
    <w:p w:rsidR="00534BB4" w:rsidRPr="008028EB" w:rsidRDefault="00534BB4" w:rsidP="008028EB">
      <w:pPr>
        <w:pStyle w:val="ListBullet2"/>
      </w:pPr>
      <w:r w:rsidRPr="008028EB">
        <w:t xml:space="preserve">Skidmore </w:t>
      </w:r>
      <w:r w:rsidR="00A23E93" w:rsidRPr="008028EB">
        <w:t>et al.</w:t>
      </w:r>
      <w:r w:rsidRPr="008028EB">
        <w:t xml:space="preserve"> (2003): A brief published report.</w:t>
      </w:r>
    </w:p>
    <w:p w:rsidR="00534BB4" w:rsidRPr="008028EB" w:rsidRDefault="00534BB4" w:rsidP="008028EB">
      <w:pPr>
        <w:pStyle w:val="ListBullet2"/>
      </w:pPr>
      <w:r w:rsidRPr="008028EB">
        <w:t>COL-101-ROSE-301 and COL-101-ROSE-302: Full reports.</w:t>
      </w:r>
    </w:p>
    <w:p w:rsidR="00534BB4" w:rsidRDefault="00534BB4" w:rsidP="008028EB">
      <w:pPr>
        <w:pStyle w:val="ListBullet2"/>
      </w:pPr>
      <w:r w:rsidRPr="008028EB">
        <w:t>DERM-303: A brief report.</w:t>
      </w:r>
    </w:p>
    <w:p w:rsidR="00534BB4" w:rsidRPr="008028EB" w:rsidRDefault="00534BB4" w:rsidP="004626E1">
      <w:pPr>
        <w:pStyle w:val="ListBullet"/>
      </w:pPr>
      <w:r w:rsidRPr="008028EB">
        <w:t>Module 1</w:t>
      </w:r>
    </w:p>
    <w:p w:rsidR="00534BB4" w:rsidRPr="008028EB" w:rsidRDefault="00534BB4" w:rsidP="004626E1">
      <w:pPr>
        <w:pStyle w:val="ListBullet2"/>
      </w:pPr>
      <w:r w:rsidRPr="008028EB">
        <w:t>Application letter, application form, draft Australian PI and CMI, approved foreign PI; voluminous material relating to considerations by foreign regulatory authorities.</w:t>
      </w:r>
    </w:p>
    <w:p w:rsidR="00534BB4" w:rsidRPr="008028EB" w:rsidRDefault="00534BB4" w:rsidP="008028EB">
      <w:pPr>
        <w:pStyle w:val="ListBullet"/>
      </w:pPr>
      <w:r w:rsidRPr="008028EB">
        <w:t>Module 2</w:t>
      </w:r>
    </w:p>
    <w:p w:rsidR="00534BB4" w:rsidRPr="008028EB" w:rsidRDefault="00534BB4" w:rsidP="008028EB">
      <w:pPr>
        <w:pStyle w:val="ListBullet2"/>
      </w:pPr>
      <w:r w:rsidRPr="008028EB">
        <w:t>Clinical Overview, Clinical Summary.</w:t>
      </w:r>
    </w:p>
    <w:p w:rsidR="00534BB4" w:rsidRDefault="00534BB4" w:rsidP="00534BB4">
      <w:r w:rsidRPr="00F55369">
        <w:rPr>
          <w:b/>
        </w:rPr>
        <w:t>Note.</w:t>
      </w:r>
      <w:r>
        <w:t xml:space="preserve"> For brevity, study numbers will often be abbreviated to the last 3 digits.</w:t>
      </w:r>
    </w:p>
    <w:p w:rsidR="00586F98" w:rsidRDefault="004626E1" w:rsidP="00586F98">
      <w:pPr>
        <w:pStyle w:val="Heading3"/>
      </w:pPr>
      <w:bookmarkStart w:id="16" w:name="_Toc366439567"/>
      <w:r>
        <w:t>Good cl</w:t>
      </w:r>
      <w:r w:rsidR="00586F98">
        <w:t>inical practice</w:t>
      </w:r>
      <w:r w:rsidR="00152865">
        <w:t xml:space="preserve"> (GCP)</w:t>
      </w:r>
      <w:bookmarkEnd w:id="16"/>
    </w:p>
    <w:p w:rsidR="00152865" w:rsidRDefault="00534BB4" w:rsidP="00152865">
      <w:bookmarkStart w:id="17" w:name="_Toc241374282"/>
      <w:r>
        <w:t xml:space="preserve">Routine GCP certification was presented for the following studies: </w:t>
      </w:r>
      <w:bookmarkEnd w:id="17"/>
      <w:r>
        <w:t>COL-101-SDPK-105,</w:t>
      </w:r>
      <w:r w:rsidR="002A418E">
        <w:t xml:space="preserve"> </w:t>
      </w:r>
      <w:r>
        <w:t>PERIO-DOXYSR-103, PERIO-DOXYSR-104, COL-101-SSPK-106, COL-101-ROSE-301,</w:t>
      </w:r>
      <w:r w:rsidR="002A418E">
        <w:t xml:space="preserve"> </w:t>
      </w:r>
      <w:r>
        <w:t>COL-101-ROSE-302 and DERM-303.</w:t>
      </w:r>
    </w:p>
    <w:p w:rsidR="00534BB4" w:rsidRDefault="00152865" w:rsidP="00152865">
      <w:r>
        <w:t>GCP was not mentioned in any of the published reports, or in the report of Study 110801.</w:t>
      </w:r>
    </w:p>
    <w:p w:rsidR="00586F98" w:rsidRDefault="00586F98" w:rsidP="004626E1">
      <w:pPr>
        <w:pStyle w:val="Heading2"/>
      </w:pPr>
      <w:bookmarkStart w:id="18" w:name="_Toc355338639"/>
      <w:bookmarkStart w:id="19" w:name="_Toc366439568"/>
      <w:r>
        <w:t>Pharmacokinetics</w:t>
      </w:r>
      <w:bookmarkEnd w:id="18"/>
      <w:bookmarkEnd w:id="19"/>
    </w:p>
    <w:p w:rsidR="00534BB4" w:rsidRDefault="002A418E" w:rsidP="004626E1">
      <w:pPr>
        <w:pStyle w:val="Heading3"/>
      </w:pPr>
      <w:bookmarkStart w:id="20" w:name="_Ref271017296"/>
      <w:bookmarkStart w:id="21" w:name="_Ref271018924"/>
      <w:bookmarkStart w:id="22" w:name="_Ref271018934"/>
      <w:bookmarkStart w:id="23" w:name="_Toc272414614"/>
      <w:bookmarkStart w:id="24" w:name="_Toc273018177"/>
      <w:bookmarkStart w:id="25" w:name="_Toc348527472"/>
      <w:bookmarkStart w:id="26" w:name="_Toc366439569"/>
      <w:r>
        <w:t>Studies</w:t>
      </w:r>
      <w:bookmarkEnd w:id="20"/>
      <w:bookmarkEnd w:id="21"/>
      <w:bookmarkEnd w:id="22"/>
      <w:r w:rsidR="00136782">
        <w:t xml:space="preserve"> p</w:t>
      </w:r>
      <w:r>
        <w:t xml:space="preserve">roviding </w:t>
      </w:r>
      <w:r w:rsidR="00136782">
        <w:t>p</w:t>
      </w:r>
      <w:r>
        <w:t xml:space="preserve">harmacokinetic </w:t>
      </w:r>
      <w:r w:rsidR="00136782">
        <w:t>d</w:t>
      </w:r>
      <w:r>
        <w:t>ata</w:t>
      </w:r>
      <w:bookmarkEnd w:id="23"/>
      <w:bookmarkEnd w:id="24"/>
      <w:bookmarkEnd w:id="25"/>
      <w:bookmarkEnd w:id="26"/>
    </w:p>
    <w:p w:rsidR="00534BB4" w:rsidRPr="00152865" w:rsidRDefault="00152865" w:rsidP="004626E1">
      <w:r w:rsidRPr="00152865">
        <w:t>Table 1</w:t>
      </w:r>
      <w:r w:rsidR="00534BB4" w:rsidRPr="00152865">
        <w:t xml:space="preserve"> shows the studies relating to each pharmacokinetic topic and the location of each study summary.</w:t>
      </w:r>
    </w:p>
    <w:p w:rsidR="00534BB4" w:rsidRDefault="00534BB4" w:rsidP="008028EB">
      <w:pPr>
        <w:pStyle w:val="TableTitle"/>
      </w:pPr>
      <w:bookmarkStart w:id="27" w:name="_Ref272426277"/>
      <w:bookmarkStart w:id="28" w:name="_Toc291955324"/>
      <w:bookmarkStart w:id="29" w:name="_Toc292027089"/>
      <w:bookmarkStart w:id="30" w:name="_Toc292206535"/>
      <w:proofErr w:type="gramStart"/>
      <w:r>
        <w:lastRenderedPageBreak/>
        <w:t>Table</w:t>
      </w:r>
      <w:bookmarkEnd w:id="27"/>
      <w:r w:rsidR="002A418E">
        <w:t xml:space="preserve"> 1</w:t>
      </w:r>
      <w:r>
        <w:t>.</w:t>
      </w:r>
      <w:proofErr w:type="gramEnd"/>
      <w:r>
        <w:t xml:space="preserve"> </w:t>
      </w:r>
      <w:proofErr w:type="gramStart"/>
      <w:r>
        <w:t>Submitted pharmacokinetic studies.</w:t>
      </w:r>
      <w:bookmarkEnd w:id="28"/>
      <w:bookmarkEnd w:id="29"/>
      <w:bookmarkEnd w:id="30"/>
      <w:proofErr w:type="gramEnd"/>
    </w:p>
    <w:tbl>
      <w:tblPr>
        <w:tblW w:w="7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544"/>
        <w:gridCol w:w="2409"/>
        <w:gridCol w:w="416"/>
      </w:tblGrid>
      <w:tr w:rsidR="00152865" w:rsidTr="008028EB">
        <w:trPr>
          <w:tblHeader/>
        </w:trPr>
        <w:tc>
          <w:tcPr>
            <w:tcW w:w="1526" w:type="dxa"/>
            <w:shd w:val="clear" w:color="auto" w:fill="0070C0"/>
          </w:tcPr>
          <w:p w:rsidR="00152865" w:rsidRPr="00152865" w:rsidRDefault="00152865" w:rsidP="002A418E">
            <w:pPr>
              <w:keepNext/>
              <w:rPr>
                <w:b/>
                <w:color w:val="FFFFFF" w:themeColor="background1"/>
                <w:sz w:val="20"/>
                <w:szCs w:val="20"/>
              </w:rPr>
            </w:pPr>
            <w:r w:rsidRPr="00152865">
              <w:rPr>
                <w:b/>
                <w:color w:val="FFFFFF" w:themeColor="background1"/>
                <w:sz w:val="20"/>
                <w:szCs w:val="20"/>
              </w:rPr>
              <w:t>PK topic</w:t>
            </w:r>
          </w:p>
        </w:tc>
        <w:tc>
          <w:tcPr>
            <w:tcW w:w="3544" w:type="dxa"/>
            <w:shd w:val="clear" w:color="auto" w:fill="0070C0"/>
          </w:tcPr>
          <w:p w:rsidR="00152865" w:rsidRPr="00152865" w:rsidRDefault="00152865" w:rsidP="002A418E">
            <w:pPr>
              <w:keepNext/>
              <w:rPr>
                <w:b/>
                <w:color w:val="FFFFFF" w:themeColor="background1"/>
                <w:sz w:val="20"/>
                <w:szCs w:val="20"/>
              </w:rPr>
            </w:pPr>
            <w:r w:rsidRPr="00152865">
              <w:rPr>
                <w:b/>
                <w:color w:val="FFFFFF" w:themeColor="background1"/>
                <w:sz w:val="20"/>
                <w:szCs w:val="20"/>
              </w:rPr>
              <w:t>Subtopic</w:t>
            </w:r>
          </w:p>
        </w:tc>
        <w:tc>
          <w:tcPr>
            <w:tcW w:w="2409" w:type="dxa"/>
            <w:shd w:val="clear" w:color="auto" w:fill="0070C0"/>
          </w:tcPr>
          <w:p w:rsidR="00152865" w:rsidRPr="00152865" w:rsidRDefault="00152865" w:rsidP="002A418E">
            <w:pPr>
              <w:keepNext/>
              <w:rPr>
                <w:b/>
                <w:color w:val="FFFFFF" w:themeColor="background1"/>
                <w:sz w:val="20"/>
                <w:szCs w:val="20"/>
              </w:rPr>
            </w:pPr>
            <w:r w:rsidRPr="00152865">
              <w:rPr>
                <w:b/>
                <w:color w:val="FFFFFF" w:themeColor="background1"/>
                <w:sz w:val="20"/>
                <w:szCs w:val="20"/>
              </w:rPr>
              <w:t>Study ID</w:t>
            </w:r>
          </w:p>
        </w:tc>
        <w:tc>
          <w:tcPr>
            <w:tcW w:w="416" w:type="dxa"/>
            <w:shd w:val="clear" w:color="auto" w:fill="0070C0"/>
          </w:tcPr>
          <w:p w:rsidR="00152865" w:rsidRPr="00152865" w:rsidRDefault="00152865" w:rsidP="002A418E">
            <w:pPr>
              <w:keepNext/>
              <w:jc w:val="center"/>
              <w:rPr>
                <w:b/>
                <w:color w:val="FFFFFF" w:themeColor="background1"/>
                <w:sz w:val="20"/>
                <w:szCs w:val="20"/>
              </w:rPr>
            </w:pPr>
            <w:r w:rsidRPr="00152865">
              <w:rPr>
                <w:b/>
                <w:color w:val="FFFFFF" w:themeColor="background1"/>
                <w:sz w:val="20"/>
                <w:szCs w:val="20"/>
              </w:rPr>
              <w:t>*</w:t>
            </w:r>
          </w:p>
        </w:tc>
      </w:tr>
      <w:tr w:rsidR="00152865" w:rsidTr="00152865">
        <w:tc>
          <w:tcPr>
            <w:tcW w:w="1526" w:type="dxa"/>
            <w:vMerge w:val="restart"/>
          </w:tcPr>
          <w:p w:rsidR="00152865" w:rsidRPr="000800CC" w:rsidRDefault="00152865" w:rsidP="004626E1">
            <w:pPr>
              <w:keepNext/>
              <w:rPr>
                <w:b/>
                <w:sz w:val="20"/>
                <w:szCs w:val="20"/>
              </w:rPr>
            </w:pPr>
            <w:r>
              <w:rPr>
                <w:b/>
                <w:sz w:val="20"/>
                <w:szCs w:val="20"/>
              </w:rPr>
              <w:t>PK in healthy a</w:t>
            </w:r>
            <w:r w:rsidRPr="000800CC">
              <w:rPr>
                <w:b/>
                <w:sz w:val="20"/>
                <w:szCs w:val="20"/>
              </w:rPr>
              <w:t>dults</w:t>
            </w:r>
          </w:p>
        </w:tc>
        <w:tc>
          <w:tcPr>
            <w:tcW w:w="3544" w:type="dxa"/>
            <w:tcBorders>
              <w:bottom w:val="nil"/>
              <w:right w:val="nil"/>
            </w:tcBorders>
          </w:tcPr>
          <w:p w:rsidR="00152865" w:rsidRPr="000800CC" w:rsidRDefault="00152865" w:rsidP="002A418E">
            <w:pPr>
              <w:keepNext/>
              <w:rPr>
                <w:sz w:val="20"/>
                <w:szCs w:val="20"/>
              </w:rPr>
            </w:pPr>
            <w:r w:rsidRPr="000800CC">
              <w:rPr>
                <w:sz w:val="20"/>
                <w:szCs w:val="20"/>
              </w:rPr>
              <w:t>General PK</w:t>
            </w:r>
            <w:r w:rsidRPr="000800CC">
              <w:rPr>
                <w:sz w:val="20"/>
                <w:szCs w:val="20"/>
              </w:rPr>
              <w:tab/>
              <w:t>- Single dose</w:t>
            </w:r>
          </w:p>
        </w:tc>
        <w:tc>
          <w:tcPr>
            <w:tcW w:w="2409" w:type="dxa"/>
            <w:tcBorders>
              <w:bottom w:val="nil"/>
            </w:tcBorders>
          </w:tcPr>
          <w:p w:rsidR="00152865" w:rsidRPr="000800CC" w:rsidRDefault="00152865" w:rsidP="002A418E">
            <w:pPr>
              <w:keepNext/>
              <w:rPr>
                <w:sz w:val="20"/>
                <w:szCs w:val="20"/>
              </w:rPr>
            </w:pPr>
            <w:r>
              <w:rPr>
                <w:sz w:val="20"/>
                <w:szCs w:val="20"/>
              </w:rPr>
              <w:t>110801</w:t>
            </w:r>
          </w:p>
        </w:tc>
        <w:tc>
          <w:tcPr>
            <w:tcW w:w="416" w:type="dxa"/>
            <w:tcBorders>
              <w:bottom w:val="nil"/>
            </w:tcBorders>
          </w:tcPr>
          <w:p w:rsidR="00152865" w:rsidRPr="000800CC" w:rsidRDefault="00152865" w:rsidP="002A418E">
            <w:pPr>
              <w:keepNext/>
              <w:jc w:val="center"/>
              <w:rPr>
                <w:sz w:val="20"/>
                <w:szCs w:val="20"/>
              </w:rPr>
            </w:pPr>
            <w:r>
              <w:rPr>
                <w:sz w:val="20"/>
                <w:szCs w:val="20"/>
              </w:rPr>
              <w:t>*</w:t>
            </w:r>
          </w:p>
        </w:tc>
      </w:tr>
      <w:tr w:rsidR="00152865" w:rsidTr="00152865">
        <w:tc>
          <w:tcPr>
            <w:tcW w:w="1526" w:type="dxa"/>
            <w:vMerge/>
          </w:tcPr>
          <w:p w:rsidR="00152865" w:rsidRPr="000800CC" w:rsidRDefault="00152865" w:rsidP="00152865">
            <w:pPr>
              <w:keepNext/>
              <w:rPr>
                <w:b/>
                <w:sz w:val="20"/>
                <w:szCs w:val="20"/>
              </w:rPr>
            </w:pPr>
          </w:p>
        </w:tc>
        <w:tc>
          <w:tcPr>
            <w:tcW w:w="3544" w:type="dxa"/>
            <w:tcBorders>
              <w:top w:val="nil"/>
              <w:bottom w:val="nil"/>
              <w:right w:val="nil"/>
            </w:tcBorders>
          </w:tcPr>
          <w:p w:rsidR="00152865" w:rsidRPr="000800CC" w:rsidRDefault="00152865" w:rsidP="00152865">
            <w:pPr>
              <w:keepNext/>
              <w:rPr>
                <w:sz w:val="20"/>
                <w:szCs w:val="20"/>
              </w:rPr>
            </w:pPr>
          </w:p>
        </w:tc>
        <w:tc>
          <w:tcPr>
            <w:tcW w:w="2409" w:type="dxa"/>
            <w:tcBorders>
              <w:top w:val="nil"/>
              <w:bottom w:val="nil"/>
            </w:tcBorders>
          </w:tcPr>
          <w:p w:rsidR="00152865" w:rsidRDefault="00152865" w:rsidP="00152865">
            <w:pPr>
              <w:keepNext/>
              <w:rPr>
                <w:sz w:val="20"/>
                <w:szCs w:val="20"/>
              </w:rPr>
            </w:pPr>
            <w:r w:rsidRPr="00CC3E02">
              <w:rPr>
                <w:sz w:val="20"/>
                <w:szCs w:val="20"/>
              </w:rPr>
              <w:t>COL-101-SDPK-105</w:t>
            </w:r>
          </w:p>
        </w:tc>
        <w:tc>
          <w:tcPr>
            <w:tcW w:w="416" w:type="dxa"/>
            <w:tcBorders>
              <w:top w:val="nil"/>
              <w:bottom w:val="nil"/>
            </w:tcBorders>
          </w:tcPr>
          <w:p w:rsidR="00152865" w:rsidRDefault="00152865" w:rsidP="00152865">
            <w:pPr>
              <w:keepNext/>
              <w:jc w:val="center"/>
              <w:rPr>
                <w:sz w:val="20"/>
                <w:szCs w:val="20"/>
              </w:rPr>
            </w:pPr>
          </w:p>
        </w:tc>
      </w:tr>
      <w:tr w:rsidR="00152865" w:rsidTr="00152865">
        <w:tc>
          <w:tcPr>
            <w:tcW w:w="1526" w:type="dxa"/>
            <w:vMerge/>
          </w:tcPr>
          <w:p w:rsidR="00152865" w:rsidRPr="000800CC" w:rsidRDefault="00152865" w:rsidP="00152865">
            <w:pPr>
              <w:keepNext/>
              <w:rPr>
                <w:b/>
                <w:sz w:val="20"/>
                <w:szCs w:val="20"/>
              </w:rPr>
            </w:pPr>
          </w:p>
        </w:tc>
        <w:tc>
          <w:tcPr>
            <w:tcW w:w="3544" w:type="dxa"/>
            <w:tcBorders>
              <w:top w:val="nil"/>
              <w:bottom w:val="nil"/>
              <w:right w:val="nil"/>
            </w:tcBorders>
          </w:tcPr>
          <w:p w:rsidR="00152865" w:rsidRPr="000800CC" w:rsidRDefault="00152865" w:rsidP="00152865">
            <w:pPr>
              <w:keepNext/>
              <w:rPr>
                <w:sz w:val="20"/>
                <w:szCs w:val="20"/>
              </w:rPr>
            </w:pPr>
          </w:p>
        </w:tc>
        <w:tc>
          <w:tcPr>
            <w:tcW w:w="2409" w:type="dxa"/>
            <w:tcBorders>
              <w:top w:val="nil"/>
              <w:bottom w:val="nil"/>
            </w:tcBorders>
          </w:tcPr>
          <w:p w:rsidR="00152865" w:rsidRPr="000800CC" w:rsidRDefault="00152865" w:rsidP="00152865">
            <w:pPr>
              <w:keepNext/>
              <w:rPr>
                <w:sz w:val="20"/>
                <w:szCs w:val="20"/>
              </w:rPr>
            </w:pPr>
            <w:r>
              <w:rPr>
                <w:sz w:val="20"/>
                <w:szCs w:val="20"/>
              </w:rPr>
              <w:t>PERIO-DOXYSR-103</w:t>
            </w:r>
          </w:p>
        </w:tc>
        <w:tc>
          <w:tcPr>
            <w:tcW w:w="416" w:type="dxa"/>
            <w:tcBorders>
              <w:top w:val="nil"/>
              <w:bottom w:val="nil"/>
            </w:tcBorders>
          </w:tcPr>
          <w:p w:rsidR="00152865" w:rsidRPr="000800CC" w:rsidRDefault="00152865" w:rsidP="00152865">
            <w:pPr>
              <w:keepNext/>
              <w:jc w:val="center"/>
              <w:rPr>
                <w:sz w:val="20"/>
                <w:szCs w:val="20"/>
              </w:rPr>
            </w:pPr>
            <w:r>
              <w:rPr>
                <w:sz w:val="20"/>
                <w:szCs w:val="20"/>
              </w:rPr>
              <w:t>*</w:t>
            </w:r>
          </w:p>
        </w:tc>
      </w:tr>
      <w:tr w:rsidR="00152865" w:rsidTr="00152865">
        <w:tc>
          <w:tcPr>
            <w:tcW w:w="1526" w:type="dxa"/>
            <w:vMerge/>
          </w:tcPr>
          <w:p w:rsidR="00152865" w:rsidRPr="000800CC" w:rsidRDefault="00152865" w:rsidP="00152865">
            <w:pPr>
              <w:keepNext/>
              <w:rPr>
                <w:b/>
                <w:sz w:val="20"/>
                <w:szCs w:val="20"/>
              </w:rPr>
            </w:pPr>
          </w:p>
        </w:tc>
        <w:tc>
          <w:tcPr>
            <w:tcW w:w="3544" w:type="dxa"/>
            <w:tcBorders>
              <w:top w:val="nil"/>
              <w:bottom w:val="nil"/>
              <w:right w:val="nil"/>
            </w:tcBorders>
          </w:tcPr>
          <w:p w:rsidR="00152865" w:rsidRPr="000800CC" w:rsidRDefault="00152865" w:rsidP="00152865">
            <w:pPr>
              <w:keepNext/>
              <w:rPr>
                <w:sz w:val="20"/>
                <w:szCs w:val="20"/>
              </w:rPr>
            </w:pPr>
          </w:p>
        </w:tc>
        <w:tc>
          <w:tcPr>
            <w:tcW w:w="2409" w:type="dxa"/>
            <w:tcBorders>
              <w:top w:val="nil"/>
              <w:bottom w:val="nil"/>
            </w:tcBorders>
          </w:tcPr>
          <w:p w:rsidR="00152865" w:rsidRPr="000800CC" w:rsidRDefault="00152865" w:rsidP="00152865">
            <w:pPr>
              <w:keepNext/>
              <w:rPr>
                <w:sz w:val="20"/>
                <w:szCs w:val="20"/>
              </w:rPr>
            </w:pPr>
          </w:p>
        </w:tc>
        <w:tc>
          <w:tcPr>
            <w:tcW w:w="416" w:type="dxa"/>
            <w:tcBorders>
              <w:top w:val="nil"/>
              <w:bottom w:val="nil"/>
            </w:tcBorders>
          </w:tcPr>
          <w:p w:rsidR="00152865" w:rsidRPr="000800CC" w:rsidRDefault="00152865" w:rsidP="00152865">
            <w:pPr>
              <w:keepNext/>
              <w:jc w:val="center"/>
              <w:rPr>
                <w:sz w:val="20"/>
                <w:szCs w:val="20"/>
              </w:rPr>
            </w:pPr>
          </w:p>
        </w:tc>
      </w:tr>
      <w:tr w:rsidR="00152865" w:rsidTr="00152865">
        <w:tc>
          <w:tcPr>
            <w:tcW w:w="1526" w:type="dxa"/>
            <w:vMerge/>
          </w:tcPr>
          <w:p w:rsidR="00152865" w:rsidRPr="000800CC" w:rsidRDefault="00152865" w:rsidP="00152865">
            <w:pPr>
              <w:keepNext/>
              <w:rPr>
                <w:b/>
                <w:sz w:val="20"/>
                <w:szCs w:val="20"/>
              </w:rPr>
            </w:pPr>
          </w:p>
        </w:tc>
        <w:tc>
          <w:tcPr>
            <w:tcW w:w="3544" w:type="dxa"/>
            <w:tcBorders>
              <w:top w:val="nil"/>
              <w:bottom w:val="nil"/>
              <w:right w:val="nil"/>
            </w:tcBorders>
          </w:tcPr>
          <w:p w:rsidR="00152865" w:rsidRPr="000800CC" w:rsidRDefault="00152865" w:rsidP="00152865">
            <w:pPr>
              <w:keepNext/>
              <w:rPr>
                <w:sz w:val="20"/>
                <w:szCs w:val="20"/>
              </w:rPr>
            </w:pPr>
            <w:r w:rsidRPr="000800CC">
              <w:rPr>
                <w:sz w:val="20"/>
                <w:szCs w:val="20"/>
              </w:rPr>
              <w:t>Multi-dose</w:t>
            </w:r>
          </w:p>
        </w:tc>
        <w:tc>
          <w:tcPr>
            <w:tcW w:w="2409" w:type="dxa"/>
            <w:tcBorders>
              <w:top w:val="nil"/>
              <w:bottom w:val="nil"/>
            </w:tcBorders>
          </w:tcPr>
          <w:p w:rsidR="00152865" w:rsidRPr="000800CC" w:rsidRDefault="00152865" w:rsidP="00152865">
            <w:pPr>
              <w:keepNext/>
              <w:rPr>
                <w:sz w:val="20"/>
                <w:szCs w:val="20"/>
              </w:rPr>
            </w:pPr>
            <w:r>
              <w:rPr>
                <w:sz w:val="20"/>
                <w:szCs w:val="20"/>
              </w:rPr>
              <w:t>PERIO-DOXYSR-104</w:t>
            </w:r>
          </w:p>
        </w:tc>
        <w:tc>
          <w:tcPr>
            <w:tcW w:w="416" w:type="dxa"/>
            <w:tcBorders>
              <w:top w:val="nil"/>
              <w:bottom w:val="nil"/>
            </w:tcBorders>
          </w:tcPr>
          <w:p w:rsidR="00152865" w:rsidRPr="000800CC" w:rsidRDefault="00152865" w:rsidP="00152865">
            <w:pPr>
              <w:keepNext/>
              <w:jc w:val="center"/>
              <w:rPr>
                <w:sz w:val="20"/>
                <w:szCs w:val="20"/>
              </w:rPr>
            </w:pPr>
            <w:r>
              <w:rPr>
                <w:sz w:val="20"/>
                <w:szCs w:val="20"/>
              </w:rPr>
              <w:t>*</w:t>
            </w:r>
          </w:p>
        </w:tc>
      </w:tr>
      <w:tr w:rsidR="00152865" w:rsidTr="00152865">
        <w:tc>
          <w:tcPr>
            <w:tcW w:w="1526" w:type="dxa"/>
            <w:vMerge/>
          </w:tcPr>
          <w:p w:rsidR="00152865" w:rsidRPr="000800CC" w:rsidRDefault="00152865" w:rsidP="00152865">
            <w:pPr>
              <w:keepNext/>
              <w:rPr>
                <w:b/>
                <w:sz w:val="20"/>
                <w:szCs w:val="20"/>
              </w:rPr>
            </w:pPr>
          </w:p>
        </w:tc>
        <w:tc>
          <w:tcPr>
            <w:tcW w:w="3544" w:type="dxa"/>
            <w:tcBorders>
              <w:top w:val="nil"/>
              <w:bottom w:val="nil"/>
              <w:right w:val="nil"/>
            </w:tcBorders>
          </w:tcPr>
          <w:p w:rsidR="00152865" w:rsidRPr="000800CC" w:rsidRDefault="00152865" w:rsidP="00152865">
            <w:pPr>
              <w:keepNext/>
              <w:rPr>
                <w:sz w:val="20"/>
                <w:szCs w:val="20"/>
              </w:rPr>
            </w:pPr>
          </w:p>
        </w:tc>
        <w:tc>
          <w:tcPr>
            <w:tcW w:w="2409" w:type="dxa"/>
            <w:tcBorders>
              <w:top w:val="nil"/>
              <w:bottom w:val="nil"/>
            </w:tcBorders>
          </w:tcPr>
          <w:p w:rsidR="00152865" w:rsidRPr="000800CC" w:rsidRDefault="00152865" w:rsidP="00152865">
            <w:pPr>
              <w:keepNext/>
              <w:rPr>
                <w:sz w:val="20"/>
                <w:szCs w:val="20"/>
              </w:rPr>
            </w:pPr>
            <w:r>
              <w:rPr>
                <w:sz w:val="20"/>
                <w:szCs w:val="20"/>
              </w:rPr>
              <w:t>COL-101-SSPK-106</w:t>
            </w:r>
          </w:p>
        </w:tc>
        <w:tc>
          <w:tcPr>
            <w:tcW w:w="416" w:type="dxa"/>
            <w:tcBorders>
              <w:top w:val="nil"/>
              <w:bottom w:val="nil"/>
            </w:tcBorders>
          </w:tcPr>
          <w:p w:rsidR="00152865" w:rsidRPr="000800CC" w:rsidRDefault="00152865" w:rsidP="00152865">
            <w:pPr>
              <w:keepNext/>
              <w:jc w:val="center"/>
              <w:rPr>
                <w:sz w:val="20"/>
                <w:szCs w:val="20"/>
              </w:rPr>
            </w:pPr>
            <w:r>
              <w:rPr>
                <w:sz w:val="20"/>
                <w:szCs w:val="20"/>
              </w:rPr>
              <w:t>*</w:t>
            </w:r>
          </w:p>
        </w:tc>
      </w:tr>
      <w:tr w:rsidR="00152865" w:rsidTr="00152865">
        <w:tc>
          <w:tcPr>
            <w:tcW w:w="1526" w:type="dxa"/>
            <w:vMerge/>
          </w:tcPr>
          <w:p w:rsidR="00152865" w:rsidRPr="000800CC" w:rsidRDefault="00152865" w:rsidP="00152865">
            <w:pPr>
              <w:keepNext/>
              <w:rPr>
                <w:b/>
                <w:sz w:val="20"/>
                <w:szCs w:val="20"/>
              </w:rPr>
            </w:pPr>
          </w:p>
        </w:tc>
        <w:tc>
          <w:tcPr>
            <w:tcW w:w="3544" w:type="dxa"/>
            <w:tcBorders>
              <w:bottom w:val="nil"/>
              <w:right w:val="nil"/>
            </w:tcBorders>
          </w:tcPr>
          <w:p w:rsidR="00152865" w:rsidRPr="000800CC" w:rsidRDefault="00152865" w:rsidP="00152865">
            <w:pPr>
              <w:keepNext/>
              <w:rPr>
                <w:sz w:val="20"/>
                <w:szCs w:val="20"/>
              </w:rPr>
            </w:pPr>
            <w:r w:rsidRPr="000800CC">
              <w:rPr>
                <w:sz w:val="20"/>
                <w:szCs w:val="20"/>
              </w:rPr>
              <w:t>Bioequivalence</w:t>
            </w:r>
            <w:r w:rsidRPr="000800CC">
              <w:rPr>
                <w:sz w:val="20"/>
              </w:rPr>
              <w:t>†</w:t>
            </w:r>
            <w:r w:rsidRPr="000800CC">
              <w:rPr>
                <w:sz w:val="20"/>
                <w:szCs w:val="20"/>
              </w:rPr>
              <w:t xml:space="preserve"> - </w:t>
            </w:r>
            <w:r>
              <w:rPr>
                <w:sz w:val="20"/>
                <w:szCs w:val="20"/>
              </w:rPr>
              <w:t xml:space="preserve"> </w:t>
            </w:r>
            <w:r w:rsidRPr="000800CC">
              <w:rPr>
                <w:sz w:val="20"/>
                <w:szCs w:val="20"/>
              </w:rPr>
              <w:t>Single dose</w:t>
            </w:r>
          </w:p>
        </w:tc>
        <w:tc>
          <w:tcPr>
            <w:tcW w:w="2409" w:type="dxa"/>
            <w:tcBorders>
              <w:bottom w:val="nil"/>
            </w:tcBorders>
          </w:tcPr>
          <w:p w:rsidR="00152865" w:rsidRPr="000800CC" w:rsidRDefault="00152865" w:rsidP="00152865">
            <w:pPr>
              <w:keepNext/>
              <w:rPr>
                <w:sz w:val="20"/>
                <w:szCs w:val="20"/>
              </w:rPr>
            </w:pPr>
          </w:p>
        </w:tc>
        <w:tc>
          <w:tcPr>
            <w:tcW w:w="416" w:type="dxa"/>
            <w:tcBorders>
              <w:bottom w:val="nil"/>
            </w:tcBorders>
          </w:tcPr>
          <w:p w:rsidR="00152865" w:rsidRPr="000800CC" w:rsidRDefault="00152865" w:rsidP="00152865">
            <w:pPr>
              <w:keepNext/>
              <w:jc w:val="center"/>
              <w:rPr>
                <w:sz w:val="20"/>
                <w:szCs w:val="20"/>
              </w:rPr>
            </w:pPr>
          </w:p>
        </w:tc>
      </w:tr>
      <w:tr w:rsidR="00152865" w:rsidTr="00152865">
        <w:tc>
          <w:tcPr>
            <w:tcW w:w="1526" w:type="dxa"/>
            <w:vMerge/>
          </w:tcPr>
          <w:p w:rsidR="00152865" w:rsidRPr="000800CC" w:rsidRDefault="00152865" w:rsidP="00152865">
            <w:pPr>
              <w:keepNext/>
              <w:rPr>
                <w:b/>
                <w:sz w:val="20"/>
                <w:szCs w:val="20"/>
              </w:rPr>
            </w:pPr>
          </w:p>
        </w:tc>
        <w:tc>
          <w:tcPr>
            <w:tcW w:w="3544" w:type="dxa"/>
            <w:tcBorders>
              <w:top w:val="nil"/>
              <w:bottom w:val="nil"/>
              <w:right w:val="nil"/>
            </w:tcBorders>
          </w:tcPr>
          <w:p w:rsidR="00152865" w:rsidRPr="000800CC" w:rsidRDefault="00152865" w:rsidP="00152865">
            <w:pPr>
              <w:keepNext/>
              <w:ind w:left="1593"/>
              <w:rPr>
                <w:sz w:val="20"/>
                <w:szCs w:val="20"/>
              </w:rPr>
            </w:pPr>
            <w:r w:rsidRPr="000800CC">
              <w:rPr>
                <w:sz w:val="20"/>
                <w:szCs w:val="20"/>
              </w:rPr>
              <w:t>Multi-dose</w:t>
            </w:r>
          </w:p>
        </w:tc>
        <w:tc>
          <w:tcPr>
            <w:tcW w:w="2409" w:type="dxa"/>
            <w:tcBorders>
              <w:top w:val="nil"/>
              <w:bottom w:val="nil"/>
            </w:tcBorders>
          </w:tcPr>
          <w:p w:rsidR="00152865" w:rsidRPr="000800CC" w:rsidRDefault="00152865" w:rsidP="00152865">
            <w:pPr>
              <w:keepNext/>
              <w:rPr>
                <w:sz w:val="20"/>
                <w:szCs w:val="20"/>
              </w:rPr>
            </w:pPr>
          </w:p>
        </w:tc>
        <w:tc>
          <w:tcPr>
            <w:tcW w:w="416" w:type="dxa"/>
            <w:tcBorders>
              <w:top w:val="nil"/>
              <w:bottom w:val="nil"/>
            </w:tcBorders>
          </w:tcPr>
          <w:p w:rsidR="00152865" w:rsidRPr="000800CC" w:rsidRDefault="00152865" w:rsidP="00152865">
            <w:pPr>
              <w:keepNext/>
              <w:jc w:val="center"/>
              <w:rPr>
                <w:sz w:val="20"/>
                <w:szCs w:val="20"/>
              </w:rPr>
            </w:pPr>
          </w:p>
        </w:tc>
      </w:tr>
      <w:tr w:rsidR="00152865" w:rsidTr="00152865">
        <w:tc>
          <w:tcPr>
            <w:tcW w:w="1526" w:type="dxa"/>
            <w:vMerge/>
          </w:tcPr>
          <w:p w:rsidR="00152865" w:rsidRPr="000800CC" w:rsidRDefault="00152865" w:rsidP="00152865">
            <w:pPr>
              <w:keepNext/>
              <w:rPr>
                <w:b/>
                <w:sz w:val="20"/>
                <w:szCs w:val="20"/>
              </w:rPr>
            </w:pPr>
          </w:p>
        </w:tc>
        <w:tc>
          <w:tcPr>
            <w:tcW w:w="3544" w:type="dxa"/>
            <w:tcBorders>
              <w:bottom w:val="nil"/>
              <w:right w:val="nil"/>
            </w:tcBorders>
          </w:tcPr>
          <w:p w:rsidR="00152865" w:rsidRPr="000800CC" w:rsidRDefault="00152865" w:rsidP="00152865">
            <w:pPr>
              <w:keepNext/>
              <w:rPr>
                <w:sz w:val="20"/>
                <w:szCs w:val="20"/>
              </w:rPr>
            </w:pPr>
            <w:r w:rsidRPr="000800CC">
              <w:rPr>
                <w:sz w:val="20"/>
                <w:szCs w:val="20"/>
              </w:rPr>
              <w:t>Food effect</w:t>
            </w:r>
          </w:p>
        </w:tc>
        <w:tc>
          <w:tcPr>
            <w:tcW w:w="2409" w:type="dxa"/>
            <w:tcBorders>
              <w:bottom w:val="nil"/>
            </w:tcBorders>
          </w:tcPr>
          <w:p w:rsidR="00152865" w:rsidRPr="000800CC" w:rsidRDefault="00152865" w:rsidP="00152865">
            <w:pPr>
              <w:keepNext/>
              <w:rPr>
                <w:sz w:val="20"/>
                <w:szCs w:val="20"/>
              </w:rPr>
            </w:pPr>
            <w:r w:rsidRPr="00CC3E02">
              <w:rPr>
                <w:sz w:val="20"/>
                <w:szCs w:val="20"/>
              </w:rPr>
              <w:t>COL-101-SDPK-105</w:t>
            </w:r>
          </w:p>
        </w:tc>
        <w:tc>
          <w:tcPr>
            <w:tcW w:w="416" w:type="dxa"/>
            <w:tcBorders>
              <w:bottom w:val="nil"/>
            </w:tcBorders>
          </w:tcPr>
          <w:p w:rsidR="00152865" w:rsidRPr="000800CC" w:rsidRDefault="00152865" w:rsidP="00152865">
            <w:pPr>
              <w:keepNext/>
              <w:jc w:val="center"/>
              <w:rPr>
                <w:sz w:val="20"/>
                <w:szCs w:val="20"/>
              </w:rPr>
            </w:pPr>
            <w:r>
              <w:rPr>
                <w:sz w:val="20"/>
                <w:szCs w:val="20"/>
              </w:rPr>
              <w:t>*</w:t>
            </w:r>
          </w:p>
        </w:tc>
      </w:tr>
    </w:tbl>
    <w:p w:rsidR="00534BB4" w:rsidRPr="004626E1" w:rsidRDefault="00534BB4" w:rsidP="004626E1">
      <w:pPr>
        <w:pStyle w:val="Notes"/>
      </w:pPr>
      <w:r w:rsidRPr="004626E1">
        <w:t>* Indicates the primary aim of the study.</w:t>
      </w:r>
    </w:p>
    <w:p w:rsidR="00534BB4" w:rsidRPr="004626E1" w:rsidRDefault="00534BB4" w:rsidP="004626E1">
      <w:pPr>
        <w:pStyle w:val="Notes"/>
      </w:pPr>
      <w:r w:rsidRPr="004626E1">
        <w:t>† Bioequivalence of different formulations.</w:t>
      </w:r>
    </w:p>
    <w:p w:rsidR="00534BB4" w:rsidRDefault="00D42840" w:rsidP="00534BB4">
      <w:r>
        <w:t>Table</w:t>
      </w:r>
      <w:r w:rsidR="00534BB4">
        <w:t xml:space="preserve"> </w:t>
      </w:r>
      <w:r>
        <w:t xml:space="preserve">2 </w:t>
      </w:r>
      <w:r w:rsidR="00534BB4">
        <w:t>lists pharmacokinetic results that were excluded from consideration due to study deficiencies.</w:t>
      </w:r>
    </w:p>
    <w:p w:rsidR="00534BB4" w:rsidRDefault="00534BB4" w:rsidP="008028EB">
      <w:pPr>
        <w:pStyle w:val="TableTitle"/>
      </w:pPr>
      <w:bookmarkStart w:id="31" w:name="_Ref271031346"/>
      <w:bookmarkStart w:id="32" w:name="_Toc274575526"/>
      <w:bookmarkStart w:id="33" w:name="_Toc291955325"/>
      <w:bookmarkStart w:id="34" w:name="_Toc292027090"/>
      <w:bookmarkStart w:id="35" w:name="_Toc292206536"/>
      <w:proofErr w:type="gramStart"/>
      <w:r>
        <w:t>Table</w:t>
      </w:r>
      <w:bookmarkEnd w:id="31"/>
      <w:r w:rsidR="002A418E">
        <w:t xml:space="preserve"> 2</w:t>
      </w:r>
      <w:r>
        <w:t>.</w:t>
      </w:r>
      <w:proofErr w:type="gramEnd"/>
      <w:r>
        <w:t xml:space="preserve"> Pharmacokinetic results excluded from consideration.</w:t>
      </w:r>
      <w:bookmarkEnd w:id="32"/>
      <w:bookmarkEnd w:id="33"/>
      <w:bookmarkEnd w:id="34"/>
      <w:bookmarkEnd w:id="35"/>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261"/>
        <w:gridCol w:w="2835"/>
      </w:tblGrid>
      <w:tr w:rsidR="00152865" w:rsidTr="008028EB">
        <w:trPr>
          <w:tblHeader/>
        </w:trPr>
        <w:tc>
          <w:tcPr>
            <w:tcW w:w="1809" w:type="dxa"/>
            <w:tcBorders>
              <w:bottom w:val="single" w:sz="4" w:space="0" w:color="auto"/>
            </w:tcBorders>
            <w:shd w:val="clear" w:color="auto" w:fill="0070C0"/>
          </w:tcPr>
          <w:p w:rsidR="00152865" w:rsidRPr="00152865" w:rsidRDefault="00152865" w:rsidP="00152865">
            <w:pPr>
              <w:keepNext/>
              <w:rPr>
                <w:b/>
                <w:color w:val="FFFFFF" w:themeColor="background1"/>
                <w:sz w:val="20"/>
                <w:szCs w:val="20"/>
              </w:rPr>
            </w:pPr>
            <w:r w:rsidRPr="00152865">
              <w:rPr>
                <w:b/>
                <w:color w:val="FFFFFF" w:themeColor="background1"/>
                <w:sz w:val="20"/>
                <w:szCs w:val="20"/>
              </w:rPr>
              <w:t>Study ID</w:t>
            </w:r>
          </w:p>
        </w:tc>
        <w:tc>
          <w:tcPr>
            <w:tcW w:w="3261" w:type="dxa"/>
            <w:tcBorders>
              <w:bottom w:val="single" w:sz="4" w:space="0" w:color="auto"/>
            </w:tcBorders>
            <w:shd w:val="clear" w:color="auto" w:fill="0070C0"/>
          </w:tcPr>
          <w:p w:rsidR="00152865" w:rsidRPr="00152865" w:rsidRDefault="00152865" w:rsidP="00152865">
            <w:pPr>
              <w:keepNext/>
              <w:rPr>
                <w:b/>
                <w:color w:val="FFFFFF" w:themeColor="background1"/>
                <w:sz w:val="20"/>
                <w:szCs w:val="20"/>
              </w:rPr>
            </w:pPr>
            <w:r w:rsidRPr="00152865">
              <w:rPr>
                <w:b/>
                <w:color w:val="FFFFFF" w:themeColor="background1"/>
                <w:sz w:val="20"/>
                <w:szCs w:val="20"/>
              </w:rPr>
              <w:t>Subtopic(s)</w:t>
            </w:r>
          </w:p>
        </w:tc>
        <w:tc>
          <w:tcPr>
            <w:tcW w:w="2835" w:type="dxa"/>
            <w:tcBorders>
              <w:bottom w:val="single" w:sz="4" w:space="0" w:color="auto"/>
            </w:tcBorders>
            <w:shd w:val="clear" w:color="auto" w:fill="0070C0"/>
          </w:tcPr>
          <w:p w:rsidR="00152865" w:rsidRPr="00152865" w:rsidRDefault="00152865" w:rsidP="00152865">
            <w:pPr>
              <w:keepNext/>
              <w:rPr>
                <w:b/>
                <w:color w:val="FFFFFF" w:themeColor="background1"/>
                <w:sz w:val="20"/>
                <w:szCs w:val="20"/>
              </w:rPr>
            </w:pPr>
            <w:r w:rsidRPr="00152865">
              <w:rPr>
                <w:b/>
                <w:color w:val="FFFFFF" w:themeColor="background1"/>
                <w:sz w:val="20"/>
                <w:szCs w:val="20"/>
              </w:rPr>
              <w:t>PK results excluded</w:t>
            </w:r>
          </w:p>
        </w:tc>
      </w:tr>
      <w:tr w:rsidR="00152865" w:rsidTr="00152865">
        <w:tc>
          <w:tcPr>
            <w:tcW w:w="1809" w:type="dxa"/>
            <w:tcBorders>
              <w:bottom w:val="single" w:sz="4" w:space="0" w:color="auto"/>
            </w:tcBorders>
            <w:vAlign w:val="center"/>
          </w:tcPr>
          <w:p w:rsidR="00152865" w:rsidRPr="000800CC" w:rsidRDefault="00152865" w:rsidP="00152865">
            <w:pPr>
              <w:keepNext/>
              <w:rPr>
                <w:sz w:val="20"/>
                <w:szCs w:val="20"/>
              </w:rPr>
            </w:pPr>
            <w:r>
              <w:rPr>
                <w:sz w:val="20"/>
                <w:szCs w:val="20"/>
              </w:rPr>
              <w:t>110801</w:t>
            </w:r>
          </w:p>
        </w:tc>
        <w:tc>
          <w:tcPr>
            <w:tcW w:w="3261" w:type="dxa"/>
            <w:tcBorders>
              <w:bottom w:val="single" w:sz="4" w:space="0" w:color="auto"/>
            </w:tcBorders>
            <w:vAlign w:val="center"/>
          </w:tcPr>
          <w:p w:rsidR="00152865" w:rsidRPr="000800CC" w:rsidRDefault="00152865" w:rsidP="00152865">
            <w:pPr>
              <w:keepNext/>
              <w:rPr>
                <w:sz w:val="20"/>
                <w:szCs w:val="20"/>
              </w:rPr>
            </w:pPr>
            <w:r>
              <w:rPr>
                <w:sz w:val="20"/>
                <w:szCs w:val="20"/>
              </w:rPr>
              <w:t>Absorption at different levels of the intestine.</w:t>
            </w:r>
          </w:p>
        </w:tc>
        <w:tc>
          <w:tcPr>
            <w:tcW w:w="2835" w:type="dxa"/>
            <w:tcBorders>
              <w:bottom w:val="single" w:sz="4" w:space="0" w:color="auto"/>
            </w:tcBorders>
            <w:vAlign w:val="center"/>
          </w:tcPr>
          <w:p w:rsidR="00152865" w:rsidRPr="000800CC" w:rsidRDefault="00152865" w:rsidP="00152865">
            <w:pPr>
              <w:keepNext/>
              <w:rPr>
                <w:sz w:val="20"/>
                <w:szCs w:val="20"/>
              </w:rPr>
            </w:pPr>
            <w:r>
              <w:rPr>
                <w:sz w:val="20"/>
                <w:szCs w:val="20"/>
              </w:rPr>
              <w:t>All</w:t>
            </w:r>
          </w:p>
        </w:tc>
      </w:tr>
      <w:tr w:rsidR="00152865" w:rsidTr="00152865">
        <w:tc>
          <w:tcPr>
            <w:tcW w:w="1809" w:type="dxa"/>
            <w:tcBorders>
              <w:top w:val="single" w:sz="4" w:space="0" w:color="auto"/>
              <w:bottom w:val="single" w:sz="4" w:space="0" w:color="auto"/>
            </w:tcBorders>
            <w:vAlign w:val="center"/>
          </w:tcPr>
          <w:p w:rsidR="00152865" w:rsidRPr="000800CC" w:rsidRDefault="00152865" w:rsidP="00152865">
            <w:pPr>
              <w:keepNext/>
              <w:rPr>
                <w:sz w:val="20"/>
                <w:szCs w:val="20"/>
              </w:rPr>
            </w:pPr>
            <w:r>
              <w:rPr>
                <w:sz w:val="20"/>
                <w:szCs w:val="20"/>
              </w:rPr>
              <w:t>PERIO-DOXYSR-104</w:t>
            </w:r>
          </w:p>
        </w:tc>
        <w:tc>
          <w:tcPr>
            <w:tcW w:w="3261" w:type="dxa"/>
            <w:tcBorders>
              <w:top w:val="single" w:sz="4" w:space="0" w:color="auto"/>
              <w:bottom w:val="single" w:sz="4" w:space="0" w:color="auto"/>
            </w:tcBorders>
            <w:vAlign w:val="center"/>
          </w:tcPr>
          <w:p w:rsidR="00152865" w:rsidRPr="000800CC" w:rsidRDefault="00152865" w:rsidP="00152865">
            <w:pPr>
              <w:keepNext/>
              <w:rPr>
                <w:sz w:val="20"/>
                <w:szCs w:val="20"/>
              </w:rPr>
            </w:pPr>
            <w:r>
              <w:rPr>
                <w:sz w:val="20"/>
                <w:szCs w:val="20"/>
              </w:rPr>
              <w:t>Comparison of PK parameters for Oracea 40 mg/day and Periostat 20 mg bd.</w:t>
            </w:r>
          </w:p>
        </w:tc>
        <w:tc>
          <w:tcPr>
            <w:tcW w:w="2835" w:type="dxa"/>
            <w:tcBorders>
              <w:top w:val="single" w:sz="4" w:space="0" w:color="auto"/>
              <w:bottom w:val="single" w:sz="4" w:space="0" w:color="auto"/>
            </w:tcBorders>
            <w:vAlign w:val="center"/>
          </w:tcPr>
          <w:p w:rsidR="00152865" w:rsidRPr="005A00FE" w:rsidRDefault="00152865" w:rsidP="00152865">
            <w:pPr>
              <w:keepNext/>
              <w:rPr>
                <w:sz w:val="20"/>
                <w:szCs w:val="20"/>
              </w:rPr>
            </w:pPr>
            <w:r>
              <w:rPr>
                <w:sz w:val="20"/>
                <w:szCs w:val="20"/>
              </w:rPr>
              <w:t>C</w:t>
            </w:r>
            <w:r w:rsidRPr="00B11197">
              <w:rPr>
                <w:sz w:val="20"/>
                <w:szCs w:val="20"/>
                <w:vertAlign w:val="subscript"/>
              </w:rPr>
              <w:t>max</w:t>
            </w:r>
            <w:r>
              <w:rPr>
                <w:sz w:val="20"/>
                <w:szCs w:val="20"/>
              </w:rPr>
              <w:t xml:space="preserve"> and T</w:t>
            </w:r>
            <w:r w:rsidRPr="00B11197">
              <w:rPr>
                <w:sz w:val="20"/>
                <w:szCs w:val="20"/>
                <w:vertAlign w:val="subscript"/>
              </w:rPr>
              <w:t>max</w:t>
            </w:r>
            <w:r>
              <w:rPr>
                <w:sz w:val="20"/>
                <w:szCs w:val="20"/>
                <w:vertAlign w:val="subscript"/>
              </w:rPr>
              <w:t xml:space="preserve"> </w:t>
            </w:r>
            <w:r>
              <w:rPr>
                <w:sz w:val="20"/>
                <w:szCs w:val="20"/>
              </w:rPr>
              <w:t xml:space="preserve">for Periostat on Day 1, and </w:t>
            </w:r>
            <w:r w:rsidRPr="00970C74">
              <w:rPr>
                <w:sz w:val="20"/>
                <w:szCs w:val="20"/>
              </w:rPr>
              <w:t>AUC</w:t>
            </w:r>
            <w:r w:rsidRPr="00970C74">
              <w:rPr>
                <w:sz w:val="20"/>
                <w:szCs w:val="20"/>
                <w:vertAlign w:val="subscript"/>
              </w:rPr>
              <w:t>0-24</w:t>
            </w:r>
            <w:r>
              <w:rPr>
                <w:sz w:val="20"/>
                <w:szCs w:val="20"/>
              </w:rPr>
              <w:t xml:space="preserve"> for Periostat on Day 7.</w:t>
            </w:r>
          </w:p>
        </w:tc>
      </w:tr>
    </w:tbl>
    <w:p w:rsidR="00534BB4" w:rsidRDefault="00136782" w:rsidP="004626E1">
      <w:pPr>
        <w:pStyle w:val="Heading3"/>
      </w:pPr>
      <w:bookmarkStart w:id="36" w:name="_Ref269118175"/>
      <w:bookmarkStart w:id="37" w:name="_Toc272414616"/>
      <w:bookmarkStart w:id="38" w:name="_Toc273018179"/>
      <w:bookmarkStart w:id="39" w:name="_Toc348527473"/>
      <w:bookmarkStart w:id="40" w:name="_Toc366439570"/>
      <w:r>
        <w:t>Summary of p</w:t>
      </w:r>
      <w:r w:rsidR="002A418E">
        <w:t>harmacokinetics</w:t>
      </w:r>
      <w:bookmarkEnd w:id="36"/>
      <w:bookmarkEnd w:id="37"/>
      <w:bookmarkEnd w:id="38"/>
      <w:bookmarkEnd w:id="39"/>
      <w:bookmarkEnd w:id="40"/>
    </w:p>
    <w:p w:rsidR="00534BB4" w:rsidRDefault="00534BB4" w:rsidP="004626E1">
      <w:r>
        <w:t>The information in the following summary is derived from conventional pharmacokinetic studies unless otherwise stated.</w:t>
      </w:r>
    </w:p>
    <w:p w:rsidR="00534BB4" w:rsidRDefault="00534BB4" w:rsidP="004626E1">
      <w:pPr>
        <w:pStyle w:val="Heading4"/>
      </w:pPr>
      <w:bookmarkStart w:id="41" w:name="_Ref271189106"/>
      <w:bookmarkStart w:id="42" w:name="_Ref271189143"/>
      <w:bookmarkStart w:id="43" w:name="_Toc272414618"/>
      <w:bookmarkStart w:id="44" w:name="_Toc274575283"/>
      <w:bookmarkStart w:id="45" w:name="_Toc274575418"/>
      <w:bookmarkStart w:id="46" w:name="_Toc348527474"/>
      <w:r>
        <w:t>Pharmacokinetics in healthy subjects</w:t>
      </w:r>
      <w:bookmarkEnd w:id="41"/>
      <w:bookmarkEnd w:id="42"/>
      <w:bookmarkEnd w:id="43"/>
      <w:bookmarkEnd w:id="44"/>
      <w:bookmarkEnd w:id="45"/>
      <w:bookmarkEnd w:id="46"/>
    </w:p>
    <w:p w:rsidR="00534BB4" w:rsidRDefault="00534BB4" w:rsidP="004626E1">
      <w:pPr>
        <w:pStyle w:val="Heading5"/>
      </w:pPr>
      <w:bookmarkStart w:id="47" w:name="_Toc272414619"/>
      <w:bookmarkStart w:id="48" w:name="_Toc274575284"/>
      <w:bookmarkStart w:id="49" w:name="_Toc274575419"/>
      <w:bookmarkStart w:id="50" w:name="_Toc348527475"/>
      <w:r>
        <w:t>Absorption</w:t>
      </w:r>
      <w:bookmarkEnd w:id="47"/>
      <w:bookmarkEnd w:id="48"/>
      <w:bookmarkEnd w:id="49"/>
      <w:bookmarkEnd w:id="50"/>
    </w:p>
    <w:p w:rsidR="00534BB4" w:rsidRDefault="00534BB4" w:rsidP="00534BB4">
      <w:r w:rsidRPr="00D33BC6">
        <w:t>In single-dose studies</w:t>
      </w:r>
      <w:r>
        <w:t xml:space="preserve"> (103 and 105)</w:t>
      </w:r>
      <w:r w:rsidRPr="00D33BC6">
        <w:t xml:space="preserve">, </w:t>
      </w:r>
      <w:r>
        <w:t>under fasting conditions, Oracea mean C</w:t>
      </w:r>
      <w:r w:rsidRPr="00707586">
        <w:rPr>
          <w:vertAlign w:val="subscript"/>
        </w:rPr>
        <w:t>max</w:t>
      </w:r>
      <w:r>
        <w:t xml:space="preserve"> was 510-523 ng/mL; median T</w:t>
      </w:r>
      <w:r w:rsidRPr="00707586">
        <w:rPr>
          <w:vertAlign w:val="subscript"/>
        </w:rPr>
        <w:t>max</w:t>
      </w:r>
      <w:r>
        <w:t xml:space="preserve"> was 2-3 h, and mean AUC</w:t>
      </w:r>
      <w:r w:rsidRPr="00707586">
        <w:rPr>
          <w:vertAlign w:val="subscript"/>
        </w:rPr>
        <w:t>0-∞</w:t>
      </w:r>
      <w:r>
        <w:t xml:space="preserve"> was 7962-9227 h.ng/mL. The effect of food was to reduce rate and extent of absorption.</w:t>
      </w:r>
    </w:p>
    <w:p w:rsidR="00534BB4" w:rsidRDefault="00534BB4" w:rsidP="00534BB4">
      <w:r>
        <w:t>Both multiple-dose studies (104 and 106) were done under quasi-fasting conditions and compared Oracea 40 mg daily to an immediate-release US product (Periostat) 20 mg bd. In Study 104, the mean C</w:t>
      </w:r>
      <w:r w:rsidRPr="00BC23ED">
        <w:rPr>
          <w:vertAlign w:val="subscript"/>
        </w:rPr>
        <w:t>max</w:t>
      </w:r>
      <w:r>
        <w:t xml:space="preserve"> measurements were comparable, as were the median T</w:t>
      </w:r>
      <w:r w:rsidRPr="00BC23ED">
        <w:rPr>
          <w:vertAlign w:val="subscript"/>
        </w:rPr>
        <w:t>max</w:t>
      </w:r>
      <w:r>
        <w:t xml:space="preserve"> values. A </w:t>
      </w:r>
      <w:r w:rsidRPr="0074762E">
        <w:t>valid comparison of AUC</w:t>
      </w:r>
      <w:r w:rsidRPr="0074762E">
        <w:rPr>
          <w:vertAlign w:val="subscript"/>
        </w:rPr>
        <w:t>0-24</w:t>
      </w:r>
      <w:r w:rsidRPr="0074762E">
        <w:t xml:space="preserve"> during chronic dosing was not available.</w:t>
      </w:r>
      <w:r>
        <w:t xml:space="preserve"> In Study 106, the mean C</w:t>
      </w:r>
      <w:r w:rsidRPr="00BC23ED">
        <w:rPr>
          <w:vertAlign w:val="subscript"/>
        </w:rPr>
        <w:t>max</w:t>
      </w:r>
      <w:r>
        <w:t xml:space="preserve"> measurements were comparable, as were the mean AUC</w:t>
      </w:r>
      <w:r w:rsidRPr="0074762E">
        <w:rPr>
          <w:vertAlign w:val="subscript"/>
        </w:rPr>
        <w:t>SS</w:t>
      </w:r>
      <w:r>
        <w:t xml:space="preserve"> values.</w:t>
      </w:r>
    </w:p>
    <w:p w:rsidR="00534BB4" w:rsidRDefault="00534BB4" w:rsidP="00AC25BB">
      <w:r>
        <w:lastRenderedPageBreak/>
        <w:t xml:space="preserve">In Study 103, in which Oracea 40 mg was compared to 40 mg of </w:t>
      </w:r>
      <w:proofErr w:type="spellStart"/>
      <w:r>
        <w:t>Periostat</w:t>
      </w:r>
      <w:proofErr w:type="spellEnd"/>
      <w:r>
        <w:t xml:space="preserve">, mean </w:t>
      </w:r>
      <w:proofErr w:type="spellStart"/>
      <w:r>
        <w:t>C</w:t>
      </w:r>
      <w:r w:rsidRPr="00707586">
        <w:rPr>
          <w:vertAlign w:val="subscript"/>
        </w:rPr>
        <w:t>max</w:t>
      </w:r>
      <w:proofErr w:type="spellEnd"/>
      <w:r w:rsidR="004626E1">
        <w:t xml:space="preserve"> measurements.</w:t>
      </w:r>
    </w:p>
    <w:p w:rsidR="00534BB4" w:rsidRDefault="00534BB4" w:rsidP="00AC25BB">
      <w:r>
        <w:t>[</w:t>
      </w:r>
      <w:proofErr w:type="gramStart"/>
      <w:r>
        <w:t>information</w:t>
      </w:r>
      <w:proofErr w:type="gramEnd"/>
      <w:r>
        <w:t xml:space="preserve"> redacted]</w:t>
      </w:r>
      <w:r w:rsidR="00AC25BB">
        <w:t xml:space="preserve"> </w:t>
      </w:r>
      <w:r>
        <w:t>raise the question of the extent to which Oracea is in fact a modified-release product.</w:t>
      </w:r>
    </w:p>
    <w:p w:rsidR="00534BB4" w:rsidRDefault="002A418E" w:rsidP="004626E1">
      <w:pPr>
        <w:pStyle w:val="Heading3"/>
      </w:pPr>
      <w:bookmarkStart w:id="51" w:name="_Toc241374296"/>
      <w:bookmarkStart w:id="52" w:name="_Ref269982040"/>
      <w:bookmarkStart w:id="53" w:name="_Ref271018704"/>
      <w:bookmarkStart w:id="54" w:name="_Ref271018755"/>
      <w:bookmarkStart w:id="55" w:name="_Toc272414635"/>
      <w:bookmarkStart w:id="56" w:name="_Toc273018198"/>
      <w:bookmarkStart w:id="57" w:name="_Toc348527476"/>
      <w:bookmarkStart w:id="58" w:name="_Toc366439571"/>
      <w:r>
        <w:t>Evaluat</w:t>
      </w:r>
      <w:r w:rsidR="00136782">
        <w:t>or’s o</w:t>
      </w:r>
      <w:r>
        <w:t xml:space="preserve">verall </w:t>
      </w:r>
      <w:r w:rsidR="00136782">
        <w:t>conclusions on p</w:t>
      </w:r>
      <w:r>
        <w:t>harmacokinetics</w:t>
      </w:r>
      <w:bookmarkEnd w:id="51"/>
      <w:bookmarkEnd w:id="52"/>
      <w:bookmarkEnd w:id="53"/>
      <w:bookmarkEnd w:id="54"/>
      <w:bookmarkEnd w:id="55"/>
      <w:bookmarkEnd w:id="56"/>
      <w:bookmarkEnd w:id="57"/>
      <w:bookmarkEnd w:id="58"/>
    </w:p>
    <w:p w:rsidR="00534BB4" w:rsidRDefault="00AC25BB" w:rsidP="00534BB4">
      <w:r>
        <w:t>The evaluator did</w:t>
      </w:r>
      <w:r w:rsidR="00534BB4">
        <w:t xml:space="preserve"> not consider the values of C</w:t>
      </w:r>
      <w:r w:rsidR="00534BB4" w:rsidRPr="009C4134">
        <w:rPr>
          <w:vertAlign w:val="subscript"/>
        </w:rPr>
        <w:t>max</w:t>
      </w:r>
      <w:r w:rsidR="00534BB4">
        <w:t xml:space="preserve"> and T</w:t>
      </w:r>
      <w:r w:rsidR="00534BB4" w:rsidRPr="0058476D">
        <w:rPr>
          <w:vertAlign w:val="subscript"/>
        </w:rPr>
        <w:t>max</w:t>
      </w:r>
      <w:r w:rsidR="00534BB4">
        <w:t xml:space="preserve"> derived from the pharmacokinetic </w:t>
      </w:r>
      <w:proofErr w:type="gramStart"/>
      <w:r w:rsidR="00534BB4">
        <w:t>studies</w:t>
      </w:r>
      <w:proofErr w:type="gramEnd"/>
      <w:r w:rsidR="00534BB4">
        <w:t xml:space="preserve"> to be accurate, in view of the paucity of sampling points in the relevant time intervals.</w:t>
      </w:r>
    </w:p>
    <w:p w:rsidR="00534BB4" w:rsidRDefault="00534BB4" w:rsidP="00534BB4">
      <w:r>
        <w:t>The argument purporting to justify the introduction of a controlled-release doxycycline product for the treatment of rosacea is questionable. Even if the rationale described at section 2.2.1 above is accepted, the pharmacokinetic data from Study 103 suggest that if 40 mg daily of an immediate-release product is used, C</w:t>
      </w:r>
      <w:r w:rsidRPr="000E465F">
        <w:rPr>
          <w:vertAlign w:val="subscript"/>
        </w:rPr>
        <w:t>max</w:t>
      </w:r>
      <w:r>
        <w:t xml:space="preserve"> values will generally remain below the target maximum of 1.0 µg/mL. The principle that the absorption characteristics of a pharmaceutical should not be unnecessarily complex relates to quality, as does the point in the next paragraph below.</w:t>
      </w:r>
    </w:p>
    <w:p w:rsidR="00534BB4" w:rsidRDefault="00534BB4" w:rsidP="00534BB4">
      <w:r>
        <w:t>It is questionable whether Oracea has meaningful controlled-release properties. Further study would be required, to elucidate differences from immediate-release products. Preferably, such comparisons should be with a product having the same active (doxycycline monohydrate).</w:t>
      </w:r>
    </w:p>
    <w:p w:rsidR="00534BB4" w:rsidRDefault="00534BB4" w:rsidP="004626E1">
      <w:pPr>
        <w:pStyle w:val="Heading4"/>
      </w:pPr>
      <w:bookmarkStart w:id="59" w:name="_Toc348527477"/>
      <w:r>
        <w:t>Response to guidance</w:t>
      </w:r>
      <w:bookmarkEnd w:id="59"/>
    </w:p>
    <w:p w:rsidR="00586F98" w:rsidRDefault="00AC25BB" w:rsidP="004626E1">
      <w:r>
        <w:t>The evaluator</w:t>
      </w:r>
      <w:r w:rsidR="00534BB4">
        <w:t xml:space="preserve"> accept</w:t>
      </w:r>
      <w:r>
        <w:t>ed</w:t>
      </w:r>
      <w:r w:rsidR="00534BB4">
        <w:t xml:space="preserve"> the sponsor's response, which points out that this is not an application for a generic (see </w:t>
      </w:r>
      <w:r w:rsidRPr="00AC25BB">
        <w:rPr>
          <w:i/>
        </w:rPr>
        <w:t>1.1 Guidance</w:t>
      </w:r>
      <w:r>
        <w:t xml:space="preserve"> </w:t>
      </w:r>
      <w:r w:rsidR="00534BB4">
        <w:t>above).</w:t>
      </w:r>
    </w:p>
    <w:p w:rsidR="00586F98" w:rsidRDefault="00586F98" w:rsidP="004626E1">
      <w:pPr>
        <w:pStyle w:val="Heading2"/>
      </w:pPr>
      <w:bookmarkStart w:id="60" w:name="_Toc366439572"/>
      <w:r>
        <w:t>Pharmacodynamics</w:t>
      </w:r>
      <w:bookmarkEnd w:id="60"/>
    </w:p>
    <w:p w:rsidR="00534BB4" w:rsidRDefault="00136782" w:rsidP="004626E1">
      <w:pPr>
        <w:pStyle w:val="Heading3"/>
      </w:pPr>
      <w:bookmarkStart w:id="61" w:name="_Toc366439573"/>
      <w:r>
        <w:t>Studies p</w:t>
      </w:r>
      <w:r w:rsidR="00AC25BB">
        <w:t xml:space="preserve">roviding </w:t>
      </w:r>
      <w:proofErr w:type="spellStart"/>
      <w:r>
        <w:t>pharmacodynamic</w:t>
      </w:r>
      <w:proofErr w:type="spellEnd"/>
      <w:r>
        <w:t xml:space="preserve"> d</w:t>
      </w:r>
      <w:r w:rsidR="00AC25BB">
        <w:t>ata</w:t>
      </w:r>
      <w:bookmarkEnd w:id="61"/>
    </w:p>
    <w:p w:rsidR="00534BB4" w:rsidRDefault="00AC25BB" w:rsidP="004626E1">
      <w:r>
        <w:t>Table 3</w:t>
      </w:r>
      <w:r w:rsidR="00534BB4">
        <w:t xml:space="preserve"> shows the studies relating to each pharmacodynamic topic and the location of each study summary. Note that none of these studies used Oracea.</w:t>
      </w:r>
    </w:p>
    <w:p w:rsidR="00534BB4" w:rsidRDefault="00534BB4" w:rsidP="004626E1">
      <w:pPr>
        <w:pStyle w:val="TableTitle"/>
      </w:pPr>
      <w:bookmarkStart w:id="62" w:name="_Ref269985397"/>
      <w:bookmarkStart w:id="63" w:name="_Toc274575527"/>
      <w:bookmarkStart w:id="64" w:name="_Toc291955326"/>
      <w:bookmarkStart w:id="65" w:name="_Toc292027091"/>
      <w:bookmarkStart w:id="66" w:name="_Toc292206537"/>
      <w:proofErr w:type="gramStart"/>
      <w:r>
        <w:t>Table</w:t>
      </w:r>
      <w:bookmarkEnd w:id="62"/>
      <w:r w:rsidR="00AC25BB">
        <w:t xml:space="preserve"> 3</w:t>
      </w:r>
      <w:r>
        <w:t>.</w:t>
      </w:r>
      <w:proofErr w:type="gramEnd"/>
      <w:r>
        <w:t xml:space="preserve"> </w:t>
      </w:r>
      <w:proofErr w:type="gramStart"/>
      <w:r>
        <w:t>Submitted pharmacodynamic studies.</w:t>
      </w:r>
      <w:bookmarkEnd w:id="63"/>
      <w:bookmarkEnd w:id="64"/>
      <w:bookmarkEnd w:id="65"/>
      <w:bookmarkEnd w:id="66"/>
      <w:proofErr w:type="gramEnd"/>
    </w:p>
    <w:tbl>
      <w:tblP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260"/>
        <w:gridCol w:w="2439"/>
        <w:gridCol w:w="416"/>
      </w:tblGrid>
      <w:tr w:rsidR="00AC25BB" w:rsidTr="008028EB">
        <w:trPr>
          <w:tblHeader/>
        </w:trPr>
        <w:tc>
          <w:tcPr>
            <w:tcW w:w="2235" w:type="dxa"/>
            <w:shd w:val="clear" w:color="auto" w:fill="0070C0"/>
          </w:tcPr>
          <w:p w:rsidR="00AC25BB" w:rsidRPr="00AC25BB" w:rsidRDefault="00AC25BB" w:rsidP="00AC25BB">
            <w:pPr>
              <w:keepNext/>
              <w:rPr>
                <w:b/>
                <w:color w:val="FFFFFF" w:themeColor="background1"/>
                <w:sz w:val="20"/>
                <w:szCs w:val="20"/>
              </w:rPr>
            </w:pPr>
            <w:r w:rsidRPr="00AC25BB">
              <w:rPr>
                <w:b/>
                <w:color w:val="FFFFFF" w:themeColor="background1"/>
                <w:sz w:val="20"/>
                <w:szCs w:val="20"/>
              </w:rPr>
              <w:t>PD Topic</w:t>
            </w:r>
          </w:p>
        </w:tc>
        <w:tc>
          <w:tcPr>
            <w:tcW w:w="3260" w:type="dxa"/>
            <w:shd w:val="clear" w:color="auto" w:fill="0070C0"/>
          </w:tcPr>
          <w:p w:rsidR="00AC25BB" w:rsidRPr="00AC25BB" w:rsidRDefault="00AC25BB" w:rsidP="00AC25BB">
            <w:pPr>
              <w:keepNext/>
              <w:rPr>
                <w:b/>
                <w:color w:val="FFFFFF" w:themeColor="background1"/>
                <w:sz w:val="20"/>
                <w:szCs w:val="20"/>
              </w:rPr>
            </w:pPr>
            <w:r w:rsidRPr="00AC25BB">
              <w:rPr>
                <w:b/>
                <w:color w:val="FFFFFF" w:themeColor="background1"/>
                <w:sz w:val="20"/>
                <w:szCs w:val="20"/>
              </w:rPr>
              <w:t>Subtopic</w:t>
            </w:r>
          </w:p>
        </w:tc>
        <w:tc>
          <w:tcPr>
            <w:tcW w:w="2439" w:type="dxa"/>
            <w:shd w:val="clear" w:color="auto" w:fill="0070C0"/>
          </w:tcPr>
          <w:p w:rsidR="00AC25BB" w:rsidRPr="00AC25BB" w:rsidRDefault="00AC25BB" w:rsidP="00AC25BB">
            <w:pPr>
              <w:keepNext/>
              <w:rPr>
                <w:b/>
                <w:color w:val="FFFFFF" w:themeColor="background1"/>
                <w:sz w:val="20"/>
                <w:szCs w:val="20"/>
              </w:rPr>
            </w:pPr>
            <w:r w:rsidRPr="00AC25BB">
              <w:rPr>
                <w:b/>
                <w:color w:val="FFFFFF" w:themeColor="background1"/>
                <w:sz w:val="20"/>
                <w:szCs w:val="20"/>
              </w:rPr>
              <w:t>Study ID</w:t>
            </w:r>
          </w:p>
        </w:tc>
        <w:tc>
          <w:tcPr>
            <w:tcW w:w="416" w:type="dxa"/>
            <w:shd w:val="clear" w:color="auto" w:fill="0070C0"/>
          </w:tcPr>
          <w:p w:rsidR="00AC25BB" w:rsidRPr="00AC25BB" w:rsidRDefault="00AC25BB" w:rsidP="00AC25BB">
            <w:pPr>
              <w:keepNext/>
              <w:jc w:val="center"/>
              <w:rPr>
                <w:b/>
                <w:color w:val="FFFFFF" w:themeColor="background1"/>
                <w:sz w:val="20"/>
                <w:szCs w:val="20"/>
              </w:rPr>
            </w:pPr>
            <w:r w:rsidRPr="00AC25BB">
              <w:rPr>
                <w:b/>
                <w:color w:val="FFFFFF" w:themeColor="background1"/>
                <w:sz w:val="20"/>
                <w:szCs w:val="20"/>
              </w:rPr>
              <w:t>*</w:t>
            </w:r>
          </w:p>
        </w:tc>
      </w:tr>
      <w:tr w:rsidR="00AC25BB" w:rsidRPr="007D6247" w:rsidTr="00AC25BB">
        <w:tc>
          <w:tcPr>
            <w:tcW w:w="2235" w:type="dxa"/>
            <w:vMerge w:val="restart"/>
          </w:tcPr>
          <w:p w:rsidR="00AC25BB" w:rsidRPr="000800CC" w:rsidRDefault="00AC25BB" w:rsidP="00AC25BB">
            <w:pPr>
              <w:keepNext/>
              <w:rPr>
                <w:b/>
                <w:sz w:val="20"/>
                <w:szCs w:val="20"/>
              </w:rPr>
            </w:pPr>
            <w:r w:rsidRPr="000800CC">
              <w:rPr>
                <w:b/>
                <w:sz w:val="20"/>
                <w:szCs w:val="20"/>
              </w:rPr>
              <w:t>Primary Pharmacology</w:t>
            </w:r>
          </w:p>
        </w:tc>
        <w:tc>
          <w:tcPr>
            <w:tcW w:w="3260" w:type="dxa"/>
            <w:tcBorders>
              <w:bottom w:val="nil"/>
              <w:right w:val="nil"/>
            </w:tcBorders>
          </w:tcPr>
          <w:p w:rsidR="00AC25BB" w:rsidRPr="007D6247" w:rsidRDefault="00AC25BB" w:rsidP="00AC25BB">
            <w:pPr>
              <w:keepNext/>
              <w:rPr>
                <w:color w:val="000000" w:themeColor="text1"/>
                <w:sz w:val="20"/>
                <w:szCs w:val="20"/>
              </w:rPr>
            </w:pPr>
            <w:r w:rsidRPr="007D6247">
              <w:rPr>
                <w:color w:val="000000" w:themeColor="text1"/>
                <w:sz w:val="20"/>
                <w:szCs w:val="20"/>
              </w:rPr>
              <w:t xml:space="preserve">Effect on </w:t>
            </w:r>
            <w:proofErr w:type="spellStart"/>
            <w:r w:rsidRPr="007D6247">
              <w:rPr>
                <w:color w:val="000000" w:themeColor="text1"/>
                <w:sz w:val="20"/>
                <w:szCs w:val="20"/>
              </w:rPr>
              <w:t>subgingival</w:t>
            </w:r>
            <w:proofErr w:type="spellEnd"/>
            <w:r w:rsidRPr="007D6247">
              <w:rPr>
                <w:color w:val="000000" w:themeColor="text1"/>
                <w:sz w:val="20"/>
                <w:szCs w:val="20"/>
              </w:rPr>
              <w:t xml:space="preserve"> </w:t>
            </w:r>
            <w:proofErr w:type="spellStart"/>
            <w:r w:rsidRPr="007D6247">
              <w:rPr>
                <w:color w:val="000000" w:themeColor="text1"/>
                <w:sz w:val="20"/>
                <w:szCs w:val="20"/>
              </w:rPr>
              <w:t>microflora</w:t>
            </w:r>
            <w:proofErr w:type="spellEnd"/>
          </w:p>
        </w:tc>
        <w:tc>
          <w:tcPr>
            <w:tcW w:w="2439" w:type="dxa"/>
            <w:tcBorders>
              <w:bottom w:val="nil"/>
            </w:tcBorders>
          </w:tcPr>
          <w:p w:rsidR="00AC25BB" w:rsidRPr="007D6247" w:rsidRDefault="00AC25BB" w:rsidP="00AC25BB">
            <w:pPr>
              <w:keepNext/>
              <w:rPr>
                <w:color w:val="000000" w:themeColor="text1"/>
                <w:sz w:val="20"/>
                <w:szCs w:val="20"/>
              </w:rPr>
            </w:pPr>
            <w:r w:rsidRPr="007D6247">
              <w:rPr>
                <w:color w:val="000000" w:themeColor="text1"/>
                <w:sz w:val="20"/>
                <w:szCs w:val="20"/>
              </w:rPr>
              <w:t xml:space="preserve">Thomas </w:t>
            </w:r>
            <w:r w:rsidR="00A23E93" w:rsidRPr="00A23E93">
              <w:rPr>
                <w:i/>
                <w:color w:val="000000" w:themeColor="text1"/>
                <w:sz w:val="20"/>
                <w:szCs w:val="20"/>
              </w:rPr>
              <w:t>et al.</w:t>
            </w:r>
            <w:r w:rsidRPr="007D6247">
              <w:rPr>
                <w:color w:val="000000" w:themeColor="text1"/>
                <w:sz w:val="20"/>
                <w:szCs w:val="20"/>
              </w:rPr>
              <w:t xml:space="preserve"> (1998)</w:t>
            </w:r>
          </w:p>
          <w:p w:rsidR="00AC25BB" w:rsidRPr="007D6247" w:rsidRDefault="00AC25BB" w:rsidP="00AC25BB">
            <w:pPr>
              <w:keepNext/>
              <w:rPr>
                <w:color w:val="000000" w:themeColor="text1"/>
                <w:sz w:val="20"/>
                <w:szCs w:val="20"/>
              </w:rPr>
            </w:pPr>
            <w:r w:rsidRPr="007D6247">
              <w:rPr>
                <w:color w:val="000000" w:themeColor="text1"/>
                <w:sz w:val="20"/>
                <w:szCs w:val="20"/>
              </w:rPr>
              <w:t xml:space="preserve">Walker </w:t>
            </w:r>
            <w:r w:rsidR="00A23E93" w:rsidRPr="00A23E93">
              <w:rPr>
                <w:i/>
                <w:color w:val="000000" w:themeColor="text1"/>
                <w:sz w:val="20"/>
                <w:szCs w:val="20"/>
              </w:rPr>
              <w:t>et al.</w:t>
            </w:r>
            <w:r w:rsidRPr="007D6247">
              <w:rPr>
                <w:color w:val="000000" w:themeColor="text1"/>
                <w:sz w:val="20"/>
                <w:szCs w:val="20"/>
              </w:rPr>
              <w:t xml:space="preserve"> (2000)</w:t>
            </w:r>
          </w:p>
          <w:p w:rsidR="00AC25BB" w:rsidRPr="007D6247" w:rsidRDefault="00AC25BB" w:rsidP="00AC25BB">
            <w:pPr>
              <w:keepNext/>
              <w:rPr>
                <w:color w:val="000000" w:themeColor="text1"/>
                <w:sz w:val="20"/>
                <w:szCs w:val="20"/>
              </w:rPr>
            </w:pPr>
            <w:r w:rsidRPr="007D6247">
              <w:rPr>
                <w:color w:val="000000" w:themeColor="text1"/>
                <w:sz w:val="20"/>
                <w:szCs w:val="20"/>
              </w:rPr>
              <w:t xml:space="preserve">Thomas </w:t>
            </w:r>
            <w:r w:rsidR="00A23E93" w:rsidRPr="00A23E93">
              <w:rPr>
                <w:i/>
                <w:color w:val="000000" w:themeColor="text1"/>
                <w:sz w:val="20"/>
                <w:szCs w:val="20"/>
              </w:rPr>
              <w:t>et al.</w:t>
            </w:r>
            <w:r w:rsidRPr="007D6247">
              <w:rPr>
                <w:color w:val="000000" w:themeColor="text1"/>
                <w:sz w:val="20"/>
                <w:szCs w:val="20"/>
              </w:rPr>
              <w:t xml:space="preserve"> (2000)</w:t>
            </w:r>
          </w:p>
        </w:tc>
        <w:tc>
          <w:tcPr>
            <w:tcW w:w="416" w:type="dxa"/>
            <w:tcBorders>
              <w:bottom w:val="nil"/>
            </w:tcBorders>
          </w:tcPr>
          <w:p w:rsidR="00AC25BB" w:rsidRPr="007D6247" w:rsidRDefault="00AC25BB" w:rsidP="00AC25BB">
            <w:pPr>
              <w:keepNext/>
              <w:jc w:val="center"/>
              <w:rPr>
                <w:color w:val="000000" w:themeColor="text1"/>
                <w:sz w:val="20"/>
                <w:szCs w:val="20"/>
              </w:rPr>
            </w:pPr>
          </w:p>
        </w:tc>
      </w:tr>
      <w:tr w:rsidR="00AC25BB" w:rsidRPr="007D6247" w:rsidTr="00AC25BB">
        <w:tc>
          <w:tcPr>
            <w:tcW w:w="2235" w:type="dxa"/>
            <w:vMerge/>
          </w:tcPr>
          <w:p w:rsidR="00AC25BB" w:rsidRPr="000800CC" w:rsidRDefault="00AC25BB" w:rsidP="00152865">
            <w:pPr>
              <w:keepNext/>
              <w:rPr>
                <w:b/>
                <w:sz w:val="20"/>
                <w:szCs w:val="20"/>
              </w:rPr>
            </w:pPr>
          </w:p>
        </w:tc>
        <w:tc>
          <w:tcPr>
            <w:tcW w:w="3260" w:type="dxa"/>
            <w:tcBorders>
              <w:top w:val="nil"/>
              <w:bottom w:val="nil"/>
              <w:right w:val="nil"/>
            </w:tcBorders>
          </w:tcPr>
          <w:p w:rsidR="00AC25BB" w:rsidRPr="007D6247" w:rsidRDefault="00AC25BB" w:rsidP="00152865">
            <w:pPr>
              <w:keepNext/>
              <w:rPr>
                <w:color w:val="000000" w:themeColor="text1"/>
                <w:sz w:val="20"/>
                <w:szCs w:val="20"/>
              </w:rPr>
            </w:pPr>
            <w:r w:rsidRPr="007D6247">
              <w:rPr>
                <w:color w:val="000000" w:themeColor="text1"/>
                <w:sz w:val="20"/>
                <w:szCs w:val="20"/>
              </w:rPr>
              <w:t xml:space="preserve">Effect on skin </w:t>
            </w:r>
            <w:proofErr w:type="spellStart"/>
            <w:r w:rsidRPr="007D6247">
              <w:rPr>
                <w:color w:val="000000" w:themeColor="text1"/>
                <w:sz w:val="20"/>
                <w:szCs w:val="20"/>
              </w:rPr>
              <w:t>microflora</w:t>
            </w:r>
            <w:proofErr w:type="spellEnd"/>
          </w:p>
        </w:tc>
        <w:tc>
          <w:tcPr>
            <w:tcW w:w="2439" w:type="dxa"/>
            <w:tcBorders>
              <w:top w:val="nil"/>
              <w:bottom w:val="nil"/>
            </w:tcBorders>
          </w:tcPr>
          <w:p w:rsidR="00AC25BB" w:rsidRPr="007D6247" w:rsidRDefault="00AC25BB" w:rsidP="00152865">
            <w:pPr>
              <w:keepNext/>
              <w:rPr>
                <w:color w:val="000000" w:themeColor="text1"/>
                <w:sz w:val="20"/>
                <w:szCs w:val="20"/>
              </w:rPr>
            </w:pPr>
            <w:r w:rsidRPr="007D6247">
              <w:rPr>
                <w:color w:val="000000" w:themeColor="text1"/>
                <w:sz w:val="20"/>
                <w:szCs w:val="20"/>
              </w:rPr>
              <w:t xml:space="preserve">Skidmore </w:t>
            </w:r>
            <w:r w:rsidR="00A23E93" w:rsidRPr="00A23E93">
              <w:rPr>
                <w:i/>
                <w:color w:val="000000" w:themeColor="text1"/>
                <w:sz w:val="20"/>
                <w:szCs w:val="20"/>
              </w:rPr>
              <w:t>et al.</w:t>
            </w:r>
            <w:r w:rsidRPr="007D6247">
              <w:rPr>
                <w:color w:val="000000" w:themeColor="text1"/>
                <w:sz w:val="20"/>
                <w:szCs w:val="20"/>
              </w:rPr>
              <w:t xml:space="preserve"> (2003)</w:t>
            </w:r>
          </w:p>
        </w:tc>
        <w:tc>
          <w:tcPr>
            <w:tcW w:w="416" w:type="dxa"/>
            <w:tcBorders>
              <w:top w:val="nil"/>
              <w:bottom w:val="nil"/>
            </w:tcBorders>
          </w:tcPr>
          <w:p w:rsidR="00AC25BB" w:rsidRPr="007D6247" w:rsidRDefault="00AC25BB" w:rsidP="00152865">
            <w:pPr>
              <w:keepNext/>
              <w:jc w:val="center"/>
              <w:rPr>
                <w:color w:val="000000" w:themeColor="text1"/>
                <w:sz w:val="20"/>
                <w:szCs w:val="20"/>
              </w:rPr>
            </w:pPr>
          </w:p>
        </w:tc>
      </w:tr>
      <w:tr w:rsidR="00AC25BB" w:rsidRPr="007D6247" w:rsidTr="00AC25BB">
        <w:tc>
          <w:tcPr>
            <w:tcW w:w="2235" w:type="dxa"/>
            <w:vMerge/>
          </w:tcPr>
          <w:p w:rsidR="00AC25BB" w:rsidRPr="000800CC" w:rsidRDefault="00AC25BB" w:rsidP="00152865">
            <w:pPr>
              <w:keepNext/>
              <w:rPr>
                <w:b/>
                <w:sz w:val="20"/>
                <w:szCs w:val="20"/>
              </w:rPr>
            </w:pPr>
          </w:p>
        </w:tc>
        <w:tc>
          <w:tcPr>
            <w:tcW w:w="3260" w:type="dxa"/>
            <w:tcBorders>
              <w:top w:val="nil"/>
              <w:bottom w:val="single" w:sz="4" w:space="0" w:color="auto"/>
              <w:right w:val="nil"/>
            </w:tcBorders>
          </w:tcPr>
          <w:p w:rsidR="00AC25BB" w:rsidRPr="007D6247" w:rsidRDefault="00AC25BB" w:rsidP="00152865">
            <w:pPr>
              <w:keepNext/>
              <w:rPr>
                <w:color w:val="000000" w:themeColor="text1"/>
                <w:sz w:val="20"/>
                <w:szCs w:val="20"/>
              </w:rPr>
            </w:pPr>
            <w:r w:rsidRPr="007D6247">
              <w:rPr>
                <w:color w:val="000000" w:themeColor="text1"/>
                <w:sz w:val="20"/>
                <w:szCs w:val="20"/>
              </w:rPr>
              <w:t xml:space="preserve">Effect on intestinal and vaginal </w:t>
            </w:r>
            <w:proofErr w:type="spellStart"/>
            <w:r w:rsidRPr="007D6247">
              <w:rPr>
                <w:color w:val="000000" w:themeColor="text1"/>
                <w:sz w:val="20"/>
                <w:szCs w:val="20"/>
              </w:rPr>
              <w:t>microflora</w:t>
            </w:r>
            <w:proofErr w:type="spellEnd"/>
          </w:p>
        </w:tc>
        <w:tc>
          <w:tcPr>
            <w:tcW w:w="2439" w:type="dxa"/>
            <w:tcBorders>
              <w:top w:val="nil"/>
              <w:bottom w:val="single" w:sz="4" w:space="0" w:color="auto"/>
            </w:tcBorders>
            <w:vAlign w:val="center"/>
          </w:tcPr>
          <w:p w:rsidR="00AC25BB" w:rsidRPr="007D6247" w:rsidRDefault="00AC25BB" w:rsidP="00152865">
            <w:pPr>
              <w:keepNext/>
              <w:rPr>
                <w:color w:val="000000" w:themeColor="text1"/>
                <w:sz w:val="20"/>
                <w:szCs w:val="20"/>
              </w:rPr>
            </w:pPr>
            <w:r w:rsidRPr="007D6247">
              <w:rPr>
                <w:color w:val="000000" w:themeColor="text1"/>
                <w:sz w:val="20"/>
                <w:szCs w:val="20"/>
              </w:rPr>
              <w:t xml:space="preserve">Walker </w:t>
            </w:r>
            <w:r w:rsidR="00A23E93" w:rsidRPr="00A23E93">
              <w:rPr>
                <w:i/>
                <w:color w:val="000000" w:themeColor="text1"/>
                <w:sz w:val="20"/>
                <w:szCs w:val="20"/>
              </w:rPr>
              <w:t>et al.</w:t>
            </w:r>
            <w:r w:rsidRPr="007D6247">
              <w:rPr>
                <w:color w:val="000000" w:themeColor="text1"/>
                <w:sz w:val="20"/>
                <w:szCs w:val="20"/>
              </w:rPr>
              <w:t xml:space="preserve"> (2005)</w:t>
            </w:r>
          </w:p>
        </w:tc>
        <w:tc>
          <w:tcPr>
            <w:tcW w:w="416" w:type="dxa"/>
            <w:tcBorders>
              <w:top w:val="nil"/>
              <w:bottom w:val="single" w:sz="4" w:space="0" w:color="auto"/>
            </w:tcBorders>
          </w:tcPr>
          <w:p w:rsidR="00AC25BB" w:rsidRPr="007D6247" w:rsidRDefault="00AC25BB" w:rsidP="00152865">
            <w:pPr>
              <w:keepNext/>
              <w:jc w:val="center"/>
              <w:rPr>
                <w:color w:val="000000" w:themeColor="text1"/>
                <w:sz w:val="20"/>
                <w:szCs w:val="20"/>
              </w:rPr>
            </w:pPr>
          </w:p>
        </w:tc>
      </w:tr>
    </w:tbl>
    <w:p w:rsidR="00534BB4" w:rsidRDefault="00534BB4" w:rsidP="004626E1">
      <w:pPr>
        <w:pStyle w:val="Notes"/>
      </w:pPr>
      <w:r>
        <w:t>* Indicat</w:t>
      </w:r>
      <w:r w:rsidRPr="00324D05">
        <w:t>e</w:t>
      </w:r>
      <w:r>
        <w:t>s the primary aim of the study.</w:t>
      </w:r>
    </w:p>
    <w:p w:rsidR="00534BB4" w:rsidRDefault="00534BB4" w:rsidP="00AC25BB">
      <w:r>
        <w:t xml:space="preserve">Table 4 lists pharmacokinetic results that were excluded from consideration due to study </w:t>
      </w:r>
      <w:r w:rsidR="00324D05">
        <w:t>or presentational deficiencies.</w:t>
      </w:r>
    </w:p>
    <w:p w:rsidR="00534BB4" w:rsidRDefault="00534BB4" w:rsidP="008028EB">
      <w:pPr>
        <w:pStyle w:val="TableTitle"/>
      </w:pPr>
      <w:bookmarkStart w:id="67" w:name="_Toc291955327"/>
      <w:bookmarkStart w:id="68" w:name="_Toc292027092"/>
      <w:bookmarkStart w:id="69" w:name="_Toc292206538"/>
      <w:proofErr w:type="gramStart"/>
      <w:r>
        <w:lastRenderedPageBreak/>
        <w:t>Table</w:t>
      </w:r>
      <w:r w:rsidR="00D42840">
        <w:t xml:space="preserve"> 4</w:t>
      </w:r>
      <w:r>
        <w:t>.</w:t>
      </w:r>
      <w:proofErr w:type="gramEnd"/>
      <w:r>
        <w:t xml:space="preserve"> Pharmacodynamic results excluded from consideration.</w:t>
      </w:r>
      <w:bookmarkEnd w:id="67"/>
      <w:bookmarkEnd w:id="68"/>
      <w:bookmarkEnd w:id="69"/>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261"/>
        <w:gridCol w:w="2835"/>
      </w:tblGrid>
      <w:tr w:rsidR="00AC25BB" w:rsidTr="008028EB">
        <w:trPr>
          <w:tblHeader/>
        </w:trPr>
        <w:tc>
          <w:tcPr>
            <w:tcW w:w="1809" w:type="dxa"/>
            <w:tcBorders>
              <w:bottom w:val="single" w:sz="4" w:space="0" w:color="auto"/>
            </w:tcBorders>
            <w:shd w:val="clear" w:color="auto" w:fill="0070C0"/>
          </w:tcPr>
          <w:p w:rsidR="00AC25BB" w:rsidRPr="00AC25BB" w:rsidRDefault="00AC25BB" w:rsidP="00425E5E">
            <w:pPr>
              <w:keepNext/>
              <w:rPr>
                <w:b/>
                <w:color w:val="FFFFFF" w:themeColor="background1"/>
                <w:sz w:val="20"/>
                <w:szCs w:val="20"/>
              </w:rPr>
            </w:pPr>
            <w:r w:rsidRPr="00AC25BB">
              <w:rPr>
                <w:b/>
                <w:color w:val="FFFFFF" w:themeColor="background1"/>
                <w:sz w:val="20"/>
                <w:szCs w:val="20"/>
              </w:rPr>
              <w:t>Study ID</w:t>
            </w:r>
          </w:p>
        </w:tc>
        <w:tc>
          <w:tcPr>
            <w:tcW w:w="3261" w:type="dxa"/>
            <w:tcBorders>
              <w:bottom w:val="single" w:sz="4" w:space="0" w:color="auto"/>
            </w:tcBorders>
            <w:shd w:val="clear" w:color="auto" w:fill="0070C0"/>
          </w:tcPr>
          <w:p w:rsidR="00AC25BB" w:rsidRPr="00AC25BB" w:rsidRDefault="00AC25BB" w:rsidP="00425E5E">
            <w:pPr>
              <w:keepNext/>
              <w:rPr>
                <w:b/>
                <w:color w:val="FFFFFF" w:themeColor="background1"/>
                <w:sz w:val="20"/>
                <w:szCs w:val="20"/>
              </w:rPr>
            </w:pPr>
            <w:r w:rsidRPr="00AC25BB">
              <w:rPr>
                <w:b/>
                <w:color w:val="FFFFFF" w:themeColor="background1"/>
                <w:sz w:val="20"/>
                <w:szCs w:val="20"/>
              </w:rPr>
              <w:t>Subtopic(s)</w:t>
            </w:r>
          </w:p>
        </w:tc>
        <w:tc>
          <w:tcPr>
            <w:tcW w:w="2835" w:type="dxa"/>
            <w:tcBorders>
              <w:bottom w:val="single" w:sz="4" w:space="0" w:color="auto"/>
            </w:tcBorders>
            <w:shd w:val="clear" w:color="auto" w:fill="0070C0"/>
            <w:vAlign w:val="center"/>
          </w:tcPr>
          <w:p w:rsidR="00AC25BB" w:rsidRPr="00AC25BB" w:rsidRDefault="00AC25BB" w:rsidP="00425E5E">
            <w:pPr>
              <w:keepNext/>
              <w:jc w:val="center"/>
              <w:rPr>
                <w:b/>
                <w:color w:val="FFFFFF" w:themeColor="background1"/>
                <w:sz w:val="20"/>
                <w:szCs w:val="20"/>
              </w:rPr>
            </w:pPr>
            <w:r w:rsidRPr="00AC25BB">
              <w:rPr>
                <w:b/>
                <w:color w:val="FFFFFF" w:themeColor="background1"/>
                <w:sz w:val="20"/>
                <w:szCs w:val="20"/>
              </w:rPr>
              <w:t>PD results excluded</w:t>
            </w:r>
          </w:p>
        </w:tc>
      </w:tr>
      <w:tr w:rsidR="00AC25BB" w:rsidTr="00AC25BB">
        <w:tc>
          <w:tcPr>
            <w:tcW w:w="1809" w:type="dxa"/>
            <w:tcBorders>
              <w:bottom w:val="single" w:sz="4" w:space="0" w:color="auto"/>
            </w:tcBorders>
            <w:vAlign w:val="center"/>
          </w:tcPr>
          <w:p w:rsidR="00AC25BB" w:rsidRPr="000800CC" w:rsidRDefault="00AC25BB" w:rsidP="00425E5E">
            <w:pPr>
              <w:keepNext/>
              <w:rPr>
                <w:sz w:val="20"/>
                <w:szCs w:val="20"/>
              </w:rPr>
            </w:pPr>
            <w:r>
              <w:rPr>
                <w:sz w:val="20"/>
                <w:szCs w:val="20"/>
              </w:rPr>
              <w:t xml:space="preserve">Thomas </w:t>
            </w:r>
            <w:r w:rsidR="00A23E93" w:rsidRPr="00A23E93">
              <w:rPr>
                <w:i/>
                <w:sz w:val="20"/>
                <w:szCs w:val="20"/>
              </w:rPr>
              <w:t>et al.</w:t>
            </w:r>
            <w:r>
              <w:rPr>
                <w:sz w:val="20"/>
                <w:szCs w:val="20"/>
              </w:rPr>
              <w:t xml:space="preserve"> (1998)</w:t>
            </w:r>
          </w:p>
        </w:tc>
        <w:tc>
          <w:tcPr>
            <w:tcW w:w="3261" w:type="dxa"/>
            <w:tcBorders>
              <w:bottom w:val="single" w:sz="4" w:space="0" w:color="auto"/>
            </w:tcBorders>
            <w:vAlign w:val="center"/>
          </w:tcPr>
          <w:p w:rsidR="00AC25BB" w:rsidRPr="000800CC" w:rsidRDefault="00AC25BB" w:rsidP="00425E5E">
            <w:pPr>
              <w:keepNext/>
              <w:rPr>
                <w:sz w:val="20"/>
                <w:szCs w:val="20"/>
              </w:rPr>
            </w:pPr>
            <w:r w:rsidRPr="000800CC">
              <w:rPr>
                <w:sz w:val="20"/>
                <w:szCs w:val="20"/>
              </w:rPr>
              <w:t xml:space="preserve">Effect on </w:t>
            </w:r>
            <w:proofErr w:type="spellStart"/>
            <w:r>
              <w:rPr>
                <w:sz w:val="20"/>
                <w:szCs w:val="20"/>
              </w:rPr>
              <w:t>subgingival</w:t>
            </w:r>
            <w:proofErr w:type="spellEnd"/>
            <w:r>
              <w:rPr>
                <w:sz w:val="20"/>
                <w:szCs w:val="20"/>
              </w:rPr>
              <w:t xml:space="preserve"> </w:t>
            </w:r>
            <w:proofErr w:type="spellStart"/>
            <w:r>
              <w:rPr>
                <w:sz w:val="20"/>
                <w:szCs w:val="20"/>
              </w:rPr>
              <w:t>microflora</w:t>
            </w:r>
            <w:proofErr w:type="spellEnd"/>
          </w:p>
        </w:tc>
        <w:tc>
          <w:tcPr>
            <w:tcW w:w="2835" w:type="dxa"/>
            <w:tcBorders>
              <w:bottom w:val="single" w:sz="4" w:space="0" w:color="auto"/>
            </w:tcBorders>
            <w:vAlign w:val="center"/>
          </w:tcPr>
          <w:p w:rsidR="00AC25BB" w:rsidRPr="000800CC" w:rsidRDefault="00AC25BB" w:rsidP="00425E5E">
            <w:pPr>
              <w:keepNext/>
              <w:jc w:val="center"/>
              <w:rPr>
                <w:sz w:val="20"/>
                <w:szCs w:val="20"/>
              </w:rPr>
            </w:pPr>
            <w:r>
              <w:rPr>
                <w:sz w:val="20"/>
                <w:szCs w:val="20"/>
              </w:rPr>
              <w:t>All</w:t>
            </w:r>
          </w:p>
        </w:tc>
      </w:tr>
      <w:tr w:rsidR="00AC25BB" w:rsidTr="00AC25BB">
        <w:tc>
          <w:tcPr>
            <w:tcW w:w="1809" w:type="dxa"/>
            <w:tcBorders>
              <w:top w:val="single" w:sz="4" w:space="0" w:color="auto"/>
              <w:bottom w:val="single" w:sz="4" w:space="0" w:color="auto"/>
            </w:tcBorders>
            <w:vAlign w:val="center"/>
          </w:tcPr>
          <w:p w:rsidR="00AC25BB" w:rsidRPr="000800CC" w:rsidRDefault="00AC25BB" w:rsidP="00425E5E">
            <w:pPr>
              <w:keepNext/>
              <w:rPr>
                <w:sz w:val="20"/>
                <w:szCs w:val="20"/>
              </w:rPr>
            </w:pPr>
            <w:r>
              <w:rPr>
                <w:sz w:val="20"/>
                <w:szCs w:val="20"/>
              </w:rPr>
              <w:t xml:space="preserve">Walker </w:t>
            </w:r>
            <w:r w:rsidR="00A23E93" w:rsidRPr="00A23E93">
              <w:rPr>
                <w:i/>
                <w:sz w:val="20"/>
                <w:szCs w:val="20"/>
              </w:rPr>
              <w:t>et al.</w:t>
            </w:r>
            <w:r>
              <w:rPr>
                <w:sz w:val="20"/>
                <w:szCs w:val="20"/>
              </w:rPr>
              <w:t xml:space="preserve"> (2000)</w:t>
            </w:r>
          </w:p>
        </w:tc>
        <w:tc>
          <w:tcPr>
            <w:tcW w:w="3261" w:type="dxa"/>
            <w:tcBorders>
              <w:top w:val="single" w:sz="4" w:space="0" w:color="auto"/>
              <w:bottom w:val="single" w:sz="4" w:space="0" w:color="auto"/>
            </w:tcBorders>
            <w:vAlign w:val="center"/>
          </w:tcPr>
          <w:p w:rsidR="00AC25BB" w:rsidRPr="000800CC" w:rsidRDefault="00AC25BB" w:rsidP="00425E5E">
            <w:pPr>
              <w:keepNext/>
              <w:rPr>
                <w:sz w:val="20"/>
                <w:szCs w:val="20"/>
              </w:rPr>
            </w:pPr>
            <w:r w:rsidRPr="000800CC">
              <w:rPr>
                <w:sz w:val="20"/>
                <w:szCs w:val="20"/>
              </w:rPr>
              <w:t xml:space="preserve">Effect on </w:t>
            </w:r>
            <w:proofErr w:type="spellStart"/>
            <w:r>
              <w:rPr>
                <w:sz w:val="20"/>
                <w:szCs w:val="20"/>
              </w:rPr>
              <w:t>subgingival</w:t>
            </w:r>
            <w:proofErr w:type="spellEnd"/>
            <w:r>
              <w:rPr>
                <w:sz w:val="20"/>
                <w:szCs w:val="20"/>
              </w:rPr>
              <w:t xml:space="preserve"> </w:t>
            </w:r>
            <w:proofErr w:type="spellStart"/>
            <w:r>
              <w:rPr>
                <w:sz w:val="20"/>
                <w:szCs w:val="20"/>
              </w:rPr>
              <w:t>microflora</w:t>
            </w:r>
            <w:proofErr w:type="spellEnd"/>
          </w:p>
        </w:tc>
        <w:tc>
          <w:tcPr>
            <w:tcW w:w="2835" w:type="dxa"/>
            <w:tcBorders>
              <w:top w:val="single" w:sz="4" w:space="0" w:color="auto"/>
              <w:bottom w:val="single" w:sz="4" w:space="0" w:color="auto"/>
            </w:tcBorders>
            <w:vAlign w:val="center"/>
          </w:tcPr>
          <w:p w:rsidR="00AC25BB" w:rsidRPr="005A00FE" w:rsidRDefault="00AC25BB" w:rsidP="00425E5E">
            <w:pPr>
              <w:keepNext/>
              <w:jc w:val="center"/>
              <w:rPr>
                <w:sz w:val="20"/>
                <w:szCs w:val="20"/>
              </w:rPr>
            </w:pPr>
            <w:r>
              <w:rPr>
                <w:sz w:val="20"/>
                <w:szCs w:val="20"/>
              </w:rPr>
              <w:t>All</w:t>
            </w:r>
          </w:p>
        </w:tc>
      </w:tr>
      <w:tr w:rsidR="00AC25BB" w:rsidTr="00AC25BB">
        <w:tc>
          <w:tcPr>
            <w:tcW w:w="1809" w:type="dxa"/>
            <w:tcBorders>
              <w:top w:val="single" w:sz="4" w:space="0" w:color="auto"/>
              <w:bottom w:val="single" w:sz="4" w:space="0" w:color="auto"/>
            </w:tcBorders>
          </w:tcPr>
          <w:p w:rsidR="00AC25BB" w:rsidRPr="000800CC" w:rsidRDefault="00AC25BB" w:rsidP="00152865">
            <w:pPr>
              <w:keepNext/>
              <w:rPr>
                <w:sz w:val="20"/>
                <w:szCs w:val="20"/>
              </w:rPr>
            </w:pPr>
            <w:r>
              <w:rPr>
                <w:sz w:val="20"/>
                <w:szCs w:val="20"/>
              </w:rPr>
              <w:t xml:space="preserve">Thomas </w:t>
            </w:r>
            <w:r w:rsidR="00A23E93" w:rsidRPr="00A23E93">
              <w:rPr>
                <w:i/>
                <w:sz w:val="20"/>
                <w:szCs w:val="20"/>
              </w:rPr>
              <w:t>et al.</w:t>
            </w:r>
            <w:r>
              <w:rPr>
                <w:sz w:val="20"/>
                <w:szCs w:val="20"/>
              </w:rPr>
              <w:t xml:space="preserve"> (2000)</w:t>
            </w:r>
          </w:p>
        </w:tc>
        <w:tc>
          <w:tcPr>
            <w:tcW w:w="3261" w:type="dxa"/>
            <w:tcBorders>
              <w:top w:val="single" w:sz="4" w:space="0" w:color="auto"/>
              <w:bottom w:val="single" w:sz="4" w:space="0" w:color="auto"/>
            </w:tcBorders>
            <w:vAlign w:val="center"/>
          </w:tcPr>
          <w:p w:rsidR="00AC25BB" w:rsidRPr="000800CC" w:rsidRDefault="00AC25BB" w:rsidP="00152865">
            <w:pPr>
              <w:keepNext/>
              <w:rPr>
                <w:sz w:val="20"/>
                <w:szCs w:val="20"/>
              </w:rPr>
            </w:pPr>
            <w:r w:rsidRPr="000800CC">
              <w:rPr>
                <w:sz w:val="20"/>
                <w:szCs w:val="20"/>
              </w:rPr>
              <w:t xml:space="preserve">Effect on </w:t>
            </w:r>
            <w:proofErr w:type="spellStart"/>
            <w:r>
              <w:rPr>
                <w:sz w:val="20"/>
                <w:szCs w:val="20"/>
              </w:rPr>
              <w:t>subgingival</w:t>
            </w:r>
            <w:proofErr w:type="spellEnd"/>
            <w:r>
              <w:rPr>
                <w:sz w:val="20"/>
                <w:szCs w:val="20"/>
              </w:rPr>
              <w:t xml:space="preserve"> </w:t>
            </w:r>
            <w:proofErr w:type="spellStart"/>
            <w:r>
              <w:rPr>
                <w:sz w:val="20"/>
                <w:szCs w:val="20"/>
              </w:rPr>
              <w:t>microflora</w:t>
            </w:r>
            <w:proofErr w:type="spellEnd"/>
          </w:p>
        </w:tc>
        <w:tc>
          <w:tcPr>
            <w:tcW w:w="2835" w:type="dxa"/>
            <w:tcBorders>
              <w:top w:val="single" w:sz="4" w:space="0" w:color="auto"/>
              <w:bottom w:val="single" w:sz="4" w:space="0" w:color="auto"/>
            </w:tcBorders>
            <w:vAlign w:val="center"/>
          </w:tcPr>
          <w:p w:rsidR="00AC25BB" w:rsidRPr="000800CC" w:rsidRDefault="00AC25BB" w:rsidP="00152865">
            <w:pPr>
              <w:keepNext/>
              <w:jc w:val="center"/>
              <w:rPr>
                <w:sz w:val="20"/>
                <w:szCs w:val="20"/>
              </w:rPr>
            </w:pPr>
            <w:r>
              <w:rPr>
                <w:sz w:val="20"/>
                <w:szCs w:val="20"/>
              </w:rPr>
              <w:t>All</w:t>
            </w:r>
          </w:p>
        </w:tc>
      </w:tr>
      <w:tr w:rsidR="00AC25BB" w:rsidTr="00AC25BB">
        <w:tc>
          <w:tcPr>
            <w:tcW w:w="1809" w:type="dxa"/>
            <w:tcBorders>
              <w:top w:val="single" w:sz="4" w:space="0" w:color="auto"/>
              <w:bottom w:val="single" w:sz="4" w:space="0" w:color="auto"/>
            </w:tcBorders>
            <w:vAlign w:val="center"/>
          </w:tcPr>
          <w:p w:rsidR="00AC25BB" w:rsidRPr="000800CC" w:rsidRDefault="00AC25BB" w:rsidP="00152865">
            <w:pPr>
              <w:keepNext/>
              <w:rPr>
                <w:sz w:val="20"/>
                <w:szCs w:val="20"/>
              </w:rPr>
            </w:pPr>
            <w:r>
              <w:rPr>
                <w:sz w:val="20"/>
                <w:szCs w:val="20"/>
              </w:rPr>
              <w:t xml:space="preserve">Walker </w:t>
            </w:r>
            <w:r w:rsidR="00A23E93" w:rsidRPr="00A23E93">
              <w:rPr>
                <w:i/>
                <w:sz w:val="20"/>
                <w:szCs w:val="20"/>
              </w:rPr>
              <w:t>et al.</w:t>
            </w:r>
            <w:r>
              <w:rPr>
                <w:sz w:val="20"/>
                <w:szCs w:val="20"/>
              </w:rPr>
              <w:t xml:space="preserve"> (2005)</w:t>
            </w:r>
          </w:p>
        </w:tc>
        <w:tc>
          <w:tcPr>
            <w:tcW w:w="3261" w:type="dxa"/>
            <w:tcBorders>
              <w:top w:val="single" w:sz="4" w:space="0" w:color="auto"/>
              <w:bottom w:val="single" w:sz="4" w:space="0" w:color="auto"/>
            </w:tcBorders>
            <w:vAlign w:val="center"/>
          </w:tcPr>
          <w:p w:rsidR="00AC25BB" w:rsidRPr="000800CC" w:rsidRDefault="00AC25BB" w:rsidP="00152865">
            <w:pPr>
              <w:keepNext/>
              <w:rPr>
                <w:sz w:val="20"/>
                <w:szCs w:val="20"/>
              </w:rPr>
            </w:pPr>
            <w:r w:rsidRPr="000800CC">
              <w:rPr>
                <w:sz w:val="20"/>
                <w:szCs w:val="20"/>
              </w:rPr>
              <w:t xml:space="preserve">Effect on </w:t>
            </w:r>
            <w:r>
              <w:rPr>
                <w:sz w:val="20"/>
                <w:szCs w:val="20"/>
              </w:rPr>
              <w:t xml:space="preserve">intestinal and vaginal </w:t>
            </w:r>
            <w:proofErr w:type="spellStart"/>
            <w:r>
              <w:rPr>
                <w:sz w:val="20"/>
                <w:szCs w:val="20"/>
              </w:rPr>
              <w:t>microflora</w:t>
            </w:r>
            <w:proofErr w:type="spellEnd"/>
          </w:p>
        </w:tc>
        <w:tc>
          <w:tcPr>
            <w:tcW w:w="2835" w:type="dxa"/>
            <w:tcBorders>
              <w:top w:val="single" w:sz="4" w:space="0" w:color="auto"/>
              <w:bottom w:val="single" w:sz="4" w:space="0" w:color="auto"/>
            </w:tcBorders>
            <w:vAlign w:val="center"/>
          </w:tcPr>
          <w:p w:rsidR="00AC25BB" w:rsidRPr="000800CC" w:rsidRDefault="00AC25BB" w:rsidP="00152865">
            <w:pPr>
              <w:keepNext/>
              <w:jc w:val="center"/>
              <w:rPr>
                <w:sz w:val="20"/>
                <w:szCs w:val="20"/>
              </w:rPr>
            </w:pPr>
            <w:r>
              <w:rPr>
                <w:sz w:val="20"/>
                <w:szCs w:val="20"/>
              </w:rPr>
              <w:t>All</w:t>
            </w:r>
          </w:p>
        </w:tc>
      </w:tr>
    </w:tbl>
    <w:p w:rsidR="00534BB4" w:rsidRDefault="00AC25BB" w:rsidP="00324D05">
      <w:pPr>
        <w:pStyle w:val="Heading3"/>
      </w:pPr>
      <w:bookmarkStart w:id="70" w:name="_Ref269119989"/>
      <w:bookmarkStart w:id="71" w:name="_Toc272414639"/>
      <w:bookmarkStart w:id="72" w:name="_Toc273018202"/>
      <w:bookmarkStart w:id="73" w:name="_Toc348527480"/>
      <w:bookmarkStart w:id="74" w:name="_Toc366439574"/>
      <w:r>
        <w:t xml:space="preserve">Summary </w:t>
      </w:r>
      <w:r w:rsidR="002A418E">
        <w:t>o</w:t>
      </w:r>
      <w:r w:rsidR="00136782">
        <w:t xml:space="preserve">f </w:t>
      </w:r>
      <w:proofErr w:type="spellStart"/>
      <w:r w:rsidR="00136782">
        <w:t>p</w:t>
      </w:r>
      <w:r>
        <w:t>harmacodynamics</w:t>
      </w:r>
      <w:bookmarkEnd w:id="70"/>
      <w:bookmarkEnd w:id="71"/>
      <w:bookmarkEnd w:id="72"/>
      <w:bookmarkEnd w:id="73"/>
      <w:bookmarkEnd w:id="74"/>
      <w:proofErr w:type="spellEnd"/>
    </w:p>
    <w:p w:rsidR="00534BB4" w:rsidRDefault="00534BB4" w:rsidP="00534BB4">
      <w:r>
        <w:t xml:space="preserve">The </w:t>
      </w:r>
      <w:r w:rsidRPr="00BA1062">
        <w:rPr>
          <w:i/>
        </w:rPr>
        <w:t>Overview</w:t>
      </w:r>
      <w:r>
        <w:t xml:space="preserve"> explains that the pharmacodynamic studies presented (all in the form of published papers) are included in the dossier to provide information on </w:t>
      </w:r>
      <w:r w:rsidRPr="00BA1062">
        <w:t xml:space="preserve">whether there is </w:t>
      </w:r>
      <w:r>
        <w:t xml:space="preserve">likely to be </w:t>
      </w:r>
      <w:r w:rsidRPr="00BA1062">
        <w:t>a risk of resistance induction with</w:t>
      </w:r>
      <w:r>
        <w:t xml:space="preserve"> Oracea. One of the studies presented (Skidmore at al. 2003) provides</w:t>
      </w:r>
      <w:r w:rsidRPr="0075615E">
        <w:t xml:space="preserve"> </w:t>
      </w:r>
      <w:r>
        <w:t>preliminary</w:t>
      </w:r>
      <w:r w:rsidRPr="0075615E">
        <w:t xml:space="preserve"> reassurance</w:t>
      </w:r>
      <w:r>
        <w:t xml:space="preserve"> </w:t>
      </w:r>
      <w:r w:rsidRPr="0075615E">
        <w:t xml:space="preserve">on </w:t>
      </w:r>
      <w:r>
        <w:t>this point.</w:t>
      </w:r>
    </w:p>
    <w:p w:rsidR="00534BB4" w:rsidRDefault="00136782" w:rsidP="00324D05">
      <w:pPr>
        <w:pStyle w:val="Heading3"/>
      </w:pPr>
      <w:bookmarkStart w:id="75" w:name="_Ref269983272"/>
      <w:bookmarkStart w:id="76" w:name="_Toc272414648"/>
      <w:bookmarkStart w:id="77" w:name="_Toc273018211"/>
      <w:bookmarkStart w:id="78" w:name="_Toc348527481"/>
      <w:bookmarkStart w:id="79" w:name="_Toc366439575"/>
      <w:r>
        <w:t>Evaluator’s o</w:t>
      </w:r>
      <w:r w:rsidR="00AC25BB">
        <w:t xml:space="preserve">verall </w:t>
      </w:r>
      <w:r>
        <w:t xml:space="preserve">conclusions on </w:t>
      </w:r>
      <w:proofErr w:type="spellStart"/>
      <w:r>
        <w:t>p</w:t>
      </w:r>
      <w:r w:rsidR="00AC25BB">
        <w:t>harmacodynamics</w:t>
      </w:r>
      <w:bookmarkEnd w:id="75"/>
      <w:bookmarkEnd w:id="76"/>
      <w:bookmarkEnd w:id="77"/>
      <w:bookmarkEnd w:id="78"/>
      <w:bookmarkEnd w:id="79"/>
      <w:proofErr w:type="spellEnd"/>
    </w:p>
    <w:p w:rsidR="00534BB4" w:rsidRDefault="00534BB4" w:rsidP="00534BB4">
      <w:r>
        <w:t xml:space="preserve">All the pharmacodynamic studies presented were aimed at demonstrating the absence of certain unwanted effects, and thus were related to safety rather than efficacy. The sponsor sought to show that although doxycycline is a known broad-spectrum antibiotic, it lacks (at the dosage used for the claimed indication) a </w:t>
      </w:r>
      <w:r w:rsidR="00324D05">
        <w:t>measurable effect in respect of</w:t>
      </w:r>
    </w:p>
    <w:p w:rsidR="00534BB4" w:rsidRPr="008028EB" w:rsidRDefault="00324D05" w:rsidP="008028EB">
      <w:pPr>
        <w:pStyle w:val="ListBullet"/>
      </w:pPr>
      <w:r>
        <w:t>antibacterial potency, and</w:t>
      </w:r>
    </w:p>
    <w:p w:rsidR="00534BB4" w:rsidRPr="008028EB" w:rsidRDefault="00534BB4" w:rsidP="008028EB">
      <w:pPr>
        <w:pStyle w:val="ListBullet"/>
      </w:pPr>
      <w:proofErr w:type="gramStart"/>
      <w:r w:rsidRPr="008028EB">
        <w:t>induction</w:t>
      </w:r>
      <w:proofErr w:type="gramEnd"/>
      <w:r w:rsidRPr="008028EB">
        <w:t xml:space="preserve"> of resistance−spe</w:t>
      </w:r>
      <w:r w:rsidR="00324D05">
        <w:t>cifically, in intestinal flora.</w:t>
      </w:r>
    </w:p>
    <w:p w:rsidR="00534BB4" w:rsidRPr="00CB6133" w:rsidRDefault="00534BB4" w:rsidP="00534BB4">
      <w:r w:rsidRPr="00CB6133">
        <w:t xml:space="preserve">In view of the </w:t>
      </w:r>
      <w:r>
        <w:t>deficiencies noted at section 13 below, regarding</w:t>
      </w:r>
      <w:r w:rsidRPr="00CB6133">
        <w:t xml:space="preserve"> the papers Thomas </w:t>
      </w:r>
      <w:r w:rsidR="00A23E93" w:rsidRPr="00A23E93">
        <w:rPr>
          <w:i/>
        </w:rPr>
        <w:t>et al.</w:t>
      </w:r>
      <w:r w:rsidRPr="00CB6133">
        <w:t xml:space="preserve"> (1998), Walker </w:t>
      </w:r>
      <w:r w:rsidR="00A23E93" w:rsidRPr="00A23E93">
        <w:rPr>
          <w:i/>
        </w:rPr>
        <w:t>et al.</w:t>
      </w:r>
      <w:r w:rsidRPr="00CB6133">
        <w:t xml:space="preserve"> (2000)</w:t>
      </w:r>
      <w:r>
        <w:t>,</w:t>
      </w:r>
      <w:r w:rsidRPr="00CB6133">
        <w:t xml:space="preserve"> Thomas </w:t>
      </w:r>
      <w:r w:rsidR="00A23E93" w:rsidRPr="00A23E93">
        <w:rPr>
          <w:i/>
        </w:rPr>
        <w:t>et al.</w:t>
      </w:r>
      <w:r w:rsidRPr="00CB6133">
        <w:t xml:space="preserve"> (2000),</w:t>
      </w:r>
      <w:r>
        <w:t xml:space="preserve"> and Walker </w:t>
      </w:r>
      <w:r w:rsidR="00A23E93" w:rsidRPr="00A23E93">
        <w:rPr>
          <w:i/>
        </w:rPr>
        <w:t>et al.</w:t>
      </w:r>
      <w:r>
        <w:t xml:space="preserve"> (2005),</w:t>
      </w:r>
      <w:r w:rsidRPr="00CB6133">
        <w:t xml:space="preserve"> </w:t>
      </w:r>
      <w:r w:rsidR="00AC25BB">
        <w:t xml:space="preserve">the evaluator </w:t>
      </w:r>
      <w:r w:rsidRPr="00CB6133">
        <w:t>f</w:t>
      </w:r>
      <w:r w:rsidR="00AC25BB">
        <w:t>ound it impossible to conduct a</w:t>
      </w:r>
      <w:r w:rsidRPr="00CB6133">
        <w:t xml:space="preserve"> proper evaluation</w:t>
      </w:r>
      <w:r>
        <w:t xml:space="preserve"> of these papers</w:t>
      </w:r>
      <w:r w:rsidRPr="00CB6133">
        <w:t>. If the sponsor believes the findings of the studies reported in these papers are important to the application, it should</w:t>
      </w:r>
      <w:r>
        <w:t xml:space="preserve"> have</w:t>
      </w:r>
      <w:r w:rsidRPr="00CB6133">
        <w:t xml:space="preserve"> provide</w:t>
      </w:r>
      <w:r>
        <w:t>d</w:t>
      </w:r>
      <w:r w:rsidRPr="00CB6133">
        <w:t xml:space="preserve"> separate, adequately detailed reports of the studies.</w:t>
      </w:r>
    </w:p>
    <w:p w:rsidR="00534BB4" w:rsidRPr="00CB6133" w:rsidRDefault="00534BB4" w:rsidP="00534BB4">
      <w:r>
        <w:t>In addition to the</w:t>
      </w:r>
      <w:r w:rsidRPr="00CB6133">
        <w:t xml:space="preserve"> confusion </w:t>
      </w:r>
      <w:r>
        <w:t>over the question of exactly which studies are covered by some of the papers presented, there is the question of the extent to which this small selection of published papers provides an objective and unbiased survey of the literature relevant to the antibacterial effect and extent of induction of resistance resulting from treatment with low dose doxycycline. This section of the dossier amounts to a literature-based submission, yet no attempt has been made to comply with the guidelines for such submissions. (See TGA 2003.)</w:t>
      </w:r>
    </w:p>
    <w:p w:rsidR="00534BB4" w:rsidRDefault="00534BB4" w:rsidP="00534BB4">
      <w:r>
        <w:t xml:space="preserve">Thus, in </w:t>
      </w:r>
      <w:r w:rsidR="00AC25BB">
        <w:t xml:space="preserve">the evaluator’s </w:t>
      </w:r>
      <w:r>
        <w:t xml:space="preserve">opinion, all that can be derived from the pharmacodynamic studies presented is the preliminary reassurance described at </w:t>
      </w:r>
      <w:r w:rsidR="00AC25BB" w:rsidRPr="00AC25BB">
        <w:rPr>
          <w:i/>
        </w:rPr>
        <w:t>Summary of Pharmacodynamics</w:t>
      </w:r>
      <w:r w:rsidR="00AC25BB">
        <w:t xml:space="preserve"> </w:t>
      </w:r>
      <w:r>
        <w:t>above.</w:t>
      </w:r>
    </w:p>
    <w:p w:rsidR="00586F98" w:rsidRDefault="00C22678" w:rsidP="00324D05">
      <w:pPr>
        <w:pStyle w:val="Heading2"/>
      </w:pPr>
      <w:bookmarkStart w:id="80" w:name="_Toc366439576"/>
      <w:r>
        <w:t>Dosage selection for the pivotal studies</w:t>
      </w:r>
      <w:bookmarkEnd w:id="80"/>
    </w:p>
    <w:p w:rsidR="00534BB4" w:rsidRDefault="00534BB4" w:rsidP="00534BB4">
      <w:r>
        <w:t>The rationale for the dose used</w:t>
      </w:r>
      <w:r w:rsidR="00324D05">
        <w:t xml:space="preserve"> (Oracea 40 mg once daily) was:</w:t>
      </w:r>
    </w:p>
    <w:p w:rsidR="00534BB4" w:rsidRPr="007F5A62" w:rsidRDefault="00534BB4" w:rsidP="00324D05">
      <w:pPr>
        <w:pStyle w:val="ListBullet"/>
      </w:pPr>
      <w:r w:rsidRPr="007F5A62">
        <w:t xml:space="preserve">An expectation (based on previous studies) that it would produce plasma </w:t>
      </w:r>
      <w:proofErr w:type="spellStart"/>
      <w:r w:rsidRPr="007F5A62">
        <w:t>doxycycline</w:t>
      </w:r>
      <w:proofErr w:type="spellEnd"/>
      <w:r w:rsidRPr="007F5A62">
        <w:t xml:space="preserve"> levels not exceeding 1 µg/</w:t>
      </w:r>
      <w:proofErr w:type="spellStart"/>
      <w:r w:rsidRPr="007F5A62">
        <w:t>mL</w:t>
      </w:r>
      <w:proofErr w:type="spellEnd"/>
      <w:r w:rsidRPr="007F5A62">
        <w:t xml:space="preserve"> over the 24 hours in chronic treatment. This concentration was </w:t>
      </w:r>
      <w:r w:rsidRPr="007F5A62">
        <w:lastRenderedPageBreak/>
        <w:t>considered to be below that required for an antimicrobial effect on many common micro-organisms.</w:t>
      </w:r>
    </w:p>
    <w:p w:rsidR="00534BB4" w:rsidRDefault="00534BB4" w:rsidP="007F5A62">
      <w:pPr>
        <w:pStyle w:val="ListBullet"/>
      </w:pPr>
      <w:r w:rsidRPr="007F5A62">
        <w:t xml:space="preserve">Study DERM-303, which demonstrated some efficacy in </w:t>
      </w:r>
      <w:proofErr w:type="spellStart"/>
      <w:r w:rsidRPr="007F5A62">
        <w:t>rosacea</w:t>
      </w:r>
      <w:proofErr w:type="spellEnd"/>
      <w:r w:rsidRPr="007F5A62">
        <w:t xml:space="preserve"> of </w:t>
      </w:r>
      <w:proofErr w:type="spellStart"/>
      <w:r w:rsidRPr="007F5A62">
        <w:t>doxycycline</w:t>
      </w:r>
      <w:proofErr w:type="spellEnd"/>
      <w:r w:rsidRPr="007F5A62">
        <w:t xml:space="preserve"> 20 mg (as hydrochloride) bd.</w:t>
      </w:r>
    </w:p>
    <w:p w:rsidR="00C22678" w:rsidRDefault="00C22678" w:rsidP="00324D05">
      <w:pPr>
        <w:pStyle w:val="Heading2"/>
      </w:pPr>
      <w:bookmarkStart w:id="81" w:name="_Toc366439577"/>
      <w:r>
        <w:t>Clinical efficacy</w:t>
      </w:r>
      <w:bookmarkEnd w:id="81"/>
    </w:p>
    <w:p w:rsidR="00534BB4" w:rsidRPr="00FC7DE3" w:rsidRDefault="00136782" w:rsidP="00324D05">
      <w:pPr>
        <w:pStyle w:val="Heading3"/>
      </w:pPr>
      <w:bookmarkStart w:id="82" w:name="_Toc366439578"/>
      <w:r>
        <w:t xml:space="preserve">Facial </w:t>
      </w:r>
      <w:proofErr w:type="spellStart"/>
      <w:r>
        <w:t>r</w:t>
      </w:r>
      <w:r w:rsidR="002A418E">
        <w:t>osacea</w:t>
      </w:r>
      <w:proofErr w:type="spellEnd"/>
      <w:r w:rsidR="002A418E">
        <w:t xml:space="preserve"> </w:t>
      </w:r>
      <w:r>
        <w:t>i</w:t>
      </w:r>
      <w:r w:rsidR="00AC25BB">
        <w:t>ndication</w:t>
      </w:r>
      <w:bookmarkEnd w:id="82"/>
    </w:p>
    <w:p w:rsidR="00534BB4" w:rsidRDefault="00136782" w:rsidP="00324D05">
      <w:pPr>
        <w:pStyle w:val="Heading4"/>
      </w:pPr>
      <w:bookmarkStart w:id="83" w:name="_Ref271037274"/>
      <w:bookmarkStart w:id="84" w:name="_Toc272414652"/>
      <w:bookmarkStart w:id="85" w:name="_Toc273018215"/>
      <w:bookmarkStart w:id="86" w:name="_Toc348527485"/>
      <w:r>
        <w:t>Pivotal e</w:t>
      </w:r>
      <w:r w:rsidR="00AC25BB">
        <w:t xml:space="preserve">fficacy </w:t>
      </w:r>
      <w:r>
        <w:t>s</w:t>
      </w:r>
      <w:r w:rsidR="00AC25BB">
        <w:t>tudies</w:t>
      </w:r>
      <w:bookmarkEnd w:id="83"/>
      <w:bookmarkEnd w:id="84"/>
      <w:bookmarkEnd w:id="85"/>
      <w:bookmarkEnd w:id="86"/>
    </w:p>
    <w:p w:rsidR="00534BB4" w:rsidRDefault="00534BB4" w:rsidP="00425E5E">
      <w:r>
        <w:t xml:space="preserve">Note that the term "pivotal" </w:t>
      </w:r>
      <w:r w:rsidR="00AC25BB">
        <w:t xml:space="preserve">has been used </w:t>
      </w:r>
      <w:r>
        <w:t xml:space="preserve">when referring to studies 301 and 302 for convenience, because the studies are so designated by the sponsor. However, for the reason given under </w:t>
      </w:r>
      <w:r w:rsidRPr="00AC25BB">
        <w:rPr>
          <w:i/>
        </w:rPr>
        <w:t>Effect of food</w:t>
      </w:r>
      <w:r>
        <w:t xml:space="preserve"> below, </w:t>
      </w:r>
      <w:r w:rsidR="00AC25BB">
        <w:t>the evaluator</w:t>
      </w:r>
      <w:r>
        <w:t xml:space="preserve"> believe</w:t>
      </w:r>
      <w:r w:rsidR="00AC25BB">
        <w:t>d</w:t>
      </w:r>
      <w:r>
        <w:t xml:space="preserve"> that the studies are in fact of little assistance to the application.</w:t>
      </w:r>
    </w:p>
    <w:p w:rsidR="00534BB4" w:rsidRDefault="00AC25BB" w:rsidP="00324D05">
      <w:pPr>
        <w:pStyle w:val="Heading5"/>
      </w:pPr>
      <w:bookmarkStart w:id="87" w:name="_Toc348527486"/>
      <w:r w:rsidRPr="00AC25BB">
        <w:rPr>
          <w:rFonts w:eastAsia="MS Mincho"/>
        </w:rPr>
        <w:t xml:space="preserve">Studies Col-101-Rose-301 </w:t>
      </w:r>
      <w:proofErr w:type="gramStart"/>
      <w:r w:rsidRPr="00AC25BB">
        <w:rPr>
          <w:rFonts w:eastAsia="MS Mincho"/>
        </w:rPr>
        <w:t>And</w:t>
      </w:r>
      <w:proofErr w:type="gramEnd"/>
      <w:r w:rsidRPr="00AC25BB">
        <w:rPr>
          <w:rFonts w:eastAsia="MS Mincho"/>
        </w:rPr>
        <w:t xml:space="preserve"> Col-101-Rose-302</w:t>
      </w:r>
      <w:bookmarkEnd w:id="87"/>
    </w:p>
    <w:p w:rsidR="00534BB4" w:rsidRDefault="00534BB4" w:rsidP="00425E5E">
      <w:r w:rsidRPr="008C56DC">
        <w:t>The designs of these two studies were identical except that a 4-week extension was added to study 302 to assess the longevity of the treatment effects</w:t>
      </w:r>
      <w:r>
        <w:t xml:space="preserve">. In that study, double-blind treatment ceased at 16 weeks, and in the period between Week 16 and Week 20 visits, patients were instructed </w:t>
      </w:r>
      <w:r w:rsidRPr="00705DC0">
        <w:t>to refrain from taking the study drug or any systemic or topical</w:t>
      </w:r>
      <w:r>
        <w:t xml:space="preserve"> </w:t>
      </w:r>
      <w:r w:rsidRPr="00705DC0">
        <w:t>rosacea or acne medication or any prohibited Concomitant Medication</w:t>
      </w:r>
      <w:r>
        <w:t>.</w:t>
      </w:r>
    </w:p>
    <w:p w:rsidR="00534BB4" w:rsidRPr="004B259C" w:rsidRDefault="00534BB4" w:rsidP="00425E5E">
      <w:pPr>
        <w:pStyle w:val="Heading6"/>
      </w:pPr>
      <w:r w:rsidRPr="004B259C">
        <w:t>Study</w:t>
      </w:r>
      <w:r>
        <w:t xml:space="preserve"> </w:t>
      </w:r>
      <w:r w:rsidRPr="004B259C">
        <w:t>design,</w:t>
      </w:r>
      <w:r w:rsidRPr="00B36A5C">
        <w:t xml:space="preserve"> </w:t>
      </w:r>
      <w:r>
        <w:t>objectives,</w:t>
      </w:r>
      <w:r w:rsidRPr="004B259C">
        <w:t xml:space="preserve"> location</w:t>
      </w:r>
      <w:r>
        <w:t>s</w:t>
      </w:r>
      <w:r w:rsidRPr="004B259C">
        <w:t xml:space="preserve"> and dates</w:t>
      </w:r>
    </w:p>
    <w:p w:rsidR="00534BB4" w:rsidRDefault="00425E5E" w:rsidP="00425E5E">
      <w:r>
        <w:t>This was a r</w:t>
      </w:r>
      <w:r w:rsidR="00534BB4">
        <w:t xml:space="preserve">andomised, double-blind, </w:t>
      </w:r>
      <w:proofErr w:type="spellStart"/>
      <w:r w:rsidR="00534BB4">
        <w:t>parallel</w:t>
      </w:r>
      <w:r w:rsidR="002A418E">
        <w:t>l</w:t>
      </w:r>
      <w:proofErr w:type="spellEnd"/>
      <w:r w:rsidR="00324D05">
        <w:t xml:space="preserve"> group study.</w:t>
      </w:r>
    </w:p>
    <w:p w:rsidR="00534BB4" w:rsidRDefault="00534BB4" w:rsidP="00425E5E">
      <w:r>
        <w:t xml:space="preserve">Objective: </w:t>
      </w:r>
      <w:r w:rsidRPr="001A4DF0">
        <w:t xml:space="preserve">to evaluate the safety and efficacy of doxycycline 40 mg (as monohydrate) </w:t>
      </w:r>
      <w:r>
        <w:t>c</w:t>
      </w:r>
      <w:r w:rsidRPr="001A4DF0">
        <w:t>ontrolled-release</w:t>
      </w:r>
      <w:r>
        <w:t xml:space="preserve"> </w:t>
      </w:r>
      <w:r w:rsidRPr="001A4DF0">
        <w:t xml:space="preserve">capsules administered once daily for the treatment of rosacea compared </w:t>
      </w:r>
      <w:r>
        <w:t>to</w:t>
      </w:r>
      <w:r w:rsidRPr="001A4DF0">
        <w:t xml:space="preserve"> placebo.</w:t>
      </w:r>
    </w:p>
    <w:p w:rsidR="00534BB4" w:rsidRDefault="00534BB4" w:rsidP="00425E5E">
      <w:r>
        <w:t>Study COL-101-ROSE-301 was conducted at 14 centres in USA, 22 June 2004 - 1 April 2005.</w:t>
      </w:r>
    </w:p>
    <w:p w:rsidR="00534BB4" w:rsidRDefault="00534BB4" w:rsidP="00425E5E">
      <w:r>
        <w:t>Study COL-101-ROSE-302 was conducted at 14 other centres in USA, 24 June 2004 - 4 April 2005.</w:t>
      </w:r>
    </w:p>
    <w:p w:rsidR="00534BB4" w:rsidRPr="004B259C" w:rsidRDefault="00534BB4" w:rsidP="00425E5E">
      <w:pPr>
        <w:pStyle w:val="Heading6"/>
      </w:pPr>
      <w:r w:rsidRPr="004B259C">
        <w:t>Inclusion and exclusion criteria</w:t>
      </w:r>
    </w:p>
    <w:p w:rsidR="00534BB4" w:rsidRPr="00425E5E" w:rsidRDefault="00534BB4" w:rsidP="00534BB4">
      <w:r>
        <w:t>I</w:t>
      </w:r>
      <w:r w:rsidRPr="00425E5E">
        <w:t>nclusion criteria included:</w:t>
      </w:r>
    </w:p>
    <w:p w:rsidR="00534BB4" w:rsidRPr="007F5A62" w:rsidRDefault="00534BB4" w:rsidP="007F5A62">
      <w:pPr>
        <w:pStyle w:val="ListBullet"/>
      </w:pPr>
      <w:r w:rsidRPr="007F5A62">
        <w:t xml:space="preserve">Healthy males and females </w:t>
      </w:r>
      <w:r w:rsidR="00324D05">
        <w:t xml:space="preserve">≥ 18 years of age with </w:t>
      </w:r>
      <w:proofErr w:type="spellStart"/>
      <w:r w:rsidR="00324D05">
        <w:t>rosacea</w:t>
      </w:r>
      <w:proofErr w:type="spellEnd"/>
      <w:r w:rsidR="00324D05">
        <w:t>.</w:t>
      </w:r>
    </w:p>
    <w:p w:rsidR="00534BB4" w:rsidRPr="007F5A62" w:rsidRDefault="00534BB4" w:rsidP="007F5A62">
      <w:pPr>
        <w:pStyle w:val="ListBullet"/>
      </w:pPr>
      <w:r w:rsidRPr="007F5A62">
        <w:t>Presence of 10 - 40 papules and pustules and ≤ 2 nodules, plus a score of 2 - 4 on the IGA scale</w:t>
      </w:r>
      <w:r w:rsidR="00425E5E" w:rsidRPr="007F5A62">
        <w:t xml:space="preserve"> (see Table 5)</w:t>
      </w:r>
      <w:r w:rsidRPr="007F5A62">
        <w:t>.</w:t>
      </w:r>
    </w:p>
    <w:p w:rsidR="00534BB4" w:rsidRPr="00DC0FF3" w:rsidRDefault="00425E5E" w:rsidP="007F5A62">
      <w:pPr>
        <w:pStyle w:val="TableTitle"/>
        <w:rPr>
          <w:sz w:val="18"/>
          <w:szCs w:val="18"/>
          <w:lang w:val="en-US"/>
        </w:rPr>
      </w:pPr>
      <w:r>
        <w:rPr>
          <w:lang w:val="en-US"/>
        </w:rPr>
        <w:lastRenderedPageBreak/>
        <w:t xml:space="preserve">Table 5. </w:t>
      </w:r>
      <w:r w:rsidR="00534BB4" w:rsidRPr="00DC0FF3">
        <w:rPr>
          <w:lang w:val="en-US"/>
        </w:rPr>
        <w:t>Investigator’s Global Assessment</w:t>
      </w:r>
      <w:r w:rsidR="002A418E">
        <w:rPr>
          <w:lang w:val="en-US"/>
        </w:rPr>
        <w:t xml:space="preserve"> </w:t>
      </w:r>
      <w:r w:rsidR="00534BB4" w:rsidRPr="00DC0FF3">
        <w:rPr>
          <w:sz w:val="18"/>
          <w:szCs w:val="18"/>
          <w:lang w:val="en-US"/>
        </w:rPr>
        <w:t>(Only one score may be checked)</w:t>
      </w:r>
    </w:p>
    <w:tbl>
      <w:tblPr>
        <w:tblW w:w="8505" w:type="dxa"/>
        <w:tblInd w:w="572" w:type="dxa"/>
        <w:tblLayout w:type="fixed"/>
        <w:tblCellMar>
          <w:left w:w="0" w:type="dxa"/>
          <w:right w:w="0" w:type="dxa"/>
        </w:tblCellMar>
        <w:tblLook w:val="0000"/>
      </w:tblPr>
      <w:tblGrid>
        <w:gridCol w:w="631"/>
        <w:gridCol w:w="1212"/>
        <w:gridCol w:w="2977"/>
        <w:gridCol w:w="3685"/>
      </w:tblGrid>
      <w:tr w:rsidR="00534BB4" w:rsidRPr="00DC0FF3" w:rsidTr="007F5A62">
        <w:trPr>
          <w:tblHeader/>
        </w:trPr>
        <w:tc>
          <w:tcPr>
            <w:tcW w:w="631"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2A418E">
            <w:pPr>
              <w:keepNext/>
              <w:widowControl w:val="0"/>
              <w:kinsoku w:val="0"/>
              <w:jc w:val="center"/>
              <w:rPr>
                <w:b/>
                <w:color w:val="FFFFFF" w:themeColor="background1"/>
                <w:sz w:val="18"/>
                <w:szCs w:val="18"/>
                <w:lang w:val="en-US"/>
              </w:rPr>
            </w:pPr>
            <w:r w:rsidRPr="00425E5E">
              <w:rPr>
                <w:b/>
                <w:color w:val="FFFFFF" w:themeColor="background1"/>
                <w:sz w:val="18"/>
                <w:szCs w:val="18"/>
                <w:lang w:val="en-US"/>
              </w:rPr>
              <w:t>Score</w:t>
            </w:r>
          </w:p>
        </w:tc>
        <w:tc>
          <w:tcPr>
            <w:tcW w:w="1212"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2A418E">
            <w:pPr>
              <w:keepNext/>
              <w:widowControl w:val="0"/>
              <w:kinsoku w:val="0"/>
              <w:jc w:val="center"/>
              <w:rPr>
                <w:b/>
                <w:color w:val="FFFFFF" w:themeColor="background1"/>
                <w:sz w:val="18"/>
                <w:szCs w:val="18"/>
                <w:lang w:val="en-US"/>
              </w:rPr>
            </w:pPr>
            <w:r w:rsidRPr="00425E5E">
              <w:rPr>
                <w:b/>
                <w:color w:val="FFFFFF" w:themeColor="background1"/>
                <w:sz w:val="18"/>
                <w:szCs w:val="18"/>
                <w:lang w:val="en-US"/>
              </w:rPr>
              <w:t>Grade</w:t>
            </w:r>
          </w:p>
        </w:tc>
        <w:tc>
          <w:tcPr>
            <w:tcW w:w="2977"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2A418E">
            <w:pPr>
              <w:keepNext/>
              <w:widowControl w:val="0"/>
              <w:kinsoku w:val="0"/>
              <w:jc w:val="center"/>
              <w:rPr>
                <w:b/>
                <w:color w:val="FFFFFF" w:themeColor="background1"/>
                <w:sz w:val="18"/>
                <w:szCs w:val="18"/>
                <w:lang w:val="en-US"/>
              </w:rPr>
            </w:pPr>
            <w:r w:rsidRPr="00425E5E">
              <w:rPr>
                <w:b/>
                <w:color w:val="FFFFFF" w:themeColor="background1"/>
                <w:sz w:val="18"/>
                <w:szCs w:val="18"/>
                <w:lang w:val="en-US"/>
              </w:rPr>
              <w:t>Definition</w:t>
            </w:r>
          </w:p>
        </w:tc>
        <w:tc>
          <w:tcPr>
            <w:tcW w:w="3685"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2A418E">
            <w:pPr>
              <w:keepNext/>
              <w:widowControl w:val="0"/>
              <w:kinsoku w:val="0"/>
              <w:jc w:val="center"/>
              <w:rPr>
                <w:b/>
                <w:color w:val="FFFFFF" w:themeColor="background1"/>
                <w:sz w:val="18"/>
                <w:szCs w:val="18"/>
                <w:lang w:val="en-US"/>
              </w:rPr>
            </w:pPr>
            <w:r w:rsidRPr="00425E5E">
              <w:rPr>
                <w:b/>
                <w:color w:val="FFFFFF" w:themeColor="background1"/>
                <w:sz w:val="18"/>
                <w:szCs w:val="18"/>
                <w:lang w:val="en-US"/>
              </w:rPr>
              <w:t>Guideline</w:t>
            </w:r>
          </w:p>
        </w:tc>
      </w:tr>
      <w:tr w:rsidR="00534BB4" w:rsidRPr="00DC0FF3" w:rsidTr="00152865">
        <w:tc>
          <w:tcPr>
            <w:tcW w:w="631" w:type="dxa"/>
            <w:tcBorders>
              <w:top w:val="single" w:sz="4" w:space="0" w:color="auto"/>
              <w:left w:val="single" w:sz="4" w:space="0" w:color="auto"/>
              <w:bottom w:val="single" w:sz="4" w:space="0" w:color="auto"/>
              <w:right w:val="single" w:sz="4" w:space="0" w:color="auto"/>
            </w:tcBorders>
            <w:vAlign w:val="center"/>
          </w:tcPr>
          <w:p w:rsidR="00534BB4" w:rsidRPr="00425E5E" w:rsidRDefault="00534BB4" w:rsidP="002A418E">
            <w:pPr>
              <w:keepNext/>
              <w:widowControl w:val="0"/>
              <w:kinsoku w:val="0"/>
              <w:jc w:val="center"/>
              <w:rPr>
                <w:sz w:val="20"/>
                <w:szCs w:val="20"/>
                <w:lang w:val="en-US"/>
              </w:rPr>
            </w:pPr>
          </w:p>
        </w:tc>
        <w:tc>
          <w:tcPr>
            <w:tcW w:w="1212"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78"/>
              <w:rPr>
                <w:sz w:val="20"/>
                <w:szCs w:val="20"/>
                <w:lang w:val="en-US"/>
              </w:rPr>
            </w:pPr>
            <w:r w:rsidRPr="00425E5E">
              <w:rPr>
                <w:sz w:val="20"/>
                <w:szCs w:val="20"/>
                <w:lang w:val="en-US"/>
              </w:rPr>
              <w:t>(0) Clear</w:t>
            </w:r>
          </w:p>
        </w:tc>
        <w:tc>
          <w:tcPr>
            <w:tcW w:w="2977"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142"/>
              <w:rPr>
                <w:sz w:val="20"/>
                <w:szCs w:val="20"/>
                <w:lang w:val="en-US"/>
              </w:rPr>
            </w:pPr>
            <w:r w:rsidRPr="00425E5E">
              <w:rPr>
                <w:sz w:val="20"/>
                <w:szCs w:val="20"/>
                <w:lang w:val="en-US"/>
              </w:rPr>
              <w:t>No signs or symptoms present</w:t>
            </w:r>
          </w:p>
        </w:tc>
        <w:tc>
          <w:tcPr>
            <w:tcW w:w="3685"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142"/>
              <w:rPr>
                <w:sz w:val="20"/>
                <w:szCs w:val="20"/>
                <w:lang w:val="en-US"/>
              </w:rPr>
            </w:pPr>
            <w:r w:rsidRPr="00425E5E">
              <w:rPr>
                <w:sz w:val="20"/>
                <w:szCs w:val="20"/>
                <w:lang w:val="en-US"/>
              </w:rPr>
              <w:t>Skin is completely clear of inflammatory lesions</w:t>
            </w:r>
          </w:p>
        </w:tc>
      </w:tr>
      <w:tr w:rsidR="00534BB4" w:rsidRPr="00DC0FF3" w:rsidTr="00152865">
        <w:tc>
          <w:tcPr>
            <w:tcW w:w="631" w:type="dxa"/>
            <w:tcBorders>
              <w:top w:val="single" w:sz="4" w:space="0" w:color="auto"/>
              <w:left w:val="single" w:sz="4" w:space="0" w:color="auto"/>
              <w:bottom w:val="single" w:sz="4" w:space="0" w:color="auto"/>
              <w:right w:val="single" w:sz="4" w:space="0" w:color="auto"/>
            </w:tcBorders>
            <w:vAlign w:val="center"/>
          </w:tcPr>
          <w:p w:rsidR="00534BB4" w:rsidRPr="00425E5E" w:rsidRDefault="00534BB4" w:rsidP="002A418E">
            <w:pPr>
              <w:keepNext/>
              <w:widowControl w:val="0"/>
              <w:kinsoku w:val="0"/>
              <w:jc w:val="center"/>
              <w:rPr>
                <w:sz w:val="20"/>
                <w:szCs w:val="20"/>
                <w:lang w:val="en-US"/>
              </w:rPr>
            </w:pPr>
          </w:p>
        </w:tc>
        <w:tc>
          <w:tcPr>
            <w:tcW w:w="1212"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78"/>
              <w:rPr>
                <w:sz w:val="20"/>
                <w:szCs w:val="20"/>
                <w:lang w:val="en-US"/>
              </w:rPr>
            </w:pPr>
            <w:r w:rsidRPr="00425E5E">
              <w:rPr>
                <w:sz w:val="20"/>
                <w:szCs w:val="20"/>
                <w:lang w:val="en-US"/>
              </w:rPr>
              <w:t>(1) Near Clear</w:t>
            </w:r>
          </w:p>
        </w:tc>
        <w:tc>
          <w:tcPr>
            <w:tcW w:w="2977"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142"/>
              <w:rPr>
                <w:sz w:val="20"/>
                <w:szCs w:val="20"/>
                <w:lang w:val="en-US"/>
              </w:rPr>
            </w:pPr>
            <w:r w:rsidRPr="00425E5E">
              <w:rPr>
                <w:sz w:val="20"/>
                <w:szCs w:val="20"/>
                <w:lang w:val="en-US"/>
              </w:rPr>
              <w:t>One or two papules</w:t>
            </w:r>
          </w:p>
        </w:tc>
        <w:tc>
          <w:tcPr>
            <w:tcW w:w="3685"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142"/>
              <w:rPr>
                <w:sz w:val="20"/>
                <w:szCs w:val="20"/>
                <w:lang w:val="en-US"/>
              </w:rPr>
            </w:pPr>
            <w:r w:rsidRPr="00425E5E">
              <w:rPr>
                <w:sz w:val="20"/>
                <w:szCs w:val="20"/>
                <w:lang w:val="en-US"/>
              </w:rPr>
              <w:t>1 or 2 small, non-inflammatory papules</w:t>
            </w:r>
          </w:p>
        </w:tc>
      </w:tr>
      <w:tr w:rsidR="00534BB4" w:rsidRPr="00DC0FF3" w:rsidTr="00152865">
        <w:tc>
          <w:tcPr>
            <w:tcW w:w="631" w:type="dxa"/>
            <w:tcBorders>
              <w:top w:val="single" w:sz="4" w:space="0" w:color="auto"/>
              <w:left w:val="single" w:sz="4" w:space="0" w:color="auto"/>
              <w:bottom w:val="single" w:sz="4" w:space="0" w:color="auto"/>
              <w:right w:val="single" w:sz="4" w:space="0" w:color="auto"/>
            </w:tcBorders>
            <w:vAlign w:val="center"/>
          </w:tcPr>
          <w:p w:rsidR="00534BB4" w:rsidRPr="00425E5E" w:rsidRDefault="00534BB4" w:rsidP="002A418E">
            <w:pPr>
              <w:keepNext/>
              <w:widowControl w:val="0"/>
              <w:kinsoku w:val="0"/>
              <w:jc w:val="center"/>
              <w:rPr>
                <w:sz w:val="20"/>
                <w:szCs w:val="20"/>
                <w:lang w:val="en-US"/>
              </w:rPr>
            </w:pPr>
          </w:p>
        </w:tc>
        <w:tc>
          <w:tcPr>
            <w:tcW w:w="1212"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78"/>
              <w:rPr>
                <w:sz w:val="20"/>
                <w:szCs w:val="20"/>
                <w:lang w:val="en-US"/>
              </w:rPr>
            </w:pPr>
            <w:r w:rsidRPr="00425E5E">
              <w:rPr>
                <w:sz w:val="20"/>
                <w:szCs w:val="20"/>
                <w:lang w:val="en-US"/>
              </w:rPr>
              <w:t>(2) Mild</w:t>
            </w:r>
          </w:p>
        </w:tc>
        <w:tc>
          <w:tcPr>
            <w:tcW w:w="2977"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142"/>
              <w:rPr>
                <w:sz w:val="20"/>
                <w:szCs w:val="20"/>
                <w:lang w:val="en-US"/>
              </w:rPr>
            </w:pPr>
            <w:r w:rsidRPr="00425E5E">
              <w:rPr>
                <w:sz w:val="20"/>
                <w:szCs w:val="20"/>
                <w:lang w:val="en-US"/>
              </w:rPr>
              <w:t>Some papules/pustules</w:t>
            </w:r>
          </w:p>
        </w:tc>
        <w:tc>
          <w:tcPr>
            <w:tcW w:w="3685"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142"/>
              <w:rPr>
                <w:sz w:val="20"/>
                <w:szCs w:val="20"/>
                <w:lang w:val="en-US"/>
              </w:rPr>
            </w:pPr>
            <w:r w:rsidRPr="00425E5E">
              <w:rPr>
                <w:sz w:val="20"/>
                <w:szCs w:val="20"/>
                <w:lang w:val="en-US"/>
              </w:rPr>
              <w:t>3-10 papules/pustules</w:t>
            </w:r>
          </w:p>
        </w:tc>
      </w:tr>
      <w:tr w:rsidR="00534BB4" w:rsidRPr="00DC0FF3" w:rsidTr="00152865">
        <w:tc>
          <w:tcPr>
            <w:tcW w:w="631" w:type="dxa"/>
            <w:tcBorders>
              <w:top w:val="single" w:sz="4" w:space="0" w:color="auto"/>
              <w:left w:val="single" w:sz="4" w:space="0" w:color="auto"/>
              <w:bottom w:val="single" w:sz="4" w:space="0" w:color="auto"/>
              <w:right w:val="single" w:sz="4" w:space="0" w:color="auto"/>
            </w:tcBorders>
            <w:vAlign w:val="center"/>
          </w:tcPr>
          <w:p w:rsidR="00534BB4" w:rsidRPr="00425E5E" w:rsidRDefault="00534BB4" w:rsidP="002A418E">
            <w:pPr>
              <w:keepNext/>
              <w:widowControl w:val="0"/>
              <w:kinsoku w:val="0"/>
              <w:jc w:val="center"/>
              <w:rPr>
                <w:sz w:val="20"/>
                <w:szCs w:val="20"/>
                <w:lang w:val="en-US"/>
              </w:rPr>
            </w:pPr>
          </w:p>
        </w:tc>
        <w:tc>
          <w:tcPr>
            <w:tcW w:w="1212"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78"/>
              <w:rPr>
                <w:sz w:val="20"/>
                <w:szCs w:val="20"/>
                <w:lang w:val="en-US"/>
              </w:rPr>
            </w:pPr>
            <w:r w:rsidRPr="00425E5E">
              <w:rPr>
                <w:sz w:val="20"/>
                <w:szCs w:val="20"/>
                <w:lang w:val="en-US"/>
              </w:rPr>
              <w:t>(3) Moderate</w:t>
            </w:r>
          </w:p>
        </w:tc>
        <w:tc>
          <w:tcPr>
            <w:tcW w:w="2977"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142"/>
              <w:rPr>
                <w:sz w:val="20"/>
                <w:szCs w:val="20"/>
                <w:lang w:val="en-US"/>
              </w:rPr>
            </w:pPr>
            <w:r w:rsidRPr="00425E5E">
              <w:rPr>
                <w:sz w:val="20"/>
                <w:szCs w:val="20"/>
                <w:lang w:val="en-US"/>
              </w:rPr>
              <w:t>Moderate number of papules/pustules</w:t>
            </w:r>
          </w:p>
        </w:tc>
        <w:tc>
          <w:tcPr>
            <w:tcW w:w="3685"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142"/>
              <w:rPr>
                <w:sz w:val="20"/>
                <w:szCs w:val="20"/>
                <w:lang w:val="en-US"/>
              </w:rPr>
            </w:pPr>
            <w:r w:rsidRPr="00425E5E">
              <w:rPr>
                <w:sz w:val="20"/>
                <w:szCs w:val="20"/>
                <w:lang w:val="en-US"/>
              </w:rPr>
              <w:t>11-19 papules/pustules</w:t>
            </w:r>
          </w:p>
        </w:tc>
      </w:tr>
      <w:tr w:rsidR="00534BB4" w:rsidRPr="00DC0FF3" w:rsidTr="00152865">
        <w:tc>
          <w:tcPr>
            <w:tcW w:w="631" w:type="dxa"/>
            <w:tcBorders>
              <w:top w:val="single" w:sz="4" w:space="0" w:color="auto"/>
              <w:left w:val="single" w:sz="4" w:space="0" w:color="auto"/>
              <w:bottom w:val="single" w:sz="4" w:space="0" w:color="auto"/>
              <w:right w:val="single" w:sz="4" w:space="0" w:color="auto"/>
            </w:tcBorders>
            <w:vAlign w:val="center"/>
          </w:tcPr>
          <w:p w:rsidR="00534BB4" w:rsidRPr="00425E5E" w:rsidRDefault="00534BB4" w:rsidP="002A418E">
            <w:pPr>
              <w:keepNext/>
              <w:widowControl w:val="0"/>
              <w:kinsoku w:val="0"/>
              <w:jc w:val="center"/>
              <w:rPr>
                <w:sz w:val="20"/>
                <w:szCs w:val="20"/>
                <w:lang w:val="en-US"/>
              </w:rPr>
            </w:pPr>
          </w:p>
        </w:tc>
        <w:tc>
          <w:tcPr>
            <w:tcW w:w="1212"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78"/>
              <w:rPr>
                <w:sz w:val="20"/>
                <w:szCs w:val="20"/>
                <w:lang w:val="en-US"/>
              </w:rPr>
            </w:pPr>
            <w:r w:rsidRPr="00425E5E">
              <w:rPr>
                <w:sz w:val="20"/>
                <w:szCs w:val="20"/>
                <w:lang w:val="en-US"/>
              </w:rPr>
              <w:t>(4) Severe</w:t>
            </w:r>
          </w:p>
        </w:tc>
        <w:tc>
          <w:tcPr>
            <w:tcW w:w="2977"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142"/>
              <w:rPr>
                <w:sz w:val="20"/>
                <w:szCs w:val="20"/>
                <w:lang w:val="en-US"/>
              </w:rPr>
            </w:pPr>
            <w:r w:rsidRPr="00425E5E">
              <w:rPr>
                <w:sz w:val="20"/>
                <w:szCs w:val="20"/>
                <w:lang w:val="en-US"/>
              </w:rPr>
              <w:t>Numerous papules/pustules; nodules</w:t>
            </w:r>
          </w:p>
        </w:tc>
        <w:tc>
          <w:tcPr>
            <w:tcW w:w="3685" w:type="dxa"/>
            <w:tcBorders>
              <w:top w:val="single" w:sz="4" w:space="0" w:color="auto"/>
              <w:left w:val="single" w:sz="4" w:space="0" w:color="auto"/>
              <w:bottom w:val="single" w:sz="4" w:space="0" w:color="auto"/>
              <w:right w:val="single" w:sz="4" w:space="0" w:color="auto"/>
            </w:tcBorders>
          </w:tcPr>
          <w:p w:rsidR="00534BB4" w:rsidRPr="00425E5E" w:rsidRDefault="00534BB4" w:rsidP="002A418E">
            <w:pPr>
              <w:keepNext/>
              <w:widowControl w:val="0"/>
              <w:kinsoku w:val="0"/>
              <w:ind w:left="142"/>
              <w:rPr>
                <w:sz w:val="20"/>
                <w:szCs w:val="20"/>
                <w:lang w:val="en-US"/>
              </w:rPr>
            </w:pPr>
            <w:r w:rsidRPr="00425E5E">
              <w:rPr>
                <w:sz w:val="20"/>
                <w:szCs w:val="20"/>
                <w:lang w:val="en-US"/>
              </w:rPr>
              <w:t>≥ 20 papules/pustules and nodules</w:t>
            </w:r>
          </w:p>
        </w:tc>
      </w:tr>
    </w:tbl>
    <w:p w:rsidR="00534BB4" w:rsidRPr="007F5A62" w:rsidRDefault="00534BB4" w:rsidP="007F5A62">
      <w:pPr>
        <w:pStyle w:val="ListBullet"/>
      </w:pPr>
      <w:r w:rsidRPr="007F5A62">
        <w:t xml:space="preserve">Presence of moderate to severe </w:t>
      </w:r>
      <w:proofErr w:type="spellStart"/>
      <w:r w:rsidRPr="007F5A62">
        <w:t>erythema</w:t>
      </w:r>
      <w:proofErr w:type="spellEnd"/>
      <w:r w:rsidRPr="007F5A62">
        <w:t xml:space="preserve"> (</w:t>
      </w:r>
      <w:proofErr w:type="spellStart"/>
      <w:r w:rsidRPr="007F5A62">
        <w:t>ie</w:t>
      </w:r>
      <w:proofErr w:type="spellEnd"/>
      <w:r w:rsidRPr="007F5A62">
        <w:t xml:space="preserve"> at least one area-specific score of ≥ 2 and a total score of 5 - 20 on the CEA scale).</w:t>
      </w:r>
    </w:p>
    <w:p w:rsidR="00534BB4" w:rsidRPr="00B32BE4" w:rsidRDefault="00425E5E" w:rsidP="00324D05">
      <w:pPr>
        <w:pStyle w:val="TableTitle"/>
        <w:rPr>
          <w:lang w:val="en-US"/>
        </w:rPr>
      </w:pPr>
      <w:r>
        <w:rPr>
          <w:lang w:val="en-US"/>
        </w:rPr>
        <w:t xml:space="preserve">Table 6 A and B. </w:t>
      </w:r>
      <w:r w:rsidR="00136782">
        <w:rPr>
          <w:lang w:val="en-US"/>
        </w:rPr>
        <w:t xml:space="preserve">Clinician’s </w:t>
      </w:r>
      <w:proofErr w:type="spellStart"/>
      <w:r w:rsidR="00136782">
        <w:rPr>
          <w:lang w:val="en-US"/>
        </w:rPr>
        <w:t>erythema</w:t>
      </w:r>
      <w:proofErr w:type="spellEnd"/>
      <w:r w:rsidR="00136782">
        <w:rPr>
          <w:lang w:val="en-US"/>
        </w:rPr>
        <w:t xml:space="preserve"> a</w:t>
      </w:r>
      <w:r w:rsidR="00534BB4" w:rsidRPr="00DC0FF3">
        <w:rPr>
          <w:lang w:val="en-US"/>
        </w:rPr>
        <w:t xml:space="preserve">ssessment </w:t>
      </w:r>
      <w:r w:rsidR="00136782">
        <w:rPr>
          <w:lang w:val="en-US"/>
        </w:rPr>
        <w:t>s</w:t>
      </w:r>
      <w:r w:rsidR="00534BB4" w:rsidRPr="00DC0FF3">
        <w:rPr>
          <w:lang w:val="en-US"/>
        </w:rPr>
        <w:t>cale</w:t>
      </w:r>
    </w:p>
    <w:p w:rsidR="00534BB4" w:rsidRPr="00425E5E" w:rsidRDefault="00425E5E" w:rsidP="00324D05">
      <w:pPr>
        <w:pStyle w:val="TableTitle"/>
        <w:rPr>
          <w:lang w:val="en-US"/>
        </w:rPr>
      </w:pPr>
      <w:r w:rsidRPr="00425E5E">
        <w:rPr>
          <w:lang w:val="en-US"/>
        </w:rPr>
        <w:t xml:space="preserve">A. </w:t>
      </w:r>
      <w:proofErr w:type="spellStart"/>
      <w:r w:rsidR="002A418E" w:rsidRPr="00425E5E">
        <w:rPr>
          <w:lang w:val="en-US"/>
        </w:rPr>
        <w:t>Erythema</w:t>
      </w:r>
      <w:proofErr w:type="spellEnd"/>
      <w:r w:rsidR="002A418E" w:rsidRPr="00425E5E">
        <w:rPr>
          <w:lang w:val="en-US"/>
        </w:rPr>
        <w:t xml:space="preserve"> </w:t>
      </w:r>
      <w:r w:rsidR="0079497B">
        <w:rPr>
          <w:lang w:val="en-US"/>
        </w:rPr>
        <w:t>d</w:t>
      </w:r>
      <w:r w:rsidR="00534BB4" w:rsidRPr="00425E5E">
        <w:rPr>
          <w:lang w:val="en-US"/>
        </w:rPr>
        <w:t>efinition</w:t>
      </w:r>
    </w:p>
    <w:tbl>
      <w:tblPr>
        <w:tblW w:w="3119" w:type="dxa"/>
        <w:tblInd w:w="572" w:type="dxa"/>
        <w:tblLayout w:type="fixed"/>
        <w:tblCellMar>
          <w:left w:w="0" w:type="dxa"/>
          <w:right w:w="0" w:type="dxa"/>
        </w:tblCellMar>
        <w:tblLook w:val="0000"/>
      </w:tblPr>
      <w:tblGrid>
        <w:gridCol w:w="426"/>
        <w:gridCol w:w="992"/>
        <w:gridCol w:w="1701"/>
      </w:tblGrid>
      <w:tr w:rsidR="00534BB4" w:rsidRPr="00DC0FF3" w:rsidTr="00425E5E">
        <w:tc>
          <w:tcPr>
            <w:tcW w:w="426"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152865">
            <w:pPr>
              <w:widowControl w:val="0"/>
              <w:kinsoku w:val="0"/>
              <w:jc w:val="center"/>
              <w:rPr>
                <w:b/>
                <w:color w:val="FFFFFF" w:themeColor="background1"/>
                <w:sz w:val="20"/>
                <w:szCs w:val="20"/>
                <w:lang w:val="en-US"/>
              </w:rPr>
            </w:pPr>
            <w:r w:rsidRPr="00425E5E">
              <w:rPr>
                <w:b/>
                <w:color w:val="FFFFFF" w:themeColor="background1"/>
                <w:sz w:val="20"/>
                <w:szCs w:val="20"/>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152865">
            <w:pPr>
              <w:widowControl w:val="0"/>
              <w:kinsoku w:val="0"/>
              <w:ind w:left="141"/>
              <w:rPr>
                <w:b/>
                <w:color w:val="FFFFFF" w:themeColor="background1"/>
                <w:sz w:val="20"/>
                <w:szCs w:val="20"/>
                <w:lang w:val="en-US"/>
              </w:rPr>
            </w:pPr>
            <w:r w:rsidRPr="00425E5E">
              <w:rPr>
                <w:b/>
                <w:color w:val="FFFFFF" w:themeColor="background1"/>
                <w:sz w:val="20"/>
                <w:szCs w:val="20"/>
                <w:lang w:val="en-US"/>
              </w:rPr>
              <w:t>None</w:t>
            </w:r>
          </w:p>
        </w:tc>
        <w:tc>
          <w:tcPr>
            <w:tcW w:w="1701" w:type="dxa"/>
            <w:tcBorders>
              <w:top w:val="single" w:sz="4" w:space="0" w:color="auto"/>
              <w:left w:val="single" w:sz="4" w:space="0" w:color="auto"/>
              <w:bottom w:val="single" w:sz="4" w:space="0" w:color="auto"/>
              <w:right w:val="single" w:sz="4" w:space="0" w:color="auto"/>
            </w:tcBorders>
          </w:tcPr>
          <w:p w:rsidR="00534BB4" w:rsidRPr="00425E5E" w:rsidRDefault="00534BB4" w:rsidP="00152865">
            <w:pPr>
              <w:widowControl w:val="0"/>
              <w:kinsoku w:val="0"/>
              <w:ind w:left="142"/>
              <w:rPr>
                <w:sz w:val="20"/>
                <w:szCs w:val="20"/>
                <w:lang w:val="en-US"/>
              </w:rPr>
            </w:pPr>
            <w:r w:rsidRPr="00425E5E">
              <w:rPr>
                <w:sz w:val="20"/>
                <w:szCs w:val="20"/>
                <w:lang w:val="en-US"/>
              </w:rPr>
              <w:t>No redness present</w:t>
            </w:r>
          </w:p>
        </w:tc>
      </w:tr>
      <w:tr w:rsidR="00534BB4" w:rsidRPr="00DC0FF3" w:rsidTr="00425E5E">
        <w:tc>
          <w:tcPr>
            <w:tcW w:w="426"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152865">
            <w:pPr>
              <w:widowControl w:val="0"/>
              <w:kinsoku w:val="0"/>
              <w:jc w:val="center"/>
              <w:rPr>
                <w:b/>
                <w:color w:val="FFFFFF" w:themeColor="background1"/>
                <w:sz w:val="20"/>
                <w:szCs w:val="20"/>
                <w:lang w:val="en-US"/>
              </w:rPr>
            </w:pPr>
            <w:r w:rsidRPr="00425E5E">
              <w:rPr>
                <w:b/>
                <w:color w:val="FFFFFF" w:themeColor="background1"/>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152865">
            <w:pPr>
              <w:widowControl w:val="0"/>
              <w:kinsoku w:val="0"/>
              <w:ind w:left="141"/>
              <w:rPr>
                <w:b/>
                <w:color w:val="FFFFFF" w:themeColor="background1"/>
                <w:sz w:val="20"/>
                <w:szCs w:val="20"/>
                <w:lang w:val="en-US"/>
              </w:rPr>
            </w:pPr>
            <w:r w:rsidRPr="00425E5E">
              <w:rPr>
                <w:b/>
                <w:color w:val="FFFFFF" w:themeColor="background1"/>
                <w:sz w:val="20"/>
                <w:szCs w:val="20"/>
                <w:lang w:val="en-US"/>
              </w:rPr>
              <w:t>Mild</w:t>
            </w:r>
          </w:p>
        </w:tc>
        <w:tc>
          <w:tcPr>
            <w:tcW w:w="1701" w:type="dxa"/>
            <w:tcBorders>
              <w:top w:val="single" w:sz="4" w:space="0" w:color="auto"/>
              <w:left w:val="single" w:sz="4" w:space="0" w:color="auto"/>
              <w:bottom w:val="single" w:sz="4" w:space="0" w:color="auto"/>
              <w:right w:val="single" w:sz="4" w:space="0" w:color="auto"/>
            </w:tcBorders>
          </w:tcPr>
          <w:p w:rsidR="00534BB4" w:rsidRPr="00425E5E" w:rsidRDefault="00534BB4" w:rsidP="00152865">
            <w:pPr>
              <w:widowControl w:val="0"/>
              <w:kinsoku w:val="0"/>
              <w:ind w:left="142"/>
              <w:rPr>
                <w:sz w:val="20"/>
                <w:szCs w:val="20"/>
                <w:lang w:val="en-US"/>
              </w:rPr>
            </w:pPr>
            <w:r w:rsidRPr="00425E5E">
              <w:rPr>
                <w:sz w:val="20"/>
                <w:szCs w:val="20"/>
                <w:lang w:val="en-US"/>
              </w:rPr>
              <w:t>Slight pinkness</w:t>
            </w:r>
          </w:p>
        </w:tc>
      </w:tr>
      <w:tr w:rsidR="00534BB4" w:rsidRPr="00DC0FF3" w:rsidTr="00425E5E">
        <w:tc>
          <w:tcPr>
            <w:tcW w:w="426"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152865">
            <w:pPr>
              <w:widowControl w:val="0"/>
              <w:kinsoku w:val="0"/>
              <w:jc w:val="center"/>
              <w:rPr>
                <w:b/>
                <w:color w:val="FFFFFF" w:themeColor="background1"/>
                <w:sz w:val="20"/>
                <w:szCs w:val="20"/>
                <w:lang w:val="en-US"/>
              </w:rPr>
            </w:pPr>
            <w:r w:rsidRPr="00425E5E">
              <w:rPr>
                <w:b/>
                <w:color w:val="FFFFFF" w:themeColor="background1"/>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152865">
            <w:pPr>
              <w:widowControl w:val="0"/>
              <w:kinsoku w:val="0"/>
              <w:ind w:left="141"/>
              <w:rPr>
                <w:b/>
                <w:color w:val="FFFFFF" w:themeColor="background1"/>
                <w:sz w:val="20"/>
                <w:szCs w:val="20"/>
                <w:lang w:val="en-US"/>
              </w:rPr>
            </w:pPr>
            <w:r w:rsidRPr="00425E5E">
              <w:rPr>
                <w:b/>
                <w:color w:val="FFFFFF" w:themeColor="background1"/>
                <w:sz w:val="20"/>
                <w:szCs w:val="20"/>
                <w:lang w:val="en-US"/>
              </w:rPr>
              <w:t>Moderate</w:t>
            </w:r>
          </w:p>
        </w:tc>
        <w:tc>
          <w:tcPr>
            <w:tcW w:w="1701" w:type="dxa"/>
            <w:tcBorders>
              <w:top w:val="single" w:sz="4" w:space="0" w:color="auto"/>
              <w:left w:val="single" w:sz="4" w:space="0" w:color="auto"/>
              <w:bottom w:val="single" w:sz="4" w:space="0" w:color="auto"/>
              <w:right w:val="single" w:sz="4" w:space="0" w:color="auto"/>
            </w:tcBorders>
          </w:tcPr>
          <w:p w:rsidR="00534BB4" w:rsidRPr="00425E5E" w:rsidRDefault="00534BB4" w:rsidP="00152865">
            <w:pPr>
              <w:widowControl w:val="0"/>
              <w:kinsoku w:val="0"/>
              <w:ind w:left="142"/>
              <w:rPr>
                <w:sz w:val="20"/>
                <w:szCs w:val="20"/>
                <w:lang w:val="en-US"/>
              </w:rPr>
            </w:pPr>
            <w:r w:rsidRPr="00425E5E">
              <w:rPr>
                <w:sz w:val="20"/>
                <w:szCs w:val="20"/>
                <w:lang w:val="en-US"/>
              </w:rPr>
              <w:t>Definite redness</w:t>
            </w:r>
          </w:p>
        </w:tc>
      </w:tr>
      <w:tr w:rsidR="00534BB4" w:rsidRPr="00DC0FF3" w:rsidTr="00425E5E">
        <w:tc>
          <w:tcPr>
            <w:tcW w:w="426"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152865">
            <w:pPr>
              <w:widowControl w:val="0"/>
              <w:kinsoku w:val="0"/>
              <w:jc w:val="center"/>
              <w:rPr>
                <w:b/>
                <w:color w:val="FFFFFF" w:themeColor="background1"/>
                <w:sz w:val="20"/>
                <w:szCs w:val="20"/>
                <w:lang w:val="en-US"/>
              </w:rPr>
            </w:pPr>
            <w:r w:rsidRPr="00425E5E">
              <w:rPr>
                <w:b/>
                <w:color w:val="FFFFFF" w:themeColor="background1"/>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152865">
            <w:pPr>
              <w:widowControl w:val="0"/>
              <w:kinsoku w:val="0"/>
              <w:ind w:left="141"/>
              <w:rPr>
                <w:b/>
                <w:color w:val="FFFFFF" w:themeColor="background1"/>
                <w:sz w:val="20"/>
                <w:szCs w:val="20"/>
                <w:lang w:val="en-US"/>
              </w:rPr>
            </w:pPr>
            <w:r w:rsidRPr="00425E5E">
              <w:rPr>
                <w:b/>
                <w:color w:val="FFFFFF" w:themeColor="background1"/>
                <w:sz w:val="20"/>
                <w:szCs w:val="20"/>
                <w:lang w:val="en-US"/>
              </w:rPr>
              <w:t>Significant</w:t>
            </w:r>
          </w:p>
        </w:tc>
        <w:tc>
          <w:tcPr>
            <w:tcW w:w="1701" w:type="dxa"/>
            <w:tcBorders>
              <w:top w:val="single" w:sz="4" w:space="0" w:color="auto"/>
              <w:left w:val="single" w:sz="4" w:space="0" w:color="auto"/>
              <w:bottom w:val="single" w:sz="4" w:space="0" w:color="auto"/>
              <w:right w:val="single" w:sz="4" w:space="0" w:color="auto"/>
            </w:tcBorders>
          </w:tcPr>
          <w:p w:rsidR="00534BB4" w:rsidRPr="00425E5E" w:rsidRDefault="00534BB4" w:rsidP="00152865">
            <w:pPr>
              <w:widowControl w:val="0"/>
              <w:kinsoku w:val="0"/>
              <w:ind w:left="142"/>
              <w:rPr>
                <w:sz w:val="20"/>
                <w:szCs w:val="20"/>
                <w:lang w:val="en-US"/>
              </w:rPr>
            </w:pPr>
            <w:r w:rsidRPr="00425E5E">
              <w:rPr>
                <w:sz w:val="20"/>
                <w:szCs w:val="20"/>
                <w:lang w:val="en-US"/>
              </w:rPr>
              <w:t>Marked erythema</w:t>
            </w:r>
          </w:p>
        </w:tc>
      </w:tr>
      <w:tr w:rsidR="00534BB4" w:rsidRPr="00DC0FF3" w:rsidTr="00425E5E">
        <w:tc>
          <w:tcPr>
            <w:tcW w:w="426"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152865">
            <w:pPr>
              <w:widowControl w:val="0"/>
              <w:kinsoku w:val="0"/>
              <w:jc w:val="center"/>
              <w:rPr>
                <w:b/>
                <w:color w:val="FFFFFF" w:themeColor="background1"/>
                <w:sz w:val="20"/>
                <w:szCs w:val="20"/>
                <w:lang w:val="en-US"/>
              </w:rPr>
            </w:pPr>
            <w:r w:rsidRPr="00425E5E">
              <w:rPr>
                <w:b/>
                <w:color w:val="FFFFFF" w:themeColor="background1"/>
                <w:sz w:val="20"/>
                <w:szCs w:val="20"/>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152865">
            <w:pPr>
              <w:widowControl w:val="0"/>
              <w:kinsoku w:val="0"/>
              <w:ind w:left="141"/>
              <w:rPr>
                <w:b/>
                <w:color w:val="FFFFFF" w:themeColor="background1"/>
                <w:sz w:val="20"/>
                <w:szCs w:val="20"/>
                <w:lang w:val="en-US"/>
              </w:rPr>
            </w:pPr>
            <w:r w:rsidRPr="00425E5E">
              <w:rPr>
                <w:b/>
                <w:color w:val="FFFFFF" w:themeColor="background1"/>
                <w:sz w:val="20"/>
                <w:szCs w:val="20"/>
                <w:lang w:val="en-US"/>
              </w:rPr>
              <w:t>Severe</w:t>
            </w:r>
          </w:p>
        </w:tc>
        <w:tc>
          <w:tcPr>
            <w:tcW w:w="1701" w:type="dxa"/>
            <w:tcBorders>
              <w:top w:val="single" w:sz="4" w:space="0" w:color="auto"/>
              <w:left w:val="single" w:sz="4" w:space="0" w:color="auto"/>
              <w:bottom w:val="single" w:sz="4" w:space="0" w:color="auto"/>
              <w:right w:val="single" w:sz="4" w:space="0" w:color="auto"/>
            </w:tcBorders>
          </w:tcPr>
          <w:p w:rsidR="00534BB4" w:rsidRPr="00425E5E" w:rsidRDefault="00534BB4" w:rsidP="00152865">
            <w:pPr>
              <w:widowControl w:val="0"/>
              <w:kinsoku w:val="0"/>
              <w:ind w:left="142"/>
              <w:rPr>
                <w:sz w:val="20"/>
                <w:szCs w:val="20"/>
                <w:lang w:val="en-US"/>
              </w:rPr>
            </w:pPr>
            <w:r w:rsidRPr="00425E5E">
              <w:rPr>
                <w:sz w:val="20"/>
                <w:szCs w:val="20"/>
                <w:lang w:val="en-US"/>
              </w:rPr>
              <w:t>Fiery redness</w:t>
            </w:r>
          </w:p>
        </w:tc>
      </w:tr>
    </w:tbl>
    <w:p w:rsidR="00324D05" w:rsidRDefault="00324D05" w:rsidP="007F5A62">
      <w:pPr>
        <w:pStyle w:val="TableTitle"/>
        <w:rPr>
          <w:lang w:val="en-US"/>
        </w:rPr>
      </w:pPr>
    </w:p>
    <w:p w:rsidR="00324D05" w:rsidRDefault="00324D05">
      <w:pPr>
        <w:spacing w:before="0" w:after="200" w:line="0" w:lineRule="auto"/>
        <w:rPr>
          <w:b/>
          <w:sz w:val="20"/>
          <w:lang w:val="en-US"/>
        </w:rPr>
      </w:pPr>
      <w:r>
        <w:rPr>
          <w:lang w:val="en-US"/>
        </w:rPr>
        <w:br w:type="page"/>
      </w:r>
    </w:p>
    <w:p w:rsidR="00534BB4" w:rsidRPr="00425E5E" w:rsidRDefault="00D42840" w:rsidP="007F5A62">
      <w:pPr>
        <w:pStyle w:val="TableTitle"/>
        <w:rPr>
          <w:lang w:val="en-US"/>
        </w:rPr>
      </w:pPr>
      <w:r>
        <w:rPr>
          <w:lang w:val="en-US"/>
        </w:rPr>
        <w:lastRenderedPageBreak/>
        <w:t>Table 6</w:t>
      </w:r>
      <w:r w:rsidR="00425E5E" w:rsidRPr="00425E5E">
        <w:rPr>
          <w:lang w:val="en-US"/>
        </w:rPr>
        <w:t xml:space="preserve">B. </w:t>
      </w:r>
      <w:proofErr w:type="spellStart"/>
      <w:r w:rsidR="002A418E" w:rsidRPr="00425E5E">
        <w:rPr>
          <w:lang w:val="en-US"/>
        </w:rPr>
        <w:t>Erythema</w:t>
      </w:r>
      <w:proofErr w:type="spellEnd"/>
      <w:r w:rsidR="002A418E" w:rsidRPr="00425E5E">
        <w:rPr>
          <w:lang w:val="en-US"/>
        </w:rPr>
        <w:t xml:space="preserve"> </w:t>
      </w:r>
      <w:r w:rsidR="0079497B">
        <w:rPr>
          <w:lang w:val="en-US"/>
        </w:rPr>
        <w:t>s</w:t>
      </w:r>
      <w:r w:rsidR="00534BB4" w:rsidRPr="00425E5E">
        <w:rPr>
          <w:lang w:val="en-US"/>
        </w:rPr>
        <w:t>core</w:t>
      </w:r>
    </w:p>
    <w:p w:rsidR="00534BB4" w:rsidRPr="007F5A62" w:rsidRDefault="00534BB4" w:rsidP="007F5A62">
      <w:pPr>
        <w:pStyle w:val="ListBullet"/>
      </w:pPr>
      <w:r w:rsidRPr="007F5A62">
        <w:t>Check one box for each area of the face based upon the definitions given above</w:t>
      </w:r>
    </w:p>
    <w:p w:rsidR="00534BB4" w:rsidRPr="007F5A62" w:rsidRDefault="00534BB4" w:rsidP="007F5A62">
      <w:pPr>
        <w:pStyle w:val="ListBullet"/>
      </w:pPr>
      <w:r w:rsidRPr="007F5A62">
        <w:t xml:space="preserve">Enter the </w:t>
      </w:r>
      <w:proofErr w:type="spellStart"/>
      <w:r w:rsidRPr="007F5A62">
        <w:t>Erythema</w:t>
      </w:r>
      <w:proofErr w:type="spellEnd"/>
      <w:r w:rsidRPr="007F5A62">
        <w:t xml:space="preserve"> Score for each area of the face</w:t>
      </w:r>
    </w:p>
    <w:p w:rsidR="00534BB4" w:rsidRPr="007F5A62" w:rsidRDefault="00534BB4" w:rsidP="007F5A62">
      <w:pPr>
        <w:pStyle w:val="ListBullet"/>
      </w:pPr>
      <w:r w:rsidRPr="007F5A62">
        <w:t xml:space="preserve">Sum all of the individual </w:t>
      </w:r>
      <w:proofErr w:type="spellStart"/>
      <w:r w:rsidRPr="007F5A62">
        <w:t>Erythema</w:t>
      </w:r>
      <w:proofErr w:type="spellEnd"/>
      <w:r w:rsidRPr="007F5A62">
        <w:t xml:space="preserve"> Scores to obtain the Total </w:t>
      </w:r>
      <w:proofErr w:type="spellStart"/>
      <w:r w:rsidRPr="007F5A62">
        <w:t>Erythema</w:t>
      </w:r>
      <w:proofErr w:type="spellEnd"/>
      <w:r w:rsidRPr="007F5A62">
        <w:t xml:space="preserve"> Score</w:t>
      </w:r>
    </w:p>
    <w:tbl>
      <w:tblPr>
        <w:tblW w:w="0" w:type="auto"/>
        <w:tblInd w:w="426" w:type="dxa"/>
        <w:tblLayout w:type="fixed"/>
        <w:tblCellMar>
          <w:left w:w="0" w:type="dxa"/>
          <w:right w:w="0" w:type="dxa"/>
        </w:tblCellMar>
        <w:tblLook w:val="0000"/>
      </w:tblPr>
      <w:tblGrid>
        <w:gridCol w:w="1379"/>
        <w:gridCol w:w="1455"/>
        <w:gridCol w:w="1459"/>
        <w:gridCol w:w="1454"/>
        <w:gridCol w:w="1455"/>
        <w:gridCol w:w="1463"/>
      </w:tblGrid>
      <w:tr w:rsidR="00534BB4" w:rsidRPr="00DC0FF3" w:rsidTr="00425E5E">
        <w:trPr>
          <w:cantSplit/>
        </w:trPr>
        <w:tc>
          <w:tcPr>
            <w:tcW w:w="1379" w:type="dxa"/>
            <w:vMerge w:val="restart"/>
            <w:tcBorders>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c>
          <w:tcPr>
            <w:tcW w:w="1455"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2A418E">
            <w:pPr>
              <w:keepNext/>
              <w:widowControl w:val="0"/>
              <w:kinsoku w:val="0"/>
              <w:jc w:val="center"/>
              <w:rPr>
                <w:b/>
                <w:color w:val="FFFFFF" w:themeColor="background1"/>
                <w:sz w:val="18"/>
                <w:szCs w:val="18"/>
                <w:lang w:val="en-US"/>
              </w:rPr>
            </w:pPr>
            <w:r w:rsidRPr="00425E5E">
              <w:rPr>
                <w:b/>
                <w:color w:val="FFFFFF" w:themeColor="background1"/>
                <w:sz w:val="18"/>
                <w:szCs w:val="18"/>
                <w:lang w:val="en-US"/>
              </w:rPr>
              <w:t>Forehead</w:t>
            </w:r>
          </w:p>
        </w:tc>
        <w:tc>
          <w:tcPr>
            <w:tcW w:w="1459"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2A418E">
            <w:pPr>
              <w:keepNext/>
              <w:widowControl w:val="0"/>
              <w:kinsoku w:val="0"/>
              <w:jc w:val="center"/>
              <w:rPr>
                <w:b/>
                <w:color w:val="FFFFFF" w:themeColor="background1"/>
                <w:sz w:val="18"/>
                <w:szCs w:val="18"/>
                <w:lang w:val="en-US"/>
              </w:rPr>
            </w:pPr>
            <w:r w:rsidRPr="00425E5E">
              <w:rPr>
                <w:b/>
                <w:color w:val="FFFFFF" w:themeColor="background1"/>
                <w:sz w:val="18"/>
                <w:szCs w:val="18"/>
                <w:lang w:val="en-US"/>
              </w:rPr>
              <w:t>Chin</w:t>
            </w:r>
          </w:p>
        </w:tc>
        <w:tc>
          <w:tcPr>
            <w:tcW w:w="1454"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2A418E">
            <w:pPr>
              <w:keepNext/>
              <w:widowControl w:val="0"/>
              <w:kinsoku w:val="0"/>
              <w:jc w:val="center"/>
              <w:rPr>
                <w:b/>
                <w:color w:val="FFFFFF" w:themeColor="background1"/>
                <w:sz w:val="18"/>
                <w:szCs w:val="18"/>
                <w:lang w:val="en-US"/>
              </w:rPr>
            </w:pPr>
            <w:r w:rsidRPr="00425E5E">
              <w:rPr>
                <w:b/>
                <w:color w:val="FFFFFF" w:themeColor="background1"/>
                <w:sz w:val="18"/>
                <w:szCs w:val="18"/>
                <w:lang w:val="en-US"/>
              </w:rPr>
              <w:t>Nose</w:t>
            </w:r>
          </w:p>
        </w:tc>
        <w:tc>
          <w:tcPr>
            <w:tcW w:w="1455"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2A418E">
            <w:pPr>
              <w:keepNext/>
              <w:widowControl w:val="0"/>
              <w:kinsoku w:val="0"/>
              <w:jc w:val="center"/>
              <w:rPr>
                <w:b/>
                <w:color w:val="FFFFFF" w:themeColor="background1"/>
                <w:sz w:val="18"/>
                <w:szCs w:val="18"/>
                <w:lang w:val="en-US"/>
              </w:rPr>
            </w:pPr>
            <w:r w:rsidRPr="00425E5E">
              <w:rPr>
                <w:b/>
                <w:color w:val="FFFFFF" w:themeColor="background1"/>
                <w:sz w:val="18"/>
                <w:szCs w:val="18"/>
                <w:lang w:val="en-US"/>
              </w:rPr>
              <w:t>Right Cheek</w:t>
            </w:r>
          </w:p>
        </w:tc>
        <w:tc>
          <w:tcPr>
            <w:tcW w:w="1463"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2A418E">
            <w:pPr>
              <w:keepNext/>
              <w:widowControl w:val="0"/>
              <w:kinsoku w:val="0"/>
              <w:jc w:val="center"/>
              <w:rPr>
                <w:b/>
                <w:color w:val="FFFFFF" w:themeColor="background1"/>
                <w:sz w:val="18"/>
                <w:szCs w:val="18"/>
                <w:lang w:val="en-US"/>
              </w:rPr>
            </w:pPr>
            <w:r w:rsidRPr="00425E5E">
              <w:rPr>
                <w:b/>
                <w:color w:val="FFFFFF" w:themeColor="background1"/>
                <w:sz w:val="18"/>
                <w:szCs w:val="18"/>
                <w:lang w:val="en-US"/>
              </w:rPr>
              <w:t>Left Cheek</w:t>
            </w:r>
          </w:p>
        </w:tc>
      </w:tr>
      <w:tr w:rsidR="00534BB4" w:rsidRPr="00DC0FF3" w:rsidTr="00152865">
        <w:trPr>
          <w:cantSplit/>
        </w:trPr>
        <w:tc>
          <w:tcPr>
            <w:tcW w:w="1379" w:type="dxa"/>
            <w:vMerge/>
            <w:tcBorders>
              <w:top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none (0)</w:t>
            </w:r>
          </w:p>
        </w:tc>
        <w:tc>
          <w:tcPr>
            <w:tcW w:w="1459"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none (0)</w:t>
            </w:r>
          </w:p>
        </w:tc>
        <w:tc>
          <w:tcPr>
            <w:tcW w:w="1454"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none (0)</w:t>
            </w: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none (0)</w:t>
            </w:r>
          </w:p>
        </w:tc>
        <w:tc>
          <w:tcPr>
            <w:tcW w:w="1463"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none (0)</w:t>
            </w:r>
          </w:p>
        </w:tc>
      </w:tr>
      <w:tr w:rsidR="00534BB4" w:rsidRPr="00DC0FF3" w:rsidTr="00152865">
        <w:trPr>
          <w:cantSplit/>
        </w:trPr>
        <w:tc>
          <w:tcPr>
            <w:tcW w:w="1379" w:type="dxa"/>
            <w:vMerge/>
            <w:tcBorders>
              <w:top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mild (1)</w:t>
            </w:r>
          </w:p>
        </w:tc>
        <w:tc>
          <w:tcPr>
            <w:tcW w:w="1459"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mild (1)</w:t>
            </w:r>
          </w:p>
        </w:tc>
        <w:tc>
          <w:tcPr>
            <w:tcW w:w="1454"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mild (1)</w:t>
            </w: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mild (1)</w:t>
            </w:r>
          </w:p>
        </w:tc>
        <w:tc>
          <w:tcPr>
            <w:tcW w:w="1463"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mild (1)</w:t>
            </w:r>
          </w:p>
        </w:tc>
      </w:tr>
      <w:tr w:rsidR="00534BB4" w:rsidRPr="00DC0FF3" w:rsidTr="00152865">
        <w:trPr>
          <w:cantSplit/>
        </w:trPr>
        <w:tc>
          <w:tcPr>
            <w:tcW w:w="1379" w:type="dxa"/>
            <w:vMerge/>
            <w:tcBorders>
              <w:top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moderate (2)</w:t>
            </w:r>
          </w:p>
        </w:tc>
        <w:tc>
          <w:tcPr>
            <w:tcW w:w="1459"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moderate (2)</w:t>
            </w:r>
          </w:p>
        </w:tc>
        <w:tc>
          <w:tcPr>
            <w:tcW w:w="1454"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moderate (2)</w:t>
            </w: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moderate (2)</w:t>
            </w:r>
          </w:p>
        </w:tc>
        <w:tc>
          <w:tcPr>
            <w:tcW w:w="1463"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moderate (2)</w:t>
            </w:r>
          </w:p>
        </w:tc>
      </w:tr>
      <w:tr w:rsidR="00534BB4" w:rsidRPr="00DC0FF3" w:rsidTr="00152865">
        <w:trPr>
          <w:cantSplit/>
        </w:trPr>
        <w:tc>
          <w:tcPr>
            <w:tcW w:w="1379" w:type="dxa"/>
            <w:vMerge/>
            <w:tcBorders>
              <w:top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significant (3)</w:t>
            </w:r>
          </w:p>
        </w:tc>
        <w:tc>
          <w:tcPr>
            <w:tcW w:w="1459"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significant (3)</w:t>
            </w:r>
          </w:p>
        </w:tc>
        <w:tc>
          <w:tcPr>
            <w:tcW w:w="1454"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significant (3)</w:t>
            </w: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significant (3)</w:t>
            </w:r>
          </w:p>
        </w:tc>
        <w:tc>
          <w:tcPr>
            <w:tcW w:w="1463"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significant (3)</w:t>
            </w:r>
          </w:p>
        </w:tc>
      </w:tr>
      <w:tr w:rsidR="00534BB4" w:rsidRPr="00DC0FF3" w:rsidTr="00152865">
        <w:trPr>
          <w:cantSplit/>
        </w:trPr>
        <w:tc>
          <w:tcPr>
            <w:tcW w:w="1379" w:type="dxa"/>
            <w:vMerge/>
            <w:tcBorders>
              <w:top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severe (4)</w:t>
            </w:r>
          </w:p>
        </w:tc>
        <w:tc>
          <w:tcPr>
            <w:tcW w:w="1459"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severe (4)</w:t>
            </w:r>
          </w:p>
        </w:tc>
        <w:tc>
          <w:tcPr>
            <w:tcW w:w="1454"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severe (4)</w:t>
            </w: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severe (4)</w:t>
            </w:r>
          </w:p>
        </w:tc>
        <w:tc>
          <w:tcPr>
            <w:tcW w:w="1463"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r w:rsidRPr="00DC0FF3">
              <w:rPr>
                <w:sz w:val="18"/>
                <w:szCs w:val="18"/>
                <w:lang w:val="en-US"/>
              </w:rPr>
              <w:sym w:font="Wingdings" w:char="F071"/>
            </w:r>
            <w:r w:rsidRPr="00DC0FF3">
              <w:rPr>
                <w:sz w:val="18"/>
                <w:szCs w:val="18"/>
                <w:lang w:val="en-US"/>
              </w:rPr>
              <w:t xml:space="preserve"> severe (4)</w:t>
            </w:r>
          </w:p>
        </w:tc>
      </w:tr>
      <w:tr w:rsidR="00534BB4" w:rsidRPr="00DC0FF3" w:rsidTr="00425E5E">
        <w:tc>
          <w:tcPr>
            <w:tcW w:w="1379" w:type="dxa"/>
            <w:tcBorders>
              <w:top w:val="single" w:sz="4" w:space="0" w:color="auto"/>
              <w:left w:val="single" w:sz="4" w:space="0" w:color="auto"/>
              <w:bottom w:val="single" w:sz="4" w:space="0" w:color="auto"/>
              <w:right w:val="single" w:sz="4" w:space="0" w:color="auto"/>
            </w:tcBorders>
            <w:shd w:val="clear" w:color="auto" w:fill="0070C0"/>
          </w:tcPr>
          <w:p w:rsidR="00534BB4" w:rsidRPr="00425E5E" w:rsidRDefault="00534BB4" w:rsidP="002A418E">
            <w:pPr>
              <w:keepNext/>
              <w:widowControl w:val="0"/>
              <w:kinsoku w:val="0"/>
              <w:rPr>
                <w:b/>
                <w:color w:val="FFFFFF" w:themeColor="background1"/>
                <w:sz w:val="18"/>
                <w:szCs w:val="18"/>
                <w:lang w:val="en-US"/>
              </w:rPr>
            </w:pPr>
            <w:r w:rsidRPr="00425E5E">
              <w:rPr>
                <w:b/>
                <w:color w:val="FFFFFF" w:themeColor="background1"/>
                <w:sz w:val="18"/>
                <w:szCs w:val="18"/>
                <w:lang w:val="en-US"/>
              </w:rPr>
              <w:t>Erythema Score</w:t>
            </w: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c>
          <w:tcPr>
            <w:tcW w:w="1459"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c>
          <w:tcPr>
            <w:tcW w:w="1454"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c>
          <w:tcPr>
            <w:tcW w:w="1455"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c>
          <w:tcPr>
            <w:tcW w:w="1463" w:type="dxa"/>
            <w:tcBorders>
              <w:top w:val="single" w:sz="4" w:space="0" w:color="auto"/>
              <w:left w:val="single" w:sz="4" w:space="0" w:color="auto"/>
              <w:bottom w:val="single" w:sz="4" w:space="0" w:color="auto"/>
              <w:right w:val="single" w:sz="4" w:space="0" w:color="auto"/>
            </w:tcBorders>
          </w:tcPr>
          <w:p w:rsidR="00534BB4" w:rsidRPr="00DC0FF3" w:rsidRDefault="00534BB4" w:rsidP="002A418E">
            <w:pPr>
              <w:keepNext/>
              <w:widowControl w:val="0"/>
              <w:kinsoku w:val="0"/>
              <w:rPr>
                <w:sz w:val="18"/>
                <w:szCs w:val="18"/>
                <w:lang w:val="en-US"/>
              </w:rPr>
            </w:pPr>
          </w:p>
        </w:tc>
      </w:tr>
    </w:tbl>
    <w:p w:rsidR="00534BB4" w:rsidRPr="007F5A62" w:rsidRDefault="00534BB4" w:rsidP="007F5A62">
      <w:pPr>
        <w:pStyle w:val="ListBullet"/>
      </w:pPr>
      <w:r w:rsidRPr="007F5A62">
        <w:t xml:space="preserve">Presence of </w:t>
      </w:r>
      <w:proofErr w:type="spellStart"/>
      <w:r w:rsidRPr="007F5A62">
        <w:t>telangiectasia</w:t>
      </w:r>
      <w:proofErr w:type="spellEnd"/>
      <w:r w:rsidRPr="007F5A62">
        <w:t>.</w:t>
      </w:r>
    </w:p>
    <w:p w:rsidR="00534BB4" w:rsidRPr="000C7876" w:rsidRDefault="00534BB4" w:rsidP="00D42840">
      <w:pPr>
        <w:spacing w:before="240"/>
      </w:pPr>
      <w:r w:rsidRPr="000C7876">
        <w:t>Exclusion criteria included:</w:t>
      </w:r>
    </w:p>
    <w:p w:rsidR="00534BB4" w:rsidRPr="007F5A62" w:rsidRDefault="00534BB4" w:rsidP="007F5A62">
      <w:pPr>
        <w:pStyle w:val="ListBullet"/>
      </w:pPr>
      <w:r w:rsidRPr="007F5A62">
        <w:t>Initiation of a hormonal method of contraception within 4 months of baseline, discontinuation during the course of study, or change in the product used within 4 months of baseline or during the study.</w:t>
      </w:r>
    </w:p>
    <w:p w:rsidR="00534BB4" w:rsidRPr="007F5A62" w:rsidRDefault="00534BB4" w:rsidP="007F5A62">
      <w:pPr>
        <w:pStyle w:val="ListBullet"/>
      </w:pPr>
      <w:r w:rsidRPr="007F5A62">
        <w:t>Use of topical acne treatments within 4 weeks of baseline.</w:t>
      </w:r>
    </w:p>
    <w:p w:rsidR="00534BB4" w:rsidRPr="007F5A62" w:rsidRDefault="00534BB4" w:rsidP="007F5A62">
      <w:pPr>
        <w:pStyle w:val="ListBullet"/>
      </w:pPr>
      <w:r w:rsidRPr="007F5A62">
        <w:t xml:space="preserve">Use of systemic </w:t>
      </w:r>
      <w:proofErr w:type="spellStart"/>
      <w:r w:rsidRPr="007F5A62">
        <w:t>retinoids</w:t>
      </w:r>
      <w:proofErr w:type="spellEnd"/>
      <w:r w:rsidRPr="007F5A62">
        <w:t xml:space="preserve"> within 90 days of baseline.</w:t>
      </w:r>
    </w:p>
    <w:p w:rsidR="00534BB4" w:rsidRPr="007F5A62" w:rsidRDefault="00534BB4" w:rsidP="007F5A62">
      <w:pPr>
        <w:pStyle w:val="ListBullet"/>
      </w:pPr>
      <w:r w:rsidRPr="007F5A62">
        <w:t>Use of topical or systemic antibiotics within 4 weeks of baseline.</w:t>
      </w:r>
    </w:p>
    <w:p w:rsidR="00534BB4" w:rsidRPr="007F5A62" w:rsidRDefault="00534BB4" w:rsidP="007F5A62">
      <w:pPr>
        <w:pStyle w:val="ListBullet"/>
      </w:pPr>
      <w:r w:rsidRPr="007F5A62">
        <w:t>Long-term use (&gt;14 days) of topical or systemic NSAIDs in the 4 weeks prior to baseline or during the study. Chronic use of aspirin at sub-analgesic doses (≤ 325 mg/day) could be used by those patients requiring platelet aggregation inhibition.</w:t>
      </w:r>
    </w:p>
    <w:p w:rsidR="00534BB4" w:rsidRPr="007F5A62" w:rsidRDefault="00534BB4" w:rsidP="007F5A62">
      <w:pPr>
        <w:pStyle w:val="ListBullet"/>
      </w:pPr>
      <w:r w:rsidRPr="007F5A62">
        <w:t>Use of topical or systemic corticosteroids 4 weeks prior to baseline or during the study.</w:t>
      </w:r>
    </w:p>
    <w:p w:rsidR="00534BB4" w:rsidRPr="004B259C" w:rsidRDefault="00534BB4" w:rsidP="00425E5E">
      <w:pPr>
        <w:pStyle w:val="Heading6"/>
      </w:pPr>
      <w:r w:rsidRPr="004B259C">
        <w:t>Study treatments</w:t>
      </w:r>
    </w:p>
    <w:p w:rsidR="002A418E" w:rsidRPr="007F5A62" w:rsidRDefault="00534BB4" w:rsidP="007F5A62">
      <w:pPr>
        <w:pStyle w:val="ListBullet"/>
      </w:pPr>
      <w:proofErr w:type="spellStart"/>
      <w:r w:rsidRPr="007F5A62">
        <w:t>Oracea</w:t>
      </w:r>
      <w:proofErr w:type="spellEnd"/>
      <w:r w:rsidRPr="007F5A62">
        <w:t xml:space="preserve"> 40 mg or placebo </w:t>
      </w:r>
      <w:r w:rsidR="00324D05">
        <w:t>each morning for 16 weeks.</w:t>
      </w:r>
    </w:p>
    <w:p w:rsidR="00534BB4" w:rsidRPr="00425E5E" w:rsidRDefault="00534BB4" w:rsidP="00425E5E">
      <w:r w:rsidRPr="00425E5E">
        <w:t>The protocols did not stipulate whether medication was to be taken fasted or with food. (301 Protocol, page 6: "T</w:t>
      </w:r>
      <w:r w:rsidRPr="00425E5E">
        <w:rPr>
          <w:i/>
        </w:rPr>
        <w:t>he patient will be instructed to take one capsule every morning</w:t>
      </w:r>
      <w:r w:rsidRPr="00425E5E">
        <w:t>.")</w:t>
      </w:r>
    </w:p>
    <w:p w:rsidR="00534BB4" w:rsidRPr="00425E5E" w:rsidRDefault="00534BB4" w:rsidP="00425E5E">
      <w:r w:rsidRPr="00425E5E">
        <w:t>The following medications were prohibited during the study:</w:t>
      </w:r>
    </w:p>
    <w:p w:rsidR="00534BB4" w:rsidRPr="007F5A62" w:rsidRDefault="00534BB4" w:rsidP="007F5A62">
      <w:pPr>
        <w:pStyle w:val="ListBullet"/>
      </w:pPr>
      <w:r w:rsidRPr="007F5A62">
        <w:t xml:space="preserve">Chronic use (&gt;14 days) of </w:t>
      </w:r>
      <w:proofErr w:type="spellStart"/>
      <w:r w:rsidRPr="007F5A62">
        <w:t>sulfa</w:t>
      </w:r>
      <w:proofErr w:type="spellEnd"/>
      <w:r w:rsidRPr="007F5A62">
        <w:t xml:space="preserve"> drugs, erythromycin, </w:t>
      </w:r>
      <w:proofErr w:type="spellStart"/>
      <w:r w:rsidRPr="007F5A62">
        <w:t>cephalosporins</w:t>
      </w:r>
      <w:proofErr w:type="spellEnd"/>
      <w:r w:rsidRPr="007F5A62">
        <w:t xml:space="preserve">, and </w:t>
      </w:r>
      <w:proofErr w:type="spellStart"/>
      <w:r w:rsidRPr="007F5A62">
        <w:t>quinolones</w:t>
      </w:r>
      <w:proofErr w:type="spellEnd"/>
      <w:r w:rsidRPr="007F5A62">
        <w:t>.</w:t>
      </w:r>
    </w:p>
    <w:p w:rsidR="00534BB4" w:rsidRPr="007F5A62" w:rsidRDefault="00534BB4" w:rsidP="007F5A62">
      <w:pPr>
        <w:pStyle w:val="ListBullet"/>
      </w:pPr>
      <w:r w:rsidRPr="007F5A62">
        <w:t>Tetracycline or penicillin antibiotics.</w:t>
      </w:r>
    </w:p>
    <w:p w:rsidR="00534BB4" w:rsidRPr="007F5A62" w:rsidRDefault="00534BB4" w:rsidP="007F5A62">
      <w:pPr>
        <w:pStyle w:val="ListBullet"/>
      </w:pPr>
      <w:r w:rsidRPr="007F5A62">
        <w:t xml:space="preserve">Any acne treatment, including </w:t>
      </w:r>
      <w:proofErr w:type="spellStart"/>
      <w:r w:rsidRPr="007F5A62">
        <w:t>spironolactone</w:t>
      </w:r>
      <w:proofErr w:type="spellEnd"/>
      <w:r w:rsidRPr="007F5A62">
        <w:t>.</w:t>
      </w:r>
    </w:p>
    <w:p w:rsidR="00534BB4" w:rsidRPr="007F5A62" w:rsidRDefault="00534BB4" w:rsidP="007F5A62">
      <w:pPr>
        <w:pStyle w:val="ListBullet"/>
      </w:pPr>
      <w:r w:rsidRPr="007F5A62">
        <w:t>Antimicrobial soaps.</w:t>
      </w:r>
    </w:p>
    <w:p w:rsidR="00534BB4" w:rsidRPr="007F5A62" w:rsidRDefault="00534BB4" w:rsidP="007F5A62">
      <w:pPr>
        <w:pStyle w:val="ListBullet"/>
      </w:pPr>
      <w:r w:rsidRPr="007F5A62">
        <w:t>Niacin at a dose of 500 mg or more per day.</w:t>
      </w:r>
    </w:p>
    <w:p w:rsidR="00534BB4" w:rsidRPr="000C7876" w:rsidRDefault="00534BB4" w:rsidP="00425E5E">
      <w:r w:rsidRPr="000C7876">
        <w:t xml:space="preserve">Use of sunscreens </w:t>
      </w:r>
      <w:r>
        <w:t>was</w:t>
      </w:r>
      <w:r w:rsidRPr="000C7876">
        <w:t xml:space="preserve"> to be recorde</w:t>
      </w:r>
      <w:r>
        <w:t>d as concomitant medication.</w:t>
      </w:r>
    </w:p>
    <w:p w:rsidR="00534BB4" w:rsidRPr="004B259C" w:rsidRDefault="00534BB4" w:rsidP="00425E5E">
      <w:pPr>
        <w:pStyle w:val="Heading6"/>
      </w:pPr>
      <w:r w:rsidRPr="004B259C">
        <w:lastRenderedPageBreak/>
        <w:t>Efficacy variables and outcomes</w:t>
      </w:r>
    </w:p>
    <w:p w:rsidR="00534BB4" w:rsidRPr="004B259C" w:rsidRDefault="00534BB4" w:rsidP="00425E5E">
      <w:r w:rsidRPr="004B259C">
        <w:t>The main efficacy variables were:</w:t>
      </w:r>
    </w:p>
    <w:p w:rsidR="00534BB4" w:rsidRPr="007F5A62" w:rsidRDefault="00534BB4" w:rsidP="007F5A62">
      <w:pPr>
        <w:pStyle w:val="ListBullet"/>
      </w:pPr>
      <w:r w:rsidRPr="007F5A62">
        <w:t>Total inflammatory lesion count (papules + pustules + nodules)</w:t>
      </w:r>
    </w:p>
    <w:p w:rsidR="00534BB4" w:rsidRPr="007F5A62" w:rsidRDefault="00534BB4" w:rsidP="007F5A62">
      <w:pPr>
        <w:pStyle w:val="ListBullet"/>
      </w:pPr>
      <w:r w:rsidRPr="007F5A62">
        <w:t>CEA score</w:t>
      </w:r>
    </w:p>
    <w:p w:rsidR="00534BB4" w:rsidRPr="007F5A62" w:rsidRDefault="00534BB4" w:rsidP="007F5A62">
      <w:pPr>
        <w:pStyle w:val="ListBullet"/>
      </w:pPr>
      <w:r w:rsidRPr="007F5A62">
        <w:t>IGA score</w:t>
      </w:r>
    </w:p>
    <w:p w:rsidR="00534BB4" w:rsidRPr="00530324" w:rsidRDefault="00534BB4" w:rsidP="00534BB4">
      <w:pPr>
        <w:autoSpaceDE w:val="0"/>
        <w:autoSpaceDN w:val="0"/>
        <w:adjustRightInd w:val="0"/>
      </w:pPr>
      <w:r w:rsidRPr="004B259C">
        <w:t xml:space="preserve">The primary efficacy </w:t>
      </w:r>
      <w:r>
        <w:t xml:space="preserve">outcome was the difference between Oracea and placebo in the </w:t>
      </w:r>
      <w:r w:rsidRPr="00530324">
        <w:t>change in total inflammatory lesion count from baseline to endpoint (Week 16), based on the last observation carried forward.</w:t>
      </w:r>
    </w:p>
    <w:p w:rsidR="00534BB4" w:rsidRPr="004B259C" w:rsidRDefault="00534BB4" w:rsidP="00534BB4">
      <w:r w:rsidRPr="004B259C">
        <w:t xml:space="preserve">Other efficacy outcomes </w:t>
      </w:r>
      <w:r>
        <w:t>included</w:t>
      </w:r>
      <w:r w:rsidRPr="004B259C">
        <w:t>:</w:t>
      </w:r>
    </w:p>
    <w:p w:rsidR="00534BB4" w:rsidRPr="007F5A62" w:rsidRDefault="00534BB4" w:rsidP="007F5A62">
      <w:pPr>
        <w:pStyle w:val="ListBullet"/>
      </w:pPr>
      <w:r w:rsidRPr="007F5A62">
        <w:t xml:space="preserve">Change in the Clinician’s </w:t>
      </w:r>
      <w:proofErr w:type="spellStart"/>
      <w:r w:rsidRPr="007F5A62">
        <w:t>Erythema</w:t>
      </w:r>
      <w:proofErr w:type="spellEnd"/>
      <w:r w:rsidRPr="007F5A62">
        <w:t xml:space="preserve"> Assessment Scale score from baseline to endpoint (Week 16).</w:t>
      </w:r>
    </w:p>
    <w:p w:rsidR="00534BB4" w:rsidRPr="007F5A62" w:rsidRDefault="00534BB4" w:rsidP="007F5A62">
      <w:pPr>
        <w:pStyle w:val="ListBullet"/>
      </w:pPr>
      <w:r w:rsidRPr="007F5A62">
        <w:t>Change in the Investigator’s Global Assessment (IGA) score from baseline to endpoint (Week 16).</w:t>
      </w:r>
    </w:p>
    <w:p w:rsidR="00534BB4" w:rsidRPr="007F5A62" w:rsidRDefault="00534BB4" w:rsidP="007F5A62">
      <w:pPr>
        <w:pStyle w:val="ListBullet"/>
      </w:pPr>
      <w:r w:rsidRPr="007F5A62">
        <w:t>Treatment responders at endpoint (Week 16), where response is defined as an IGA score of 0 (Clear) or 1 (Near Clear), as well as a more restrictive definition of response as an IGA score of 0 (Clear).</w:t>
      </w:r>
    </w:p>
    <w:p w:rsidR="00534BB4" w:rsidRPr="007F5A62" w:rsidRDefault="00534BB4" w:rsidP="007F5A62">
      <w:pPr>
        <w:pStyle w:val="ListBullet"/>
      </w:pPr>
      <w:r w:rsidRPr="007F5A62">
        <w:t>Change in total inflammatory lesion count from baseline to Week 12.</w:t>
      </w:r>
    </w:p>
    <w:p w:rsidR="00534BB4" w:rsidRPr="004B259C" w:rsidRDefault="00534BB4" w:rsidP="00425E5E">
      <w:pPr>
        <w:pStyle w:val="Heading6"/>
      </w:pPr>
      <w:r w:rsidRPr="004B259C">
        <w:t>Sample size</w:t>
      </w:r>
    </w:p>
    <w:p w:rsidR="00534BB4" w:rsidRDefault="00534BB4" w:rsidP="00425E5E">
      <w:r w:rsidRPr="00530324">
        <w:t>Based on previous studies, it was anticipated that active treatment would result in a mean change from baseline of -7.0 in total lesion count and placebo would result in a mean change of -3.5 with a common standard deviation of 8.0. 111 patients per treatment group would be sufficient to ensure a power of 90% in correctly concluding superiority of the Oracea capsules over placebo at the two-sided α= 0.05 level of significance. To ensure a power of 85%, a total of 95 patients in each treatment group would be sufficient.</w:t>
      </w:r>
      <w:r>
        <w:t xml:space="preserve"> Plan was to have approximately 132 patients in each arm.</w:t>
      </w:r>
    </w:p>
    <w:p w:rsidR="00534BB4" w:rsidRPr="004B259C" w:rsidRDefault="00534BB4" w:rsidP="00425E5E">
      <w:pPr>
        <w:pStyle w:val="Heading6"/>
      </w:pPr>
      <w:r w:rsidRPr="004B259C">
        <w:t>Randomisation and blinding methods</w:t>
      </w:r>
    </w:p>
    <w:p w:rsidR="00534BB4" w:rsidRDefault="00534BB4" w:rsidP="00534BB4">
      <w:r>
        <w:t>A single list of randomisation codes was used across all centres. Blinding was achieved by the use of placebo with similar appearance to active.</w:t>
      </w:r>
    </w:p>
    <w:p w:rsidR="00534BB4" w:rsidRPr="004B259C" w:rsidRDefault="00534BB4" w:rsidP="00425E5E">
      <w:pPr>
        <w:pStyle w:val="Heading6"/>
      </w:pPr>
      <w:r w:rsidRPr="004B259C">
        <w:t>Statistical methods</w:t>
      </w:r>
    </w:p>
    <w:p w:rsidR="00534BB4" w:rsidRDefault="00534BB4" w:rsidP="00534BB4">
      <w:r>
        <w:t xml:space="preserve">Planned primary analysis was as follows (301 </w:t>
      </w:r>
      <w:r w:rsidRPr="007927C0">
        <w:rPr>
          <w:i/>
        </w:rPr>
        <w:t>Protocol</w:t>
      </w:r>
      <w:r>
        <w:t>, page 1</w:t>
      </w:r>
      <w:r w:rsidR="00324D05">
        <w:t>4):</w:t>
      </w:r>
    </w:p>
    <w:p w:rsidR="00534BB4" w:rsidRDefault="00534BB4" w:rsidP="00425E5E">
      <w:r w:rsidRPr="007927C0">
        <w:t>Tot</w:t>
      </w:r>
      <w:r>
        <w:t>al lesion count will be summaris</w:t>
      </w:r>
      <w:r w:rsidRPr="007927C0">
        <w:t>ed for each treatment group</w:t>
      </w:r>
      <w:r>
        <w:t xml:space="preserve"> </w:t>
      </w:r>
      <w:r w:rsidRPr="007927C0">
        <w:t>and at each visit using mean, standard deviation, median,</w:t>
      </w:r>
      <w:r>
        <w:t xml:space="preserve"> </w:t>
      </w:r>
      <w:r w:rsidRPr="007927C0">
        <w:t>minimum, and maximum. The comparison between the two</w:t>
      </w:r>
      <w:r>
        <w:t xml:space="preserve"> </w:t>
      </w:r>
      <w:r w:rsidRPr="007927C0">
        <w:t>treatments will be based on the difference for each patient between</w:t>
      </w:r>
      <w:r>
        <w:t xml:space="preserve"> </w:t>
      </w:r>
      <w:r w:rsidRPr="007927C0">
        <w:t>the endpoint visit and the baseline visit.</w:t>
      </w:r>
      <w:r>
        <w:t xml:space="preserve"> </w:t>
      </w:r>
      <w:r w:rsidRPr="007927C0">
        <w:t>ANOVA will be performed to test the</w:t>
      </w:r>
      <w:r>
        <w:t xml:space="preserve"> </w:t>
      </w:r>
      <w:r w:rsidRPr="007927C0">
        <w:t>null hypothesis of no treatment effect. The dependent variable will</w:t>
      </w:r>
      <w:r>
        <w:t xml:space="preserve"> </w:t>
      </w:r>
      <w:r w:rsidRPr="007927C0">
        <w:t>be the difference between the endpoint value and the baseline</w:t>
      </w:r>
      <w:r>
        <w:t xml:space="preserve"> </w:t>
      </w:r>
      <w:r w:rsidRPr="007927C0">
        <w:t>value. Treatment group and study centre will be the main effects in</w:t>
      </w:r>
      <w:r>
        <w:t xml:space="preserve"> </w:t>
      </w:r>
      <w:r w:rsidRPr="007927C0">
        <w:t>the model. This analysis will be performed on the ITT and PP</w:t>
      </w:r>
      <w:r>
        <w:t xml:space="preserve"> </w:t>
      </w:r>
      <w:r w:rsidRPr="007927C0">
        <w:t>populations. Efficacy will be declared if the treatment effect p</w:t>
      </w:r>
      <w:r>
        <w:t>-</w:t>
      </w:r>
      <w:r w:rsidRPr="007927C0">
        <w:t>value</w:t>
      </w:r>
      <w:r>
        <w:t xml:space="preserve"> </w:t>
      </w:r>
      <w:r w:rsidRPr="007927C0">
        <w:t>for the ITT population is no greater than 0.05 and is</w:t>
      </w:r>
      <w:r>
        <w:t xml:space="preserve"> </w:t>
      </w:r>
      <w:r w:rsidRPr="007927C0">
        <w:t xml:space="preserve">favourable to </w:t>
      </w:r>
      <w:r>
        <w:t>Oracea</w:t>
      </w:r>
      <w:r w:rsidRPr="007927C0">
        <w:t>.</w:t>
      </w:r>
    </w:p>
    <w:p w:rsidR="00534BB4" w:rsidRPr="004B259C" w:rsidRDefault="00534BB4" w:rsidP="00425E5E">
      <w:pPr>
        <w:pStyle w:val="Heading6"/>
      </w:pPr>
      <w:r w:rsidRPr="004B259C">
        <w:t>Participant flow</w:t>
      </w:r>
    </w:p>
    <w:p w:rsidR="00534BB4" w:rsidRDefault="00534BB4" w:rsidP="00534BB4">
      <w:r>
        <w:t>This is shown below.</w:t>
      </w:r>
    </w:p>
    <w:p w:rsidR="00534BB4" w:rsidRDefault="00534BB4" w:rsidP="00534BB4">
      <w:r>
        <w:t xml:space="preserve">According to 301 </w:t>
      </w:r>
      <w:r w:rsidRPr="00ED741E">
        <w:rPr>
          <w:i/>
        </w:rPr>
        <w:t>CSR</w:t>
      </w:r>
      <w:r>
        <w:t xml:space="preserve"> Table 1.1 and 302 </w:t>
      </w:r>
      <w:r w:rsidRPr="00ED741E">
        <w:rPr>
          <w:i/>
        </w:rPr>
        <w:t>CSR</w:t>
      </w:r>
      <w:r>
        <w:t xml:space="preserve"> Table 1.1, all screened patients were randomised.</w:t>
      </w:r>
    </w:p>
    <w:p w:rsidR="00534BB4" w:rsidRDefault="00F2518B" w:rsidP="002A418E">
      <w:pPr>
        <w:pStyle w:val="FigureTitle"/>
        <w:keepNext/>
      </w:pPr>
      <w:proofErr w:type="gramStart"/>
      <w:r>
        <w:lastRenderedPageBreak/>
        <w:t>Figure 1.</w:t>
      </w:r>
      <w:proofErr w:type="gramEnd"/>
      <w:r>
        <w:t xml:space="preserve"> </w:t>
      </w:r>
      <w:r w:rsidR="00534BB4">
        <w:t>Study 301</w:t>
      </w:r>
      <w:r>
        <w:t xml:space="preserve"> Participant flow</w:t>
      </w:r>
    </w:p>
    <w:p w:rsidR="00534BB4" w:rsidRDefault="00534BB4" w:rsidP="002A418E">
      <w:pPr>
        <w:keepNext/>
      </w:pPr>
      <w:r>
        <w:rPr>
          <w:noProof/>
          <w:lang w:eastAsia="en-AU"/>
        </w:rPr>
        <w:drawing>
          <wp:inline distT="0" distB="0" distL="0" distR="0">
            <wp:extent cx="5924550" cy="2972227"/>
            <wp:effectExtent l="19050" t="0" r="0" b="0"/>
            <wp:docPr id="2" name="Picture 1" descr="Figure 1. Study 301 Participant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lum contrast="-20000"/>
                    </a:blip>
                    <a:srcRect b="2790"/>
                    <a:stretch>
                      <a:fillRect/>
                    </a:stretch>
                  </pic:blipFill>
                  <pic:spPr bwMode="auto">
                    <a:xfrm>
                      <a:off x="0" y="0"/>
                      <a:ext cx="5924550" cy="2972227"/>
                    </a:xfrm>
                    <a:prstGeom prst="rect">
                      <a:avLst/>
                    </a:prstGeom>
                    <a:noFill/>
                    <a:ln w="9525">
                      <a:noFill/>
                      <a:miter lim="800000"/>
                      <a:headEnd/>
                      <a:tailEnd/>
                    </a:ln>
                  </pic:spPr>
                </pic:pic>
              </a:graphicData>
            </a:graphic>
          </wp:inline>
        </w:drawing>
      </w:r>
    </w:p>
    <w:p w:rsidR="00534BB4" w:rsidRDefault="00F2518B" w:rsidP="00F2518B">
      <w:pPr>
        <w:pStyle w:val="FigureTitle"/>
      </w:pPr>
      <w:proofErr w:type="gramStart"/>
      <w:r>
        <w:t>Figure 2.</w:t>
      </w:r>
      <w:proofErr w:type="gramEnd"/>
      <w:r>
        <w:t xml:space="preserve"> </w:t>
      </w:r>
      <w:r w:rsidR="00534BB4">
        <w:t>Study 302</w:t>
      </w:r>
      <w:r>
        <w:t xml:space="preserve"> </w:t>
      </w:r>
      <w:r w:rsidRPr="00F2518B">
        <w:t>Participant flow</w:t>
      </w:r>
    </w:p>
    <w:p w:rsidR="00534BB4" w:rsidRDefault="00534BB4" w:rsidP="00534BB4">
      <w:r>
        <w:rPr>
          <w:noProof/>
          <w:lang w:eastAsia="en-AU"/>
        </w:rPr>
        <w:drawing>
          <wp:inline distT="0" distB="0" distL="0" distR="0">
            <wp:extent cx="5924550" cy="3581400"/>
            <wp:effectExtent l="19050" t="0" r="0" b="0"/>
            <wp:docPr id="5" name="Picture 1" descr="Figure 2. Study 302 Participant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lum contrast="-20000"/>
                    </a:blip>
                    <a:srcRect b="1828"/>
                    <a:stretch>
                      <a:fillRect/>
                    </a:stretch>
                  </pic:blipFill>
                  <pic:spPr bwMode="auto">
                    <a:xfrm>
                      <a:off x="0" y="0"/>
                      <a:ext cx="5924550" cy="3581400"/>
                    </a:xfrm>
                    <a:prstGeom prst="rect">
                      <a:avLst/>
                    </a:prstGeom>
                    <a:noFill/>
                    <a:ln w="9525">
                      <a:noFill/>
                      <a:miter lim="800000"/>
                      <a:headEnd/>
                      <a:tailEnd/>
                    </a:ln>
                  </pic:spPr>
                </pic:pic>
              </a:graphicData>
            </a:graphic>
          </wp:inline>
        </w:drawing>
      </w:r>
    </w:p>
    <w:p w:rsidR="00534BB4" w:rsidRPr="004B259C" w:rsidRDefault="00534BB4" w:rsidP="00F2518B">
      <w:pPr>
        <w:pStyle w:val="Heading6"/>
      </w:pPr>
      <w:r w:rsidRPr="004B259C">
        <w:t>Baseline data</w:t>
      </w:r>
    </w:p>
    <w:p w:rsidR="00534BB4" w:rsidRDefault="00534BB4" w:rsidP="00534BB4">
      <w:pPr>
        <w:autoSpaceDE w:val="0"/>
        <w:autoSpaceDN w:val="0"/>
        <w:adjustRightInd w:val="0"/>
      </w:pPr>
      <w:r>
        <w:t>The principal demographic and baseline clinical characteristics are tabulated below. Almost all patients were Caucasian.</w:t>
      </w:r>
    </w:p>
    <w:p w:rsidR="00534BB4" w:rsidRDefault="00F2518B" w:rsidP="001E3897">
      <w:pPr>
        <w:pStyle w:val="TableTitle"/>
      </w:pPr>
      <w:proofErr w:type="gramStart"/>
      <w:r>
        <w:lastRenderedPageBreak/>
        <w:t>Table 7.</w:t>
      </w:r>
      <w:proofErr w:type="gramEnd"/>
      <w:r>
        <w:t xml:space="preserve"> </w:t>
      </w:r>
      <w:r w:rsidR="00534BB4">
        <w:t>Study 301</w:t>
      </w:r>
    </w:p>
    <w:tbl>
      <w:tblPr>
        <w:tblStyle w:val="TableGrid"/>
        <w:tblW w:w="0" w:type="auto"/>
        <w:jc w:val="center"/>
        <w:tblLook w:val="04A0"/>
      </w:tblPr>
      <w:tblGrid>
        <w:gridCol w:w="2656"/>
        <w:gridCol w:w="1685"/>
        <w:gridCol w:w="1890"/>
        <w:gridCol w:w="1890"/>
      </w:tblGrid>
      <w:tr w:rsidR="00534BB4" w:rsidRPr="00816421" w:rsidTr="001E3897">
        <w:trPr>
          <w:tblHeader/>
          <w:jc w:val="center"/>
        </w:trPr>
        <w:tc>
          <w:tcPr>
            <w:tcW w:w="2656" w:type="dxa"/>
            <w:shd w:val="clear" w:color="auto" w:fill="0070C0"/>
            <w:vAlign w:val="center"/>
          </w:tcPr>
          <w:p w:rsidR="00534BB4" w:rsidRPr="00F2518B" w:rsidRDefault="00534BB4" w:rsidP="002A418E">
            <w:pPr>
              <w:keepNext/>
              <w:autoSpaceDE w:val="0"/>
              <w:autoSpaceDN w:val="0"/>
              <w:adjustRightInd w:val="0"/>
              <w:rPr>
                <w:b/>
                <w:color w:val="FFFFFF" w:themeColor="background1"/>
                <w:sz w:val="20"/>
                <w:szCs w:val="20"/>
              </w:rPr>
            </w:pPr>
            <w:r w:rsidRPr="00F2518B">
              <w:rPr>
                <w:b/>
                <w:color w:val="FFFFFF" w:themeColor="background1"/>
                <w:sz w:val="20"/>
                <w:szCs w:val="20"/>
              </w:rPr>
              <w:t>Characteristic</w:t>
            </w:r>
          </w:p>
        </w:tc>
        <w:tc>
          <w:tcPr>
            <w:tcW w:w="1685" w:type="dxa"/>
            <w:shd w:val="clear" w:color="auto" w:fill="0070C0"/>
            <w:vAlign w:val="center"/>
          </w:tcPr>
          <w:p w:rsidR="00534BB4" w:rsidRPr="00F2518B" w:rsidRDefault="00534BB4" w:rsidP="002A418E">
            <w:pPr>
              <w:keepNext/>
              <w:autoSpaceDE w:val="0"/>
              <w:autoSpaceDN w:val="0"/>
              <w:adjustRightInd w:val="0"/>
              <w:jc w:val="center"/>
              <w:rPr>
                <w:b/>
                <w:color w:val="FFFFFF" w:themeColor="background1"/>
                <w:sz w:val="20"/>
                <w:szCs w:val="20"/>
              </w:rPr>
            </w:pPr>
            <w:r w:rsidRPr="00F2518B">
              <w:rPr>
                <w:b/>
                <w:color w:val="FFFFFF" w:themeColor="background1"/>
                <w:sz w:val="20"/>
                <w:szCs w:val="20"/>
              </w:rPr>
              <w:t>Oracea</w:t>
            </w:r>
          </w:p>
          <w:p w:rsidR="00534BB4" w:rsidRPr="00F2518B" w:rsidRDefault="00534BB4" w:rsidP="002A418E">
            <w:pPr>
              <w:keepNext/>
              <w:autoSpaceDE w:val="0"/>
              <w:autoSpaceDN w:val="0"/>
              <w:adjustRightInd w:val="0"/>
              <w:jc w:val="center"/>
              <w:rPr>
                <w:b/>
                <w:color w:val="FFFFFF" w:themeColor="background1"/>
                <w:sz w:val="20"/>
                <w:szCs w:val="20"/>
              </w:rPr>
            </w:pPr>
            <w:r w:rsidRPr="00F2518B">
              <w:rPr>
                <w:b/>
                <w:color w:val="FFFFFF" w:themeColor="background1"/>
                <w:sz w:val="20"/>
                <w:szCs w:val="20"/>
              </w:rPr>
              <w:t>(N=127)</w:t>
            </w:r>
          </w:p>
        </w:tc>
        <w:tc>
          <w:tcPr>
            <w:tcW w:w="1890" w:type="dxa"/>
            <w:shd w:val="clear" w:color="auto" w:fill="0070C0"/>
            <w:vAlign w:val="center"/>
          </w:tcPr>
          <w:p w:rsidR="00534BB4" w:rsidRPr="00F2518B" w:rsidRDefault="00534BB4" w:rsidP="002A418E">
            <w:pPr>
              <w:keepNext/>
              <w:autoSpaceDE w:val="0"/>
              <w:autoSpaceDN w:val="0"/>
              <w:adjustRightInd w:val="0"/>
              <w:jc w:val="center"/>
              <w:rPr>
                <w:b/>
                <w:color w:val="FFFFFF" w:themeColor="background1"/>
                <w:sz w:val="20"/>
                <w:szCs w:val="20"/>
              </w:rPr>
            </w:pPr>
            <w:r w:rsidRPr="00F2518B">
              <w:rPr>
                <w:b/>
                <w:color w:val="FFFFFF" w:themeColor="background1"/>
                <w:sz w:val="20"/>
                <w:szCs w:val="20"/>
              </w:rPr>
              <w:t>Placebo</w:t>
            </w:r>
          </w:p>
          <w:p w:rsidR="00534BB4" w:rsidRPr="00F2518B" w:rsidRDefault="00534BB4" w:rsidP="002A418E">
            <w:pPr>
              <w:keepNext/>
              <w:autoSpaceDE w:val="0"/>
              <w:autoSpaceDN w:val="0"/>
              <w:adjustRightInd w:val="0"/>
              <w:jc w:val="center"/>
              <w:rPr>
                <w:b/>
                <w:color w:val="FFFFFF" w:themeColor="background1"/>
                <w:sz w:val="20"/>
                <w:szCs w:val="20"/>
              </w:rPr>
            </w:pPr>
            <w:r w:rsidRPr="00F2518B">
              <w:rPr>
                <w:b/>
                <w:color w:val="FFFFFF" w:themeColor="background1"/>
                <w:sz w:val="20"/>
                <w:szCs w:val="20"/>
              </w:rPr>
              <w:t>(N=124)</w:t>
            </w:r>
          </w:p>
        </w:tc>
        <w:tc>
          <w:tcPr>
            <w:tcW w:w="1890" w:type="dxa"/>
            <w:shd w:val="clear" w:color="auto" w:fill="0070C0"/>
            <w:vAlign w:val="center"/>
          </w:tcPr>
          <w:p w:rsidR="00534BB4" w:rsidRPr="00F2518B" w:rsidRDefault="00534BB4" w:rsidP="002A418E">
            <w:pPr>
              <w:keepNext/>
              <w:autoSpaceDE w:val="0"/>
              <w:autoSpaceDN w:val="0"/>
              <w:adjustRightInd w:val="0"/>
              <w:jc w:val="center"/>
              <w:rPr>
                <w:b/>
                <w:color w:val="FFFFFF" w:themeColor="background1"/>
                <w:sz w:val="20"/>
                <w:szCs w:val="20"/>
              </w:rPr>
            </w:pPr>
            <w:r w:rsidRPr="00F2518B">
              <w:rPr>
                <w:b/>
                <w:color w:val="FFFFFF" w:themeColor="background1"/>
                <w:sz w:val="20"/>
                <w:szCs w:val="20"/>
              </w:rPr>
              <w:t>Total</w:t>
            </w:r>
          </w:p>
          <w:p w:rsidR="00534BB4" w:rsidRPr="00F2518B" w:rsidRDefault="00534BB4" w:rsidP="002A418E">
            <w:pPr>
              <w:keepNext/>
              <w:autoSpaceDE w:val="0"/>
              <w:autoSpaceDN w:val="0"/>
              <w:adjustRightInd w:val="0"/>
              <w:jc w:val="center"/>
              <w:rPr>
                <w:b/>
                <w:color w:val="FFFFFF" w:themeColor="background1"/>
                <w:sz w:val="20"/>
                <w:szCs w:val="20"/>
              </w:rPr>
            </w:pPr>
            <w:r w:rsidRPr="00F2518B">
              <w:rPr>
                <w:b/>
                <w:color w:val="FFFFFF" w:themeColor="background1"/>
                <w:sz w:val="20"/>
                <w:szCs w:val="20"/>
              </w:rPr>
              <w:t>(N=251)</w:t>
            </w:r>
          </w:p>
        </w:tc>
      </w:tr>
      <w:tr w:rsidR="00534BB4" w:rsidTr="001E3897">
        <w:trPr>
          <w:jc w:val="center"/>
        </w:trPr>
        <w:tc>
          <w:tcPr>
            <w:tcW w:w="2656" w:type="dxa"/>
          </w:tcPr>
          <w:p w:rsidR="00534BB4" w:rsidRPr="00F2518B" w:rsidRDefault="00F2518B" w:rsidP="002A418E">
            <w:pPr>
              <w:keepNext/>
              <w:autoSpaceDE w:val="0"/>
              <w:autoSpaceDN w:val="0"/>
              <w:adjustRightInd w:val="0"/>
              <w:ind w:left="142"/>
              <w:rPr>
                <w:b/>
                <w:sz w:val="20"/>
                <w:szCs w:val="20"/>
              </w:rPr>
            </w:pPr>
            <w:r w:rsidRPr="00F2518B">
              <w:rPr>
                <w:b/>
                <w:sz w:val="20"/>
                <w:szCs w:val="20"/>
              </w:rPr>
              <w:t xml:space="preserve">Age </w:t>
            </w:r>
            <w:r w:rsidR="00534BB4" w:rsidRPr="00F2518B">
              <w:rPr>
                <w:b/>
                <w:sz w:val="20"/>
                <w:szCs w:val="20"/>
              </w:rPr>
              <w:t xml:space="preserve">Mean </w:t>
            </w:r>
            <w:r w:rsidRPr="00F2518B">
              <w:rPr>
                <w:b/>
                <w:sz w:val="20"/>
                <w:szCs w:val="20"/>
              </w:rPr>
              <w:t>Years</w:t>
            </w:r>
            <w:r w:rsidR="00534BB4" w:rsidRPr="00F2518B">
              <w:rPr>
                <w:b/>
                <w:sz w:val="20"/>
                <w:szCs w:val="20"/>
              </w:rPr>
              <w:t>(sd)</w:t>
            </w:r>
          </w:p>
        </w:tc>
        <w:tc>
          <w:tcPr>
            <w:tcW w:w="1685"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46.8 (13.2)</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47.6 (11.5)</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47.2 (12.4)</w:t>
            </w:r>
          </w:p>
        </w:tc>
      </w:tr>
      <w:tr w:rsidR="00534BB4" w:rsidTr="001E3897">
        <w:trPr>
          <w:jc w:val="center"/>
        </w:trPr>
        <w:tc>
          <w:tcPr>
            <w:tcW w:w="2656" w:type="dxa"/>
          </w:tcPr>
          <w:p w:rsidR="00534BB4" w:rsidRPr="00F2518B" w:rsidRDefault="00F2518B" w:rsidP="002A418E">
            <w:pPr>
              <w:keepNext/>
              <w:autoSpaceDE w:val="0"/>
              <w:autoSpaceDN w:val="0"/>
              <w:adjustRightInd w:val="0"/>
              <w:ind w:left="142"/>
              <w:rPr>
                <w:b/>
                <w:sz w:val="20"/>
                <w:szCs w:val="20"/>
              </w:rPr>
            </w:pPr>
            <w:r w:rsidRPr="00F2518B">
              <w:rPr>
                <w:b/>
                <w:sz w:val="20"/>
                <w:szCs w:val="20"/>
              </w:rPr>
              <w:t xml:space="preserve">Age </w:t>
            </w:r>
            <w:r w:rsidR="00534BB4" w:rsidRPr="00F2518B">
              <w:rPr>
                <w:b/>
                <w:sz w:val="20"/>
                <w:szCs w:val="20"/>
              </w:rPr>
              <w:t xml:space="preserve">Median </w:t>
            </w:r>
            <w:r w:rsidRPr="00F2518B">
              <w:rPr>
                <w:b/>
                <w:sz w:val="20"/>
                <w:szCs w:val="20"/>
              </w:rPr>
              <w:t xml:space="preserve">Years </w:t>
            </w:r>
            <w:r w:rsidR="00534BB4" w:rsidRPr="00F2518B">
              <w:rPr>
                <w:b/>
                <w:sz w:val="20"/>
                <w:szCs w:val="20"/>
              </w:rPr>
              <w:t>(Range)</w:t>
            </w:r>
          </w:p>
        </w:tc>
        <w:tc>
          <w:tcPr>
            <w:tcW w:w="1685"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46.0 (22-90)</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47.0 (19-84)</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47.0 (19-90)</w:t>
            </w:r>
          </w:p>
        </w:tc>
      </w:tr>
      <w:tr w:rsidR="00534BB4" w:rsidTr="001E3897">
        <w:trPr>
          <w:jc w:val="center"/>
        </w:trPr>
        <w:tc>
          <w:tcPr>
            <w:tcW w:w="2656" w:type="dxa"/>
          </w:tcPr>
          <w:p w:rsidR="00534BB4" w:rsidRPr="00F2518B" w:rsidRDefault="00534BB4" w:rsidP="002A418E">
            <w:pPr>
              <w:keepNext/>
              <w:autoSpaceDE w:val="0"/>
              <w:autoSpaceDN w:val="0"/>
              <w:adjustRightInd w:val="0"/>
              <w:ind w:left="142"/>
              <w:rPr>
                <w:b/>
                <w:sz w:val="20"/>
                <w:szCs w:val="20"/>
              </w:rPr>
            </w:pPr>
            <w:r w:rsidRPr="00F2518B">
              <w:rPr>
                <w:b/>
                <w:sz w:val="20"/>
                <w:szCs w:val="20"/>
              </w:rPr>
              <w:t>M</w:t>
            </w:r>
            <w:r w:rsidR="00F2518B" w:rsidRPr="00F2518B">
              <w:rPr>
                <w:b/>
                <w:sz w:val="20"/>
                <w:szCs w:val="20"/>
              </w:rPr>
              <w:t>ale</w:t>
            </w:r>
          </w:p>
        </w:tc>
        <w:tc>
          <w:tcPr>
            <w:tcW w:w="1685"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36</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29</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65</w:t>
            </w:r>
          </w:p>
        </w:tc>
      </w:tr>
      <w:tr w:rsidR="00534BB4" w:rsidTr="001E3897">
        <w:trPr>
          <w:jc w:val="center"/>
        </w:trPr>
        <w:tc>
          <w:tcPr>
            <w:tcW w:w="2656" w:type="dxa"/>
          </w:tcPr>
          <w:p w:rsidR="00534BB4" w:rsidRPr="00F2518B" w:rsidRDefault="00534BB4" w:rsidP="002A418E">
            <w:pPr>
              <w:keepNext/>
              <w:autoSpaceDE w:val="0"/>
              <w:autoSpaceDN w:val="0"/>
              <w:adjustRightInd w:val="0"/>
              <w:ind w:left="142"/>
              <w:rPr>
                <w:b/>
                <w:sz w:val="20"/>
                <w:szCs w:val="20"/>
              </w:rPr>
            </w:pPr>
            <w:r w:rsidRPr="00F2518B">
              <w:rPr>
                <w:b/>
                <w:sz w:val="20"/>
                <w:szCs w:val="20"/>
              </w:rPr>
              <w:t>F</w:t>
            </w:r>
            <w:r w:rsidR="00F2518B" w:rsidRPr="00F2518B">
              <w:rPr>
                <w:b/>
                <w:sz w:val="20"/>
                <w:szCs w:val="20"/>
              </w:rPr>
              <w:t>emale</w:t>
            </w:r>
          </w:p>
        </w:tc>
        <w:tc>
          <w:tcPr>
            <w:tcW w:w="1685"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91</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95</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186</w:t>
            </w:r>
          </w:p>
        </w:tc>
      </w:tr>
      <w:tr w:rsidR="00534BB4" w:rsidTr="001E3897">
        <w:trPr>
          <w:jc w:val="center"/>
        </w:trPr>
        <w:tc>
          <w:tcPr>
            <w:tcW w:w="2656" w:type="dxa"/>
          </w:tcPr>
          <w:p w:rsidR="00534BB4" w:rsidRPr="00F2518B" w:rsidRDefault="00534BB4" w:rsidP="002A418E">
            <w:pPr>
              <w:keepNext/>
              <w:autoSpaceDE w:val="0"/>
              <w:autoSpaceDN w:val="0"/>
              <w:adjustRightInd w:val="0"/>
              <w:rPr>
                <w:b/>
                <w:sz w:val="20"/>
                <w:szCs w:val="20"/>
              </w:rPr>
            </w:pPr>
            <w:r w:rsidRPr="00F2518B">
              <w:rPr>
                <w:rFonts w:cs="TimesNewRomanPSMT"/>
                <w:b/>
                <w:sz w:val="20"/>
                <w:szCs w:val="20"/>
              </w:rPr>
              <w:t>Papule count, mean (sd)</w:t>
            </w:r>
          </w:p>
        </w:tc>
        <w:tc>
          <w:tcPr>
            <w:tcW w:w="1685"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15.2 (7.9)</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16.4 (9.2)</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15.8 (8.6)</w:t>
            </w:r>
          </w:p>
        </w:tc>
      </w:tr>
      <w:tr w:rsidR="00534BB4" w:rsidTr="001E3897">
        <w:trPr>
          <w:jc w:val="center"/>
        </w:trPr>
        <w:tc>
          <w:tcPr>
            <w:tcW w:w="2656" w:type="dxa"/>
          </w:tcPr>
          <w:p w:rsidR="00534BB4" w:rsidRPr="00F2518B" w:rsidRDefault="00534BB4" w:rsidP="002A418E">
            <w:pPr>
              <w:keepNext/>
              <w:autoSpaceDE w:val="0"/>
              <w:autoSpaceDN w:val="0"/>
              <w:adjustRightInd w:val="0"/>
              <w:rPr>
                <w:b/>
                <w:sz w:val="20"/>
                <w:szCs w:val="20"/>
              </w:rPr>
            </w:pPr>
            <w:r w:rsidRPr="00F2518B">
              <w:rPr>
                <w:rFonts w:cs="TimesNewRomanPSMT"/>
                <w:b/>
                <w:sz w:val="20"/>
                <w:szCs w:val="20"/>
              </w:rPr>
              <w:t>Pustule count, mean (sd)</w:t>
            </w:r>
          </w:p>
        </w:tc>
        <w:tc>
          <w:tcPr>
            <w:tcW w:w="1685"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4.1 (5.2)</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3.7 (4.7)</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3.9 (5.0)</w:t>
            </w:r>
          </w:p>
        </w:tc>
      </w:tr>
      <w:tr w:rsidR="00534BB4" w:rsidTr="001E3897">
        <w:trPr>
          <w:jc w:val="center"/>
        </w:trPr>
        <w:tc>
          <w:tcPr>
            <w:tcW w:w="2656" w:type="dxa"/>
          </w:tcPr>
          <w:p w:rsidR="00534BB4" w:rsidRPr="00F2518B" w:rsidRDefault="00534BB4" w:rsidP="002A418E">
            <w:pPr>
              <w:keepNext/>
              <w:autoSpaceDE w:val="0"/>
              <w:autoSpaceDN w:val="0"/>
              <w:adjustRightInd w:val="0"/>
              <w:rPr>
                <w:b/>
                <w:sz w:val="20"/>
                <w:szCs w:val="20"/>
              </w:rPr>
            </w:pPr>
            <w:r w:rsidRPr="00F2518B">
              <w:rPr>
                <w:rFonts w:cs="TimesNewRomanPSMT"/>
                <w:b/>
                <w:sz w:val="20"/>
                <w:szCs w:val="20"/>
              </w:rPr>
              <w:t>Nodule count, mean (sd)</w:t>
            </w:r>
          </w:p>
        </w:tc>
        <w:tc>
          <w:tcPr>
            <w:tcW w:w="1685"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0.2 (0.6)</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0.2 (0.5)</w:t>
            </w:r>
          </w:p>
        </w:tc>
        <w:tc>
          <w:tcPr>
            <w:tcW w:w="1890" w:type="dxa"/>
            <w:vAlign w:val="center"/>
          </w:tcPr>
          <w:p w:rsidR="00534BB4" w:rsidRPr="00F2518B" w:rsidRDefault="00534BB4" w:rsidP="002A418E">
            <w:pPr>
              <w:keepNext/>
              <w:autoSpaceDE w:val="0"/>
              <w:autoSpaceDN w:val="0"/>
              <w:adjustRightInd w:val="0"/>
              <w:jc w:val="center"/>
              <w:rPr>
                <w:sz w:val="20"/>
                <w:szCs w:val="20"/>
              </w:rPr>
            </w:pPr>
            <w:r w:rsidRPr="00F2518B">
              <w:rPr>
                <w:sz w:val="20"/>
                <w:szCs w:val="20"/>
              </w:rPr>
              <w:t>0.2 (0.5)</w:t>
            </w:r>
          </w:p>
        </w:tc>
      </w:tr>
      <w:tr w:rsidR="00534BB4" w:rsidTr="001E3897">
        <w:trPr>
          <w:jc w:val="center"/>
        </w:trPr>
        <w:tc>
          <w:tcPr>
            <w:tcW w:w="2656" w:type="dxa"/>
          </w:tcPr>
          <w:p w:rsidR="00534BB4" w:rsidRPr="00F2518B" w:rsidRDefault="00534BB4" w:rsidP="00152865">
            <w:pPr>
              <w:autoSpaceDE w:val="0"/>
              <w:autoSpaceDN w:val="0"/>
              <w:adjustRightInd w:val="0"/>
              <w:rPr>
                <w:b/>
                <w:sz w:val="20"/>
                <w:szCs w:val="20"/>
              </w:rPr>
            </w:pPr>
            <w:r w:rsidRPr="00F2518B">
              <w:rPr>
                <w:rFonts w:cs="TimesNewRomanPSMT"/>
                <w:b/>
                <w:sz w:val="20"/>
                <w:szCs w:val="20"/>
              </w:rPr>
              <w:t>TIL, mean (sd)</w:t>
            </w:r>
          </w:p>
        </w:tc>
        <w:tc>
          <w:tcPr>
            <w:tcW w:w="1685"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19.5 (8.8)</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20.3 (10.4)</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19.9 (9.6)</w:t>
            </w:r>
          </w:p>
        </w:tc>
      </w:tr>
      <w:tr w:rsidR="00534BB4" w:rsidTr="001E3897">
        <w:trPr>
          <w:jc w:val="center"/>
        </w:trPr>
        <w:tc>
          <w:tcPr>
            <w:tcW w:w="2656" w:type="dxa"/>
          </w:tcPr>
          <w:p w:rsidR="00534BB4" w:rsidRPr="002A418E" w:rsidRDefault="002A418E" w:rsidP="00152865">
            <w:pPr>
              <w:autoSpaceDE w:val="0"/>
              <w:autoSpaceDN w:val="0"/>
              <w:adjustRightInd w:val="0"/>
              <w:ind w:left="142"/>
              <w:rPr>
                <w:b/>
                <w:sz w:val="20"/>
                <w:szCs w:val="20"/>
              </w:rPr>
            </w:pPr>
            <w:r w:rsidRPr="002A418E">
              <w:rPr>
                <w:b/>
                <w:sz w:val="20"/>
                <w:szCs w:val="20"/>
              </w:rPr>
              <w:t xml:space="preserve">IGA                        </w:t>
            </w:r>
            <w:r w:rsidR="00534BB4" w:rsidRPr="002A418E">
              <w:rPr>
                <w:b/>
                <w:sz w:val="20"/>
                <w:szCs w:val="20"/>
              </w:rPr>
              <w:t>0 (Clear)</w:t>
            </w:r>
          </w:p>
        </w:tc>
        <w:tc>
          <w:tcPr>
            <w:tcW w:w="1685"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0</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0</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0</w:t>
            </w:r>
          </w:p>
        </w:tc>
      </w:tr>
      <w:tr w:rsidR="00534BB4" w:rsidTr="001E3897">
        <w:trPr>
          <w:jc w:val="center"/>
        </w:trPr>
        <w:tc>
          <w:tcPr>
            <w:tcW w:w="2656" w:type="dxa"/>
          </w:tcPr>
          <w:p w:rsidR="00534BB4" w:rsidRPr="002A418E" w:rsidRDefault="00534BB4" w:rsidP="002A418E">
            <w:pPr>
              <w:autoSpaceDE w:val="0"/>
              <w:autoSpaceDN w:val="0"/>
              <w:adjustRightInd w:val="0"/>
              <w:ind w:left="142"/>
              <w:jc w:val="right"/>
              <w:rPr>
                <w:b/>
                <w:sz w:val="20"/>
                <w:szCs w:val="20"/>
              </w:rPr>
            </w:pPr>
            <w:r w:rsidRPr="002A418E">
              <w:rPr>
                <w:b/>
                <w:sz w:val="20"/>
                <w:szCs w:val="20"/>
              </w:rPr>
              <w:t>1 (Near clear)</w:t>
            </w:r>
          </w:p>
        </w:tc>
        <w:tc>
          <w:tcPr>
            <w:tcW w:w="1685"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0</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0</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0</w:t>
            </w:r>
          </w:p>
        </w:tc>
      </w:tr>
      <w:tr w:rsidR="00534BB4" w:rsidTr="001E3897">
        <w:trPr>
          <w:jc w:val="center"/>
        </w:trPr>
        <w:tc>
          <w:tcPr>
            <w:tcW w:w="2656" w:type="dxa"/>
          </w:tcPr>
          <w:p w:rsidR="00534BB4" w:rsidRPr="002A418E" w:rsidRDefault="00534BB4" w:rsidP="002A418E">
            <w:pPr>
              <w:autoSpaceDE w:val="0"/>
              <w:autoSpaceDN w:val="0"/>
              <w:adjustRightInd w:val="0"/>
              <w:ind w:left="142"/>
              <w:jc w:val="right"/>
              <w:rPr>
                <w:b/>
                <w:sz w:val="20"/>
                <w:szCs w:val="20"/>
              </w:rPr>
            </w:pPr>
            <w:r w:rsidRPr="002A418E">
              <w:rPr>
                <w:b/>
                <w:sz w:val="20"/>
                <w:szCs w:val="20"/>
              </w:rPr>
              <w:t>2 (Mild)</w:t>
            </w:r>
          </w:p>
        </w:tc>
        <w:tc>
          <w:tcPr>
            <w:tcW w:w="1685"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8</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10</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18</w:t>
            </w:r>
          </w:p>
        </w:tc>
      </w:tr>
      <w:tr w:rsidR="00534BB4" w:rsidTr="001E3897">
        <w:trPr>
          <w:jc w:val="center"/>
        </w:trPr>
        <w:tc>
          <w:tcPr>
            <w:tcW w:w="2656" w:type="dxa"/>
          </w:tcPr>
          <w:p w:rsidR="00534BB4" w:rsidRPr="002A418E" w:rsidRDefault="00534BB4" w:rsidP="002A418E">
            <w:pPr>
              <w:autoSpaceDE w:val="0"/>
              <w:autoSpaceDN w:val="0"/>
              <w:adjustRightInd w:val="0"/>
              <w:ind w:left="142"/>
              <w:jc w:val="right"/>
              <w:rPr>
                <w:b/>
                <w:sz w:val="20"/>
                <w:szCs w:val="20"/>
              </w:rPr>
            </w:pPr>
            <w:r w:rsidRPr="002A418E">
              <w:rPr>
                <w:b/>
                <w:sz w:val="20"/>
                <w:szCs w:val="20"/>
              </w:rPr>
              <w:t>3 (Moderate)</w:t>
            </w:r>
          </w:p>
        </w:tc>
        <w:tc>
          <w:tcPr>
            <w:tcW w:w="1685"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67</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65</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132</w:t>
            </w:r>
          </w:p>
        </w:tc>
      </w:tr>
      <w:tr w:rsidR="00534BB4" w:rsidTr="001E3897">
        <w:trPr>
          <w:jc w:val="center"/>
        </w:trPr>
        <w:tc>
          <w:tcPr>
            <w:tcW w:w="2656" w:type="dxa"/>
          </w:tcPr>
          <w:p w:rsidR="00534BB4" w:rsidRPr="002A418E" w:rsidRDefault="00534BB4" w:rsidP="002A418E">
            <w:pPr>
              <w:autoSpaceDE w:val="0"/>
              <w:autoSpaceDN w:val="0"/>
              <w:adjustRightInd w:val="0"/>
              <w:ind w:left="142"/>
              <w:jc w:val="right"/>
              <w:rPr>
                <w:b/>
                <w:sz w:val="20"/>
                <w:szCs w:val="20"/>
              </w:rPr>
            </w:pPr>
            <w:r w:rsidRPr="002A418E">
              <w:rPr>
                <w:b/>
                <w:sz w:val="20"/>
                <w:szCs w:val="20"/>
              </w:rPr>
              <w:t>4 (Severe)</w:t>
            </w:r>
          </w:p>
        </w:tc>
        <w:tc>
          <w:tcPr>
            <w:tcW w:w="1685"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52</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49</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101</w:t>
            </w:r>
          </w:p>
        </w:tc>
      </w:tr>
      <w:tr w:rsidR="00534BB4" w:rsidTr="001E3897">
        <w:trPr>
          <w:jc w:val="center"/>
        </w:trPr>
        <w:tc>
          <w:tcPr>
            <w:tcW w:w="2656" w:type="dxa"/>
          </w:tcPr>
          <w:p w:rsidR="00534BB4" w:rsidRPr="00F2518B" w:rsidRDefault="00534BB4" w:rsidP="00152865">
            <w:pPr>
              <w:autoSpaceDE w:val="0"/>
              <w:autoSpaceDN w:val="0"/>
              <w:adjustRightInd w:val="0"/>
              <w:rPr>
                <w:b/>
                <w:sz w:val="20"/>
                <w:szCs w:val="20"/>
              </w:rPr>
            </w:pPr>
            <w:r w:rsidRPr="00F2518B">
              <w:rPr>
                <w:b/>
                <w:sz w:val="20"/>
                <w:szCs w:val="20"/>
              </w:rPr>
              <w:t>CEA, mean (sd)</w:t>
            </w:r>
          </w:p>
        </w:tc>
        <w:tc>
          <w:tcPr>
            <w:tcW w:w="1685"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9.7 (3.0)</w:t>
            </w:r>
          </w:p>
        </w:tc>
        <w:tc>
          <w:tcPr>
            <w:tcW w:w="1890" w:type="dxa"/>
            <w:vAlign w:val="center"/>
          </w:tcPr>
          <w:p w:rsidR="00534BB4" w:rsidRPr="00F2518B" w:rsidRDefault="00534BB4" w:rsidP="00152865">
            <w:pPr>
              <w:autoSpaceDE w:val="0"/>
              <w:autoSpaceDN w:val="0"/>
              <w:adjustRightInd w:val="0"/>
              <w:jc w:val="center"/>
              <w:rPr>
                <w:sz w:val="20"/>
                <w:szCs w:val="20"/>
              </w:rPr>
            </w:pPr>
            <w:r w:rsidRPr="00F2518B">
              <w:rPr>
                <w:sz w:val="20"/>
                <w:szCs w:val="20"/>
              </w:rPr>
              <w:t>9.5 (2.7)</w:t>
            </w:r>
          </w:p>
        </w:tc>
        <w:tc>
          <w:tcPr>
            <w:tcW w:w="1890" w:type="dxa"/>
            <w:vAlign w:val="center"/>
          </w:tcPr>
          <w:p w:rsidR="00534BB4" w:rsidRPr="00F2518B" w:rsidRDefault="00534BB4" w:rsidP="00F2518B">
            <w:pPr>
              <w:pStyle w:val="ListParagraph"/>
              <w:numPr>
                <w:ilvl w:val="1"/>
                <w:numId w:val="23"/>
              </w:numPr>
              <w:autoSpaceDE w:val="0"/>
              <w:autoSpaceDN w:val="0"/>
              <w:adjustRightInd w:val="0"/>
              <w:jc w:val="center"/>
              <w:rPr>
                <w:sz w:val="20"/>
                <w:szCs w:val="20"/>
              </w:rPr>
            </w:pPr>
            <w:r w:rsidRPr="00F2518B">
              <w:rPr>
                <w:sz w:val="20"/>
                <w:szCs w:val="20"/>
              </w:rPr>
              <w:t>(2.8)</w:t>
            </w:r>
          </w:p>
        </w:tc>
      </w:tr>
    </w:tbl>
    <w:p w:rsidR="00534BB4" w:rsidRDefault="00F2518B" w:rsidP="001E3897">
      <w:pPr>
        <w:pStyle w:val="TableTitle"/>
      </w:pPr>
      <w:proofErr w:type="gramStart"/>
      <w:r>
        <w:lastRenderedPageBreak/>
        <w:t>Table 8.</w:t>
      </w:r>
      <w:proofErr w:type="gramEnd"/>
      <w:r>
        <w:t xml:space="preserve"> </w:t>
      </w:r>
      <w:r w:rsidR="00534BB4">
        <w:t>Study 302</w:t>
      </w:r>
    </w:p>
    <w:tbl>
      <w:tblPr>
        <w:tblStyle w:val="TableGrid"/>
        <w:tblW w:w="0" w:type="auto"/>
        <w:jc w:val="center"/>
        <w:tblLook w:val="04A0"/>
      </w:tblPr>
      <w:tblGrid>
        <w:gridCol w:w="2694"/>
        <w:gridCol w:w="1615"/>
        <w:gridCol w:w="1890"/>
        <w:gridCol w:w="1890"/>
      </w:tblGrid>
      <w:tr w:rsidR="00534BB4" w:rsidRPr="00816421" w:rsidTr="001E3897">
        <w:trPr>
          <w:tblHeader/>
          <w:jc w:val="center"/>
        </w:trPr>
        <w:tc>
          <w:tcPr>
            <w:tcW w:w="2694" w:type="dxa"/>
            <w:shd w:val="clear" w:color="auto" w:fill="0070C0"/>
            <w:vAlign w:val="center"/>
          </w:tcPr>
          <w:p w:rsidR="00534BB4" w:rsidRPr="00F2518B" w:rsidRDefault="00534BB4" w:rsidP="00EA6773">
            <w:pPr>
              <w:keepNext/>
              <w:autoSpaceDE w:val="0"/>
              <w:autoSpaceDN w:val="0"/>
              <w:adjustRightInd w:val="0"/>
              <w:rPr>
                <w:b/>
                <w:color w:val="FFFFFF" w:themeColor="background1"/>
                <w:sz w:val="20"/>
                <w:szCs w:val="20"/>
              </w:rPr>
            </w:pPr>
            <w:r w:rsidRPr="00F2518B">
              <w:rPr>
                <w:b/>
                <w:color w:val="FFFFFF" w:themeColor="background1"/>
                <w:sz w:val="20"/>
                <w:szCs w:val="20"/>
              </w:rPr>
              <w:t>Characteristic</w:t>
            </w:r>
          </w:p>
        </w:tc>
        <w:tc>
          <w:tcPr>
            <w:tcW w:w="1615" w:type="dxa"/>
            <w:shd w:val="clear" w:color="auto" w:fill="0070C0"/>
            <w:vAlign w:val="center"/>
          </w:tcPr>
          <w:p w:rsidR="00534BB4" w:rsidRPr="00F2518B" w:rsidRDefault="00534BB4" w:rsidP="00EA6773">
            <w:pPr>
              <w:keepNext/>
              <w:autoSpaceDE w:val="0"/>
              <w:autoSpaceDN w:val="0"/>
              <w:adjustRightInd w:val="0"/>
              <w:jc w:val="center"/>
              <w:rPr>
                <w:b/>
                <w:color w:val="FFFFFF" w:themeColor="background1"/>
                <w:sz w:val="20"/>
                <w:szCs w:val="20"/>
              </w:rPr>
            </w:pPr>
            <w:r w:rsidRPr="00F2518B">
              <w:rPr>
                <w:b/>
                <w:color w:val="FFFFFF" w:themeColor="background1"/>
                <w:sz w:val="20"/>
                <w:szCs w:val="20"/>
              </w:rPr>
              <w:t>Oracea</w:t>
            </w:r>
          </w:p>
          <w:p w:rsidR="00534BB4" w:rsidRPr="00F2518B" w:rsidRDefault="00534BB4" w:rsidP="00EA6773">
            <w:pPr>
              <w:keepNext/>
              <w:autoSpaceDE w:val="0"/>
              <w:autoSpaceDN w:val="0"/>
              <w:adjustRightInd w:val="0"/>
              <w:jc w:val="center"/>
              <w:rPr>
                <w:b/>
                <w:color w:val="FFFFFF" w:themeColor="background1"/>
                <w:sz w:val="20"/>
                <w:szCs w:val="20"/>
              </w:rPr>
            </w:pPr>
            <w:r w:rsidRPr="00F2518B">
              <w:rPr>
                <w:b/>
                <w:color w:val="FFFFFF" w:themeColor="background1"/>
                <w:sz w:val="20"/>
                <w:szCs w:val="20"/>
              </w:rPr>
              <w:t>(N=142)</w:t>
            </w:r>
          </w:p>
        </w:tc>
        <w:tc>
          <w:tcPr>
            <w:tcW w:w="1890" w:type="dxa"/>
            <w:shd w:val="clear" w:color="auto" w:fill="0070C0"/>
            <w:vAlign w:val="center"/>
          </w:tcPr>
          <w:p w:rsidR="00534BB4" w:rsidRPr="00F2518B" w:rsidRDefault="00534BB4" w:rsidP="00EA6773">
            <w:pPr>
              <w:keepNext/>
              <w:autoSpaceDE w:val="0"/>
              <w:autoSpaceDN w:val="0"/>
              <w:adjustRightInd w:val="0"/>
              <w:jc w:val="center"/>
              <w:rPr>
                <w:b/>
                <w:color w:val="FFFFFF" w:themeColor="background1"/>
                <w:sz w:val="20"/>
                <w:szCs w:val="20"/>
              </w:rPr>
            </w:pPr>
            <w:r w:rsidRPr="00F2518B">
              <w:rPr>
                <w:b/>
                <w:color w:val="FFFFFF" w:themeColor="background1"/>
                <w:sz w:val="20"/>
                <w:szCs w:val="20"/>
              </w:rPr>
              <w:t>Placebo</w:t>
            </w:r>
          </w:p>
          <w:p w:rsidR="00534BB4" w:rsidRPr="00F2518B" w:rsidRDefault="00534BB4" w:rsidP="00EA6773">
            <w:pPr>
              <w:keepNext/>
              <w:autoSpaceDE w:val="0"/>
              <w:autoSpaceDN w:val="0"/>
              <w:adjustRightInd w:val="0"/>
              <w:jc w:val="center"/>
              <w:rPr>
                <w:b/>
                <w:color w:val="FFFFFF" w:themeColor="background1"/>
                <w:sz w:val="20"/>
                <w:szCs w:val="20"/>
              </w:rPr>
            </w:pPr>
            <w:r w:rsidRPr="00F2518B">
              <w:rPr>
                <w:b/>
                <w:color w:val="FFFFFF" w:themeColor="background1"/>
                <w:sz w:val="20"/>
                <w:szCs w:val="20"/>
              </w:rPr>
              <w:t>(N=144)</w:t>
            </w:r>
          </w:p>
        </w:tc>
        <w:tc>
          <w:tcPr>
            <w:tcW w:w="1890" w:type="dxa"/>
            <w:shd w:val="clear" w:color="auto" w:fill="0070C0"/>
            <w:vAlign w:val="center"/>
          </w:tcPr>
          <w:p w:rsidR="00534BB4" w:rsidRPr="00F2518B" w:rsidRDefault="00534BB4" w:rsidP="00EA6773">
            <w:pPr>
              <w:keepNext/>
              <w:autoSpaceDE w:val="0"/>
              <w:autoSpaceDN w:val="0"/>
              <w:adjustRightInd w:val="0"/>
              <w:jc w:val="center"/>
              <w:rPr>
                <w:b/>
                <w:color w:val="FFFFFF" w:themeColor="background1"/>
                <w:sz w:val="20"/>
                <w:szCs w:val="20"/>
              </w:rPr>
            </w:pPr>
            <w:r w:rsidRPr="00F2518B">
              <w:rPr>
                <w:b/>
                <w:color w:val="FFFFFF" w:themeColor="background1"/>
                <w:sz w:val="20"/>
                <w:szCs w:val="20"/>
              </w:rPr>
              <w:t>Total</w:t>
            </w:r>
          </w:p>
          <w:p w:rsidR="00534BB4" w:rsidRPr="00F2518B" w:rsidRDefault="00534BB4" w:rsidP="00EA6773">
            <w:pPr>
              <w:keepNext/>
              <w:autoSpaceDE w:val="0"/>
              <w:autoSpaceDN w:val="0"/>
              <w:adjustRightInd w:val="0"/>
              <w:jc w:val="center"/>
              <w:rPr>
                <w:b/>
                <w:color w:val="FFFFFF" w:themeColor="background1"/>
                <w:sz w:val="20"/>
                <w:szCs w:val="20"/>
              </w:rPr>
            </w:pPr>
            <w:r w:rsidRPr="00F2518B">
              <w:rPr>
                <w:b/>
                <w:color w:val="FFFFFF" w:themeColor="background1"/>
                <w:sz w:val="20"/>
                <w:szCs w:val="20"/>
              </w:rPr>
              <w:t>(N=286)</w:t>
            </w:r>
          </w:p>
        </w:tc>
      </w:tr>
      <w:tr w:rsidR="00534BB4" w:rsidTr="001E3897">
        <w:trPr>
          <w:jc w:val="center"/>
        </w:trPr>
        <w:tc>
          <w:tcPr>
            <w:tcW w:w="2694" w:type="dxa"/>
          </w:tcPr>
          <w:p w:rsidR="00534BB4" w:rsidRPr="00EA6773" w:rsidRDefault="00F2518B" w:rsidP="00EA6773">
            <w:pPr>
              <w:keepNext/>
              <w:autoSpaceDE w:val="0"/>
              <w:autoSpaceDN w:val="0"/>
              <w:adjustRightInd w:val="0"/>
              <w:ind w:left="142"/>
              <w:rPr>
                <w:b/>
                <w:sz w:val="20"/>
                <w:szCs w:val="20"/>
              </w:rPr>
            </w:pPr>
            <w:r w:rsidRPr="00EA6773">
              <w:rPr>
                <w:b/>
                <w:sz w:val="20"/>
                <w:szCs w:val="20"/>
              </w:rPr>
              <w:t xml:space="preserve">Age </w:t>
            </w:r>
            <w:r w:rsidR="00534BB4" w:rsidRPr="00EA6773">
              <w:rPr>
                <w:b/>
                <w:sz w:val="20"/>
                <w:szCs w:val="20"/>
              </w:rPr>
              <w:t xml:space="preserve">Mean </w:t>
            </w:r>
            <w:r w:rsidRPr="00EA6773">
              <w:rPr>
                <w:b/>
                <w:sz w:val="20"/>
                <w:szCs w:val="20"/>
              </w:rPr>
              <w:t xml:space="preserve">Years </w:t>
            </w:r>
            <w:r w:rsidR="00534BB4" w:rsidRPr="00EA6773">
              <w:rPr>
                <w:b/>
                <w:sz w:val="20"/>
                <w:szCs w:val="20"/>
              </w:rPr>
              <w:t>(sd)</w:t>
            </w:r>
          </w:p>
        </w:tc>
        <w:tc>
          <w:tcPr>
            <w:tcW w:w="1615" w:type="dxa"/>
            <w:vAlign w:val="center"/>
          </w:tcPr>
          <w:p w:rsidR="00534BB4" w:rsidRPr="00816421" w:rsidRDefault="00534BB4" w:rsidP="00EA6773">
            <w:pPr>
              <w:keepNext/>
              <w:autoSpaceDE w:val="0"/>
              <w:autoSpaceDN w:val="0"/>
              <w:adjustRightInd w:val="0"/>
              <w:jc w:val="center"/>
              <w:rPr>
                <w:sz w:val="20"/>
                <w:szCs w:val="20"/>
              </w:rPr>
            </w:pPr>
            <w:r>
              <w:rPr>
                <w:sz w:val="20"/>
                <w:szCs w:val="20"/>
              </w:rPr>
              <w:t>46.3 (12.7)</w:t>
            </w:r>
          </w:p>
        </w:tc>
        <w:tc>
          <w:tcPr>
            <w:tcW w:w="1890" w:type="dxa"/>
            <w:vAlign w:val="center"/>
          </w:tcPr>
          <w:p w:rsidR="00534BB4" w:rsidRPr="00816421" w:rsidRDefault="00534BB4" w:rsidP="00EA6773">
            <w:pPr>
              <w:keepNext/>
              <w:autoSpaceDE w:val="0"/>
              <w:autoSpaceDN w:val="0"/>
              <w:adjustRightInd w:val="0"/>
              <w:jc w:val="center"/>
              <w:rPr>
                <w:sz w:val="20"/>
                <w:szCs w:val="20"/>
              </w:rPr>
            </w:pPr>
            <w:r>
              <w:rPr>
                <w:sz w:val="20"/>
                <w:szCs w:val="20"/>
              </w:rPr>
              <w:t>47.6 (13.3)</w:t>
            </w:r>
          </w:p>
        </w:tc>
        <w:tc>
          <w:tcPr>
            <w:tcW w:w="1890" w:type="dxa"/>
            <w:vAlign w:val="center"/>
          </w:tcPr>
          <w:p w:rsidR="00534BB4" w:rsidRPr="00816421" w:rsidRDefault="00534BB4" w:rsidP="00EA6773">
            <w:pPr>
              <w:keepNext/>
              <w:autoSpaceDE w:val="0"/>
              <w:autoSpaceDN w:val="0"/>
              <w:adjustRightInd w:val="0"/>
              <w:jc w:val="center"/>
              <w:rPr>
                <w:sz w:val="20"/>
                <w:szCs w:val="20"/>
              </w:rPr>
            </w:pPr>
            <w:r>
              <w:rPr>
                <w:sz w:val="20"/>
                <w:szCs w:val="20"/>
              </w:rPr>
              <w:t>47.0 (13.0)</w:t>
            </w:r>
          </w:p>
        </w:tc>
      </w:tr>
      <w:tr w:rsidR="00534BB4" w:rsidTr="001E3897">
        <w:trPr>
          <w:jc w:val="center"/>
        </w:trPr>
        <w:tc>
          <w:tcPr>
            <w:tcW w:w="2694" w:type="dxa"/>
          </w:tcPr>
          <w:p w:rsidR="00534BB4" w:rsidRPr="00EA6773" w:rsidRDefault="00F2518B" w:rsidP="00EA6773">
            <w:pPr>
              <w:keepNext/>
              <w:autoSpaceDE w:val="0"/>
              <w:autoSpaceDN w:val="0"/>
              <w:adjustRightInd w:val="0"/>
              <w:ind w:left="142"/>
              <w:rPr>
                <w:b/>
                <w:sz w:val="20"/>
                <w:szCs w:val="20"/>
              </w:rPr>
            </w:pPr>
            <w:r w:rsidRPr="00EA6773">
              <w:rPr>
                <w:b/>
                <w:sz w:val="20"/>
                <w:szCs w:val="20"/>
              </w:rPr>
              <w:t xml:space="preserve">Age </w:t>
            </w:r>
            <w:r w:rsidR="00534BB4" w:rsidRPr="00EA6773">
              <w:rPr>
                <w:b/>
                <w:sz w:val="20"/>
                <w:szCs w:val="20"/>
              </w:rPr>
              <w:t xml:space="preserve">Median </w:t>
            </w:r>
            <w:r w:rsidRPr="00EA6773">
              <w:rPr>
                <w:b/>
                <w:sz w:val="20"/>
                <w:szCs w:val="20"/>
              </w:rPr>
              <w:t xml:space="preserve">Years </w:t>
            </w:r>
            <w:r w:rsidR="00534BB4" w:rsidRPr="00EA6773">
              <w:rPr>
                <w:b/>
                <w:sz w:val="20"/>
                <w:szCs w:val="20"/>
              </w:rPr>
              <w:t>(Range)</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46.0 (20-80)</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47.0 (19-82)</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46.0 (19-82)</w:t>
            </w:r>
          </w:p>
        </w:tc>
      </w:tr>
      <w:tr w:rsidR="00534BB4" w:rsidTr="001E3897">
        <w:trPr>
          <w:jc w:val="center"/>
        </w:trPr>
        <w:tc>
          <w:tcPr>
            <w:tcW w:w="2694" w:type="dxa"/>
          </w:tcPr>
          <w:p w:rsidR="00534BB4" w:rsidRPr="00EA6773" w:rsidRDefault="00534BB4" w:rsidP="00EA6773">
            <w:pPr>
              <w:keepNext/>
              <w:autoSpaceDE w:val="0"/>
              <w:autoSpaceDN w:val="0"/>
              <w:adjustRightInd w:val="0"/>
              <w:ind w:left="142"/>
              <w:rPr>
                <w:b/>
                <w:sz w:val="20"/>
                <w:szCs w:val="20"/>
              </w:rPr>
            </w:pPr>
            <w:r w:rsidRPr="00EA6773">
              <w:rPr>
                <w:b/>
                <w:sz w:val="20"/>
                <w:szCs w:val="20"/>
              </w:rPr>
              <w:t>M</w:t>
            </w:r>
            <w:r w:rsidR="00F2518B" w:rsidRPr="00EA6773">
              <w:rPr>
                <w:b/>
                <w:sz w:val="20"/>
                <w:szCs w:val="20"/>
              </w:rPr>
              <w:t>ale</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48</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49</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97</w:t>
            </w:r>
          </w:p>
        </w:tc>
      </w:tr>
      <w:tr w:rsidR="00534BB4" w:rsidTr="001E3897">
        <w:trPr>
          <w:jc w:val="center"/>
        </w:trPr>
        <w:tc>
          <w:tcPr>
            <w:tcW w:w="2694" w:type="dxa"/>
          </w:tcPr>
          <w:p w:rsidR="00534BB4" w:rsidRPr="00EA6773" w:rsidRDefault="00534BB4" w:rsidP="00EA6773">
            <w:pPr>
              <w:keepNext/>
              <w:autoSpaceDE w:val="0"/>
              <w:autoSpaceDN w:val="0"/>
              <w:adjustRightInd w:val="0"/>
              <w:ind w:left="142"/>
              <w:rPr>
                <w:b/>
                <w:sz w:val="20"/>
                <w:szCs w:val="20"/>
              </w:rPr>
            </w:pPr>
            <w:r w:rsidRPr="00EA6773">
              <w:rPr>
                <w:b/>
                <w:sz w:val="20"/>
                <w:szCs w:val="20"/>
              </w:rPr>
              <w:t>F</w:t>
            </w:r>
            <w:r w:rsidR="00F2518B" w:rsidRPr="00EA6773">
              <w:rPr>
                <w:b/>
                <w:sz w:val="20"/>
                <w:szCs w:val="20"/>
              </w:rPr>
              <w:t>emale</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94</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95</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189</w:t>
            </w:r>
          </w:p>
        </w:tc>
      </w:tr>
      <w:tr w:rsidR="00534BB4" w:rsidTr="001E3897">
        <w:trPr>
          <w:jc w:val="center"/>
        </w:trPr>
        <w:tc>
          <w:tcPr>
            <w:tcW w:w="2694" w:type="dxa"/>
          </w:tcPr>
          <w:p w:rsidR="00534BB4" w:rsidRPr="00EA6773" w:rsidRDefault="00534BB4" w:rsidP="00EA6773">
            <w:pPr>
              <w:keepNext/>
              <w:autoSpaceDE w:val="0"/>
              <w:autoSpaceDN w:val="0"/>
              <w:adjustRightInd w:val="0"/>
              <w:rPr>
                <w:b/>
                <w:sz w:val="20"/>
                <w:szCs w:val="20"/>
              </w:rPr>
            </w:pPr>
            <w:r w:rsidRPr="00EA6773">
              <w:rPr>
                <w:b/>
                <w:sz w:val="18"/>
                <w:szCs w:val="18"/>
              </w:rPr>
              <w:t>Papule count, mean (sd)</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17.4 (10.8)</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17.8 (10.8)</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17.6 (10.8)</w:t>
            </w:r>
          </w:p>
        </w:tc>
      </w:tr>
      <w:tr w:rsidR="00534BB4" w:rsidTr="001E3897">
        <w:trPr>
          <w:jc w:val="center"/>
        </w:trPr>
        <w:tc>
          <w:tcPr>
            <w:tcW w:w="2694" w:type="dxa"/>
          </w:tcPr>
          <w:p w:rsidR="00534BB4" w:rsidRPr="00EA6773" w:rsidRDefault="00534BB4" w:rsidP="00EA6773">
            <w:pPr>
              <w:keepNext/>
              <w:autoSpaceDE w:val="0"/>
              <w:autoSpaceDN w:val="0"/>
              <w:adjustRightInd w:val="0"/>
              <w:rPr>
                <w:b/>
                <w:sz w:val="20"/>
                <w:szCs w:val="20"/>
              </w:rPr>
            </w:pPr>
            <w:r w:rsidRPr="00EA6773">
              <w:rPr>
                <w:b/>
                <w:sz w:val="18"/>
                <w:szCs w:val="18"/>
              </w:rPr>
              <w:t>Pustule count, mean (sd)</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3.0 (4.5)</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3.3 (6.0)</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3.1 (5.3)</w:t>
            </w:r>
          </w:p>
        </w:tc>
      </w:tr>
      <w:tr w:rsidR="00534BB4" w:rsidTr="001E3897">
        <w:trPr>
          <w:jc w:val="center"/>
        </w:trPr>
        <w:tc>
          <w:tcPr>
            <w:tcW w:w="2694" w:type="dxa"/>
          </w:tcPr>
          <w:p w:rsidR="00534BB4" w:rsidRPr="00EA6773" w:rsidRDefault="00534BB4" w:rsidP="00EA6773">
            <w:pPr>
              <w:keepNext/>
              <w:autoSpaceDE w:val="0"/>
              <w:autoSpaceDN w:val="0"/>
              <w:adjustRightInd w:val="0"/>
              <w:rPr>
                <w:b/>
                <w:sz w:val="20"/>
                <w:szCs w:val="20"/>
              </w:rPr>
            </w:pPr>
            <w:r w:rsidRPr="00EA6773">
              <w:rPr>
                <w:b/>
                <w:sz w:val="18"/>
                <w:szCs w:val="18"/>
              </w:rPr>
              <w:t>Nodule count, mean (sd)</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0.1 (0.5)</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0.1 (0.5)</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0.1 (0.5)</w:t>
            </w:r>
          </w:p>
        </w:tc>
      </w:tr>
      <w:tr w:rsidR="00534BB4" w:rsidTr="001E3897">
        <w:trPr>
          <w:jc w:val="center"/>
        </w:trPr>
        <w:tc>
          <w:tcPr>
            <w:tcW w:w="2694" w:type="dxa"/>
          </w:tcPr>
          <w:p w:rsidR="00534BB4" w:rsidRPr="00EA6773" w:rsidRDefault="00534BB4" w:rsidP="00EA6773">
            <w:pPr>
              <w:keepNext/>
              <w:autoSpaceDE w:val="0"/>
              <w:autoSpaceDN w:val="0"/>
              <w:adjustRightInd w:val="0"/>
              <w:rPr>
                <w:b/>
                <w:sz w:val="20"/>
                <w:szCs w:val="20"/>
              </w:rPr>
            </w:pPr>
            <w:r w:rsidRPr="00EA6773">
              <w:rPr>
                <w:b/>
                <w:sz w:val="18"/>
                <w:szCs w:val="18"/>
              </w:rPr>
              <w:t>TIL, mean (sd)</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20.5 (11.7)</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21.2 (12.5)</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20.8 (12.1)</w:t>
            </w:r>
          </w:p>
        </w:tc>
      </w:tr>
      <w:tr w:rsidR="00534BB4" w:rsidTr="001E3897">
        <w:trPr>
          <w:jc w:val="center"/>
        </w:trPr>
        <w:tc>
          <w:tcPr>
            <w:tcW w:w="2694" w:type="dxa"/>
          </w:tcPr>
          <w:p w:rsidR="00534BB4" w:rsidRPr="00EA6773" w:rsidRDefault="002A418E" w:rsidP="00EA6773">
            <w:pPr>
              <w:keepNext/>
              <w:autoSpaceDE w:val="0"/>
              <w:autoSpaceDN w:val="0"/>
              <w:adjustRightInd w:val="0"/>
              <w:ind w:left="142"/>
              <w:rPr>
                <w:b/>
                <w:sz w:val="20"/>
                <w:szCs w:val="20"/>
              </w:rPr>
            </w:pPr>
            <w:r w:rsidRPr="00EA6773">
              <w:rPr>
                <w:b/>
                <w:sz w:val="20"/>
                <w:szCs w:val="20"/>
              </w:rPr>
              <w:t xml:space="preserve">IGA </w:t>
            </w:r>
            <w:r>
              <w:rPr>
                <w:b/>
                <w:sz w:val="20"/>
                <w:szCs w:val="20"/>
              </w:rPr>
              <w:t xml:space="preserve">                       </w:t>
            </w:r>
            <w:r w:rsidR="00534BB4" w:rsidRPr="00EA6773">
              <w:rPr>
                <w:b/>
                <w:sz w:val="20"/>
                <w:szCs w:val="20"/>
              </w:rPr>
              <w:t>0 (Clear)</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0</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0</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0</w:t>
            </w:r>
          </w:p>
        </w:tc>
      </w:tr>
      <w:tr w:rsidR="00534BB4" w:rsidTr="001E3897">
        <w:trPr>
          <w:jc w:val="center"/>
        </w:trPr>
        <w:tc>
          <w:tcPr>
            <w:tcW w:w="2694" w:type="dxa"/>
          </w:tcPr>
          <w:p w:rsidR="00534BB4" w:rsidRPr="00EA6773" w:rsidRDefault="00534BB4" w:rsidP="002A418E">
            <w:pPr>
              <w:autoSpaceDE w:val="0"/>
              <w:autoSpaceDN w:val="0"/>
              <w:adjustRightInd w:val="0"/>
              <w:ind w:left="142"/>
              <w:jc w:val="right"/>
              <w:rPr>
                <w:b/>
                <w:sz w:val="20"/>
                <w:szCs w:val="20"/>
              </w:rPr>
            </w:pPr>
            <w:r w:rsidRPr="00EA6773">
              <w:rPr>
                <w:b/>
                <w:sz w:val="20"/>
                <w:szCs w:val="20"/>
              </w:rPr>
              <w:t>1 (Near clear)</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0</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0</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0</w:t>
            </w:r>
          </w:p>
        </w:tc>
      </w:tr>
      <w:tr w:rsidR="00534BB4" w:rsidTr="001E3897">
        <w:trPr>
          <w:jc w:val="center"/>
        </w:trPr>
        <w:tc>
          <w:tcPr>
            <w:tcW w:w="2694" w:type="dxa"/>
          </w:tcPr>
          <w:p w:rsidR="00534BB4" w:rsidRPr="00EA6773" w:rsidRDefault="00534BB4" w:rsidP="002A418E">
            <w:pPr>
              <w:autoSpaceDE w:val="0"/>
              <w:autoSpaceDN w:val="0"/>
              <w:adjustRightInd w:val="0"/>
              <w:ind w:left="142"/>
              <w:jc w:val="right"/>
              <w:rPr>
                <w:b/>
                <w:sz w:val="20"/>
                <w:szCs w:val="20"/>
              </w:rPr>
            </w:pPr>
            <w:r w:rsidRPr="00EA6773">
              <w:rPr>
                <w:b/>
                <w:sz w:val="20"/>
                <w:szCs w:val="20"/>
              </w:rPr>
              <w:t>2 (Mild)</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17</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7</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24</w:t>
            </w:r>
          </w:p>
        </w:tc>
      </w:tr>
      <w:tr w:rsidR="00534BB4" w:rsidTr="001E3897">
        <w:trPr>
          <w:jc w:val="center"/>
        </w:trPr>
        <w:tc>
          <w:tcPr>
            <w:tcW w:w="2694" w:type="dxa"/>
          </w:tcPr>
          <w:p w:rsidR="00534BB4" w:rsidRPr="00EA6773" w:rsidRDefault="00534BB4" w:rsidP="002A418E">
            <w:pPr>
              <w:autoSpaceDE w:val="0"/>
              <w:autoSpaceDN w:val="0"/>
              <w:adjustRightInd w:val="0"/>
              <w:ind w:left="142"/>
              <w:jc w:val="right"/>
              <w:rPr>
                <w:b/>
                <w:sz w:val="20"/>
                <w:szCs w:val="20"/>
              </w:rPr>
            </w:pPr>
            <w:r w:rsidRPr="00EA6773">
              <w:rPr>
                <w:b/>
                <w:sz w:val="20"/>
                <w:szCs w:val="20"/>
              </w:rPr>
              <w:t>3 (Moderate)</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77</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80</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157</w:t>
            </w:r>
          </w:p>
        </w:tc>
      </w:tr>
      <w:tr w:rsidR="00534BB4" w:rsidTr="001E3897">
        <w:trPr>
          <w:jc w:val="center"/>
        </w:trPr>
        <w:tc>
          <w:tcPr>
            <w:tcW w:w="2694" w:type="dxa"/>
          </w:tcPr>
          <w:p w:rsidR="00534BB4" w:rsidRPr="00EA6773" w:rsidRDefault="00534BB4" w:rsidP="002A418E">
            <w:pPr>
              <w:autoSpaceDE w:val="0"/>
              <w:autoSpaceDN w:val="0"/>
              <w:adjustRightInd w:val="0"/>
              <w:ind w:left="142"/>
              <w:jc w:val="right"/>
              <w:rPr>
                <w:b/>
                <w:sz w:val="20"/>
                <w:szCs w:val="20"/>
              </w:rPr>
            </w:pPr>
            <w:r w:rsidRPr="00EA6773">
              <w:rPr>
                <w:b/>
                <w:sz w:val="20"/>
                <w:szCs w:val="20"/>
              </w:rPr>
              <w:t>4 (Severe)</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48</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57</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105</w:t>
            </w:r>
          </w:p>
        </w:tc>
      </w:tr>
      <w:tr w:rsidR="00534BB4" w:rsidTr="001E3897">
        <w:trPr>
          <w:jc w:val="center"/>
        </w:trPr>
        <w:tc>
          <w:tcPr>
            <w:tcW w:w="2694" w:type="dxa"/>
          </w:tcPr>
          <w:p w:rsidR="00534BB4" w:rsidRPr="00EA6773" w:rsidRDefault="00534BB4" w:rsidP="00152865">
            <w:pPr>
              <w:autoSpaceDE w:val="0"/>
              <w:autoSpaceDN w:val="0"/>
              <w:adjustRightInd w:val="0"/>
              <w:rPr>
                <w:b/>
                <w:sz w:val="20"/>
                <w:szCs w:val="20"/>
              </w:rPr>
            </w:pPr>
            <w:r w:rsidRPr="00EA6773">
              <w:rPr>
                <w:b/>
                <w:sz w:val="20"/>
                <w:szCs w:val="20"/>
              </w:rPr>
              <w:t>CEA, mean (sd)</w:t>
            </w:r>
          </w:p>
        </w:tc>
        <w:tc>
          <w:tcPr>
            <w:tcW w:w="1615" w:type="dxa"/>
            <w:vAlign w:val="center"/>
          </w:tcPr>
          <w:p w:rsidR="00534BB4" w:rsidRPr="00816421" w:rsidRDefault="00534BB4" w:rsidP="00152865">
            <w:pPr>
              <w:autoSpaceDE w:val="0"/>
              <w:autoSpaceDN w:val="0"/>
              <w:adjustRightInd w:val="0"/>
              <w:jc w:val="center"/>
              <w:rPr>
                <w:sz w:val="20"/>
                <w:szCs w:val="20"/>
              </w:rPr>
            </w:pPr>
            <w:r>
              <w:rPr>
                <w:sz w:val="20"/>
                <w:szCs w:val="20"/>
              </w:rPr>
              <w:t>9.5 (2.9)</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9.1 (2.5)</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9.3 (2.7)</w:t>
            </w:r>
          </w:p>
        </w:tc>
      </w:tr>
    </w:tbl>
    <w:p w:rsidR="00534BB4" w:rsidRDefault="00534BB4" w:rsidP="00EA6773">
      <w:pPr>
        <w:pStyle w:val="Heading6"/>
      </w:pPr>
      <w:r w:rsidRPr="004B259C">
        <w:t>Results for the primary efficacy outcome</w:t>
      </w:r>
    </w:p>
    <w:p w:rsidR="00534BB4" w:rsidRPr="000A1EB8" w:rsidRDefault="00EA6773" w:rsidP="001E3897">
      <w:pPr>
        <w:pStyle w:val="TableTitle"/>
      </w:pPr>
      <w:proofErr w:type="gramStart"/>
      <w:r>
        <w:t>Table 9.</w:t>
      </w:r>
      <w:proofErr w:type="gramEnd"/>
      <w:r>
        <w:t xml:space="preserve"> </w:t>
      </w:r>
      <w:r w:rsidR="00534BB4">
        <w:t>Study 301</w:t>
      </w:r>
    </w:p>
    <w:tbl>
      <w:tblPr>
        <w:tblStyle w:val="TableGrid"/>
        <w:tblW w:w="0" w:type="auto"/>
        <w:jc w:val="center"/>
        <w:tblLook w:val="04A0"/>
      </w:tblPr>
      <w:tblGrid>
        <w:gridCol w:w="4500"/>
        <w:gridCol w:w="1497"/>
        <w:gridCol w:w="1701"/>
        <w:gridCol w:w="993"/>
      </w:tblGrid>
      <w:tr w:rsidR="00534BB4" w:rsidRPr="00816421" w:rsidTr="001E3897">
        <w:trPr>
          <w:tblHeader/>
          <w:jc w:val="center"/>
        </w:trPr>
        <w:tc>
          <w:tcPr>
            <w:tcW w:w="4500" w:type="dxa"/>
            <w:tcBorders>
              <w:top w:val="single" w:sz="4" w:space="0" w:color="auto"/>
              <w:left w:val="single" w:sz="4" w:space="0" w:color="auto"/>
            </w:tcBorders>
            <w:shd w:val="clear" w:color="auto" w:fill="0070C0"/>
            <w:vAlign w:val="center"/>
          </w:tcPr>
          <w:p w:rsidR="00534BB4" w:rsidRPr="00EA6773" w:rsidRDefault="00534BB4" w:rsidP="00EA6773">
            <w:pPr>
              <w:keepNext/>
              <w:autoSpaceDE w:val="0"/>
              <w:autoSpaceDN w:val="0"/>
              <w:adjustRightInd w:val="0"/>
              <w:rPr>
                <w:b/>
                <w:color w:val="FFFFFF" w:themeColor="background1"/>
                <w:sz w:val="20"/>
                <w:szCs w:val="20"/>
              </w:rPr>
            </w:pPr>
            <w:r w:rsidRPr="00EA6773">
              <w:rPr>
                <w:b/>
                <w:color w:val="FFFFFF" w:themeColor="background1"/>
                <w:sz w:val="20"/>
                <w:szCs w:val="20"/>
              </w:rPr>
              <w:t>Total inflammatory lesions − ITT population</w:t>
            </w:r>
          </w:p>
        </w:tc>
        <w:tc>
          <w:tcPr>
            <w:tcW w:w="1497" w:type="dxa"/>
            <w:shd w:val="clear" w:color="auto" w:fill="0070C0"/>
            <w:vAlign w:val="center"/>
          </w:tcPr>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Oracea</w:t>
            </w:r>
          </w:p>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(N=127)</w:t>
            </w:r>
          </w:p>
        </w:tc>
        <w:tc>
          <w:tcPr>
            <w:tcW w:w="1701" w:type="dxa"/>
            <w:tcBorders>
              <w:bottom w:val="single" w:sz="4" w:space="0" w:color="auto"/>
            </w:tcBorders>
            <w:shd w:val="clear" w:color="auto" w:fill="0070C0"/>
            <w:vAlign w:val="center"/>
          </w:tcPr>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Placebo</w:t>
            </w:r>
          </w:p>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(N=124)</w:t>
            </w:r>
          </w:p>
        </w:tc>
        <w:tc>
          <w:tcPr>
            <w:tcW w:w="993" w:type="dxa"/>
            <w:tcBorders>
              <w:bottom w:val="single" w:sz="4" w:space="0" w:color="auto"/>
            </w:tcBorders>
            <w:shd w:val="clear" w:color="auto" w:fill="0070C0"/>
            <w:vAlign w:val="center"/>
          </w:tcPr>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p-value</w:t>
            </w:r>
          </w:p>
        </w:tc>
      </w:tr>
      <w:tr w:rsidR="00534BB4" w:rsidTr="001E3897">
        <w:trPr>
          <w:jc w:val="center"/>
        </w:trPr>
        <w:tc>
          <w:tcPr>
            <w:tcW w:w="4500" w:type="dxa"/>
          </w:tcPr>
          <w:p w:rsidR="00534BB4" w:rsidRPr="00EA6773" w:rsidRDefault="00EA6773" w:rsidP="00EA6773">
            <w:pPr>
              <w:keepNext/>
              <w:autoSpaceDE w:val="0"/>
              <w:autoSpaceDN w:val="0"/>
              <w:adjustRightInd w:val="0"/>
              <w:ind w:left="142"/>
              <w:rPr>
                <w:b/>
                <w:sz w:val="20"/>
                <w:szCs w:val="20"/>
              </w:rPr>
            </w:pPr>
            <w:r w:rsidRPr="00EA6773">
              <w:rPr>
                <w:b/>
                <w:sz w:val="20"/>
                <w:szCs w:val="20"/>
              </w:rPr>
              <w:t xml:space="preserve">Baseline </w:t>
            </w:r>
            <w:r>
              <w:rPr>
                <w:b/>
                <w:sz w:val="20"/>
                <w:szCs w:val="20"/>
              </w:rPr>
              <w:t xml:space="preserve">                                                 </w:t>
            </w:r>
            <w:r w:rsidR="00534BB4" w:rsidRPr="00EA6773">
              <w:rPr>
                <w:b/>
                <w:sz w:val="20"/>
                <w:szCs w:val="20"/>
              </w:rPr>
              <w:t>Mean (sd)</w:t>
            </w:r>
          </w:p>
        </w:tc>
        <w:tc>
          <w:tcPr>
            <w:tcW w:w="1497" w:type="dxa"/>
            <w:vAlign w:val="center"/>
          </w:tcPr>
          <w:p w:rsidR="00534BB4" w:rsidRPr="00816421" w:rsidRDefault="00534BB4" w:rsidP="00EA6773">
            <w:pPr>
              <w:keepNext/>
              <w:autoSpaceDE w:val="0"/>
              <w:autoSpaceDN w:val="0"/>
              <w:adjustRightInd w:val="0"/>
              <w:jc w:val="center"/>
              <w:rPr>
                <w:sz w:val="20"/>
                <w:szCs w:val="20"/>
              </w:rPr>
            </w:pPr>
            <w:r>
              <w:rPr>
                <w:sz w:val="20"/>
                <w:szCs w:val="20"/>
              </w:rPr>
              <w:t>19.5 (8.8)</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20.3 (10.4)</w:t>
            </w:r>
          </w:p>
        </w:tc>
        <w:tc>
          <w:tcPr>
            <w:tcW w:w="993" w:type="dxa"/>
            <w:vAlign w:val="center"/>
          </w:tcPr>
          <w:p w:rsidR="00534BB4" w:rsidRPr="00816421" w:rsidRDefault="00534BB4" w:rsidP="00EA6773">
            <w:pPr>
              <w:keepNext/>
              <w:autoSpaceDE w:val="0"/>
              <w:autoSpaceDN w:val="0"/>
              <w:adjustRightInd w:val="0"/>
              <w:jc w:val="center"/>
              <w:rPr>
                <w:sz w:val="20"/>
                <w:szCs w:val="20"/>
              </w:rPr>
            </w:pPr>
          </w:p>
        </w:tc>
      </w:tr>
      <w:tr w:rsidR="00534BB4" w:rsidTr="001E3897">
        <w:trPr>
          <w:jc w:val="center"/>
        </w:trPr>
        <w:tc>
          <w:tcPr>
            <w:tcW w:w="4500" w:type="dxa"/>
          </w:tcPr>
          <w:p w:rsidR="00534BB4" w:rsidRPr="00EA6773" w:rsidRDefault="00534BB4" w:rsidP="00EA6773">
            <w:pPr>
              <w:keepNext/>
              <w:autoSpaceDE w:val="0"/>
              <w:autoSpaceDN w:val="0"/>
              <w:adjustRightInd w:val="0"/>
              <w:ind w:left="142"/>
              <w:jc w:val="right"/>
              <w:rPr>
                <w:b/>
                <w:sz w:val="20"/>
                <w:szCs w:val="20"/>
              </w:rPr>
            </w:pPr>
            <w:r w:rsidRPr="00EA6773">
              <w:rPr>
                <w:b/>
                <w:sz w:val="20"/>
                <w:szCs w:val="20"/>
              </w:rPr>
              <w:t>Median (Range)</w:t>
            </w:r>
          </w:p>
        </w:tc>
        <w:tc>
          <w:tcPr>
            <w:tcW w:w="1497" w:type="dxa"/>
            <w:tcBorders>
              <w:bottom w:val="single" w:sz="4" w:space="0" w:color="auto"/>
            </w:tcBorders>
            <w:vAlign w:val="center"/>
          </w:tcPr>
          <w:p w:rsidR="00534BB4" w:rsidRPr="00816421" w:rsidRDefault="00534BB4" w:rsidP="00EA6773">
            <w:pPr>
              <w:keepNext/>
              <w:autoSpaceDE w:val="0"/>
              <w:autoSpaceDN w:val="0"/>
              <w:adjustRightInd w:val="0"/>
              <w:jc w:val="center"/>
              <w:rPr>
                <w:sz w:val="20"/>
                <w:szCs w:val="20"/>
              </w:rPr>
            </w:pPr>
            <w:r>
              <w:rPr>
                <w:sz w:val="20"/>
                <w:szCs w:val="20"/>
              </w:rPr>
              <w:t>17.0 (10-39)</w:t>
            </w:r>
          </w:p>
        </w:tc>
        <w:tc>
          <w:tcPr>
            <w:tcW w:w="1701" w:type="dxa"/>
            <w:tcBorders>
              <w:bottom w:val="single" w:sz="4" w:space="0" w:color="auto"/>
            </w:tcBorders>
            <w:vAlign w:val="center"/>
          </w:tcPr>
          <w:p w:rsidR="00534BB4" w:rsidRPr="00816421" w:rsidRDefault="00534BB4" w:rsidP="00EA6773">
            <w:pPr>
              <w:keepNext/>
              <w:autoSpaceDE w:val="0"/>
              <w:autoSpaceDN w:val="0"/>
              <w:adjustRightInd w:val="0"/>
              <w:jc w:val="center"/>
              <w:rPr>
                <w:sz w:val="20"/>
                <w:szCs w:val="20"/>
              </w:rPr>
            </w:pPr>
            <w:r>
              <w:rPr>
                <w:sz w:val="20"/>
                <w:szCs w:val="20"/>
              </w:rPr>
              <w:t>17.0 (10-63)</w:t>
            </w:r>
          </w:p>
        </w:tc>
        <w:tc>
          <w:tcPr>
            <w:tcW w:w="993" w:type="dxa"/>
            <w:tcBorders>
              <w:bottom w:val="single" w:sz="4" w:space="0" w:color="auto"/>
            </w:tcBorders>
            <w:vAlign w:val="center"/>
          </w:tcPr>
          <w:p w:rsidR="00534BB4" w:rsidRPr="00816421" w:rsidRDefault="00534BB4" w:rsidP="00EA6773">
            <w:pPr>
              <w:keepNext/>
              <w:autoSpaceDE w:val="0"/>
              <w:autoSpaceDN w:val="0"/>
              <w:adjustRightInd w:val="0"/>
              <w:jc w:val="center"/>
              <w:rPr>
                <w:sz w:val="20"/>
                <w:szCs w:val="20"/>
              </w:rPr>
            </w:pPr>
          </w:p>
        </w:tc>
      </w:tr>
      <w:tr w:rsidR="00534BB4" w:rsidTr="001E3897">
        <w:trPr>
          <w:jc w:val="center"/>
        </w:trPr>
        <w:tc>
          <w:tcPr>
            <w:tcW w:w="4500" w:type="dxa"/>
          </w:tcPr>
          <w:p w:rsidR="00534BB4" w:rsidRPr="00EA6773" w:rsidRDefault="00EA6773" w:rsidP="00EA6773">
            <w:pPr>
              <w:keepNext/>
              <w:autoSpaceDE w:val="0"/>
              <w:autoSpaceDN w:val="0"/>
              <w:adjustRightInd w:val="0"/>
              <w:ind w:left="142"/>
              <w:rPr>
                <w:b/>
                <w:sz w:val="20"/>
                <w:szCs w:val="20"/>
              </w:rPr>
            </w:pPr>
            <w:r w:rsidRPr="00EA6773">
              <w:rPr>
                <w:b/>
                <w:sz w:val="20"/>
                <w:szCs w:val="20"/>
              </w:rPr>
              <w:t>Week 16</w:t>
            </w:r>
            <w:r>
              <w:rPr>
                <w:b/>
                <w:sz w:val="20"/>
                <w:szCs w:val="20"/>
              </w:rPr>
              <w:t xml:space="preserve">                                                   </w:t>
            </w:r>
            <w:r w:rsidR="00534BB4" w:rsidRPr="00EA6773">
              <w:rPr>
                <w:b/>
                <w:sz w:val="20"/>
                <w:szCs w:val="20"/>
              </w:rPr>
              <w:t>Mean (sd)</w:t>
            </w:r>
          </w:p>
        </w:tc>
        <w:tc>
          <w:tcPr>
            <w:tcW w:w="1497" w:type="dxa"/>
            <w:vAlign w:val="center"/>
          </w:tcPr>
          <w:p w:rsidR="00534BB4" w:rsidRPr="00816421" w:rsidRDefault="00534BB4" w:rsidP="00EA6773">
            <w:pPr>
              <w:keepNext/>
              <w:autoSpaceDE w:val="0"/>
              <w:autoSpaceDN w:val="0"/>
              <w:adjustRightInd w:val="0"/>
              <w:jc w:val="center"/>
              <w:rPr>
                <w:sz w:val="20"/>
                <w:szCs w:val="20"/>
              </w:rPr>
            </w:pPr>
            <w:r>
              <w:rPr>
                <w:sz w:val="20"/>
                <w:szCs w:val="20"/>
              </w:rPr>
              <w:t>7.7 (8.0)</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14.4 (16)</w:t>
            </w:r>
          </w:p>
        </w:tc>
        <w:tc>
          <w:tcPr>
            <w:tcW w:w="993" w:type="dxa"/>
            <w:vAlign w:val="center"/>
          </w:tcPr>
          <w:p w:rsidR="00534BB4" w:rsidRPr="00816421" w:rsidRDefault="00534BB4" w:rsidP="00EA6773">
            <w:pPr>
              <w:keepNext/>
              <w:autoSpaceDE w:val="0"/>
              <w:autoSpaceDN w:val="0"/>
              <w:adjustRightInd w:val="0"/>
              <w:jc w:val="center"/>
              <w:rPr>
                <w:sz w:val="20"/>
                <w:szCs w:val="20"/>
              </w:rPr>
            </w:pPr>
          </w:p>
        </w:tc>
      </w:tr>
      <w:tr w:rsidR="00534BB4" w:rsidTr="001E3897">
        <w:trPr>
          <w:jc w:val="center"/>
        </w:trPr>
        <w:tc>
          <w:tcPr>
            <w:tcW w:w="4500" w:type="dxa"/>
          </w:tcPr>
          <w:p w:rsidR="00534BB4" w:rsidRPr="00EA6773" w:rsidRDefault="00534BB4" w:rsidP="00EA6773">
            <w:pPr>
              <w:keepNext/>
              <w:autoSpaceDE w:val="0"/>
              <w:autoSpaceDN w:val="0"/>
              <w:adjustRightInd w:val="0"/>
              <w:ind w:left="142"/>
              <w:jc w:val="right"/>
              <w:rPr>
                <w:b/>
                <w:sz w:val="20"/>
                <w:szCs w:val="20"/>
              </w:rPr>
            </w:pPr>
            <w:r w:rsidRPr="00EA6773">
              <w:rPr>
                <w:b/>
                <w:sz w:val="20"/>
                <w:szCs w:val="20"/>
              </w:rPr>
              <w:t>Median (Range)</w:t>
            </w:r>
          </w:p>
        </w:tc>
        <w:tc>
          <w:tcPr>
            <w:tcW w:w="1497" w:type="dxa"/>
            <w:vAlign w:val="center"/>
          </w:tcPr>
          <w:p w:rsidR="00534BB4" w:rsidRPr="00816421" w:rsidRDefault="00534BB4" w:rsidP="00EA6773">
            <w:pPr>
              <w:keepNext/>
              <w:autoSpaceDE w:val="0"/>
              <w:autoSpaceDN w:val="0"/>
              <w:adjustRightInd w:val="0"/>
              <w:jc w:val="center"/>
              <w:rPr>
                <w:sz w:val="20"/>
                <w:szCs w:val="20"/>
              </w:rPr>
            </w:pPr>
            <w:r>
              <w:rPr>
                <w:sz w:val="20"/>
                <w:szCs w:val="20"/>
              </w:rPr>
              <w:t>5.0 (0-38)</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9.0 (0-111)</w:t>
            </w:r>
          </w:p>
        </w:tc>
        <w:tc>
          <w:tcPr>
            <w:tcW w:w="993" w:type="dxa"/>
            <w:vAlign w:val="center"/>
          </w:tcPr>
          <w:p w:rsidR="00534BB4" w:rsidRPr="00816421" w:rsidRDefault="00534BB4" w:rsidP="00EA6773">
            <w:pPr>
              <w:keepNext/>
              <w:autoSpaceDE w:val="0"/>
              <w:autoSpaceDN w:val="0"/>
              <w:adjustRightInd w:val="0"/>
              <w:jc w:val="center"/>
              <w:rPr>
                <w:sz w:val="20"/>
                <w:szCs w:val="20"/>
              </w:rPr>
            </w:pPr>
          </w:p>
        </w:tc>
      </w:tr>
      <w:tr w:rsidR="00534BB4" w:rsidTr="001E3897">
        <w:trPr>
          <w:jc w:val="center"/>
        </w:trPr>
        <w:tc>
          <w:tcPr>
            <w:tcW w:w="4500" w:type="dxa"/>
          </w:tcPr>
          <w:p w:rsidR="00534BB4" w:rsidRPr="00EA6773" w:rsidRDefault="00534BB4" w:rsidP="00EA6773">
            <w:pPr>
              <w:keepNext/>
              <w:autoSpaceDE w:val="0"/>
              <w:autoSpaceDN w:val="0"/>
              <w:adjustRightInd w:val="0"/>
              <w:rPr>
                <w:b/>
                <w:sz w:val="20"/>
                <w:szCs w:val="20"/>
              </w:rPr>
            </w:pPr>
            <w:r w:rsidRPr="00EA6773">
              <w:rPr>
                <w:b/>
                <w:sz w:val="20"/>
                <w:szCs w:val="20"/>
              </w:rPr>
              <w:t>Change from baseline to Week 16, mean (sd)</w:t>
            </w:r>
          </w:p>
        </w:tc>
        <w:tc>
          <w:tcPr>
            <w:tcW w:w="1497" w:type="dxa"/>
            <w:vAlign w:val="center"/>
          </w:tcPr>
          <w:p w:rsidR="00534BB4" w:rsidRPr="00816421" w:rsidRDefault="00534BB4" w:rsidP="00EA6773">
            <w:pPr>
              <w:keepNext/>
              <w:autoSpaceDE w:val="0"/>
              <w:autoSpaceDN w:val="0"/>
              <w:adjustRightInd w:val="0"/>
              <w:jc w:val="center"/>
              <w:rPr>
                <w:sz w:val="20"/>
                <w:szCs w:val="20"/>
              </w:rPr>
            </w:pPr>
            <w:r>
              <w:rPr>
                <w:sz w:val="20"/>
                <w:szCs w:val="20"/>
              </w:rPr>
              <w:t>-11.8 (9.8)</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-5.9 (14)</w:t>
            </w:r>
          </w:p>
        </w:tc>
        <w:tc>
          <w:tcPr>
            <w:tcW w:w="993" w:type="dxa"/>
            <w:vAlign w:val="center"/>
          </w:tcPr>
          <w:p w:rsidR="00534BB4" w:rsidRPr="00816421" w:rsidRDefault="00534BB4" w:rsidP="00EA6773">
            <w:pPr>
              <w:keepNext/>
              <w:autoSpaceDE w:val="0"/>
              <w:autoSpaceDN w:val="0"/>
              <w:adjustRightInd w:val="0"/>
              <w:jc w:val="center"/>
              <w:rPr>
                <w:sz w:val="20"/>
                <w:szCs w:val="20"/>
              </w:rPr>
            </w:pPr>
            <w:r>
              <w:rPr>
                <w:sz w:val="20"/>
                <w:szCs w:val="20"/>
              </w:rPr>
              <w:t>&lt; 0.001</w:t>
            </w:r>
            <w:r w:rsidRPr="002C0F4E">
              <w:rPr>
                <w:sz w:val="20"/>
                <w:szCs w:val="20"/>
                <w:vertAlign w:val="superscript"/>
              </w:rPr>
              <w:t>1</w:t>
            </w:r>
          </w:p>
        </w:tc>
      </w:tr>
    </w:tbl>
    <w:p w:rsidR="00534BB4" w:rsidRPr="002C0F4E" w:rsidRDefault="00534BB4" w:rsidP="004626E1">
      <w:pPr>
        <w:pStyle w:val="Notes"/>
      </w:pPr>
      <w:r w:rsidRPr="002C0F4E">
        <w:rPr>
          <w:vertAlign w:val="superscript"/>
        </w:rPr>
        <w:t>1</w:t>
      </w:r>
      <w:r w:rsidRPr="002C0F4E">
        <w:t xml:space="preserve"> Van Elteren test stratified by centre</w:t>
      </w:r>
    </w:p>
    <w:p w:rsidR="00534BB4" w:rsidRPr="000A1EB8" w:rsidRDefault="00534BB4" w:rsidP="00534BB4">
      <w:pPr>
        <w:autoSpaceDE w:val="0"/>
        <w:autoSpaceDN w:val="0"/>
        <w:adjustRightInd w:val="0"/>
      </w:pPr>
      <w:r w:rsidRPr="000A1EB8">
        <w:t>In the PP population, the mean change from baseline in total inflammatory lesions showed a statistically significant reduction in the Oracea treatment group compared to the placebo group at Week 16 (p=0.004).</w:t>
      </w:r>
    </w:p>
    <w:p w:rsidR="00534BB4" w:rsidRPr="000A1EB8" w:rsidRDefault="00EA6773" w:rsidP="001E3897">
      <w:pPr>
        <w:pStyle w:val="TableTitle"/>
      </w:pPr>
      <w:proofErr w:type="gramStart"/>
      <w:r>
        <w:lastRenderedPageBreak/>
        <w:t>Table 10.</w:t>
      </w:r>
      <w:proofErr w:type="gramEnd"/>
      <w:r>
        <w:t xml:space="preserve"> </w:t>
      </w:r>
      <w:r w:rsidR="00534BB4" w:rsidRPr="000A1EB8">
        <w:t>Study 302</w:t>
      </w:r>
    </w:p>
    <w:tbl>
      <w:tblPr>
        <w:tblStyle w:val="TableGrid"/>
        <w:tblW w:w="0" w:type="auto"/>
        <w:jc w:val="center"/>
        <w:tblLook w:val="04A0"/>
      </w:tblPr>
      <w:tblGrid>
        <w:gridCol w:w="4390"/>
        <w:gridCol w:w="1559"/>
        <w:gridCol w:w="1530"/>
        <w:gridCol w:w="993"/>
      </w:tblGrid>
      <w:tr w:rsidR="00534BB4" w:rsidRPr="00816421" w:rsidTr="001E3897">
        <w:trPr>
          <w:tblHeader/>
          <w:jc w:val="center"/>
        </w:trPr>
        <w:tc>
          <w:tcPr>
            <w:tcW w:w="4390" w:type="dxa"/>
            <w:tcBorders>
              <w:top w:val="single" w:sz="4" w:space="0" w:color="auto"/>
              <w:left w:val="single" w:sz="4" w:space="0" w:color="auto"/>
            </w:tcBorders>
            <w:shd w:val="clear" w:color="auto" w:fill="0070C0"/>
            <w:vAlign w:val="center"/>
          </w:tcPr>
          <w:p w:rsidR="00534BB4" w:rsidRPr="00EA6773" w:rsidRDefault="00534BB4" w:rsidP="00152865">
            <w:pPr>
              <w:autoSpaceDE w:val="0"/>
              <w:autoSpaceDN w:val="0"/>
              <w:adjustRightInd w:val="0"/>
              <w:rPr>
                <w:b/>
                <w:color w:val="FFFFFF" w:themeColor="background1"/>
                <w:sz w:val="20"/>
                <w:szCs w:val="20"/>
              </w:rPr>
            </w:pPr>
            <w:r w:rsidRPr="00EA6773">
              <w:rPr>
                <w:b/>
                <w:color w:val="FFFFFF" w:themeColor="background1"/>
                <w:sz w:val="20"/>
                <w:szCs w:val="20"/>
              </w:rPr>
              <w:t>Total inflammatory lesions − ITT population</w:t>
            </w:r>
          </w:p>
        </w:tc>
        <w:tc>
          <w:tcPr>
            <w:tcW w:w="1559" w:type="dxa"/>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Oracea</w:t>
            </w:r>
          </w:p>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(N=142)</w:t>
            </w:r>
          </w:p>
        </w:tc>
        <w:tc>
          <w:tcPr>
            <w:tcW w:w="1530" w:type="dxa"/>
            <w:tcBorders>
              <w:bottom w:val="single" w:sz="4" w:space="0" w:color="auto"/>
            </w:tcBorders>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Placebo</w:t>
            </w:r>
          </w:p>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(N=144)</w:t>
            </w:r>
          </w:p>
        </w:tc>
        <w:tc>
          <w:tcPr>
            <w:tcW w:w="993" w:type="dxa"/>
            <w:tcBorders>
              <w:bottom w:val="single" w:sz="4" w:space="0" w:color="auto"/>
            </w:tcBorders>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p-value</w:t>
            </w:r>
          </w:p>
        </w:tc>
      </w:tr>
      <w:tr w:rsidR="00534BB4" w:rsidTr="00EA6773">
        <w:trPr>
          <w:jc w:val="center"/>
        </w:trPr>
        <w:tc>
          <w:tcPr>
            <w:tcW w:w="4390" w:type="dxa"/>
          </w:tcPr>
          <w:p w:rsidR="00534BB4" w:rsidRPr="00EA6773" w:rsidRDefault="00EA6773" w:rsidP="00152865">
            <w:pPr>
              <w:autoSpaceDE w:val="0"/>
              <w:autoSpaceDN w:val="0"/>
              <w:adjustRightInd w:val="0"/>
              <w:ind w:left="142"/>
              <w:rPr>
                <w:b/>
                <w:sz w:val="20"/>
                <w:szCs w:val="20"/>
              </w:rPr>
            </w:pPr>
            <w:r w:rsidRPr="00EA6773">
              <w:rPr>
                <w:b/>
                <w:sz w:val="20"/>
                <w:szCs w:val="20"/>
              </w:rPr>
              <w:t xml:space="preserve">Baseline </w:t>
            </w:r>
            <w:r>
              <w:rPr>
                <w:b/>
                <w:sz w:val="20"/>
                <w:szCs w:val="20"/>
              </w:rPr>
              <w:t xml:space="preserve">                                               </w:t>
            </w:r>
            <w:r w:rsidR="00534BB4" w:rsidRPr="00EA6773">
              <w:rPr>
                <w:b/>
                <w:sz w:val="20"/>
                <w:szCs w:val="20"/>
              </w:rPr>
              <w:t>Mean (sd)</w:t>
            </w:r>
          </w:p>
        </w:tc>
        <w:tc>
          <w:tcPr>
            <w:tcW w:w="1559" w:type="dxa"/>
            <w:vAlign w:val="center"/>
          </w:tcPr>
          <w:p w:rsidR="00534BB4" w:rsidRPr="00816421" w:rsidRDefault="00534BB4" w:rsidP="00152865">
            <w:pPr>
              <w:autoSpaceDE w:val="0"/>
              <w:autoSpaceDN w:val="0"/>
              <w:adjustRightInd w:val="0"/>
              <w:jc w:val="center"/>
              <w:rPr>
                <w:sz w:val="20"/>
                <w:szCs w:val="20"/>
              </w:rPr>
            </w:pPr>
            <w:r>
              <w:rPr>
                <w:sz w:val="20"/>
                <w:szCs w:val="20"/>
              </w:rPr>
              <w:t>20.5 (11.7)</w:t>
            </w:r>
          </w:p>
        </w:tc>
        <w:tc>
          <w:tcPr>
            <w:tcW w:w="1530" w:type="dxa"/>
            <w:vAlign w:val="center"/>
          </w:tcPr>
          <w:p w:rsidR="00534BB4" w:rsidRPr="00816421" w:rsidRDefault="00534BB4" w:rsidP="00152865">
            <w:pPr>
              <w:autoSpaceDE w:val="0"/>
              <w:autoSpaceDN w:val="0"/>
              <w:adjustRightInd w:val="0"/>
              <w:jc w:val="center"/>
              <w:rPr>
                <w:sz w:val="20"/>
                <w:szCs w:val="20"/>
              </w:rPr>
            </w:pPr>
            <w:r>
              <w:rPr>
                <w:sz w:val="20"/>
                <w:szCs w:val="20"/>
              </w:rPr>
              <w:t>21.2 (12.5)</w:t>
            </w:r>
          </w:p>
        </w:tc>
        <w:tc>
          <w:tcPr>
            <w:tcW w:w="993" w:type="dxa"/>
            <w:vAlign w:val="center"/>
          </w:tcPr>
          <w:p w:rsidR="00534BB4" w:rsidRPr="00816421" w:rsidRDefault="00534BB4" w:rsidP="00152865">
            <w:pPr>
              <w:autoSpaceDE w:val="0"/>
              <w:autoSpaceDN w:val="0"/>
              <w:adjustRightInd w:val="0"/>
              <w:jc w:val="center"/>
              <w:rPr>
                <w:sz w:val="20"/>
                <w:szCs w:val="20"/>
              </w:rPr>
            </w:pPr>
          </w:p>
        </w:tc>
      </w:tr>
      <w:tr w:rsidR="00534BB4" w:rsidTr="00EA6773">
        <w:trPr>
          <w:jc w:val="center"/>
        </w:trPr>
        <w:tc>
          <w:tcPr>
            <w:tcW w:w="4390" w:type="dxa"/>
          </w:tcPr>
          <w:p w:rsidR="00534BB4" w:rsidRPr="00EA6773" w:rsidRDefault="00534BB4" w:rsidP="00EA6773">
            <w:pPr>
              <w:autoSpaceDE w:val="0"/>
              <w:autoSpaceDN w:val="0"/>
              <w:adjustRightInd w:val="0"/>
              <w:ind w:left="142"/>
              <w:jc w:val="right"/>
              <w:rPr>
                <w:b/>
                <w:sz w:val="20"/>
                <w:szCs w:val="20"/>
              </w:rPr>
            </w:pPr>
            <w:r w:rsidRPr="00EA6773">
              <w:rPr>
                <w:b/>
                <w:sz w:val="20"/>
                <w:szCs w:val="20"/>
              </w:rPr>
              <w:t>Median (Range)</w:t>
            </w:r>
          </w:p>
        </w:tc>
        <w:tc>
          <w:tcPr>
            <w:tcW w:w="1559"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17.0 (10-105)</w:t>
            </w:r>
          </w:p>
        </w:tc>
        <w:tc>
          <w:tcPr>
            <w:tcW w:w="1530"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18.0 (10-100)</w:t>
            </w:r>
          </w:p>
        </w:tc>
        <w:tc>
          <w:tcPr>
            <w:tcW w:w="993"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r w:rsidR="00534BB4" w:rsidTr="00EA6773">
        <w:trPr>
          <w:jc w:val="center"/>
        </w:trPr>
        <w:tc>
          <w:tcPr>
            <w:tcW w:w="4390" w:type="dxa"/>
          </w:tcPr>
          <w:p w:rsidR="00534BB4" w:rsidRPr="00EA6773" w:rsidRDefault="00EA6773" w:rsidP="00152865">
            <w:pPr>
              <w:autoSpaceDE w:val="0"/>
              <w:autoSpaceDN w:val="0"/>
              <w:adjustRightInd w:val="0"/>
              <w:ind w:left="142"/>
              <w:rPr>
                <w:b/>
                <w:sz w:val="20"/>
                <w:szCs w:val="20"/>
              </w:rPr>
            </w:pPr>
            <w:r w:rsidRPr="00EA6773">
              <w:rPr>
                <w:b/>
                <w:sz w:val="20"/>
                <w:szCs w:val="20"/>
              </w:rPr>
              <w:t>Week 16</w:t>
            </w:r>
            <w:r>
              <w:rPr>
                <w:b/>
                <w:sz w:val="20"/>
                <w:szCs w:val="20"/>
              </w:rPr>
              <w:t xml:space="preserve">                                                </w:t>
            </w:r>
            <w:r w:rsidR="00534BB4" w:rsidRPr="00EA6773">
              <w:rPr>
                <w:b/>
                <w:sz w:val="20"/>
                <w:szCs w:val="20"/>
              </w:rPr>
              <w:t>Mean (sd)</w:t>
            </w:r>
          </w:p>
        </w:tc>
        <w:tc>
          <w:tcPr>
            <w:tcW w:w="1559" w:type="dxa"/>
            <w:vAlign w:val="center"/>
          </w:tcPr>
          <w:p w:rsidR="00534BB4" w:rsidRPr="00816421" w:rsidRDefault="00534BB4" w:rsidP="00152865">
            <w:pPr>
              <w:autoSpaceDE w:val="0"/>
              <w:autoSpaceDN w:val="0"/>
              <w:adjustRightInd w:val="0"/>
              <w:jc w:val="center"/>
              <w:rPr>
                <w:sz w:val="20"/>
                <w:szCs w:val="20"/>
              </w:rPr>
            </w:pPr>
            <w:r>
              <w:rPr>
                <w:sz w:val="20"/>
                <w:szCs w:val="20"/>
              </w:rPr>
              <w:t>11.0 (11.3)</w:t>
            </w:r>
          </w:p>
        </w:tc>
        <w:tc>
          <w:tcPr>
            <w:tcW w:w="1530" w:type="dxa"/>
            <w:vAlign w:val="center"/>
          </w:tcPr>
          <w:p w:rsidR="00534BB4" w:rsidRPr="00816421" w:rsidRDefault="00534BB4" w:rsidP="00152865">
            <w:pPr>
              <w:autoSpaceDE w:val="0"/>
              <w:autoSpaceDN w:val="0"/>
              <w:adjustRightInd w:val="0"/>
              <w:jc w:val="center"/>
              <w:rPr>
                <w:sz w:val="20"/>
                <w:szCs w:val="20"/>
              </w:rPr>
            </w:pPr>
            <w:r>
              <w:rPr>
                <w:sz w:val="20"/>
                <w:szCs w:val="20"/>
              </w:rPr>
              <w:t>16.9 (14.7)</w:t>
            </w:r>
          </w:p>
        </w:tc>
        <w:tc>
          <w:tcPr>
            <w:tcW w:w="993" w:type="dxa"/>
            <w:vAlign w:val="center"/>
          </w:tcPr>
          <w:p w:rsidR="00534BB4" w:rsidRPr="00816421" w:rsidRDefault="00534BB4" w:rsidP="00152865">
            <w:pPr>
              <w:autoSpaceDE w:val="0"/>
              <w:autoSpaceDN w:val="0"/>
              <w:adjustRightInd w:val="0"/>
              <w:jc w:val="center"/>
              <w:rPr>
                <w:sz w:val="20"/>
                <w:szCs w:val="20"/>
              </w:rPr>
            </w:pPr>
          </w:p>
        </w:tc>
      </w:tr>
      <w:tr w:rsidR="00534BB4" w:rsidTr="00EA6773">
        <w:trPr>
          <w:jc w:val="center"/>
        </w:trPr>
        <w:tc>
          <w:tcPr>
            <w:tcW w:w="4390" w:type="dxa"/>
          </w:tcPr>
          <w:p w:rsidR="00534BB4" w:rsidRPr="00EA6773" w:rsidRDefault="00534BB4" w:rsidP="00EA6773">
            <w:pPr>
              <w:autoSpaceDE w:val="0"/>
              <w:autoSpaceDN w:val="0"/>
              <w:adjustRightInd w:val="0"/>
              <w:ind w:left="142"/>
              <w:jc w:val="right"/>
              <w:rPr>
                <w:b/>
                <w:sz w:val="20"/>
                <w:szCs w:val="20"/>
              </w:rPr>
            </w:pPr>
            <w:r w:rsidRPr="00EA6773">
              <w:rPr>
                <w:b/>
                <w:sz w:val="20"/>
                <w:szCs w:val="20"/>
              </w:rPr>
              <w:t>Median (Range)</w:t>
            </w:r>
          </w:p>
        </w:tc>
        <w:tc>
          <w:tcPr>
            <w:tcW w:w="1559" w:type="dxa"/>
            <w:vAlign w:val="center"/>
          </w:tcPr>
          <w:p w:rsidR="00534BB4" w:rsidRPr="00816421" w:rsidRDefault="00534BB4" w:rsidP="00152865">
            <w:pPr>
              <w:autoSpaceDE w:val="0"/>
              <w:autoSpaceDN w:val="0"/>
              <w:adjustRightInd w:val="0"/>
              <w:jc w:val="center"/>
              <w:rPr>
                <w:sz w:val="20"/>
                <w:szCs w:val="20"/>
              </w:rPr>
            </w:pPr>
            <w:r>
              <w:rPr>
                <w:sz w:val="20"/>
                <w:szCs w:val="20"/>
              </w:rPr>
              <w:t>8.0 (0-105)</w:t>
            </w:r>
          </w:p>
        </w:tc>
        <w:tc>
          <w:tcPr>
            <w:tcW w:w="1530" w:type="dxa"/>
            <w:vAlign w:val="center"/>
          </w:tcPr>
          <w:p w:rsidR="00534BB4" w:rsidRPr="00816421" w:rsidRDefault="00534BB4" w:rsidP="00152865">
            <w:pPr>
              <w:autoSpaceDE w:val="0"/>
              <w:autoSpaceDN w:val="0"/>
              <w:adjustRightInd w:val="0"/>
              <w:jc w:val="center"/>
              <w:rPr>
                <w:sz w:val="20"/>
                <w:szCs w:val="20"/>
              </w:rPr>
            </w:pPr>
            <w:r>
              <w:rPr>
                <w:sz w:val="20"/>
                <w:szCs w:val="20"/>
              </w:rPr>
              <w:t>13.0 (1-78)</w:t>
            </w:r>
          </w:p>
        </w:tc>
        <w:tc>
          <w:tcPr>
            <w:tcW w:w="993" w:type="dxa"/>
            <w:vAlign w:val="center"/>
          </w:tcPr>
          <w:p w:rsidR="00534BB4" w:rsidRPr="00816421" w:rsidRDefault="00534BB4" w:rsidP="00152865">
            <w:pPr>
              <w:autoSpaceDE w:val="0"/>
              <w:autoSpaceDN w:val="0"/>
              <w:adjustRightInd w:val="0"/>
              <w:jc w:val="center"/>
              <w:rPr>
                <w:sz w:val="20"/>
                <w:szCs w:val="20"/>
              </w:rPr>
            </w:pPr>
          </w:p>
        </w:tc>
      </w:tr>
      <w:tr w:rsidR="00534BB4" w:rsidTr="00EA6773">
        <w:trPr>
          <w:jc w:val="center"/>
        </w:trPr>
        <w:tc>
          <w:tcPr>
            <w:tcW w:w="4390" w:type="dxa"/>
          </w:tcPr>
          <w:p w:rsidR="00534BB4" w:rsidRPr="00EA6773" w:rsidRDefault="00534BB4" w:rsidP="00152865">
            <w:pPr>
              <w:autoSpaceDE w:val="0"/>
              <w:autoSpaceDN w:val="0"/>
              <w:adjustRightInd w:val="0"/>
              <w:rPr>
                <w:b/>
                <w:sz w:val="20"/>
                <w:szCs w:val="20"/>
              </w:rPr>
            </w:pPr>
            <w:r w:rsidRPr="00EA6773">
              <w:rPr>
                <w:b/>
                <w:sz w:val="20"/>
                <w:szCs w:val="20"/>
              </w:rPr>
              <w:t>Change from baseline to Week 16, mean (sd)</w:t>
            </w:r>
          </w:p>
        </w:tc>
        <w:tc>
          <w:tcPr>
            <w:tcW w:w="1559" w:type="dxa"/>
            <w:vAlign w:val="center"/>
          </w:tcPr>
          <w:p w:rsidR="00534BB4" w:rsidRPr="00816421" w:rsidRDefault="00534BB4" w:rsidP="00152865">
            <w:pPr>
              <w:autoSpaceDE w:val="0"/>
              <w:autoSpaceDN w:val="0"/>
              <w:adjustRightInd w:val="0"/>
              <w:jc w:val="center"/>
              <w:rPr>
                <w:sz w:val="20"/>
                <w:szCs w:val="20"/>
              </w:rPr>
            </w:pPr>
            <w:r>
              <w:rPr>
                <w:sz w:val="20"/>
                <w:szCs w:val="20"/>
              </w:rPr>
              <w:t>-9.5 (9.6)</w:t>
            </w:r>
          </w:p>
        </w:tc>
        <w:tc>
          <w:tcPr>
            <w:tcW w:w="1530" w:type="dxa"/>
            <w:vAlign w:val="center"/>
          </w:tcPr>
          <w:p w:rsidR="00534BB4" w:rsidRPr="00816421" w:rsidRDefault="00534BB4" w:rsidP="00152865">
            <w:pPr>
              <w:autoSpaceDE w:val="0"/>
              <w:autoSpaceDN w:val="0"/>
              <w:adjustRightInd w:val="0"/>
              <w:jc w:val="center"/>
              <w:rPr>
                <w:sz w:val="20"/>
                <w:szCs w:val="20"/>
              </w:rPr>
            </w:pPr>
            <w:r>
              <w:rPr>
                <w:sz w:val="20"/>
                <w:szCs w:val="20"/>
              </w:rPr>
              <w:t>-4.3 (11.6)</w:t>
            </w:r>
          </w:p>
        </w:tc>
        <w:tc>
          <w:tcPr>
            <w:tcW w:w="993" w:type="dxa"/>
            <w:vAlign w:val="center"/>
          </w:tcPr>
          <w:p w:rsidR="00534BB4" w:rsidRPr="00816421" w:rsidRDefault="00534BB4" w:rsidP="00152865">
            <w:pPr>
              <w:autoSpaceDE w:val="0"/>
              <w:autoSpaceDN w:val="0"/>
              <w:adjustRightInd w:val="0"/>
              <w:jc w:val="center"/>
              <w:rPr>
                <w:sz w:val="20"/>
                <w:szCs w:val="20"/>
              </w:rPr>
            </w:pPr>
            <w:r>
              <w:rPr>
                <w:sz w:val="20"/>
                <w:szCs w:val="20"/>
              </w:rPr>
              <w:t>&lt; 0.001</w:t>
            </w:r>
            <w:r w:rsidRPr="002C0F4E">
              <w:rPr>
                <w:sz w:val="20"/>
                <w:szCs w:val="20"/>
                <w:vertAlign w:val="superscript"/>
              </w:rPr>
              <w:t>1</w:t>
            </w:r>
          </w:p>
        </w:tc>
      </w:tr>
    </w:tbl>
    <w:p w:rsidR="00534BB4" w:rsidRPr="002C0F4E" w:rsidRDefault="00534BB4" w:rsidP="004626E1">
      <w:pPr>
        <w:pStyle w:val="Notes"/>
      </w:pPr>
      <w:r w:rsidRPr="002C0F4E">
        <w:rPr>
          <w:vertAlign w:val="superscript"/>
        </w:rPr>
        <w:t>1</w:t>
      </w:r>
      <w:r w:rsidRPr="002C0F4E">
        <w:t xml:space="preserve"> Van Elteren test stratified by centre</w:t>
      </w:r>
    </w:p>
    <w:p w:rsidR="00534BB4" w:rsidRPr="000A1EB8" w:rsidRDefault="00534BB4" w:rsidP="00534BB4">
      <w:pPr>
        <w:autoSpaceDE w:val="0"/>
        <w:autoSpaceDN w:val="0"/>
        <w:adjustRightInd w:val="0"/>
      </w:pPr>
      <w:r w:rsidRPr="000A1EB8">
        <w:t xml:space="preserve">In the PP population, the mean change from baseline in total inflammatory lesions showed a statistically significant reduction in the Oracea treatment group compared to the placebo </w:t>
      </w:r>
      <w:r>
        <w:t>group at Week 16 (p &lt; 0.001</w:t>
      </w:r>
      <w:r w:rsidRPr="000A1EB8">
        <w:t>).</w:t>
      </w:r>
    </w:p>
    <w:p w:rsidR="00534BB4" w:rsidRDefault="00534BB4" w:rsidP="00EA6773">
      <w:pPr>
        <w:pStyle w:val="Heading6"/>
      </w:pPr>
      <w:r w:rsidRPr="004B259C">
        <w:t>Results for other efficacy outcomes</w:t>
      </w:r>
    </w:p>
    <w:p w:rsidR="00534BB4" w:rsidRPr="00BD624C" w:rsidRDefault="00EA6773" w:rsidP="001E3897">
      <w:pPr>
        <w:pStyle w:val="TableTitle"/>
      </w:pPr>
      <w:proofErr w:type="gramStart"/>
      <w:r>
        <w:t>Table 11.</w:t>
      </w:r>
      <w:proofErr w:type="gramEnd"/>
      <w:r>
        <w:t xml:space="preserve"> </w:t>
      </w:r>
      <w:r w:rsidR="00534BB4">
        <w:t>Study 301</w:t>
      </w:r>
    </w:p>
    <w:tbl>
      <w:tblPr>
        <w:tblStyle w:val="TableGrid"/>
        <w:tblW w:w="0" w:type="auto"/>
        <w:jc w:val="center"/>
        <w:tblLook w:val="04A0"/>
      </w:tblPr>
      <w:tblGrid>
        <w:gridCol w:w="3936"/>
        <w:gridCol w:w="1701"/>
        <w:gridCol w:w="1701"/>
        <w:gridCol w:w="1021"/>
      </w:tblGrid>
      <w:tr w:rsidR="00534BB4" w:rsidRPr="00816421" w:rsidTr="001E3897">
        <w:trPr>
          <w:tblHeader/>
          <w:jc w:val="center"/>
        </w:trPr>
        <w:tc>
          <w:tcPr>
            <w:tcW w:w="3936" w:type="dxa"/>
            <w:tcBorders>
              <w:top w:val="single" w:sz="4" w:space="0" w:color="auto"/>
              <w:left w:val="single" w:sz="4" w:space="0" w:color="auto"/>
            </w:tcBorders>
            <w:shd w:val="clear" w:color="auto" w:fill="0070C0"/>
            <w:vAlign w:val="center"/>
          </w:tcPr>
          <w:p w:rsidR="00534BB4" w:rsidRPr="00EA6773" w:rsidRDefault="00534BB4" w:rsidP="00152865">
            <w:pPr>
              <w:autoSpaceDE w:val="0"/>
              <w:autoSpaceDN w:val="0"/>
              <w:adjustRightInd w:val="0"/>
              <w:rPr>
                <w:b/>
                <w:color w:val="FFFFFF" w:themeColor="background1"/>
                <w:sz w:val="20"/>
                <w:szCs w:val="20"/>
              </w:rPr>
            </w:pPr>
            <w:r w:rsidRPr="00EA6773">
              <w:rPr>
                <w:b/>
                <w:color w:val="FFFFFF" w:themeColor="background1"/>
                <w:sz w:val="20"/>
                <w:szCs w:val="20"/>
              </w:rPr>
              <w:t>Clinician's Erythema Assessment − ITT population</w:t>
            </w:r>
            <w:r w:rsidRPr="00EA6773">
              <w:rPr>
                <w:b/>
                <w:color w:val="FFFFFF" w:themeColor="background1"/>
                <w:sz w:val="20"/>
                <w:szCs w:val="20"/>
                <w:vertAlign w:val="superscript"/>
              </w:rPr>
              <w:t>2</w:t>
            </w:r>
          </w:p>
        </w:tc>
        <w:tc>
          <w:tcPr>
            <w:tcW w:w="1701" w:type="dxa"/>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Oracea</w:t>
            </w:r>
          </w:p>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(N=127)</w:t>
            </w:r>
          </w:p>
        </w:tc>
        <w:tc>
          <w:tcPr>
            <w:tcW w:w="1701" w:type="dxa"/>
            <w:tcBorders>
              <w:bottom w:val="single" w:sz="4" w:space="0" w:color="auto"/>
            </w:tcBorders>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Placebo</w:t>
            </w:r>
          </w:p>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(N=124)</w:t>
            </w:r>
          </w:p>
        </w:tc>
        <w:tc>
          <w:tcPr>
            <w:tcW w:w="1021" w:type="dxa"/>
            <w:tcBorders>
              <w:bottom w:val="single" w:sz="4" w:space="0" w:color="auto"/>
            </w:tcBorders>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p-value</w:t>
            </w:r>
          </w:p>
        </w:tc>
      </w:tr>
      <w:tr w:rsidR="00534BB4" w:rsidTr="00152865">
        <w:trPr>
          <w:jc w:val="center"/>
        </w:trPr>
        <w:tc>
          <w:tcPr>
            <w:tcW w:w="3936" w:type="dxa"/>
          </w:tcPr>
          <w:p w:rsidR="00534BB4" w:rsidRPr="00EA6773" w:rsidRDefault="00EA6773" w:rsidP="00152865">
            <w:pPr>
              <w:autoSpaceDE w:val="0"/>
              <w:autoSpaceDN w:val="0"/>
              <w:adjustRightInd w:val="0"/>
              <w:ind w:left="142"/>
              <w:rPr>
                <w:b/>
                <w:sz w:val="20"/>
                <w:szCs w:val="20"/>
              </w:rPr>
            </w:pPr>
            <w:r w:rsidRPr="00EA6773">
              <w:rPr>
                <w:b/>
                <w:sz w:val="20"/>
                <w:szCs w:val="20"/>
              </w:rPr>
              <w:t xml:space="preserve">Baseline </w:t>
            </w:r>
            <w:r>
              <w:rPr>
                <w:b/>
                <w:sz w:val="20"/>
                <w:szCs w:val="20"/>
              </w:rPr>
              <w:t xml:space="preserve">                                        </w:t>
            </w:r>
            <w:r w:rsidR="00534BB4" w:rsidRPr="00EA6773">
              <w:rPr>
                <w:b/>
                <w:sz w:val="20"/>
                <w:szCs w:val="20"/>
              </w:rPr>
              <w:t>Mean (sd)</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9.7 (3.0)</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9.5 (2.7)</w:t>
            </w:r>
          </w:p>
        </w:tc>
        <w:tc>
          <w:tcPr>
            <w:tcW w:w="1021" w:type="dxa"/>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3936" w:type="dxa"/>
          </w:tcPr>
          <w:p w:rsidR="00534BB4" w:rsidRPr="00EA6773" w:rsidRDefault="00534BB4" w:rsidP="00EA6773">
            <w:pPr>
              <w:autoSpaceDE w:val="0"/>
              <w:autoSpaceDN w:val="0"/>
              <w:adjustRightInd w:val="0"/>
              <w:ind w:left="142"/>
              <w:jc w:val="right"/>
              <w:rPr>
                <w:b/>
                <w:sz w:val="20"/>
                <w:szCs w:val="20"/>
              </w:rPr>
            </w:pPr>
            <w:r w:rsidRPr="00EA6773">
              <w:rPr>
                <w:b/>
                <w:sz w:val="20"/>
                <w:szCs w:val="20"/>
              </w:rPr>
              <w:t>Median (Range)</w:t>
            </w:r>
          </w:p>
        </w:tc>
        <w:tc>
          <w:tcPr>
            <w:tcW w:w="1701"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9.0 (5-19)</w:t>
            </w:r>
          </w:p>
        </w:tc>
        <w:tc>
          <w:tcPr>
            <w:tcW w:w="1701"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9.0 (5-19)</w:t>
            </w:r>
          </w:p>
        </w:tc>
        <w:tc>
          <w:tcPr>
            <w:tcW w:w="1021"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3936" w:type="dxa"/>
          </w:tcPr>
          <w:p w:rsidR="00534BB4" w:rsidRPr="00EA6773" w:rsidRDefault="00EA6773" w:rsidP="00152865">
            <w:pPr>
              <w:autoSpaceDE w:val="0"/>
              <w:autoSpaceDN w:val="0"/>
              <w:adjustRightInd w:val="0"/>
              <w:ind w:left="142"/>
              <w:rPr>
                <w:b/>
                <w:sz w:val="20"/>
                <w:szCs w:val="20"/>
              </w:rPr>
            </w:pPr>
            <w:r w:rsidRPr="00EA6773">
              <w:rPr>
                <w:b/>
                <w:sz w:val="20"/>
                <w:szCs w:val="20"/>
              </w:rPr>
              <w:t>Week 16</w:t>
            </w:r>
            <w:r>
              <w:rPr>
                <w:b/>
                <w:sz w:val="20"/>
                <w:szCs w:val="20"/>
              </w:rPr>
              <w:t xml:space="preserve">                                       </w:t>
            </w:r>
            <w:r w:rsidR="00534BB4" w:rsidRPr="00EA6773">
              <w:rPr>
                <w:b/>
                <w:sz w:val="20"/>
                <w:szCs w:val="20"/>
              </w:rPr>
              <w:t>Mean (sd)</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7.0 (3.7)</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7.7 (3.5)</w:t>
            </w:r>
          </w:p>
        </w:tc>
        <w:tc>
          <w:tcPr>
            <w:tcW w:w="1021" w:type="dxa"/>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3936" w:type="dxa"/>
          </w:tcPr>
          <w:p w:rsidR="00534BB4" w:rsidRPr="00EA6773" w:rsidRDefault="00534BB4" w:rsidP="00EA6773">
            <w:pPr>
              <w:autoSpaceDE w:val="0"/>
              <w:autoSpaceDN w:val="0"/>
              <w:adjustRightInd w:val="0"/>
              <w:ind w:left="142"/>
              <w:jc w:val="right"/>
              <w:rPr>
                <w:b/>
                <w:sz w:val="20"/>
                <w:szCs w:val="20"/>
              </w:rPr>
            </w:pPr>
            <w:r w:rsidRPr="00EA6773">
              <w:rPr>
                <w:b/>
                <w:sz w:val="20"/>
                <w:szCs w:val="20"/>
              </w:rPr>
              <w:t>Median (Range)</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7.0 (0-18)</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8.0 (1-19)</w:t>
            </w:r>
          </w:p>
        </w:tc>
        <w:tc>
          <w:tcPr>
            <w:tcW w:w="1021" w:type="dxa"/>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3936" w:type="dxa"/>
          </w:tcPr>
          <w:p w:rsidR="00534BB4" w:rsidRPr="00EA6773" w:rsidRDefault="00534BB4" w:rsidP="00152865">
            <w:pPr>
              <w:autoSpaceDE w:val="0"/>
              <w:autoSpaceDN w:val="0"/>
              <w:adjustRightInd w:val="0"/>
              <w:rPr>
                <w:b/>
                <w:sz w:val="20"/>
                <w:szCs w:val="20"/>
              </w:rPr>
            </w:pPr>
            <w:r w:rsidRPr="00EA6773">
              <w:rPr>
                <w:b/>
                <w:sz w:val="20"/>
                <w:szCs w:val="20"/>
              </w:rPr>
              <w:t>Change from baseline to Week 16, mean (sd)</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-2.7 (3.2)</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-1.8 (2.9)</w:t>
            </w:r>
          </w:p>
        </w:tc>
        <w:tc>
          <w:tcPr>
            <w:tcW w:w="1021" w:type="dxa"/>
            <w:vAlign w:val="center"/>
          </w:tcPr>
          <w:p w:rsidR="00534BB4" w:rsidRPr="00816421" w:rsidRDefault="00534BB4" w:rsidP="00152865">
            <w:pPr>
              <w:autoSpaceDE w:val="0"/>
              <w:autoSpaceDN w:val="0"/>
              <w:adjustRightInd w:val="0"/>
              <w:jc w:val="center"/>
              <w:rPr>
                <w:sz w:val="20"/>
                <w:szCs w:val="20"/>
              </w:rPr>
            </w:pPr>
            <w:r>
              <w:rPr>
                <w:sz w:val="20"/>
                <w:szCs w:val="20"/>
              </w:rPr>
              <w:t>0.017</w:t>
            </w:r>
            <w:r w:rsidRPr="002C0F4E">
              <w:rPr>
                <w:sz w:val="20"/>
                <w:szCs w:val="20"/>
                <w:vertAlign w:val="superscript"/>
              </w:rPr>
              <w:t>1</w:t>
            </w:r>
          </w:p>
        </w:tc>
      </w:tr>
    </w:tbl>
    <w:p w:rsidR="00534BB4" w:rsidRDefault="00534BB4" w:rsidP="004626E1">
      <w:pPr>
        <w:pStyle w:val="Notes"/>
      </w:pPr>
      <w:r w:rsidRPr="002C0F4E">
        <w:rPr>
          <w:vertAlign w:val="superscript"/>
        </w:rPr>
        <w:t>1</w:t>
      </w:r>
      <w:r w:rsidRPr="002C0F4E">
        <w:t xml:space="preserve"> </w:t>
      </w:r>
      <w:r>
        <w:t>ANOVA model, with treatment and pooled centre as main effects</w:t>
      </w:r>
    </w:p>
    <w:p w:rsidR="00534BB4" w:rsidRPr="002C0F4E" w:rsidRDefault="00534BB4" w:rsidP="004626E1">
      <w:pPr>
        <w:pStyle w:val="Notes"/>
      </w:pPr>
      <w:r w:rsidRPr="00D93DAA">
        <w:rPr>
          <w:vertAlign w:val="superscript"/>
        </w:rPr>
        <w:t>2</w:t>
      </w:r>
      <w:r>
        <w:t xml:space="preserve"> For the PP population, outcome was also significant (p=0.005)</w:t>
      </w:r>
    </w:p>
    <w:p w:rsidR="00534BB4" w:rsidRDefault="00EA6773" w:rsidP="005D4741">
      <w:pPr>
        <w:pStyle w:val="TableTitle"/>
      </w:pPr>
      <w:proofErr w:type="gramStart"/>
      <w:r>
        <w:lastRenderedPageBreak/>
        <w:t>Table 12.</w:t>
      </w:r>
      <w:proofErr w:type="gramEnd"/>
      <w:r>
        <w:t xml:space="preserve"> </w:t>
      </w:r>
      <w:r w:rsidRPr="00EA6773">
        <w:t>Investigator's Global Assessment − ITT population</w:t>
      </w:r>
    </w:p>
    <w:tbl>
      <w:tblPr>
        <w:tblStyle w:val="TableGrid"/>
        <w:tblW w:w="0" w:type="auto"/>
        <w:jc w:val="center"/>
        <w:tblLook w:val="04A0"/>
      </w:tblPr>
      <w:tblGrid>
        <w:gridCol w:w="2251"/>
        <w:gridCol w:w="684"/>
        <w:gridCol w:w="2126"/>
        <w:gridCol w:w="1984"/>
        <w:gridCol w:w="895"/>
      </w:tblGrid>
      <w:tr w:rsidR="00534BB4" w:rsidRPr="00816421" w:rsidTr="005D4741">
        <w:trPr>
          <w:tblHeader/>
          <w:jc w:val="center"/>
        </w:trPr>
        <w:tc>
          <w:tcPr>
            <w:tcW w:w="2935" w:type="dxa"/>
            <w:gridSpan w:val="2"/>
            <w:tcBorders>
              <w:top w:val="single" w:sz="4" w:space="0" w:color="auto"/>
              <w:left w:val="single" w:sz="4" w:space="0" w:color="auto"/>
            </w:tcBorders>
            <w:shd w:val="clear" w:color="auto" w:fill="0070C0"/>
            <w:vAlign w:val="center"/>
          </w:tcPr>
          <w:p w:rsidR="00534BB4" w:rsidRPr="00EA6773" w:rsidRDefault="00534BB4" w:rsidP="00EA6773">
            <w:pPr>
              <w:keepNext/>
              <w:autoSpaceDE w:val="0"/>
              <w:autoSpaceDN w:val="0"/>
              <w:adjustRightInd w:val="0"/>
              <w:rPr>
                <w:b/>
                <w:color w:val="FFFFFF" w:themeColor="background1"/>
                <w:sz w:val="20"/>
                <w:szCs w:val="20"/>
              </w:rPr>
            </w:pPr>
            <w:r w:rsidRPr="00EA6773">
              <w:rPr>
                <w:b/>
                <w:color w:val="FFFFFF" w:themeColor="background1"/>
                <w:sz w:val="20"/>
                <w:szCs w:val="20"/>
              </w:rPr>
              <w:t>Investigator's Global Assessment − ITT population</w:t>
            </w:r>
            <w:r w:rsidRPr="00EA6773">
              <w:rPr>
                <w:b/>
                <w:color w:val="FFFFFF" w:themeColor="background1"/>
                <w:sz w:val="20"/>
                <w:szCs w:val="20"/>
                <w:vertAlign w:val="superscript"/>
              </w:rPr>
              <w:t>2</w:t>
            </w:r>
          </w:p>
        </w:tc>
        <w:tc>
          <w:tcPr>
            <w:tcW w:w="2126" w:type="dxa"/>
            <w:shd w:val="clear" w:color="auto" w:fill="0070C0"/>
            <w:vAlign w:val="center"/>
          </w:tcPr>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Oracea</w:t>
            </w:r>
          </w:p>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(N=127)</w:t>
            </w:r>
          </w:p>
        </w:tc>
        <w:tc>
          <w:tcPr>
            <w:tcW w:w="1984" w:type="dxa"/>
            <w:tcBorders>
              <w:bottom w:val="single" w:sz="4" w:space="0" w:color="auto"/>
            </w:tcBorders>
            <w:shd w:val="clear" w:color="auto" w:fill="0070C0"/>
            <w:vAlign w:val="center"/>
          </w:tcPr>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Placebo</w:t>
            </w:r>
          </w:p>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(N=124)</w:t>
            </w:r>
          </w:p>
        </w:tc>
        <w:tc>
          <w:tcPr>
            <w:tcW w:w="895" w:type="dxa"/>
            <w:tcBorders>
              <w:bottom w:val="single" w:sz="4" w:space="0" w:color="auto"/>
            </w:tcBorders>
            <w:shd w:val="clear" w:color="auto" w:fill="0070C0"/>
            <w:vAlign w:val="center"/>
          </w:tcPr>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p-value</w:t>
            </w:r>
          </w:p>
        </w:tc>
      </w:tr>
      <w:tr w:rsidR="00534BB4" w:rsidTr="002A418E">
        <w:trPr>
          <w:jc w:val="center"/>
        </w:trPr>
        <w:tc>
          <w:tcPr>
            <w:tcW w:w="2251" w:type="dxa"/>
            <w:tcBorders>
              <w:right w:val="nil"/>
            </w:tcBorders>
          </w:tcPr>
          <w:p w:rsidR="00534BB4" w:rsidRPr="00EA6773" w:rsidRDefault="002A418E" w:rsidP="002A418E">
            <w:pPr>
              <w:keepNext/>
              <w:autoSpaceDE w:val="0"/>
              <w:autoSpaceDN w:val="0"/>
              <w:adjustRightInd w:val="0"/>
              <w:rPr>
                <w:b/>
                <w:sz w:val="20"/>
                <w:szCs w:val="20"/>
              </w:rPr>
            </w:pPr>
            <w:r w:rsidRPr="00EA6773">
              <w:rPr>
                <w:b/>
                <w:sz w:val="20"/>
                <w:szCs w:val="20"/>
              </w:rPr>
              <w:t>Change from Baseline at Week 16</w:t>
            </w:r>
            <w:r>
              <w:rPr>
                <w:b/>
                <w:sz w:val="20"/>
                <w:szCs w:val="20"/>
              </w:rPr>
              <w:t xml:space="preserve">                  </w:t>
            </w:r>
            <w:r w:rsidR="00534BB4" w:rsidRPr="00EA6773">
              <w:rPr>
                <w:b/>
                <w:sz w:val="20"/>
                <w:szCs w:val="20"/>
              </w:rPr>
              <w:t>-4</w:t>
            </w:r>
          </w:p>
        </w:tc>
        <w:tc>
          <w:tcPr>
            <w:tcW w:w="684" w:type="dxa"/>
            <w:tcBorders>
              <w:left w:val="nil"/>
            </w:tcBorders>
          </w:tcPr>
          <w:p w:rsidR="00534BB4" w:rsidRPr="00EA6773" w:rsidRDefault="00534BB4" w:rsidP="002A418E">
            <w:pPr>
              <w:keepNext/>
              <w:autoSpaceDE w:val="0"/>
              <w:autoSpaceDN w:val="0"/>
              <w:adjustRightInd w:val="0"/>
              <w:ind w:left="142"/>
              <w:jc w:val="right"/>
              <w:rPr>
                <w:b/>
                <w:sz w:val="20"/>
                <w:szCs w:val="20"/>
              </w:rPr>
            </w:pPr>
          </w:p>
        </w:tc>
        <w:tc>
          <w:tcPr>
            <w:tcW w:w="2126" w:type="dxa"/>
            <w:vAlign w:val="center"/>
          </w:tcPr>
          <w:p w:rsidR="00534BB4" w:rsidRPr="00816421" w:rsidRDefault="00534BB4" w:rsidP="00EA6773">
            <w:pPr>
              <w:keepNext/>
              <w:autoSpaceDE w:val="0"/>
              <w:autoSpaceDN w:val="0"/>
              <w:adjustRightInd w:val="0"/>
              <w:jc w:val="center"/>
              <w:rPr>
                <w:sz w:val="20"/>
                <w:szCs w:val="20"/>
              </w:rPr>
            </w:pPr>
            <w:r>
              <w:rPr>
                <w:sz w:val="20"/>
                <w:szCs w:val="20"/>
              </w:rPr>
              <w:t>4 (3.1%)</w:t>
            </w:r>
          </w:p>
        </w:tc>
        <w:tc>
          <w:tcPr>
            <w:tcW w:w="1984" w:type="dxa"/>
            <w:vAlign w:val="center"/>
          </w:tcPr>
          <w:p w:rsidR="00534BB4" w:rsidRPr="00816421" w:rsidRDefault="00534BB4" w:rsidP="00EA6773">
            <w:pPr>
              <w:keepNext/>
              <w:autoSpaceDE w:val="0"/>
              <w:autoSpaceDN w:val="0"/>
              <w:adjustRightInd w:val="0"/>
              <w:jc w:val="center"/>
              <w:rPr>
                <w:sz w:val="20"/>
                <w:szCs w:val="20"/>
              </w:rPr>
            </w:pPr>
            <w:r>
              <w:rPr>
                <w:sz w:val="20"/>
                <w:szCs w:val="20"/>
              </w:rPr>
              <w:t>2 (1.6%)</w:t>
            </w:r>
          </w:p>
        </w:tc>
        <w:tc>
          <w:tcPr>
            <w:tcW w:w="895" w:type="dxa"/>
            <w:tcBorders>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2A418E">
        <w:trPr>
          <w:jc w:val="center"/>
        </w:trPr>
        <w:tc>
          <w:tcPr>
            <w:tcW w:w="2251" w:type="dxa"/>
            <w:tcBorders>
              <w:right w:val="nil"/>
            </w:tcBorders>
          </w:tcPr>
          <w:p w:rsidR="00534BB4" w:rsidRPr="00EA6773" w:rsidRDefault="00534BB4" w:rsidP="002A418E">
            <w:pPr>
              <w:keepNext/>
              <w:autoSpaceDE w:val="0"/>
              <w:autoSpaceDN w:val="0"/>
              <w:adjustRightInd w:val="0"/>
              <w:ind w:left="142"/>
              <w:jc w:val="right"/>
              <w:rPr>
                <w:b/>
                <w:sz w:val="20"/>
                <w:szCs w:val="20"/>
              </w:rPr>
            </w:pPr>
            <w:r w:rsidRPr="00EA6773">
              <w:rPr>
                <w:b/>
                <w:sz w:val="20"/>
                <w:szCs w:val="20"/>
              </w:rPr>
              <w:t>-3</w:t>
            </w:r>
          </w:p>
        </w:tc>
        <w:tc>
          <w:tcPr>
            <w:tcW w:w="684" w:type="dxa"/>
            <w:tcBorders>
              <w:left w:val="nil"/>
            </w:tcBorders>
          </w:tcPr>
          <w:p w:rsidR="00534BB4" w:rsidRPr="00EA6773" w:rsidRDefault="00534BB4" w:rsidP="002A418E">
            <w:pPr>
              <w:keepNext/>
              <w:autoSpaceDE w:val="0"/>
              <w:autoSpaceDN w:val="0"/>
              <w:adjustRightInd w:val="0"/>
              <w:ind w:left="142"/>
              <w:jc w:val="right"/>
              <w:rPr>
                <w:b/>
                <w:sz w:val="20"/>
                <w:szCs w:val="20"/>
              </w:rPr>
            </w:pPr>
          </w:p>
        </w:tc>
        <w:tc>
          <w:tcPr>
            <w:tcW w:w="2126" w:type="dxa"/>
            <w:tcBorders>
              <w:bottom w:val="single" w:sz="4" w:space="0" w:color="auto"/>
            </w:tcBorders>
            <w:vAlign w:val="center"/>
          </w:tcPr>
          <w:p w:rsidR="00534BB4" w:rsidRPr="00816421" w:rsidRDefault="00534BB4" w:rsidP="00EA6773">
            <w:pPr>
              <w:keepNext/>
              <w:autoSpaceDE w:val="0"/>
              <w:autoSpaceDN w:val="0"/>
              <w:adjustRightInd w:val="0"/>
              <w:jc w:val="center"/>
              <w:rPr>
                <w:sz w:val="20"/>
                <w:szCs w:val="20"/>
              </w:rPr>
            </w:pPr>
            <w:r>
              <w:rPr>
                <w:sz w:val="20"/>
                <w:szCs w:val="20"/>
              </w:rPr>
              <w:t>14 (11.0%)</w:t>
            </w:r>
          </w:p>
        </w:tc>
        <w:tc>
          <w:tcPr>
            <w:tcW w:w="1984" w:type="dxa"/>
            <w:tcBorders>
              <w:top w:val="nil"/>
              <w:bottom w:val="single" w:sz="4" w:space="0" w:color="auto"/>
            </w:tcBorders>
            <w:vAlign w:val="center"/>
          </w:tcPr>
          <w:p w:rsidR="00534BB4" w:rsidRPr="00816421" w:rsidRDefault="00534BB4" w:rsidP="00EA6773">
            <w:pPr>
              <w:keepNext/>
              <w:autoSpaceDE w:val="0"/>
              <w:autoSpaceDN w:val="0"/>
              <w:adjustRightInd w:val="0"/>
              <w:jc w:val="center"/>
              <w:rPr>
                <w:sz w:val="20"/>
                <w:szCs w:val="20"/>
              </w:rPr>
            </w:pPr>
            <w:r>
              <w:rPr>
                <w:sz w:val="20"/>
                <w:szCs w:val="20"/>
              </w:rPr>
              <w:t>9 (7.3%)</w:t>
            </w:r>
          </w:p>
        </w:tc>
        <w:tc>
          <w:tcPr>
            <w:tcW w:w="895"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2A418E">
        <w:trPr>
          <w:jc w:val="center"/>
        </w:trPr>
        <w:tc>
          <w:tcPr>
            <w:tcW w:w="2251" w:type="dxa"/>
            <w:tcBorders>
              <w:right w:val="nil"/>
            </w:tcBorders>
          </w:tcPr>
          <w:p w:rsidR="00534BB4" w:rsidRPr="00EA6773" w:rsidRDefault="00534BB4" w:rsidP="002A418E">
            <w:pPr>
              <w:keepNext/>
              <w:autoSpaceDE w:val="0"/>
              <w:autoSpaceDN w:val="0"/>
              <w:adjustRightInd w:val="0"/>
              <w:ind w:left="142"/>
              <w:jc w:val="right"/>
              <w:rPr>
                <w:b/>
                <w:sz w:val="20"/>
                <w:szCs w:val="20"/>
              </w:rPr>
            </w:pPr>
            <w:r w:rsidRPr="00EA6773">
              <w:rPr>
                <w:b/>
                <w:sz w:val="20"/>
                <w:szCs w:val="20"/>
              </w:rPr>
              <w:t>-2</w:t>
            </w:r>
          </w:p>
        </w:tc>
        <w:tc>
          <w:tcPr>
            <w:tcW w:w="684" w:type="dxa"/>
            <w:tcBorders>
              <w:left w:val="nil"/>
              <w:right w:val="single" w:sz="4" w:space="0" w:color="auto"/>
            </w:tcBorders>
          </w:tcPr>
          <w:p w:rsidR="00534BB4" w:rsidRPr="00EA6773" w:rsidRDefault="00534BB4" w:rsidP="002A418E">
            <w:pPr>
              <w:keepNext/>
              <w:autoSpaceDE w:val="0"/>
              <w:autoSpaceDN w:val="0"/>
              <w:adjustRightInd w:val="0"/>
              <w:ind w:left="142"/>
              <w:jc w:val="right"/>
              <w:rPr>
                <w:b/>
                <w:sz w:val="20"/>
                <w:szCs w:val="20"/>
              </w:rPr>
            </w:pPr>
          </w:p>
        </w:tc>
        <w:tc>
          <w:tcPr>
            <w:tcW w:w="2126" w:type="dxa"/>
            <w:tcBorders>
              <w:left w:val="single" w:sz="4" w:space="0" w:color="auto"/>
              <w:right w:val="single" w:sz="4" w:space="0" w:color="auto"/>
            </w:tcBorders>
            <w:vAlign w:val="center"/>
          </w:tcPr>
          <w:p w:rsidR="00534BB4" w:rsidRPr="00816421" w:rsidRDefault="00534BB4" w:rsidP="00EA6773">
            <w:pPr>
              <w:keepNext/>
              <w:autoSpaceDE w:val="0"/>
              <w:autoSpaceDN w:val="0"/>
              <w:adjustRightInd w:val="0"/>
              <w:jc w:val="center"/>
              <w:rPr>
                <w:sz w:val="20"/>
                <w:szCs w:val="20"/>
              </w:rPr>
            </w:pPr>
            <w:r>
              <w:rPr>
                <w:sz w:val="20"/>
                <w:szCs w:val="20"/>
              </w:rPr>
              <w:t>40 (31.5%)</w:t>
            </w:r>
          </w:p>
        </w:tc>
        <w:tc>
          <w:tcPr>
            <w:tcW w:w="1984" w:type="dxa"/>
            <w:tcBorders>
              <w:left w:val="single" w:sz="4" w:space="0" w:color="auto"/>
              <w:right w:val="single" w:sz="4" w:space="0" w:color="auto"/>
            </w:tcBorders>
            <w:vAlign w:val="center"/>
          </w:tcPr>
          <w:p w:rsidR="00534BB4" w:rsidRPr="00816421" w:rsidRDefault="00534BB4" w:rsidP="00EA6773">
            <w:pPr>
              <w:keepNext/>
              <w:autoSpaceDE w:val="0"/>
              <w:autoSpaceDN w:val="0"/>
              <w:adjustRightInd w:val="0"/>
              <w:jc w:val="center"/>
              <w:rPr>
                <w:sz w:val="20"/>
                <w:szCs w:val="20"/>
              </w:rPr>
            </w:pPr>
            <w:r>
              <w:rPr>
                <w:sz w:val="20"/>
                <w:szCs w:val="20"/>
              </w:rPr>
              <w:t>21 (16.9%)</w:t>
            </w:r>
          </w:p>
        </w:tc>
        <w:tc>
          <w:tcPr>
            <w:tcW w:w="895" w:type="dxa"/>
            <w:tcBorders>
              <w:top w:val="nil"/>
              <w:left w:val="single" w:sz="4" w:space="0" w:color="auto"/>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2A418E">
        <w:trPr>
          <w:jc w:val="center"/>
        </w:trPr>
        <w:tc>
          <w:tcPr>
            <w:tcW w:w="2251" w:type="dxa"/>
            <w:tcBorders>
              <w:right w:val="nil"/>
            </w:tcBorders>
          </w:tcPr>
          <w:p w:rsidR="00534BB4" w:rsidRPr="00EA6773" w:rsidRDefault="00534BB4" w:rsidP="002A418E">
            <w:pPr>
              <w:keepNext/>
              <w:autoSpaceDE w:val="0"/>
              <w:autoSpaceDN w:val="0"/>
              <w:adjustRightInd w:val="0"/>
              <w:ind w:left="142"/>
              <w:jc w:val="right"/>
              <w:rPr>
                <w:b/>
                <w:sz w:val="20"/>
                <w:szCs w:val="20"/>
              </w:rPr>
            </w:pPr>
            <w:r w:rsidRPr="00EA6773">
              <w:rPr>
                <w:b/>
                <w:sz w:val="20"/>
                <w:szCs w:val="20"/>
              </w:rPr>
              <w:t>-1</w:t>
            </w:r>
          </w:p>
        </w:tc>
        <w:tc>
          <w:tcPr>
            <w:tcW w:w="684" w:type="dxa"/>
            <w:tcBorders>
              <w:left w:val="nil"/>
            </w:tcBorders>
          </w:tcPr>
          <w:p w:rsidR="00534BB4" w:rsidRPr="00EA6773" w:rsidRDefault="00534BB4" w:rsidP="002A418E">
            <w:pPr>
              <w:keepNext/>
              <w:autoSpaceDE w:val="0"/>
              <w:autoSpaceDN w:val="0"/>
              <w:adjustRightInd w:val="0"/>
              <w:ind w:left="142"/>
              <w:jc w:val="right"/>
              <w:rPr>
                <w:b/>
                <w:sz w:val="20"/>
                <w:szCs w:val="20"/>
              </w:rPr>
            </w:pPr>
          </w:p>
        </w:tc>
        <w:tc>
          <w:tcPr>
            <w:tcW w:w="2126" w:type="dxa"/>
            <w:vAlign w:val="center"/>
          </w:tcPr>
          <w:p w:rsidR="00534BB4" w:rsidRPr="00816421" w:rsidRDefault="00534BB4" w:rsidP="00EA6773">
            <w:pPr>
              <w:keepNext/>
              <w:autoSpaceDE w:val="0"/>
              <w:autoSpaceDN w:val="0"/>
              <w:adjustRightInd w:val="0"/>
              <w:jc w:val="center"/>
              <w:rPr>
                <w:sz w:val="20"/>
                <w:szCs w:val="20"/>
              </w:rPr>
            </w:pPr>
            <w:r>
              <w:rPr>
                <w:sz w:val="20"/>
                <w:szCs w:val="20"/>
              </w:rPr>
              <w:t>40 (31.5%)</w:t>
            </w:r>
          </w:p>
        </w:tc>
        <w:tc>
          <w:tcPr>
            <w:tcW w:w="1984" w:type="dxa"/>
            <w:vAlign w:val="center"/>
          </w:tcPr>
          <w:p w:rsidR="00534BB4" w:rsidRPr="00816421" w:rsidRDefault="00534BB4" w:rsidP="00EA6773">
            <w:pPr>
              <w:keepNext/>
              <w:autoSpaceDE w:val="0"/>
              <w:autoSpaceDN w:val="0"/>
              <w:adjustRightInd w:val="0"/>
              <w:jc w:val="center"/>
              <w:rPr>
                <w:sz w:val="20"/>
                <w:szCs w:val="20"/>
              </w:rPr>
            </w:pPr>
            <w:r>
              <w:rPr>
                <w:sz w:val="20"/>
                <w:szCs w:val="20"/>
              </w:rPr>
              <w:t>40 (32.3%)</w:t>
            </w:r>
          </w:p>
        </w:tc>
        <w:tc>
          <w:tcPr>
            <w:tcW w:w="895"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2A418E">
        <w:trPr>
          <w:jc w:val="center"/>
        </w:trPr>
        <w:tc>
          <w:tcPr>
            <w:tcW w:w="2251" w:type="dxa"/>
            <w:tcBorders>
              <w:right w:val="nil"/>
            </w:tcBorders>
          </w:tcPr>
          <w:p w:rsidR="00534BB4" w:rsidRPr="00EA6773" w:rsidRDefault="00534BB4" w:rsidP="002A418E">
            <w:pPr>
              <w:keepNext/>
              <w:autoSpaceDE w:val="0"/>
              <w:autoSpaceDN w:val="0"/>
              <w:adjustRightInd w:val="0"/>
              <w:ind w:left="142"/>
              <w:jc w:val="right"/>
              <w:rPr>
                <w:b/>
                <w:sz w:val="20"/>
                <w:szCs w:val="20"/>
              </w:rPr>
            </w:pPr>
            <w:r w:rsidRPr="00EA6773">
              <w:rPr>
                <w:b/>
                <w:sz w:val="20"/>
                <w:szCs w:val="20"/>
              </w:rPr>
              <w:t>0</w:t>
            </w:r>
          </w:p>
        </w:tc>
        <w:tc>
          <w:tcPr>
            <w:tcW w:w="684" w:type="dxa"/>
            <w:tcBorders>
              <w:left w:val="nil"/>
            </w:tcBorders>
          </w:tcPr>
          <w:p w:rsidR="00534BB4" w:rsidRPr="00EA6773" w:rsidRDefault="00534BB4" w:rsidP="002A418E">
            <w:pPr>
              <w:keepNext/>
              <w:autoSpaceDE w:val="0"/>
              <w:autoSpaceDN w:val="0"/>
              <w:adjustRightInd w:val="0"/>
              <w:ind w:left="142"/>
              <w:jc w:val="right"/>
              <w:rPr>
                <w:b/>
                <w:sz w:val="20"/>
                <w:szCs w:val="20"/>
              </w:rPr>
            </w:pPr>
          </w:p>
        </w:tc>
        <w:tc>
          <w:tcPr>
            <w:tcW w:w="2126" w:type="dxa"/>
            <w:vAlign w:val="center"/>
          </w:tcPr>
          <w:p w:rsidR="00534BB4" w:rsidRPr="00816421" w:rsidRDefault="00534BB4" w:rsidP="00EA6773">
            <w:pPr>
              <w:keepNext/>
              <w:autoSpaceDE w:val="0"/>
              <w:autoSpaceDN w:val="0"/>
              <w:adjustRightInd w:val="0"/>
              <w:jc w:val="center"/>
              <w:rPr>
                <w:sz w:val="20"/>
                <w:szCs w:val="20"/>
              </w:rPr>
            </w:pPr>
            <w:r>
              <w:rPr>
                <w:sz w:val="20"/>
                <w:szCs w:val="20"/>
              </w:rPr>
              <w:t>27 (21.3%)</w:t>
            </w:r>
          </w:p>
        </w:tc>
        <w:tc>
          <w:tcPr>
            <w:tcW w:w="1984" w:type="dxa"/>
            <w:vAlign w:val="center"/>
          </w:tcPr>
          <w:p w:rsidR="00534BB4" w:rsidRPr="00816421" w:rsidRDefault="00534BB4" w:rsidP="00EA6773">
            <w:pPr>
              <w:keepNext/>
              <w:autoSpaceDE w:val="0"/>
              <w:autoSpaceDN w:val="0"/>
              <w:adjustRightInd w:val="0"/>
              <w:jc w:val="center"/>
              <w:rPr>
                <w:sz w:val="20"/>
                <w:szCs w:val="20"/>
              </w:rPr>
            </w:pPr>
            <w:r>
              <w:rPr>
                <w:sz w:val="20"/>
                <w:szCs w:val="20"/>
              </w:rPr>
              <w:t>45 (36.3%)</w:t>
            </w:r>
          </w:p>
        </w:tc>
        <w:tc>
          <w:tcPr>
            <w:tcW w:w="895"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r>
              <w:rPr>
                <w:sz w:val="20"/>
                <w:szCs w:val="20"/>
              </w:rPr>
              <w:t>&lt;0.001</w:t>
            </w:r>
            <w:r w:rsidRPr="002C0F4E">
              <w:rPr>
                <w:sz w:val="20"/>
                <w:szCs w:val="20"/>
                <w:vertAlign w:val="superscript"/>
              </w:rPr>
              <w:t>1</w:t>
            </w:r>
          </w:p>
        </w:tc>
      </w:tr>
      <w:tr w:rsidR="00534BB4" w:rsidTr="002A418E">
        <w:trPr>
          <w:jc w:val="center"/>
        </w:trPr>
        <w:tc>
          <w:tcPr>
            <w:tcW w:w="2251" w:type="dxa"/>
            <w:tcBorders>
              <w:right w:val="nil"/>
            </w:tcBorders>
          </w:tcPr>
          <w:p w:rsidR="00534BB4" w:rsidRPr="00EA6773" w:rsidRDefault="00534BB4" w:rsidP="002A418E">
            <w:pPr>
              <w:keepNext/>
              <w:autoSpaceDE w:val="0"/>
              <w:autoSpaceDN w:val="0"/>
              <w:adjustRightInd w:val="0"/>
              <w:ind w:left="142"/>
              <w:jc w:val="right"/>
              <w:rPr>
                <w:b/>
                <w:sz w:val="20"/>
                <w:szCs w:val="20"/>
              </w:rPr>
            </w:pPr>
            <w:r w:rsidRPr="00EA6773">
              <w:rPr>
                <w:b/>
                <w:sz w:val="20"/>
                <w:szCs w:val="20"/>
              </w:rPr>
              <w:t>1</w:t>
            </w:r>
          </w:p>
        </w:tc>
        <w:tc>
          <w:tcPr>
            <w:tcW w:w="684" w:type="dxa"/>
            <w:tcBorders>
              <w:left w:val="nil"/>
            </w:tcBorders>
          </w:tcPr>
          <w:p w:rsidR="00534BB4" w:rsidRPr="00EA6773" w:rsidRDefault="00534BB4" w:rsidP="002A418E">
            <w:pPr>
              <w:keepNext/>
              <w:autoSpaceDE w:val="0"/>
              <w:autoSpaceDN w:val="0"/>
              <w:adjustRightInd w:val="0"/>
              <w:ind w:left="142"/>
              <w:jc w:val="right"/>
              <w:rPr>
                <w:b/>
                <w:sz w:val="20"/>
                <w:szCs w:val="20"/>
              </w:rPr>
            </w:pPr>
          </w:p>
        </w:tc>
        <w:tc>
          <w:tcPr>
            <w:tcW w:w="2126" w:type="dxa"/>
            <w:vAlign w:val="center"/>
          </w:tcPr>
          <w:p w:rsidR="00534BB4" w:rsidRPr="00816421" w:rsidRDefault="00534BB4" w:rsidP="00EA6773">
            <w:pPr>
              <w:keepNext/>
              <w:autoSpaceDE w:val="0"/>
              <w:autoSpaceDN w:val="0"/>
              <w:adjustRightInd w:val="0"/>
              <w:jc w:val="center"/>
              <w:rPr>
                <w:sz w:val="20"/>
                <w:szCs w:val="20"/>
              </w:rPr>
            </w:pPr>
            <w:r>
              <w:rPr>
                <w:sz w:val="20"/>
                <w:szCs w:val="20"/>
              </w:rPr>
              <w:t>2 (1.6%)</w:t>
            </w:r>
          </w:p>
        </w:tc>
        <w:tc>
          <w:tcPr>
            <w:tcW w:w="1984" w:type="dxa"/>
            <w:vAlign w:val="center"/>
          </w:tcPr>
          <w:p w:rsidR="00534BB4" w:rsidRPr="00816421" w:rsidRDefault="00534BB4" w:rsidP="00EA6773">
            <w:pPr>
              <w:keepNext/>
              <w:autoSpaceDE w:val="0"/>
              <w:autoSpaceDN w:val="0"/>
              <w:adjustRightInd w:val="0"/>
              <w:jc w:val="center"/>
              <w:rPr>
                <w:sz w:val="20"/>
                <w:szCs w:val="20"/>
              </w:rPr>
            </w:pPr>
            <w:r>
              <w:rPr>
                <w:sz w:val="20"/>
                <w:szCs w:val="20"/>
              </w:rPr>
              <w:t>7 (5.6%)</w:t>
            </w:r>
          </w:p>
        </w:tc>
        <w:tc>
          <w:tcPr>
            <w:tcW w:w="895"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2A418E">
        <w:trPr>
          <w:jc w:val="center"/>
        </w:trPr>
        <w:tc>
          <w:tcPr>
            <w:tcW w:w="2251" w:type="dxa"/>
            <w:tcBorders>
              <w:right w:val="nil"/>
            </w:tcBorders>
          </w:tcPr>
          <w:p w:rsidR="00534BB4" w:rsidRPr="00EA6773" w:rsidRDefault="00534BB4" w:rsidP="002A418E">
            <w:pPr>
              <w:keepNext/>
              <w:autoSpaceDE w:val="0"/>
              <w:autoSpaceDN w:val="0"/>
              <w:adjustRightInd w:val="0"/>
              <w:ind w:left="142"/>
              <w:jc w:val="right"/>
              <w:rPr>
                <w:b/>
                <w:sz w:val="20"/>
                <w:szCs w:val="20"/>
              </w:rPr>
            </w:pPr>
            <w:r w:rsidRPr="00EA6773">
              <w:rPr>
                <w:b/>
                <w:sz w:val="20"/>
                <w:szCs w:val="20"/>
              </w:rPr>
              <w:t>2</w:t>
            </w:r>
          </w:p>
        </w:tc>
        <w:tc>
          <w:tcPr>
            <w:tcW w:w="684" w:type="dxa"/>
            <w:tcBorders>
              <w:left w:val="nil"/>
            </w:tcBorders>
          </w:tcPr>
          <w:p w:rsidR="00534BB4" w:rsidRPr="00EA6773" w:rsidRDefault="00534BB4" w:rsidP="002A418E">
            <w:pPr>
              <w:keepNext/>
              <w:autoSpaceDE w:val="0"/>
              <w:autoSpaceDN w:val="0"/>
              <w:adjustRightInd w:val="0"/>
              <w:ind w:left="142"/>
              <w:jc w:val="right"/>
              <w:rPr>
                <w:b/>
                <w:sz w:val="20"/>
                <w:szCs w:val="20"/>
              </w:rPr>
            </w:pPr>
          </w:p>
        </w:tc>
        <w:tc>
          <w:tcPr>
            <w:tcW w:w="2126"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1984"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895"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2A418E">
        <w:trPr>
          <w:jc w:val="center"/>
        </w:trPr>
        <w:tc>
          <w:tcPr>
            <w:tcW w:w="2251" w:type="dxa"/>
            <w:tcBorders>
              <w:right w:val="nil"/>
            </w:tcBorders>
          </w:tcPr>
          <w:p w:rsidR="00534BB4" w:rsidRPr="00EA6773" w:rsidRDefault="00534BB4" w:rsidP="002A418E">
            <w:pPr>
              <w:keepNext/>
              <w:autoSpaceDE w:val="0"/>
              <w:autoSpaceDN w:val="0"/>
              <w:adjustRightInd w:val="0"/>
              <w:ind w:left="142"/>
              <w:jc w:val="right"/>
              <w:rPr>
                <w:b/>
                <w:sz w:val="20"/>
                <w:szCs w:val="20"/>
              </w:rPr>
            </w:pPr>
            <w:r w:rsidRPr="00EA6773">
              <w:rPr>
                <w:b/>
                <w:sz w:val="20"/>
                <w:szCs w:val="20"/>
              </w:rPr>
              <w:t>3</w:t>
            </w:r>
          </w:p>
        </w:tc>
        <w:tc>
          <w:tcPr>
            <w:tcW w:w="684" w:type="dxa"/>
            <w:tcBorders>
              <w:left w:val="nil"/>
            </w:tcBorders>
          </w:tcPr>
          <w:p w:rsidR="00534BB4" w:rsidRPr="00EA6773" w:rsidRDefault="00534BB4" w:rsidP="002A418E">
            <w:pPr>
              <w:keepNext/>
              <w:autoSpaceDE w:val="0"/>
              <w:autoSpaceDN w:val="0"/>
              <w:adjustRightInd w:val="0"/>
              <w:ind w:left="142"/>
              <w:jc w:val="right"/>
              <w:rPr>
                <w:b/>
                <w:sz w:val="20"/>
                <w:szCs w:val="20"/>
              </w:rPr>
            </w:pPr>
          </w:p>
        </w:tc>
        <w:tc>
          <w:tcPr>
            <w:tcW w:w="2126"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1984"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895"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2A418E">
        <w:trPr>
          <w:jc w:val="center"/>
        </w:trPr>
        <w:tc>
          <w:tcPr>
            <w:tcW w:w="2251" w:type="dxa"/>
            <w:tcBorders>
              <w:right w:val="nil"/>
            </w:tcBorders>
          </w:tcPr>
          <w:p w:rsidR="00534BB4" w:rsidRPr="00EA6773" w:rsidRDefault="00534BB4" w:rsidP="002A418E">
            <w:pPr>
              <w:keepNext/>
              <w:autoSpaceDE w:val="0"/>
              <w:autoSpaceDN w:val="0"/>
              <w:adjustRightInd w:val="0"/>
              <w:ind w:left="142"/>
              <w:jc w:val="right"/>
              <w:rPr>
                <w:b/>
                <w:sz w:val="20"/>
                <w:szCs w:val="20"/>
              </w:rPr>
            </w:pPr>
            <w:r w:rsidRPr="00EA6773">
              <w:rPr>
                <w:b/>
                <w:sz w:val="20"/>
                <w:szCs w:val="20"/>
              </w:rPr>
              <w:t>4</w:t>
            </w:r>
          </w:p>
        </w:tc>
        <w:tc>
          <w:tcPr>
            <w:tcW w:w="684" w:type="dxa"/>
            <w:tcBorders>
              <w:left w:val="nil"/>
            </w:tcBorders>
          </w:tcPr>
          <w:p w:rsidR="00534BB4" w:rsidRPr="00EA6773" w:rsidRDefault="00534BB4" w:rsidP="002A418E">
            <w:pPr>
              <w:keepNext/>
              <w:autoSpaceDE w:val="0"/>
              <w:autoSpaceDN w:val="0"/>
              <w:adjustRightInd w:val="0"/>
              <w:ind w:left="142"/>
              <w:jc w:val="right"/>
              <w:rPr>
                <w:b/>
                <w:sz w:val="20"/>
                <w:szCs w:val="20"/>
              </w:rPr>
            </w:pPr>
          </w:p>
        </w:tc>
        <w:tc>
          <w:tcPr>
            <w:tcW w:w="2126"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1984"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895" w:type="dxa"/>
            <w:tcBorders>
              <w:top w:val="nil"/>
            </w:tcBorders>
            <w:vAlign w:val="center"/>
          </w:tcPr>
          <w:p w:rsidR="00534BB4" w:rsidRPr="00816421" w:rsidRDefault="00534BB4" w:rsidP="00EA6773">
            <w:pPr>
              <w:keepNext/>
              <w:autoSpaceDE w:val="0"/>
              <w:autoSpaceDN w:val="0"/>
              <w:adjustRightInd w:val="0"/>
              <w:jc w:val="center"/>
              <w:rPr>
                <w:sz w:val="20"/>
                <w:szCs w:val="20"/>
              </w:rPr>
            </w:pPr>
          </w:p>
        </w:tc>
      </w:tr>
    </w:tbl>
    <w:p w:rsidR="00534BB4" w:rsidRDefault="00534BB4" w:rsidP="004626E1">
      <w:pPr>
        <w:pStyle w:val="Notes"/>
      </w:pPr>
      <w:r w:rsidRPr="00CE2C9A">
        <w:rPr>
          <w:vertAlign w:val="superscript"/>
        </w:rPr>
        <w:t>1</w:t>
      </w:r>
      <w:r w:rsidRPr="00CE2C9A">
        <w:t xml:space="preserve"> </w:t>
      </w:r>
      <w:r>
        <w:t>B</w:t>
      </w:r>
      <w:r w:rsidRPr="00CE2C9A">
        <w:t>ased on a Cochran-Mantel-Haenszel Test stratified by pooled centre</w:t>
      </w:r>
    </w:p>
    <w:p w:rsidR="00534BB4" w:rsidRPr="00CE2C9A" w:rsidRDefault="00534BB4" w:rsidP="004626E1">
      <w:pPr>
        <w:pStyle w:val="Notes"/>
      </w:pPr>
      <w:r w:rsidRPr="00D93DAA">
        <w:rPr>
          <w:vertAlign w:val="superscript"/>
        </w:rPr>
        <w:t>2</w:t>
      </w:r>
      <w:r>
        <w:t xml:space="preserve"> For the PP population, outcome was also significant (p=0.005)</w:t>
      </w:r>
    </w:p>
    <w:p w:rsidR="00534BB4" w:rsidRDefault="00EA6773" w:rsidP="005D4741">
      <w:pPr>
        <w:pStyle w:val="TableTitle"/>
      </w:pPr>
      <w:proofErr w:type="gramStart"/>
      <w:r>
        <w:t>Table 1</w:t>
      </w:r>
      <w:r w:rsidR="00D42840">
        <w:t>3</w:t>
      </w:r>
      <w:r>
        <w:t>.</w:t>
      </w:r>
      <w:proofErr w:type="gramEnd"/>
      <w:r>
        <w:t xml:space="preserve"> </w:t>
      </w:r>
      <w:r w:rsidRPr="00EA6773">
        <w:t>Proportion of treatment responders − ITT population</w:t>
      </w:r>
    </w:p>
    <w:tbl>
      <w:tblPr>
        <w:tblStyle w:val="TableGrid"/>
        <w:tblW w:w="0" w:type="auto"/>
        <w:jc w:val="center"/>
        <w:tblLook w:val="04A0"/>
      </w:tblPr>
      <w:tblGrid>
        <w:gridCol w:w="3936"/>
        <w:gridCol w:w="1701"/>
        <w:gridCol w:w="1701"/>
        <w:gridCol w:w="1036"/>
      </w:tblGrid>
      <w:tr w:rsidR="00534BB4" w:rsidRPr="00816421" w:rsidTr="005D4741">
        <w:trPr>
          <w:tblHeader/>
          <w:jc w:val="center"/>
        </w:trPr>
        <w:tc>
          <w:tcPr>
            <w:tcW w:w="3936" w:type="dxa"/>
            <w:tcBorders>
              <w:top w:val="single" w:sz="4" w:space="0" w:color="auto"/>
              <w:left w:val="single" w:sz="4" w:space="0" w:color="auto"/>
            </w:tcBorders>
            <w:shd w:val="clear" w:color="auto" w:fill="0070C0"/>
            <w:vAlign w:val="center"/>
          </w:tcPr>
          <w:p w:rsidR="00534BB4" w:rsidRPr="00EA6773" w:rsidRDefault="00534BB4" w:rsidP="00152865">
            <w:pPr>
              <w:autoSpaceDE w:val="0"/>
              <w:autoSpaceDN w:val="0"/>
              <w:adjustRightInd w:val="0"/>
              <w:rPr>
                <w:b/>
                <w:color w:val="FFFFFF" w:themeColor="background1"/>
                <w:sz w:val="20"/>
                <w:szCs w:val="20"/>
              </w:rPr>
            </w:pPr>
            <w:r w:rsidRPr="00EA6773">
              <w:rPr>
                <w:b/>
                <w:color w:val="FFFFFF" w:themeColor="background1"/>
                <w:sz w:val="20"/>
                <w:szCs w:val="20"/>
              </w:rPr>
              <w:t>Proportion of treatment responders − ITT population</w:t>
            </w:r>
            <w:r w:rsidRPr="00EA6773">
              <w:rPr>
                <w:b/>
                <w:color w:val="FFFFFF" w:themeColor="background1"/>
                <w:sz w:val="20"/>
                <w:szCs w:val="20"/>
                <w:vertAlign w:val="superscript"/>
              </w:rPr>
              <w:t>2</w:t>
            </w:r>
          </w:p>
        </w:tc>
        <w:tc>
          <w:tcPr>
            <w:tcW w:w="1701" w:type="dxa"/>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Oracea</w:t>
            </w:r>
          </w:p>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(N=127)</w:t>
            </w:r>
          </w:p>
        </w:tc>
        <w:tc>
          <w:tcPr>
            <w:tcW w:w="1701" w:type="dxa"/>
            <w:tcBorders>
              <w:bottom w:val="single" w:sz="4" w:space="0" w:color="auto"/>
            </w:tcBorders>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Placebo</w:t>
            </w:r>
          </w:p>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(N=124)</w:t>
            </w:r>
          </w:p>
        </w:tc>
        <w:tc>
          <w:tcPr>
            <w:tcW w:w="1036" w:type="dxa"/>
            <w:tcBorders>
              <w:bottom w:val="single" w:sz="4" w:space="0" w:color="auto"/>
            </w:tcBorders>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p-value</w:t>
            </w:r>
            <w:r w:rsidRPr="00EA6773">
              <w:rPr>
                <w:b/>
                <w:color w:val="FFFFFF" w:themeColor="background1"/>
                <w:sz w:val="20"/>
                <w:szCs w:val="20"/>
                <w:vertAlign w:val="superscript"/>
              </w:rPr>
              <w:t>1</w:t>
            </w:r>
          </w:p>
        </w:tc>
      </w:tr>
      <w:tr w:rsidR="00534BB4" w:rsidTr="00152865">
        <w:trPr>
          <w:jc w:val="center"/>
        </w:trPr>
        <w:tc>
          <w:tcPr>
            <w:tcW w:w="3936" w:type="dxa"/>
            <w:tcBorders>
              <w:right w:val="nil"/>
            </w:tcBorders>
          </w:tcPr>
          <w:p w:rsidR="00534BB4" w:rsidRPr="00EA6773" w:rsidRDefault="00534BB4" w:rsidP="00152865">
            <w:pPr>
              <w:autoSpaceDE w:val="0"/>
              <w:autoSpaceDN w:val="0"/>
              <w:adjustRightInd w:val="0"/>
              <w:rPr>
                <w:b/>
                <w:sz w:val="20"/>
                <w:szCs w:val="20"/>
              </w:rPr>
            </w:pPr>
            <w:r w:rsidRPr="00EA6773">
              <w:rPr>
                <w:b/>
                <w:sz w:val="20"/>
                <w:szCs w:val="20"/>
              </w:rPr>
              <w:t>IGA score 0 or 1 at Week 16</w:t>
            </w:r>
          </w:p>
        </w:tc>
        <w:tc>
          <w:tcPr>
            <w:tcW w:w="1701" w:type="dxa"/>
            <w:tcBorders>
              <w:left w:val="nil"/>
              <w:right w:val="nil"/>
            </w:tcBorders>
            <w:vAlign w:val="center"/>
          </w:tcPr>
          <w:p w:rsidR="00534BB4" w:rsidRPr="00816421" w:rsidRDefault="00534BB4" w:rsidP="00152865">
            <w:pPr>
              <w:autoSpaceDE w:val="0"/>
              <w:autoSpaceDN w:val="0"/>
              <w:adjustRightInd w:val="0"/>
              <w:jc w:val="center"/>
              <w:rPr>
                <w:sz w:val="20"/>
                <w:szCs w:val="20"/>
              </w:rPr>
            </w:pPr>
          </w:p>
        </w:tc>
        <w:tc>
          <w:tcPr>
            <w:tcW w:w="1701" w:type="dxa"/>
            <w:tcBorders>
              <w:left w:val="nil"/>
              <w:right w:val="nil"/>
            </w:tcBorders>
            <w:vAlign w:val="center"/>
          </w:tcPr>
          <w:p w:rsidR="00534BB4" w:rsidRPr="00816421" w:rsidRDefault="00534BB4" w:rsidP="00152865">
            <w:pPr>
              <w:autoSpaceDE w:val="0"/>
              <w:autoSpaceDN w:val="0"/>
              <w:adjustRightInd w:val="0"/>
              <w:jc w:val="center"/>
              <w:rPr>
                <w:sz w:val="20"/>
                <w:szCs w:val="20"/>
              </w:rPr>
            </w:pPr>
          </w:p>
        </w:tc>
        <w:tc>
          <w:tcPr>
            <w:tcW w:w="1036" w:type="dxa"/>
            <w:tcBorders>
              <w:left w:val="nil"/>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3936" w:type="dxa"/>
          </w:tcPr>
          <w:p w:rsidR="00534BB4" w:rsidRPr="00EA6773" w:rsidRDefault="00534BB4" w:rsidP="00152865">
            <w:pPr>
              <w:autoSpaceDE w:val="0"/>
              <w:autoSpaceDN w:val="0"/>
              <w:adjustRightInd w:val="0"/>
              <w:ind w:left="186"/>
              <w:rPr>
                <w:b/>
                <w:sz w:val="20"/>
                <w:szCs w:val="20"/>
              </w:rPr>
            </w:pPr>
            <w:r w:rsidRPr="00EA6773">
              <w:rPr>
                <w:b/>
                <w:sz w:val="20"/>
                <w:szCs w:val="20"/>
              </w:rPr>
              <w:t>Yes</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39 (30.7%)</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24 (19.4%)</w:t>
            </w:r>
          </w:p>
        </w:tc>
        <w:tc>
          <w:tcPr>
            <w:tcW w:w="1036" w:type="dxa"/>
            <w:vMerge w:val="restart"/>
            <w:vAlign w:val="center"/>
          </w:tcPr>
          <w:p w:rsidR="00534BB4" w:rsidRPr="00816421" w:rsidRDefault="00534BB4" w:rsidP="00152865">
            <w:pPr>
              <w:autoSpaceDE w:val="0"/>
              <w:autoSpaceDN w:val="0"/>
              <w:adjustRightInd w:val="0"/>
              <w:jc w:val="center"/>
              <w:rPr>
                <w:sz w:val="20"/>
                <w:szCs w:val="20"/>
              </w:rPr>
            </w:pPr>
            <w:r>
              <w:rPr>
                <w:sz w:val="20"/>
                <w:szCs w:val="20"/>
              </w:rPr>
              <w:t>0.036</w:t>
            </w:r>
          </w:p>
        </w:tc>
      </w:tr>
      <w:tr w:rsidR="00534BB4" w:rsidTr="00152865">
        <w:trPr>
          <w:jc w:val="center"/>
        </w:trPr>
        <w:tc>
          <w:tcPr>
            <w:tcW w:w="3936" w:type="dxa"/>
          </w:tcPr>
          <w:p w:rsidR="00534BB4" w:rsidRPr="00EA6773" w:rsidRDefault="00534BB4" w:rsidP="00152865">
            <w:pPr>
              <w:autoSpaceDE w:val="0"/>
              <w:autoSpaceDN w:val="0"/>
              <w:adjustRightInd w:val="0"/>
              <w:ind w:left="186"/>
              <w:rPr>
                <w:b/>
                <w:sz w:val="20"/>
                <w:szCs w:val="20"/>
              </w:rPr>
            </w:pPr>
            <w:r w:rsidRPr="00EA6773">
              <w:rPr>
                <w:b/>
                <w:sz w:val="20"/>
                <w:szCs w:val="20"/>
              </w:rPr>
              <w:t>No</w:t>
            </w:r>
          </w:p>
        </w:tc>
        <w:tc>
          <w:tcPr>
            <w:tcW w:w="1701"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88 (69.3%)</w:t>
            </w:r>
          </w:p>
        </w:tc>
        <w:tc>
          <w:tcPr>
            <w:tcW w:w="1701" w:type="dxa"/>
            <w:tcBorders>
              <w:top w:val="nil"/>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100 (80.6%)</w:t>
            </w:r>
          </w:p>
        </w:tc>
        <w:tc>
          <w:tcPr>
            <w:tcW w:w="1036" w:type="dxa"/>
            <w:vMerge/>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3936" w:type="dxa"/>
            <w:tcBorders>
              <w:right w:val="nil"/>
            </w:tcBorders>
          </w:tcPr>
          <w:p w:rsidR="00534BB4" w:rsidRPr="00EA6773" w:rsidRDefault="00534BB4" w:rsidP="00152865">
            <w:pPr>
              <w:autoSpaceDE w:val="0"/>
              <w:autoSpaceDN w:val="0"/>
              <w:adjustRightInd w:val="0"/>
              <w:rPr>
                <w:b/>
                <w:sz w:val="20"/>
                <w:szCs w:val="20"/>
              </w:rPr>
            </w:pPr>
            <w:r w:rsidRPr="00EA6773">
              <w:rPr>
                <w:b/>
                <w:sz w:val="20"/>
                <w:szCs w:val="20"/>
              </w:rPr>
              <w:t>IGA score 0 at Week 16</w:t>
            </w:r>
          </w:p>
        </w:tc>
        <w:tc>
          <w:tcPr>
            <w:tcW w:w="1701" w:type="dxa"/>
            <w:tcBorders>
              <w:left w:val="nil"/>
              <w:right w:val="nil"/>
            </w:tcBorders>
            <w:vAlign w:val="center"/>
          </w:tcPr>
          <w:p w:rsidR="00534BB4" w:rsidRPr="00816421" w:rsidRDefault="00534BB4" w:rsidP="00152865">
            <w:pPr>
              <w:autoSpaceDE w:val="0"/>
              <w:autoSpaceDN w:val="0"/>
              <w:adjustRightInd w:val="0"/>
              <w:jc w:val="center"/>
              <w:rPr>
                <w:sz w:val="20"/>
                <w:szCs w:val="20"/>
              </w:rPr>
            </w:pPr>
          </w:p>
        </w:tc>
        <w:tc>
          <w:tcPr>
            <w:tcW w:w="1701" w:type="dxa"/>
            <w:tcBorders>
              <w:left w:val="nil"/>
              <w:right w:val="nil"/>
            </w:tcBorders>
            <w:vAlign w:val="center"/>
          </w:tcPr>
          <w:p w:rsidR="00534BB4" w:rsidRPr="00816421" w:rsidRDefault="00534BB4" w:rsidP="00152865">
            <w:pPr>
              <w:autoSpaceDE w:val="0"/>
              <w:autoSpaceDN w:val="0"/>
              <w:adjustRightInd w:val="0"/>
              <w:jc w:val="center"/>
              <w:rPr>
                <w:sz w:val="20"/>
                <w:szCs w:val="20"/>
              </w:rPr>
            </w:pPr>
          </w:p>
        </w:tc>
        <w:tc>
          <w:tcPr>
            <w:tcW w:w="1036" w:type="dxa"/>
            <w:tcBorders>
              <w:top w:val="single" w:sz="4" w:space="0" w:color="auto"/>
              <w:left w:val="nil"/>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3936" w:type="dxa"/>
          </w:tcPr>
          <w:p w:rsidR="00534BB4" w:rsidRPr="00EA6773" w:rsidRDefault="00534BB4" w:rsidP="00152865">
            <w:pPr>
              <w:autoSpaceDE w:val="0"/>
              <w:autoSpaceDN w:val="0"/>
              <w:adjustRightInd w:val="0"/>
              <w:ind w:left="186"/>
              <w:rPr>
                <w:b/>
                <w:sz w:val="20"/>
                <w:szCs w:val="20"/>
              </w:rPr>
            </w:pPr>
            <w:r w:rsidRPr="00EA6773">
              <w:rPr>
                <w:b/>
                <w:sz w:val="20"/>
                <w:szCs w:val="20"/>
              </w:rPr>
              <w:t>Yes</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12 (9.4%)</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10 (8.1%)</w:t>
            </w:r>
          </w:p>
        </w:tc>
        <w:tc>
          <w:tcPr>
            <w:tcW w:w="1036" w:type="dxa"/>
            <w:vMerge w:val="restart"/>
            <w:tcBorders>
              <w:top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0.718</w:t>
            </w:r>
          </w:p>
        </w:tc>
      </w:tr>
      <w:tr w:rsidR="00534BB4" w:rsidTr="00152865">
        <w:trPr>
          <w:jc w:val="center"/>
        </w:trPr>
        <w:tc>
          <w:tcPr>
            <w:tcW w:w="3936" w:type="dxa"/>
          </w:tcPr>
          <w:p w:rsidR="00534BB4" w:rsidRPr="00EA6773" w:rsidRDefault="00534BB4" w:rsidP="00152865">
            <w:pPr>
              <w:autoSpaceDE w:val="0"/>
              <w:autoSpaceDN w:val="0"/>
              <w:adjustRightInd w:val="0"/>
              <w:ind w:left="186"/>
              <w:rPr>
                <w:b/>
                <w:sz w:val="20"/>
                <w:szCs w:val="20"/>
              </w:rPr>
            </w:pPr>
            <w:r w:rsidRPr="00EA6773">
              <w:rPr>
                <w:b/>
                <w:sz w:val="20"/>
                <w:szCs w:val="20"/>
              </w:rPr>
              <w:t>No</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115 (90.6%)</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114 (91.9%)</w:t>
            </w:r>
          </w:p>
        </w:tc>
        <w:tc>
          <w:tcPr>
            <w:tcW w:w="1036" w:type="dxa"/>
            <w:vMerge/>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bl>
    <w:p w:rsidR="00534BB4" w:rsidRDefault="00534BB4" w:rsidP="004626E1">
      <w:pPr>
        <w:pStyle w:val="Notes"/>
      </w:pPr>
      <w:r w:rsidRPr="00CE2C9A">
        <w:rPr>
          <w:vertAlign w:val="superscript"/>
        </w:rPr>
        <w:t>1</w:t>
      </w:r>
      <w:r w:rsidRPr="00CE2C9A">
        <w:t xml:space="preserve"> </w:t>
      </w:r>
      <w:r>
        <w:t>B</w:t>
      </w:r>
      <w:r w:rsidRPr="00CE2C9A">
        <w:t>ased on a Cochran-Mantel-Haenszel Test stratified by pooled centre</w:t>
      </w:r>
    </w:p>
    <w:p w:rsidR="00534BB4" w:rsidRPr="00CE2C9A" w:rsidRDefault="00534BB4" w:rsidP="004626E1">
      <w:pPr>
        <w:pStyle w:val="Notes"/>
      </w:pPr>
      <w:r w:rsidRPr="00D93DAA">
        <w:rPr>
          <w:vertAlign w:val="superscript"/>
        </w:rPr>
        <w:t>2</w:t>
      </w:r>
      <w:r>
        <w:t xml:space="preserve"> For the PP population, no significant differences were observed, using either definition</w:t>
      </w:r>
    </w:p>
    <w:p w:rsidR="00534BB4" w:rsidRDefault="00EA6773" w:rsidP="00EA6773">
      <w:pPr>
        <w:pStyle w:val="FigureTitle"/>
        <w:keepNext/>
      </w:pPr>
      <w:proofErr w:type="gramStart"/>
      <w:r>
        <w:lastRenderedPageBreak/>
        <w:t>Figure 3.</w:t>
      </w:r>
      <w:proofErr w:type="gramEnd"/>
      <w:r>
        <w:t xml:space="preserve"> </w:t>
      </w:r>
      <w:r w:rsidR="00534BB4">
        <w:t>Change from Baseline in Total Inflammatory Lesions – ITT Population</w:t>
      </w:r>
    </w:p>
    <w:p w:rsidR="00534BB4" w:rsidRDefault="00534BB4" w:rsidP="00EA6773">
      <w:pPr>
        <w:keepNext/>
      </w:pPr>
      <w:r>
        <w:t>(Similar results were found in the PP population.)</w:t>
      </w:r>
    </w:p>
    <w:p w:rsidR="00534BB4" w:rsidRPr="00397C63" w:rsidRDefault="00534BB4" w:rsidP="00EA6773">
      <w:pPr>
        <w:keepNext/>
        <w:jc w:val="center"/>
      </w:pPr>
      <w:r>
        <w:rPr>
          <w:noProof/>
          <w:lang w:eastAsia="en-AU"/>
        </w:rPr>
        <w:drawing>
          <wp:inline distT="0" distB="0" distL="0" distR="0">
            <wp:extent cx="5667375" cy="3533775"/>
            <wp:effectExtent l="19050" t="0" r="9525" b="0"/>
            <wp:docPr id="3" name="Picture 2" descr="Figure 3. Change from Baseline in Total Inflammatory Lesions –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667375" cy="3533775"/>
                    </a:xfrm>
                    <a:prstGeom prst="rect">
                      <a:avLst/>
                    </a:prstGeom>
                    <a:noFill/>
                    <a:ln w="9525">
                      <a:noFill/>
                      <a:miter lim="800000"/>
                      <a:headEnd/>
                      <a:tailEnd/>
                    </a:ln>
                  </pic:spPr>
                </pic:pic>
              </a:graphicData>
            </a:graphic>
          </wp:inline>
        </w:drawing>
      </w:r>
    </w:p>
    <w:p w:rsidR="00534BB4" w:rsidRDefault="00EA6773" w:rsidP="005D4741">
      <w:pPr>
        <w:pStyle w:val="TableTitle"/>
      </w:pPr>
      <w:proofErr w:type="gramStart"/>
      <w:r>
        <w:t>Table 1</w:t>
      </w:r>
      <w:r w:rsidR="00D42840">
        <w:t>4</w:t>
      </w:r>
      <w:r>
        <w:t>.</w:t>
      </w:r>
      <w:proofErr w:type="gramEnd"/>
      <w:r>
        <w:t xml:space="preserve"> </w:t>
      </w:r>
      <w:proofErr w:type="gramStart"/>
      <w:r>
        <w:t>Clinician’s Erythema assessment.</w:t>
      </w:r>
      <w:proofErr w:type="gramEnd"/>
      <w:r>
        <w:t xml:space="preserve"> </w:t>
      </w:r>
      <w:r w:rsidR="00534BB4">
        <w:t>Study 302</w:t>
      </w:r>
    </w:p>
    <w:tbl>
      <w:tblPr>
        <w:tblStyle w:val="TableGrid"/>
        <w:tblW w:w="0" w:type="auto"/>
        <w:jc w:val="center"/>
        <w:tblLook w:val="04A0"/>
      </w:tblPr>
      <w:tblGrid>
        <w:gridCol w:w="4345"/>
        <w:gridCol w:w="1559"/>
        <w:gridCol w:w="1434"/>
        <w:gridCol w:w="1021"/>
      </w:tblGrid>
      <w:tr w:rsidR="00534BB4" w:rsidRPr="00816421" w:rsidTr="005D4741">
        <w:trPr>
          <w:tblHeader/>
          <w:jc w:val="center"/>
        </w:trPr>
        <w:tc>
          <w:tcPr>
            <w:tcW w:w="4345" w:type="dxa"/>
            <w:tcBorders>
              <w:top w:val="single" w:sz="4" w:space="0" w:color="auto"/>
              <w:left w:val="single" w:sz="4" w:space="0" w:color="auto"/>
            </w:tcBorders>
            <w:shd w:val="clear" w:color="auto" w:fill="0070C0"/>
            <w:vAlign w:val="center"/>
          </w:tcPr>
          <w:p w:rsidR="00534BB4" w:rsidRPr="00EA6773" w:rsidRDefault="00534BB4" w:rsidP="00152865">
            <w:pPr>
              <w:autoSpaceDE w:val="0"/>
              <w:autoSpaceDN w:val="0"/>
              <w:adjustRightInd w:val="0"/>
              <w:rPr>
                <w:b/>
                <w:color w:val="FFFFFF" w:themeColor="background1"/>
                <w:sz w:val="20"/>
                <w:szCs w:val="20"/>
              </w:rPr>
            </w:pPr>
            <w:r w:rsidRPr="00EA6773">
              <w:rPr>
                <w:b/>
                <w:color w:val="FFFFFF" w:themeColor="background1"/>
                <w:sz w:val="20"/>
                <w:szCs w:val="20"/>
              </w:rPr>
              <w:t>Clinician's Erythema Assessment − ITT population</w:t>
            </w:r>
            <w:r w:rsidRPr="00EA6773">
              <w:rPr>
                <w:b/>
                <w:color w:val="FFFFFF" w:themeColor="background1"/>
                <w:sz w:val="20"/>
                <w:szCs w:val="20"/>
                <w:vertAlign w:val="superscript"/>
              </w:rPr>
              <w:t>2</w:t>
            </w:r>
          </w:p>
        </w:tc>
        <w:tc>
          <w:tcPr>
            <w:tcW w:w="1559" w:type="dxa"/>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Oracea</w:t>
            </w:r>
          </w:p>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(N=142)</w:t>
            </w:r>
          </w:p>
        </w:tc>
        <w:tc>
          <w:tcPr>
            <w:tcW w:w="1434" w:type="dxa"/>
            <w:tcBorders>
              <w:bottom w:val="single" w:sz="4" w:space="0" w:color="auto"/>
            </w:tcBorders>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Placebo</w:t>
            </w:r>
          </w:p>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(N=144)</w:t>
            </w:r>
          </w:p>
        </w:tc>
        <w:tc>
          <w:tcPr>
            <w:tcW w:w="1021" w:type="dxa"/>
            <w:tcBorders>
              <w:bottom w:val="single" w:sz="4" w:space="0" w:color="auto"/>
            </w:tcBorders>
            <w:shd w:val="clear" w:color="auto" w:fill="0070C0"/>
            <w:vAlign w:val="center"/>
          </w:tcPr>
          <w:p w:rsidR="00534BB4" w:rsidRPr="00EA6773" w:rsidRDefault="00534BB4" w:rsidP="00152865">
            <w:pPr>
              <w:autoSpaceDE w:val="0"/>
              <w:autoSpaceDN w:val="0"/>
              <w:adjustRightInd w:val="0"/>
              <w:jc w:val="center"/>
              <w:rPr>
                <w:b/>
                <w:color w:val="FFFFFF" w:themeColor="background1"/>
                <w:sz w:val="20"/>
                <w:szCs w:val="20"/>
              </w:rPr>
            </w:pPr>
            <w:r w:rsidRPr="00EA6773">
              <w:rPr>
                <w:b/>
                <w:color w:val="FFFFFF" w:themeColor="background1"/>
                <w:sz w:val="20"/>
                <w:szCs w:val="20"/>
              </w:rPr>
              <w:t>p-value</w:t>
            </w:r>
          </w:p>
        </w:tc>
      </w:tr>
      <w:tr w:rsidR="00534BB4" w:rsidTr="002A418E">
        <w:trPr>
          <w:jc w:val="center"/>
        </w:trPr>
        <w:tc>
          <w:tcPr>
            <w:tcW w:w="4345" w:type="dxa"/>
          </w:tcPr>
          <w:p w:rsidR="00534BB4" w:rsidRPr="00EA6773" w:rsidRDefault="00EA6773" w:rsidP="00152865">
            <w:pPr>
              <w:autoSpaceDE w:val="0"/>
              <w:autoSpaceDN w:val="0"/>
              <w:adjustRightInd w:val="0"/>
              <w:ind w:left="142"/>
              <w:rPr>
                <w:b/>
                <w:sz w:val="20"/>
                <w:szCs w:val="20"/>
              </w:rPr>
            </w:pPr>
            <w:r w:rsidRPr="00EA6773">
              <w:rPr>
                <w:b/>
                <w:sz w:val="20"/>
                <w:szCs w:val="20"/>
              </w:rPr>
              <w:t xml:space="preserve">Baseline                                         </w:t>
            </w:r>
            <w:r w:rsidR="00534BB4" w:rsidRPr="00EA6773">
              <w:rPr>
                <w:b/>
                <w:sz w:val="20"/>
                <w:szCs w:val="20"/>
              </w:rPr>
              <w:t>Mean (sd)</w:t>
            </w:r>
          </w:p>
        </w:tc>
        <w:tc>
          <w:tcPr>
            <w:tcW w:w="1559" w:type="dxa"/>
            <w:vAlign w:val="center"/>
          </w:tcPr>
          <w:p w:rsidR="00534BB4" w:rsidRPr="00816421" w:rsidRDefault="00534BB4" w:rsidP="00152865">
            <w:pPr>
              <w:autoSpaceDE w:val="0"/>
              <w:autoSpaceDN w:val="0"/>
              <w:adjustRightInd w:val="0"/>
              <w:jc w:val="center"/>
              <w:rPr>
                <w:sz w:val="20"/>
                <w:szCs w:val="20"/>
              </w:rPr>
            </w:pPr>
            <w:r>
              <w:rPr>
                <w:sz w:val="20"/>
                <w:szCs w:val="20"/>
              </w:rPr>
              <w:t>9.5 (2.9)</w:t>
            </w:r>
          </w:p>
        </w:tc>
        <w:tc>
          <w:tcPr>
            <w:tcW w:w="1434" w:type="dxa"/>
            <w:vAlign w:val="center"/>
          </w:tcPr>
          <w:p w:rsidR="00534BB4" w:rsidRPr="00816421" w:rsidRDefault="00534BB4" w:rsidP="00152865">
            <w:pPr>
              <w:autoSpaceDE w:val="0"/>
              <w:autoSpaceDN w:val="0"/>
              <w:adjustRightInd w:val="0"/>
              <w:jc w:val="center"/>
              <w:rPr>
                <w:sz w:val="20"/>
                <w:szCs w:val="20"/>
              </w:rPr>
            </w:pPr>
            <w:r>
              <w:rPr>
                <w:sz w:val="20"/>
                <w:szCs w:val="20"/>
              </w:rPr>
              <w:t>9.1 (2.5)</w:t>
            </w:r>
          </w:p>
        </w:tc>
        <w:tc>
          <w:tcPr>
            <w:tcW w:w="1021" w:type="dxa"/>
            <w:vAlign w:val="center"/>
          </w:tcPr>
          <w:p w:rsidR="00534BB4" w:rsidRPr="00816421" w:rsidRDefault="00534BB4" w:rsidP="00152865">
            <w:pPr>
              <w:autoSpaceDE w:val="0"/>
              <w:autoSpaceDN w:val="0"/>
              <w:adjustRightInd w:val="0"/>
              <w:jc w:val="center"/>
              <w:rPr>
                <w:sz w:val="20"/>
                <w:szCs w:val="20"/>
              </w:rPr>
            </w:pPr>
          </w:p>
        </w:tc>
      </w:tr>
      <w:tr w:rsidR="00534BB4" w:rsidTr="002A418E">
        <w:trPr>
          <w:jc w:val="center"/>
        </w:trPr>
        <w:tc>
          <w:tcPr>
            <w:tcW w:w="4345" w:type="dxa"/>
          </w:tcPr>
          <w:p w:rsidR="00534BB4" w:rsidRPr="00EA6773" w:rsidRDefault="00534BB4" w:rsidP="00EA6773">
            <w:pPr>
              <w:autoSpaceDE w:val="0"/>
              <w:autoSpaceDN w:val="0"/>
              <w:adjustRightInd w:val="0"/>
              <w:ind w:left="142"/>
              <w:jc w:val="right"/>
              <w:rPr>
                <w:b/>
                <w:sz w:val="20"/>
                <w:szCs w:val="20"/>
              </w:rPr>
            </w:pPr>
            <w:r w:rsidRPr="00EA6773">
              <w:rPr>
                <w:b/>
                <w:sz w:val="20"/>
                <w:szCs w:val="20"/>
              </w:rPr>
              <w:t>Median (Range)</w:t>
            </w:r>
          </w:p>
        </w:tc>
        <w:tc>
          <w:tcPr>
            <w:tcW w:w="1559"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9.0 (4-18)</w:t>
            </w:r>
          </w:p>
        </w:tc>
        <w:tc>
          <w:tcPr>
            <w:tcW w:w="1434"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9.0 (4-16)</w:t>
            </w:r>
          </w:p>
        </w:tc>
        <w:tc>
          <w:tcPr>
            <w:tcW w:w="1021"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r w:rsidR="00534BB4" w:rsidTr="002A418E">
        <w:trPr>
          <w:jc w:val="center"/>
        </w:trPr>
        <w:tc>
          <w:tcPr>
            <w:tcW w:w="4345" w:type="dxa"/>
          </w:tcPr>
          <w:p w:rsidR="00534BB4" w:rsidRPr="00EA6773" w:rsidRDefault="00EA6773" w:rsidP="00152865">
            <w:pPr>
              <w:autoSpaceDE w:val="0"/>
              <w:autoSpaceDN w:val="0"/>
              <w:adjustRightInd w:val="0"/>
              <w:ind w:left="142"/>
              <w:rPr>
                <w:b/>
                <w:sz w:val="20"/>
                <w:szCs w:val="20"/>
              </w:rPr>
            </w:pPr>
            <w:r w:rsidRPr="00EA6773">
              <w:rPr>
                <w:b/>
                <w:sz w:val="20"/>
                <w:szCs w:val="20"/>
              </w:rPr>
              <w:t xml:space="preserve">Week 16                                        </w:t>
            </w:r>
            <w:r w:rsidR="00534BB4" w:rsidRPr="00EA6773">
              <w:rPr>
                <w:b/>
                <w:sz w:val="20"/>
                <w:szCs w:val="20"/>
              </w:rPr>
              <w:t>Mean (sd)</w:t>
            </w:r>
          </w:p>
        </w:tc>
        <w:tc>
          <w:tcPr>
            <w:tcW w:w="1559" w:type="dxa"/>
            <w:vAlign w:val="center"/>
          </w:tcPr>
          <w:p w:rsidR="00534BB4" w:rsidRPr="00816421" w:rsidRDefault="00534BB4" w:rsidP="00152865">
            <w:pPr>
              <w:autoSpaceDE w:val="0"/>
              <w:autoSpaceDN w:val="0"/>
              <w:adjustRightInd w:val="0"/>
              <w:jc w:val="center"/>
              <w:rPr>
                <w:sz w:val="20"/>
                <w:szCs w:val="20"/>
              </w:rPr>
            </w:pPr>
            <w:r>
              <w:rPr>
                <w:sz w:val="20"/>
                <w:szCs w:val="20"/>
              </w:rPr>
              <w:t>8.1 (3.2)</w:t>
            </w:r>
          </w:p>
        </w:tc>
        <w:tc>
          <w:tcPr>
            <w:tcW w:w="1434" w:type="dxa"/>
            <w:vAlign w:val="center"/>
          </w:tcPr>
          <w:p w:rsidR="00534BB4" w:rsidRPr="00816421" w:rsidRDefault="00534BB4" w:rsidP="00152865">
            <w:pPr>
              <w:autoSpaceDE w:val="0"/>
              <w:autoSpaceDN w:val="0"/>
              <w:adjustRightInd w:val="0"/>
              <w:jc w:val="center"/>
              <w:rPr>
                <w:sz w:val="20"/>
                <w:szCs w:val="20"/>
              </w:rPr>
            </w:pPr>
            <w:r>
              <w:rPr>
                <w:sz w:val="20"/>
                <w:szCs w:val="20"/>
              </w:rPr>
              <w:t>7.9 (3.3)</w:t>
            </w:r>
          </w:p>
        </w:tc>
        <w:tc>
          <w:tcPr>
            <w:tcW w:w="1021" w:type="dxa"/>
            <w:vAlign w:val="center"/>
          </w:tcPr>
          <w:p w:rsidR="00534BB4" w:rsidRPr="00816421" w:rsidRDefault="00534BB4" w:rsidP="00152865">
            <w:pPr>
              <w:autoSpaceDE w:val="0"/>
              <w:autoSpaceDN w:val="0"/>
              <w:adjustRightInd w:val="0"/>
              <w:jc w:val="center"/>
              <w:rPr>
                <w:sz w:val="20"/>
                <w:szCs w:val="20"/>
              </w:rPr>
            </w:pPr>
          </w:p>
        </w:tc>
      </w:tr>
      <w:tr w:rsidR="00534BB4" w:rsidTr="002A418E">
        <w:trPr>
          <w:jc w:val="center"/>
        </w:trPr>
        <w:tc>
          <w:tcPr>
            <w:tcW w:w="4345" w:type="dxa"/>
          </w:tcPr>
          <w:p w:rsidR="00534BB4" w:rsidRPr="00EA6773" w:rsidRDefault="00534BB4" w:rsidP="00EA6773">
            <w:pPr>
              <w:autoSpaceDE w:val="0"/>
              <w:autoSpaceDN w:val="0"/>
              <w:adjustRightInd w:val="0"/>
              <w:ind w:left="142"/>
              <w:jc w:val="right"/>
              <w:rPr>
                <w:b/>
                <w:sz w:val="20"/>
                <w:szCs w:val="20"/>
              </w:rPr>
            </w:pPr>
            <w:r w:rsidRPr="00EA6773">
              <w:rPr>
                <w:b/>
                <w:sz w:val="20"/>
                <w:szCs w:val="20"/>
              </w:rPr>
              <w:t>Median (Range)</w:t>
            </w:r>
          </w:p>
        </w:tc>
        <w:tc>
          <w:tcPr>
            <w:tcW w:w="1559" w:type="dxa"/>
            <w:vAlign w:val="center"/>
          </w:tcPr>
          <w:p w:rsidR="00534BB4" w:rsidRPr="00816421" w:rsidRDefault="00534BB4" w:rsidP="00152865">
            <w:pPr>
              <w:autoSpaceDE w:val="0"/>
              <w:autoSpaceDN w:val="0"/>
              <w:adjustRightInd w:val="0"/>
              <w:jc w:val="center"/>
              <w:rPr>
                <w:sz w:val="20"/>
                <w:szCs w:val="20"/>
              </w:rPr>
            </w:pPr>
            <w:r>
              <w:rPr>
                <w:sz w:val="20"/>
                <w:szCs w:val="20"/>
              </w:rPr>
              <w:t>8.0 (1-18)</w:t>
            </w:r>
          </w:p>
        </w:tc>
        <w:tc>
          <w:tcPr>
            <w:tcW w:w="1434" w:type="dxa"/>
            <w:vAlign w:val="center"/>
          </w:tcPr>
          <w:p w:rsidR="00534BB4" w:rsidRPr="00816421" w:rsidRDefault="00534BB4" w:rsidP="00152865">
            <w:pPr>
              <w:autoSpaceDE w:val="0"/>
              <w:autoSpaceDN w:val="0"/>
              <w:adjustRightInd w:val="0"/>
              <w:jc w:val="center"/>
              <w:rPr>
                <w:sz w:val="20"/>
                <w:szCs w:val="20"/>
              </w:rPr>
            </w:pPr>
            <w:r>
              <w:rPr>
                <w:sz w:val="20"/>
                <w:szCs w:val="20"/>
              </w:rPr>
              <w:t>8.0 (0-19)</w:t>
            </w:r>
          </w:p>
        </w:tc>
        <w:tc>
          <w:tcPr>
            <w:tcW w:w="1021" w:type="dxa"/>
            <w:vAlign w:val="center"/>
          </w:tcPr>
          <w:p w:rsidR="00534BB4" w:rsidRPr="00816421" w:rsidRDefault="00534BB4" w:rsidP="00152865">
            <w:pPr>
              <w:autoSpaceDE w:val="0"/>
              <w:autoSpaceDN w:val="0"/>
              <w:adjustRightInd w:val="0"/>
              <w:jc w:val="center"/>
              <w:rPr>
                <w:sz w:val="20"/>
                <w:szCs w:val="20"/>
              </w:rPr>
            </w:pPr>
          </w:p>
        </w:tc>
      </w:tr>
      <w:tr w:rsidR="00534BB4" w:rsidTr="002A418E">
        <w:trPr>
          <w:jc w:val="center"/>
        </w:trPr>
        <w:tc>
          <w:tcPr>
            <w:tcW w:w="4345" w:type="dxa"/>
          </w:tcPr>
          <w:p w:rsidR="00534BB4" w:rsidRPr="00EA6773" w:rsidRDefault="00534BB4" w:rsidP="00152865">
            <w:pPr>
              <w:autoSpaceDE w:val="0"/>
              <w:autoSpaceDN w:val="0"/>
              <w:adjustRightInd w:val="0"/>
              <w:rPr>
                <w:b/>
                <w:sz w:val="20"/>
                <w:szCs w:val="20"/>
              </w:rPr>
            </w:pPr>
            <w:r w:rsidRPr="00EA6773">
              <w:rPr>
                <w:b/>
                <w:sz w:val="20"/>
                <w:szCs w:val="20"/>
              </w:rPr>
              <w:t>Change from baseline to Week 16, mean (sd)</w:t>
            </w:r>
          </w:p>
        </w:tc>
        <w:tc>
          <w:tcPr>
            <w:tcW w:w="1559" w:type="dxa"/>
            <w:vAlign w:val="center"/>
          </w:tcPr>
          <w:p w:rsidR="00534BB4" w:rsidRPr="00816421" w:rsidRDefault="00534BB4" w:rsidP="00152865">
            <w:pPr>
              <w:autoSpaceDE w:val="0"/>
              <w:autoSpaceDN w:val="0"/>
              <w:adjustRightInd w:val="0"/>
              <w:jc w:val="center"/>
              <w:rPr>
                <w:sz w:val="20"/>
                <w:szCs w:val="20"/>
              </w:rPr>
            </w:pPr>
            <w:r>
              <w:rPr>
                <w:sz w:val="20"/>
                <w:szCs w:val="20"/>
              </w:rPr>
              <w:t>-1.4 (2.7)</w:t>
            </w:r>
          </w:p>
        </w:tc>
        <w:tc>
          <w:tcPr>
            <w:tcW w:w="1434" w:type="dxa"/>
            <w:vAlign w:val="center"/>
          </w:tcPr>
          <w:p w:rsidR="00534BB4" w:rsidRPr="00816421" w:rsidRDefault="00534BB4" w:rsidP="00152865">
            <w:pPr>
              <w:autoSpaceDE w:val="0"/>
              <w:autoSpaceDN w:val="0"/>
              <w:adjustRightInd w:val="0"/>
              <w:jc w:val="center"/>
              <w:rPr>
                <w:sz w:val="20"/>
                <w:szCs w:val="20"/>
              </w:rPr>
            </w:pPr>
            <w:r>
              <w:rPr>
                <w:sz w:val="20"/>
                <w:szCs w:val="20"/>
              </w:rPr>
              <w:t>-1.2 (3.0)</w:t>
            </w:r>
          </w:p>
        </w:tc>
        <w:tc>
          <w:tcPr>
            <w:tcW w:w="1021" w:type="dxa"/>
            <w:vAlign w:val="center"/>
          </w:tcPr>
          <w:p w:rsidR="00534BB4" w:rsidRPr="00816421" w:rsidRDefault="00534BB4" w:rsidP="00152865">
            <w:pPr>
              <w:autoSpaceDE w:val="0"/>
              <w:autoSpaceDN w:val="0"/>
              <w:adjustRightInd w:val="0"/>
              <w:jc w:val="center"/>
              <w:rPr>
                <w:sz w:val="20"/>
                <w:szCs w:val="20"/>
              </w:rPr>
            </w:pPr>
            <w:r>
              <w:rPr>
                <w:sz w:val="20"/>
                <w:szCs w:val="20"/>
              </w:rPr>
              <w:t>NS</w:t>
            </w:r>
            <w:r w:rsidRPr="002C0F4E">
              <w:rPr>
                <w:sz w:val="20"/>
                <w:szCs w:val="20"/>
                <w:vertAlign w:val="superscript"/>
              </w:rPr>
              <w:t>1</w:t>
            </w:r>
          </w:p>
        </w:tc>
      </w:tr>
    </w:tbl>
    <w:p w:rsidR="00534BB4" w:rsidRDefault="00534BB4" w:rsidP="004626E1">
      <w:pPr>
        <w:pStyle w:val="Notes"/>
      </w:pPr>
      <w:r w:rsidRPr="002C0F4E">
        <w:rPr>
          <w:vertAlign w:val="superscript"/>
        </w:rPr>
        <w:t>1</w:t>
      </w:r>
      <w:r w:rsidRPr="002C0F4E">
        <w:t xml:space="preserve"> </w:t>
      </w:r>
      <w:r>
        <w:t>ANOVA model, with treatment and pooled centre as main effects</w:t>
      </w:r>
    </w:p>
    <w:p w:rsidR="00534BB4" w:rsidRPr="002C0F4E" w:rsidRDefault="00534BB4" w:rsidP="004626E1">
      <w:pPr>
        <w:pStyle w:val="Notes"/>
      </w:pPr>
      <w:r w:rsidRPr="00D93DAA">
        <w:rPr>
          <w:vertAlign w:val="superscript"/>
        </w:rPr>
        <w:t>2</w:t>
      </w:r>
      <w:r>
        <w:t xml:space="preserve"> For the PP population, outcome was also not significant</w:t>
      </w:r>
    </w:p>
    <w:p w:rsidR="00534BB4" w:rsidRDefault="00EA6773" w:rsidP="005A4A31">
      <w:pPr>
        <w:pStyle w:val="TableTitle"/>
      </w:pPr>
      <w:proofErr w:type="gramStart"/>
      <w:r>
        <w:lastRenderedPageBreak/>
        <w:t>Table 1</w:t>
      </w:r>
      <w:r w:rsidR="00D42840">
        <w:t>5</w:t>
      </w:r>
      <w:r>
        <w:t>.</w:t>
      </w:r>
      <w:proofErr w:type="gramEnd"/>
      <w:r>
        <w:t xml:space="preserve"> </w:t>
      </w:r>
      <w:r w:rsidRPr="00EA6773">
        <w:t>Investigator's Global Assessment − ITT population</w:t>
      </w:r>
    </w:p>
    <w:tbl>
      <w:tblPr>
        <w:tblStyle w:val="TableGrid"/>
        <w:tblW w:w="0" w:type="auto"/>
        <w:jc w:val="center"/>
        <w:tblLook w:val="04A0"/>
      </w:tblPr>
      <w:tblGrid>
        <w:gridCol w:w="2251"/>
        <w:gridCol w:w="1685"/>
        <w:gridCol w:w="1701"/>
        <w:gridCol w:w="1701"/>
        <w:gridCol w:w="1036"/>
      </w:tblGrid>
      <w:tr w:rsidR="00534BB4" w:rsidRPr="00816421" w:rsidTr="005A4A31">
        <w:trPr>
          <w:tblHeader/>
          <w:jc w:val="center"/>
        </w:trPr>
        <w:tc>
          <w:tcPr>
            <w:tcW w:w="3936" w:type="dxa"/>
            <w:gridSpan w:val="2"/>
            <w:tcBorders>
              <w:top w:val="single" w:sz="4" w:space="0" w:color="auto"/>
              <w:left w:val="single" w:sz="4" w:space="0" w:color="auto"/>
            </w:tcBorders>
            <w:shd w:val="clear" w:color="auto" w:fill="0070C0"/>
            <w:vAlign w:val="center"/>
          </w:tcPr>
          <w:p w:rsidR="00534BB4" w:rsidRPr="00EA6773" w:rsidRDefault="00534BB4" w:rsidP="00EA6773">
            <w:pPr>
              <w:keepNext/>
              <w:autoSpaceDE w:val="0"/>
              <w:autoSpaceDN w:val="0"/>
              <w:adjustRightInd w:val="0"/>
              <w:rPr>
                <w:b/>
                <w:color w:val="FFFFFF" w:themeColor="background1"/>
                <w:sz w:val="20"/>
                <w:szCs w:val="20"/>
              </w:rPr>
            </w:pPr>
            <w:r w:rsidRPr="00EA6773">
              <w:rPr>
                <w:b/>
                <w:color w:val="FFFFFF" w:themeColor="background1"/>
                <w:sz w:val="20"/>
                <w:szCs w:val="20"/>
              </w:rPr>
              <w:t>Investigator's Global Assessment − ITT population</w:t>
            </w:r>
            <w:r w:rsidRPr="00EA6773">
              <w:rPr>
                <w:b/>
                <w:color w:val="FFFFFF" w:themeColor="background1"/>
                <w:sz w:val="20"/>
                <w:szCs w:val="20"/>
                <w:vertAlign w:val="superscript"/>
              </w:rPr>
              <w:t>2</w:t>
            </w:r>
          </w:p>
        </w:tc>
        <w:tc>
          <w:tcPr>
            <w:tcW w:w="1701" w:type="dxa"/>
            <w:shd w:val="clear" w:color="auto" w:fill="0070C0"/>
            <w:vAlign w:val="center"/>
          </w:tcPr>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Oracea</w:t>
            </w:r>
          </w:p>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(N=142)</w:t>
            </w:r>
          </w:p>
        </w:tc>
        <w:tc>
          <w:tcPr>
            <w:tcW w:w="1701" w:type="dxa"/>
            <w:tcBorders>
              <w:bottom w:val="single" w:sz="4" w:space="0" w:color="auto"/>
            </w:tcBorders>
            <w:shd w:val="clear" w:color="auto" w:fill="0070C0"/>
            <w:vAlign w:val="center"/>
          </w:tcPr>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Placebo</w:t>
            </w:r>
          </w:p>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(N=144)</w:t>
            </w:r>
          </w:p>
        </w:tc>
        <w:tc>
          <w:tcPr>
            <w:tcW w:w="1036" w:type="dxa"/>
            <w:tcBorders>
              <w:bottom w:val="single" w:sz="4" w:space="0" w:color="auto"/>
            </w:tcBorders>
            <w:shd w:val="clear" w:color="auto" w:fill="0070C0"/>
            <w:vAlign w:val="center"/>
          </w:tcPr>
          <w:p w:rsidR="00534BB4" w:rsidRPr="00EA6773" w:rsidRDefault="00534BB4" w:rsidP="00EA6773">
            <w:pPr>
              <w:keepNext/>
              <w:autoSpaceDE w:val="0"/>
              <w:autoSpaceDN w:val="0"/>
              <w:adjustRightInd w:val="0"/>
              <w:jc w:val="center"/>
              <w:rPr>
                <w:b/>
                <w:color w:val="FFFFFF" w:themeColor="background1"/>
                <w:sz w:val="20"/>
                <w:szCs w:val="20"/>
              </w:rPr>
            </w:pPr>
            <w:r w:rsidRPr="00EA6773">
              <w:rPr>
                <w:b/>
                <w:color w:val="FFFFFF" w:themeColor="background1"/>
                <w:sz w:val="20"/>
                <w:szCs w:val="20"/>
              </w:rPr>
              <w:t>p-value</w:t>
            </w:r>
          </w:p>
        </w:tc>
      </w:tr>
      <w:tr w:rsidR="00534BB4" w:rsidTr="00152865">
        <w:trPr>
          <w:jc w:val="center"/>
        </w:trPr>
        <w:tc>
          <w:tcPr>
            <w:tcW w:w="2251" w:type="dxa"/>
            <w:tcBorders>
              <w:right w:val="nil"/>
            </w:tcBorders>
          </w:tcPr>
          <w:p w:rsidR="00534BB4" w:rsidRPr="00EA6773" w:rsidRDefault="002A418E" w:rsidP="002A418E">
            <w:pPr>
              <w:keepNext/>
              <w:autoSpaceDE w:val="0"/>
              <w:autoSpaceDN w:val="0"/>
              <w:adjustRightInd w:val="0"/>
              <w:rPr>
                <w:b/>
                <w:sz w:val="20"/>
                <w:szCs w:val="20"/>
              </w:rPr>
            </w:pPr>
            <w:r w:rsidRPr="00EA6773">
              <w:rPr>
                <w:b/>
                <w:sz w:val="20"/>
                <w:szCs w:val="20"/>
              </w:rPr>
              <w:t>Change from Baseline at Week 16</w:t>
            </w:r>
            <w:r>
              <w:rPr>
                <w:b/>
                <w:sz w:val="20"/>
                <w:szCs w:val="20"/>
              </w:rPr>
              <w:t xml:space="preserve">                  </w:t>
            </w:r>
            <w:r w:rsidR="00534BB4" w:rsidRPr="00EA6773">
              <w:rPr>
                <w:b/>
                <w:sz w:val="20"/>
                <w:szCs w:val="20"/>
              </w:rPr>
              <w:t>-4</w:t>
            </w:r>
          </w:p>
        </w:tc>
        <w:tc>
          <w:tcPr>
            <w:tcW w:w="1685" w:type="dxa"/>
            <w:tcBorders>
              <w:left w:val="nil"/>
            </w:tcBorders>
          </w:tcPr>
          <w:p w:rsidR="00534BB4" w:rsidRPr="00EA6773" w:rsidRDefault="00534BB4" w:rsidP="00EA6773">
            <w:pPr>
              <w:keepNext/>
              <w:autoSpaceDE w:val="0"/>
              <w:autoSpaceDN w:val="0"/>
              <w:adjustRightInd w:val="0"/>
              <w:ind w:left="142"/>
              <w:rPr>
                <w:b/>
                <w:sz w:val="20"/>
                <w:szCs w:val="20"/>
              </w:rPr>
            </w:pP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2 (1.4%)</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1036" w:type="dxa"/>
            <w:tcBorders>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152865">
        <w:trPr>
          <w:jc w:val="center"/>
        </w:trPr>
        <w:tc>
          <w:tcPr>
            <w:tcW w:w="2251" w:type="dxa"/>
            <w:tcBorders>
              <w:right w:val="nil"/>
            </w:tcBorders>
          </w:tcPr>
          <w:p w:rsidR="00534BB4" w:rsidRPr="00EA6773" w:rsidRDefault="00534BB4" w:rsidP="00EA6773">
            <w:pPr>
              <w:keepNext/>
              <w:autoSpaceDE w:val="0"/>
              <w:autoSpaceDN w:val="0"/>
              <w:adjustRightInd w:val="0"/>
              <w:ind w:left="142"/>
              <w:jc w:val="right"/>
              <w:rPr>
                <w:b/>
                <w:sz w:val="20"/>
                <w:szCs w:val="20"/>
              </w:rPr>
            </w:pPr>
            <w:r w:rsidRPr="00EA6773">
              <w:rPr>
                <w:b/>
                <w:sz w:val="20"/>
                <w:szCs w:val="20"/>
              </w:rPr>
              <w:t>-3</w:t>
            </w:r>
          </w:p>
        </w:tc>
        <w:tc>
          <w:tcPr>
            <w:tcW w:w="1685" w:type="dxa"/>
            <w:tcBorders>
              <w:left w:val="nil"/>
            </w:tcBorders>
          </w:tcPr>
          <w:p w:rsidR="00534BB4" w:rsidRPr="00EA6773" w:rsidRDefault="00534BB4" w:rsidP="00EA6773">
            <w:pPr>
              <w:keepNext/>
              <w:autoSpaceDE w:val="0"/>
              <w:autoSpaceDN w:val="0"/>
              <w:adjustRightInd w:val="0"/>
              <w:ind w:left="142"/>
              <w:rPr>
                <w:b/>
                <w:sz w:val="20"/>
                <w:szCs w:val="20"/>
              </w:rPr>
            </w:pPr>
          </w:p>
        </w:tc>
        <w:tc>
          <w:tcPr>
            <w:tcW w:w="1701" w:type="dxa"/>
            <w:tcBorders>
              <w:bottom w:val="single" w:sz="4" w:space="0" w:color="auto"/>
            </w:tcBorders>
            <w:vAlign w:val="center"/>
          </w:tcPr>
          <w:p w:rsidR="00534BB4" w:rsidRPr="00816421" w:rsidRDefault="00534BB4" w:rsidP="00EA6773">
            <w:pPr>
              <w:keepNext/>
              <w:autoSpaceDE w:val="0"/>
              <w:autoSpaceDN w:val="0"/>
              <w:adjustRightInd w:val="0"/>
              <w:jc w:val="center"/>
              <w:rPr>
                <w:sz w:val="20"/>
                <w:szCs w:val="20"/>
              </w:rPr>
            </w:pPr>
            <w:r>
              <w:rPr>
                <w:sz w:val="20"/>
                <w:szCs w:val="20"/>
              </w:rPr>
              <w:t>2 (1.4%)</w:t>
            </w:r>
          </w:p>
        </w:tc>
        <w:tc>
          <w:tcPr>
            <w:tcW w:w="1701" w:type="dxa"/>
            <w:tcBorders>
              <w:top w:val="nil"/>
              <w:bottom w:val="single" w:sz="4" w:space="0" w:color="auto"/>
            </w:tcBorders>
            <w:vAlign w:val="center"/>
          </w:tcPr>
          <w:p w:rsidR="00534BB4" w:rsidRPr="00816421" w:rsidRDefault="00534BB4" w:rsidP="00EA6773">
            <w:pPr>
              <w:keepNext/>
              <w:autoSpaceDE w:val="0"/>
              <w:autoSpaceDN w:val="0"/>
              <w:adjustRightInd w:val="0"/>
              <w:jc w:val="center"/>
              <w:rPr>
                <w:sz w:val="20"/>
                <w:szCs w:val="20"/>
              </w:rPr>
            </w:pPr>
            <w:r>
              <w:rPr>
                <w:sz w:val="20"/>
                <w:szCs w:val="20"/>
              </w:rPr>
              <w:t>1 (0.7%)</w:t>
            </w:r>
          </w:p>
        </w:tc>
        <w:tc>
          <w:tcPr>
            <w:tcW w:w="1036"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152865">
        <w:trPr>
          <w:jc w:val="center"/>
        </w:trPr>
        <w:tc>
          <w:tcPr>
            <w:tcW w:w="2251" w:type="dxa"/>
            <w:tcBorders>
              <w:right w:val="nil"/>
            </w:tcBorders>
          </w:tcPr>
          <w:p w:rsidR="00534BB4" w:rsidRPr="00EA6773" w:rsidRDefault="00534BB4" w:rsidP="00EA6773">
            <w:pPr>
              <w:keepNext/>
              <w:autoSpaceDE w:val="0"/>
              <w:autoSpaceDN w:val="0"/>
              <w:adjustRightInd w:val="0"/>
              <w:ind w:left="142"/>
              <w:jc w:val="right"/>
              <w:rPr>
                <w:b/>
                <w:sz w:val="20"/>
                <w:szCs w:val="20"/>
              </w:rPr>
            </w:pPr>
            <w:r w:rsidRPr="00EA6773">
              <w:rPr>
                <w:b/>
                <w:sz w:val="20"/>
                <w:szCs w:val="20"/>
              </w:rPr>
              <w:t>-2</w:t>
            </w:r>
          </w:p>
        </w:tc>
        <w:tc>
          <w:tcPr>
            <w:tcW w:w="1685" w:type="dxa"/>
            <w:tcBorders>
              <w:left w:val="nil"/>
              <w:right w:val="single" w:sz="4" w:space="0" w:color="auto"/>
            </w:tcBorders>
          </w:tcPr>
          <w:p w:rsidR="00534BB4" w:rsidRPr="00EA6773" w:rsidRDefault="00534BB4" w:rsidP="00EA6773">
            <w:pPr>
              <w:keepNext/>
              <w:autoSpaceDE w:val="0"/>
              <w:autoSpaceDN w:val="0"/>
              <w:adjustRightInd w:val="0"/>
              <w:ind w:left="142"/>
              <w:rPr>
                <w:b/>
                <w:sz w:val="20"/>
                <w:szCs w:val="20"/>
              </w:rPr>
            </w:pPr>
          </w:p>
        </w:tc>
        <w:tc>
          <w:tcPr>
            <w:tcW w:w="1701" w:type="dxa"/>
            <w:tcBorders>
              <w:left w:val="single" w:sz="4" w:space="0" w:color="auto"/>
              <w:right w:val="single" w:sz="4" w:space="0" w:color="auto"/>
            </w:tcBorders>
            <w:vAlign w:val="center"/>
          </w:tcPr>
          <w:p w:rsidR="00534BB4" w:rsidRPr="00816421" w:rsidRDefault="00534BB4" w:rsidP="00EA6773">
            <w:pPr>
              <w:keepNext/>
              <w:autoSpaceDE w:val="0"/>
              <w:autoSpaceDN w:val="0"/>
              <w:adjustRightInd w:val="0"/>
              <w:jc w:val="center"/>
              <w:rPr>
                <w:sz w:val="20"/>
                <w:szCs w:val="20"/>
              </w:rPr>
            </w:pPr>
            <w:r>
              <w:rPr>
                <w:sz w:val="20"/>
                <w:szCs w:val="20"/>
              </w:rPr>
              <w:t>28 (19.7%)</w:t>
            </w:r>
          </w:p>
        </w:tc>
        <w:tc>
          <w:tcPr>
            <w:tcW w:w="1701" w:type="dxa"/>
            <w:tcBorders>
              <w:left w:val="single" w:sz="4" w:space="0" w:color="auto"/>
              <w:right w:val="single" w:sz="4" w:space="0" w:color="auto"/>
            </w:tcBorders>
            <w:vAlign w:val="center"/>
          </w:tcPr>
          <w:p w:rsidR="00534BB4" w:rsidRPr="00816421" w:rsidRDefault="00534BB4" w:rsidP="00EA6773">
            <w:pPr>
              <w:keepNext/>
              <w:autoSpaceDE w:val="0"/>
              <w:autoSpaceDN w:val="0"/>
              <w:adjustRightInd w:val="0"/>
              <w:jc w:val="center"/>
              <w:rPr>
                <w:sz w:val="20"/>
                <w:szCs w:val="20"/>
              </w:rPr>
            </w:pPr>
            <w:r>
              <w:rPr>
                <w:sz w:val="20"/>
                <w:szCs w:val="20"/>
              </w:rPr>
              <w:t>22 (15.3%)</w:t>
            </w:r>
          </w:p>
        </w:tc>
        <w:tc>
          <w:tcPr>
            <w:tcW w:w="1036" w:type="dxa"/>
            <w:tcBorders>
              <w:top w:val="nil"/>
              <w:left w:val="single" w:sz="4" w:space="0" w:color="auto"/>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152865">
        <w:trPr>
          <w:jc w:val="center"/>
        </w:trPr>
        <w:tc>
          <w:tcPr>
            <w:tcW w:w="2251" w:type="dxa"/>
            <w:tcBorders>
              <w:right w:val="nil"/>
            </w:tcBorders>
          </w:tcPr>
          <w:p w:rsidR="00534BB4" w:rsidRPr="00EA6773" w:rsidRDefault="00534BB4" w:rsidP="00EA6773">
            <w:pPr>
              <w:keepNext/>
              <w:autoSpaceDE w:val="0"/>
              <w:autoSpaceDN w:val="0"/>
              <w:adjustRightInd w:val="0"/>
              <w:ind w:left="142"/>
              <w:jc w:val="right"/>
              <w:rPr>
                <w:b/>
                <w:sz w:val="20"/>
                <w:szCs w:val="20"/>
              </w:rPr>
            </w:pPr>
            <w:r w:rsidRPr="00EA6773">
              <w:rPr>
                <w:b/>
                <w:sz w:val="20"/>
                <w:szCs w:val="20"/>
              </w:rPr>
              <w:t>-1</w:t>
            </w:r>
          </w:p>
        </w:tc>
        <w:tc>
          <w:tcPr>
            <w:tcW w:w="1685" w:type="dxa"/>
            <w:tcBorders>
              <w:left w:val="nil"/>
            </w:tcBorders>
          </w:tcPr>
          <w:p w:rsidR="00534BB4" w:rsidRPr="00EA6773" w:rsidRDefault="00534BB4" w:rsidP="00EA6773">
            <w:pPr>
              <w:keepNext/>
              <w:autoSpaceDE w:val="0"/>
              <w:autoSpaceDN w:val="0"/>
              <w:adjustRightInd w:val="0"/>
              <w:ind w:left="142"/>
              <w:rPr>
                <w:b/>
                <w:sz w:val="20"/>
                <w:szCs w:val="20"/>
              </w:rPr>
            </w:pP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59 (41.5%)</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45 (31.3%)</w:t>
            </w:r>
          </w:p>
        </w:tc>
        <w:tc>
          <w:tcPr>
            <w:tcW w:w="1036"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152865">
        <w:trPr>
          <w:jc w:val="center"/>
        </w:trPr>
        <w:tc>
          <w:tcPr>
            <w:tcW w:w="2251" w:type="dxa"/>
            <w:tcBorders>
              <w:right w:val="nil"/>
            </w:tcBorders>
          </w:tcPr>
          <w:p w:rsidR="00534BB4" w:rsidRPr="00EA6773" w:rsidRDefault="00534BB4" w:rsidP="00EA6773">
            <w:pPr>
              <w:keepNext/>
              <w:autoSpaceDE w:val="0"/>
              <w:autoSpaceDN w:val="0"/>
              <w:adjustRightInd w:val="0"/>
              <w:ind w:left="142"/>
              <w:jc w:val="right"/>
              <w:rPr>
                <w:b/>
                <w:sz w:val="20"/>
                <w:szCs w:val="20"/>
              </w:rPr>
            </w:pPr>
            <w:r w:rsidRPr="00EA6773">
              <w:rPr>
                <w:b/>
                <w:sz w:val="20"/>
                <w:szCs w:val="20"/>
              </w:rPr>
              <w:t>0</w:t>
            </w:r>
          </w:p>
        </w:tc>
        <w:tc>
          <w:tcPr>
            <w:tcW w:w="1685" w:type="dxa"/>
            <w:tcBorders>
              <w:left w:val="nil"/>
            </w:tcBorders>
          </w:tcPr>
          <w:p w:rsidR="00534BB4" w:rsidRPr="00EA6773" w:rsidRDefault="00534BB4" w:rsidP="00EA6773">
            <w:pPr>
              <w:keepNext/>
              <w:autoSpaceDE w:val="0"/>
              <w:autoSpaceDN w:val="0"/>
              <w:adjustRightInd w:val="0"/>
              <w:ind w:left="142"/>
              <w:rPr>
                <w:b/>
                <w:sz w:val="20"/>
                <w:szCs w:val="20"/>
              </w:rPr>
            </w:pP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44 (31.0%)</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62 (43.1%)</w:t>
            </w:r>
          </w:p>
        </w:tc>
        <w:tc>
          <w:tcPr>
            <w:tcW w:w="1036"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r>
              <w:rPr>
                <w:sz w:val="20"/>
                <w:szCs w:val="20"/>
              </w:rPr>
              <w:t>&lt;0.004</w:t>
            </w:r>
            <w:r w:rsidRPr="002C0F4E">
              <w:rPr>
                <w:sz w:val="20"/>
                <w:szCs w:val="20"/>
                <w:vertAlign w:val="superscript"/>
              </w:rPr>
              <w:t>1</w:t>
            </w:r>
          </w:p>
        </w:tc>
      </w:tr>
      <w:tr w:rsidR="00534BB4" w:rsidTr="00152865">
        <w:trPr>
          <w:jc w:val="center"/>
        </w:trPr>
        <w:tc>
          <w:tcPr>
            <w:tcW w:w="2251" w:type="dxa"/>
            <w:tcBorders>
              <w:right w:val="nil"/>
            </w:tcBorders>
          </w:tcPr>
          <w:p w:rsidR="00534BB4" w:rsidRPr="00EA6773" w:rsidRDefault="00534BB4" w:rsidP="00EA6773">
            <w:pPr>
              <w:keepNext/>
              <w:autoSpaceDE w:val="0"/>
              <w:autoSpaceDN w:val="0"/>
              <w:adjustRightInd w:val="0"/>
              <w:ind w:left="142"/>
              <w:jc w:val="right"/>
              <w:rPr>
                <w:b/>
                <w:sz w:val="20"/>
                <w:szCs w:val="20"/>
              </w:rPr>
            </w:pPr>
            <w:r w:rsidRPr="00EA6773">
              <w:rPr>
                <w:b/>
                <w:sz w:val="20"/>
                <w:szCs w:val="20"/>
              </w:rPr>
              <w:t>1</w:t>
            </w:r>
          </w:p>
        </w:tc>
        <w:tc>
          <w:tcPr>
            <w:tcW w:w="1685" w:type="dxa"/>
            <w:tcBorders>
              <w:left w:val="nil"/>
            </w:tcBorders>
          </w:tcPr>
          <w:p w:rsidR="00534BB4" w:rsidRPr="00EA6773" w:rsidRDefault="00534BB4" w:rsidP="00EA6773">
            <w:pPr>
              <w:keepNext/>
              <w:autoSpaceDE w:val="0"/>
              <w:autoSpaceDN w:val="0"/>
              <w:adjustRightInd w:val="0"/>
              <w:ind w:left="142"/>
              <w:rPr>
                <w:b/>
                <w:sz w:val="20"/>
                <w:szCs w:val="20"/>
              </w:rPr>
            </w:pP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6 (4.2%)</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14 (9.7%)</w:t>
            </w:r>
          </w:p>
        </w:tc>
        <w:tc>
          <w:tcPr>
            <w:tcW w:w="1036"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152865">
        <w:trPr>
          <w:jc w:val="center"/>
        </w:trPr>
        <w:tc>
          <w:tcPr>
            <w:tcW w:w="2251" w:type="dxa"/>
            <w:tcBorders>
              <w:right w:val="nil"/>
            </w:tcBorders>
          </w:tcPr>
          <w:p w:rsidR="00534BB4" w:rsidRPr="00EA6773" w:rsidRDefault="00534BB4" w:rsidP="00EA6773">
            <w:pPr>
              <w:keepNext/>
              <w:autoSpaceDE w:val="0"/>
              <w:autoSpaceDN w:val="0"/>
              <w:adjustRightInd w:val="0"/>
              <w:ind w:left="142"/>
              <w:jc w:val="right"/>
              <w:rPr>
                <w:b/>
                <w:sz w:val="20"/>
                <w:szCs w:val="20"/>
              </w:rPr>
            </w:pPr>
            <w:r w:rsidRPr="00EA6773">
              <w:rPr>
                <w:b/>
                <w:sz w:val="20"/>
                <w:szCs w:val="20"/>
              </w:rPr>
              <w:t>2</w:t>
            </w:r>
          </w:p>
        </w:tc>
        <w:tc>
          <w:tcPr>
            <w:tcW w:w="1685" w:type="dxa"/>
            <w:tcBorders>
              <w:left w:val="nil"/>
            </w:tcBorders>
          </w:tcPr>
          <w:p w:rsidR="00534BB4" w:rsidRPr="00EA6773" w:rsidRDefault="00534BB4" w:rsidP="00EA6773">
            <w:pPr>
              <w:keepNext/>
              <w:autoSpaceDE w:val="0"/>
              <w:autoSpaceDN w:val="0"/>
              <w:adjustRightInd w:val="0"/>
              <w:ind w:left="142"/>
              <w:rPr>
                <w:b/>
                <w:sz w:val="20"/>
                <w:szCs w:val="20"/>
              </w:rPr>
            </w:pP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1 (0.7%)</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1036"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152865">
        <w:trPr>
          <w:jc w:val="center"/>
        </w:trPr>
        <w:tc>
          <w:tcPr>
            <w:tcW w:w="2251" w:type="dxa"/>
            <w:tcBorders>
              <w:right w:val="nil"/>
            </w:tcBorders>
          </w:tcPr>
          <w:p w:rsidR="00534BB4" w:rsidRPr="00EA6773" w:rsidRDefault="00534BB4" w:rsidP="00EA6773">
            <w:pPr>
              <w:keepNext/>
              <w:autoSpaceDE w:val="0"/>
              <w:autoSpaceDN w:val="0"/>
              <w:adjustRightInd w:val="0"/>
              <w:ind w:left="142"/>
              <w:jc w:val="right"/>
              <w:rPr>
                <w:b/>
                <w:sz w:val="20"/>
                <w:szCs w:val="20"/>
              </w:rPr>
            </w:pPr>
            <w:r w:rsidRPr="00EA6773">
              <w:rPr>
                <w:b/>
                <w:sz w:val="20"/>
                <w:szCs w:val="20"/>
              </w:rPr>
              <w:t>3</w:t>
            </w:r>
          </w:p>
        </w:tc>
        <w:tc>
          <w:tcPr>
            <w:tcW w:w="1685" w:type="dxa"/>
            <w:tcBorders>
              <w:left w:val="nil"/>
            </w:tcBorders>
          </w:tcPr>
          <w:p w:rsidR="00534BB4" w:rsidRPr="00EA6773" w:rsidRDefault="00534BB4" w:rsidP="00EA6773">
            <w:pPr>
              <w:keepNext/>
              <w:autoSpaceDE w:val="0"/>
              <w:autoSpaceDN w:val="0"/>
              <w:adjustRightInd w:val="0"/>
              <w:ind w:left="142"/>
              <w:rPr>
                <w:b/>
                <w:sz w:val="20"/>
                <w:szCs w:val="20"/>
              </w:rPr>
            </w:pP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1036" w:type="dxa"/>
            <w:tcBorders>
              <w:top w:val="nil"/>
              <w:bottom w:val="nil"/>
            </w:tcBorders>
            <w:vAlign w:val="center"/>
          </w:tcPr>
          <w:p w:rsidR="00534BB4" w:rsidRPr="00816421" w:rsidRDefault="00534BB4" w:rsidP="00EA6773">
            <w:pPr>
              <w:keepNext/>
              <w:autoSpaceDE w:val="0"/>
              <w:autoSpaceDN w:val="0"/>
              <w:adjustRightInd w:val="0"/>
              <w:jc w:val="center"/>
              <w:rPr>
                <w:sz w:val="20"/>
                <w:szCs w:val="20"/>
              </w:rPr>
            </w:pPr>
          </w:p>
        </w:tc>
      </w:tr>
      <w:tr w:rsidR="00534BB4" w:rsidTr="00152865">
        <w:trPr>
          <w:jc w:val="center"/>
        </w:trPr>
        <w:tc>
          <w:tcPr>
            <w:tcW w:w="2251" w:type="dxa"/>
            <w:tcBorders>
              <w:right w:val="nil"/>
            </w:tcBorders>
          </w:tcPr>
          <w:p w:rsidR="00534BB4" w:rsidRPr="00EA6773" w:rsidRDefault="00534BB4" w:rsidP="00EA6773">
            <w:pPr>
              <w:keepNext/>
              <w:autoSpaceDE w:val="0"/>
              <w:autoSpaceDN w:val="0"/>
              <w:adjustRightInd w:val="0"/>
              <w:ind w:left="142"/>
              <w:jc w:val="right"/>
              <w:rPr>
                <w:b/>
                <w:sz w:val="20"/>
                <w:szCs w:val="20"/>
              </w:rPr>
            </w:pPr>
            <w:r w:rsidRPr="00EA6773">
              <w:rPr>
                <w:b/>
                <w:sz w:val="20"/>
                <w:szCs w:val="20"/>
              </w:rPr>
              <w:t>4</w:t>
            </w:r>
          </w:p>
        </w:tc>
        <w:tc>
          <w:tcPr>
            <w:tcW w:w="1685" w:type="dxa"/>
            <w:tcBorders>
              <w:left w:val="nil"/>
            </w:tcBorders>
          </w:tcPr>
          <w:p w:rsidR="00534BB4" w:rsidRPr="00EA6773" w:rsidRDefault="00534BB4" w:rsidP="00EA6773">
            <w:pPr>
              <w:keepNext/>
              <w:autoSpaceDE w:val="0"/>
              <w:autoSpaceDN w:val="0"/>
              <w:adjustRightInd w:val="0"/>
              <w:ind w:left="142"/>
              <w:rPr>
                <w:b/>
                <w:sz w:val="20"/>
                <w:szCs w:val="20"/>
              </w:rPr>
            </w:pP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1701" w:type="dxa"/>
            <w:vAlign w:val="center"/>
          </w:tcPr>
          <w:p w:rsidR="00534BB4" w:rsidRPr="00816421" w:rsidRDefault="00534BB4" w:rsidP="00EA6773">
            <w:pPr>
              <w:keepNext/>
              <w:autoSpaceDE w:val="0"/>
              <w:autoSpaceDN w:val="0"/>
              <w:adjustRightInd w:val="0"/>
              <w:jc w:val="center"/>
              <w:rPr>
                <w:sz w:val="20"/>
                <w:szCs w:val="20"/>
              </w:rPr>
            </w:pPr>
            <w:r>
              <w:rPr>
                <w:sz w:val="20"/>
                <w:szCs w:val="20"/>
              </w:rPr>
              <w:t>0</w:t>
            </w:r>
          </w:p>
        </w:tc>
        <w:tc>
          <w:tcPr>
            <w:tcW w:w="1036" w:type="dxa"/>
            <w:tcBorders>
              <w:top w:val="nil"/>
            </w:tcBorders>
            <w:vAlign w:val="center"/>
          </w:tcPr>
          <w:p w:rsidR="00534BB4" w:rsidRPr="00816421" w:rsidRDefault="00534BB4" w:rsidP="00EA6773">
            <w:pPr>
              <w:keepNext/>
              <w:autoSpaceDE w:val="0"/>
              <w:autoSpaceDN w:val="0"/>
              <w:adjustRightInd w:val="0"/>
              <w:jc w:val="center"/>
              <w:rPr>
                <w:sz w:val="20"/>
                <w:szCs w:val="20"/>
              </w:rPr>
            </w:pPr>
          </w:p>
        </w:tc>
      </w:tr>
    </w:tbl>
    <w:p w:rsidR="00534BB4" w:rsidRDefault="00534BB4" w:rsidP="004626E1">
      <w:pPr>
        <w:pStyle w:val="Notes"/>
      </w:pPr>
      <w:r w:rsidRPr="00CE2C9A">
        <w:rPr>
          <w:vertAlign w:val="superscript"/>
        </w:rPr>
        <w:t>1</w:t>
      </w:r>
      <w:r w:rsidRPr="00CE2C9A">
        <w:t xml:space="preserve"> </w:t>
      </w:r>
      <w:r>
        <w:t>B</w:t>
      </w:r>
      <w:r w:rsidRPr="00CE2C9A">
        <w:t>ased on a Cochran-Mantel-Haenszel Test stratified by pooled centre</w:t>
      </w:r>
    </w:p>
    <w:p w:rsidR="00534BB4" w:rsidRPr="00CE2C9A" w:rsidRDefault="00534BB4" w:rsidP="004626E1">
      <w:pPr>
        <w:pStyle w:val="Notes"/>
      </w:pPr>
      <w:r w:rsidRPr="00D93DAA">
        <w:rPr>
          <w:vertAlign w:val="superscript"/>
        </w:rPr>
        <w:t>2</w:t>
      </w:r>
      <w:r>
        <w:t xml:space="preserve"> For the PP population, outcome was also significant (p=0.011)</w:t>
      </w:r>
    </w:p>
    <w:p w:rsidR="00534BB4" w:rsidRDefault="00EA6773" w:rsidP="005A4A31">
      <w:pPr>
        <w:pStyle w:val="TableTitle"/>
      </w:pPr>
      <w:proofErr w:type="gramStart"/>
      <w:r>
        <w:t>Table 1</w:t>
      </w:r>
      <w:r w:rsidR="00D42840">
        <w:t>6</w:t>
      </w:r>
      <w:r>
        <w:t>.</w:t>
      </w:r>
      <w:proofErr w:type="gramEnd"/>
      <w:r>
        <w:t xml:space="preserve"> </w:t>
      </w:r>
      <w:r w:rsidRPr="00EA6773">
        <w:t>Proportion of treatment responders − ITT population</w:t>
      </w:r>
    </w:p>
    <w:tbl>
      <w:tblPr>
        <w:tblStyle w:val="TableGrid"/>
        <w:tblW w:w="0" w:type="auto"/>
        <w:jc w:val="center"/>
        <w:tblLook w:val="04A0"/>
      </w:tblPr>
      <w:tblGrid>
        <w:gridCol w:w="3936"/>
        <w:gridCol w:w="1701"/>
        <w:gridCol w:w="1701"/>
        <w:gridCol w:w="1036"/>
      </w:tblGrid>
      <w:tr w:rsidR="00534BB4" w:rsidRPr="00816421" w:rsidTr="005A4A31">
        <w:trPr>
          <w:tblHeader/>
          <w:jc w:val="center"/>
        </w:trPr>
        <w:tc>
          <w:tcPr>
            <w:tcW w:w="3936" w:type="dxa"/>
            <w:tcBorders>
              <w:top w:val="single" w:sz="4" w:space="0" w:color="auto"/>
              <w:left w:val="single" w:sz="4" w:space="0" w:color="auto"/>
            </w:tcBorders>
            <w:shd w:val="clear" w:color="auto" w:fill="0070C0"/>
            <w:vAlign w:val="center"/>
          </w:tcPr>
          <w:p w:rsidR="00534BB4" w:rsidRPr="00E654ED" w:rsidRDefault="00534BB4" w:rsidP="00152865">
            <w:pPr>
              <w:autoSpaceDE w:val="0"/>
              <w:autoSpaceDN w:val="0"/>
              <w:adjustRightInd w:val="0"/>
              <w:rPr>
                <w:b/>
                <w:color w:val="FFFFFF" w:themeColor="background1"/>
                <w:sz w:val="20"/>
                <w:szCs w:val="20"/>
              </w:rPr>
            </w:pPr>
            <w:r w:rsidRPr="00E654ED">
              <w:rPr>
                <w:b/>
                <w:color w:val="FFFFFF" w:themeColor="background1"/>
                <w:sz w:val="20"/>
                <w:szCs w:val="20"/>
              </w:rPr>
              <w:t>Proportion of treatment responders − ITT population</w:t>
            </w:r>
            <w:r w:rsidRPr="00E654ED">
              <w:rPr>
                <w:b/>
                <w:color w:val="FFFFFF" w:themeColor="background1"/>
                <w:sz w:val="20"/>
                <w:szCs w:val="20"/>
                <w:vertAlign w:val="superscript"/>
              </w:rPr>
              <w:t>2</w:t>
            </w:r>
          </w:p>
        </w:tc>
        <w:tc>
          <w:tcPr>
            <w:tcW w:w="1701" w:type="dxa"/>
            <w:shd w:val="clear" w:color="auto" w:fill="0070C0"/>
            <w:vAlign w:val="center"/>
          </w:tcPr>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Oracea</w:t>
            </w:r>
          </w:p>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(N=142)</w:t>
            </w:r>
          </w:p>
        </w:tc>
        <w:tc>
          <w:tcPr>
            <w:tcW w:w="1701" w:type="dxa"/>
            <w:tcBorders>
              <w:bottom w:val="single" w:sz="4" w:space="0" w:color="auto"/>
            </w:tcBorders>
            <w:shd w:val="clear" w:color="auto" w:fill="0070C0"/>
            <w:vAlign w:val="center"/>
          </w:tcPr>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Placebo</w:t>
            </w:r>
          </w:p>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(N=144)</w:t>
            </w:r>
          </w:p>
        </w:tc>
        <w:tc>
          <w:tcPr>
            <w:tcW w:w="1036" w:type="dxa"/>
            <w:tcBorders>
              <w:bottom w:val="single" w:sz="4" w:space="0" w:color="auto"/>
            </w:tcBorders>
            <w:shd w:val="clear" w:color="auto" w:fill="0070C0"/>
            <w:vAlign w:val="center"/>
          </w:tcPr>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p-value</w:t>
            </w:r>
            <w:r w:rsidRPr="00E654ED">
              <w:rPr>
                <w:b/>
                <w:color w:val="FFFFFF" w:themeColor="background1"/>
                <w:sz w:val="20"/>
                <w:szCs w:val="20"/>
                <w:vertAlign w:val="superscript"/>
              </w:rPr>
              <w:t>1</w:t>
            </w:r>
          </w:p>
        </w:tc>
      </w:tr>
      <w:tr w:rsidR="00534BB4" w:rsidTr="00152865">
        <w:trPr>
          <w:jc w:val="center"/>
        </w:trPr>
        <w:tc>
          <w:tcPr>
            <w:tcW w:w="3936" w:type="dxa"/>
            <w:tcBorders>
              <w:right w:val="nil"/>
            </w:tcBorders>
          </w:tcPr>
          <w:p w:rsidR="00534BB4" w:rsidRPr="00E654ED" w:rsidRDefault="00534BB4" w:rsidP="00152865">
            <w:pPr>
              <w:autoSpaceDE w:val="0"/>
              <w:autoSpaceDN w:val="0"/>
              <w:adjustRightInd w:val="0"/>
              <w:rPr>
                <w:b/>
                <w:sz w:val="20"/>
                <w:szCs w:val="20"/>
              </w:rPr>
            </w:pPr>
            <w:r w:rsidRPr="00E654ED">
              <w:rPr>
                <w:b/>
                <w:sz w:val="20"/>
                <w:szCs w:val="20"/>
              </w:rPr>
              <w:t>IGA score 0 or 1 at Week 16</w:t>
            </w:r>
          </w:p>
        </w:tc>
        <w:tc>
          <w:tcPr>
            <w:tcW w:w="1701" w:type="dxa"/>
            <w:tcBorders>
              <w:left w:val="nil"/>
              <w:right w:val="nil"/>
            </w:tcBorders>
            <w:vAlign w:val="center"/>
          </w:tcPr>
          <w:p w:rsidR="00534BB4" w:rsidRPr="00816421" w:rsidRDefault="00534BB4" w:rsidP="00152865">
            <w:pPr>
              <w:autoSpaceDE w:val="0"/>
              <w:autoSpaceDN w:val="0"/>
              <w:adjustRightInd w:val="0"/>
              <w:jc w:val="center"/>
              <w:rPr>
                <w:sz w:val="20"/>
                <w:szCs w:val="20"/>
              </w:rPr>
            </w:pPr>
          </w:p>
        </w:tc>
        <w:tc>
          <w:tcPr>
            <w:tcW w:w="1701" w:type="dxa"/>
            <w:tcBorders>
              <w:left w:val="nil"/>
              <w:right w:val="nil"/>
            </w:tcBorders>
            <w:vAlign w:val="center"/>
          </w:tcPr>
          <w:p w:rsidR="00534BB4" w:rsidRPr="00816421" w:rsidRDefault="00534BB4" w:rsidP="00152865">
            <w:pPr>
              <w:autoSpaceDE w:val="0"/>
              <w:autoSpaceDN w:val="0"/>
              <w:adjustRightInd w:val="0"/>
              <w:jc w:val="center"/>
              <w:rPr>
                <w:sz w:val="20"/>
                <w:szCs w:val="20"/>
              </w:rPr>
            </w:pPr>
          </w:p>
        </w:tc>
        <w:tc>
          <w:tcPr>
            <w:tcW w:w="1036" w:type="dxa"/>
            <w:tcBorders>
              <w:left w:val="nil"/>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3936" w:type="dxa"/>
          </w:tcPr>
          <w:p w:rsidR="00534BB4" w:rsidRPr="00E654ED" w:rsidRDefault="00534BB4" w:rsidP="00152865">
            <w:pPr>
              <w:autoSpaceDE w:val="0"/>
              <w:autoSpaceDN w:val="0"/>
              <w:adjustRightInd w:val="0"/>
              <w:ind w:left="186"/>
              <w:rPr>
                <w:b/>
                <w:sz w:val="20"/>
                <w:szCs w:val="20"/>
              </w:rPr>
            </w:pPr>
            <w:r w:rsidRPr="00E654ED">
              <w:rPr>
                <w:b/>
                <w:sz w:val="20"/>
                <w:szCs w:val="20"/>
              </w:rPr>
              <w:t>Yes</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21 (14.8%)</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9 (6.3%)</w:t>
            </w:r>
          </w:p>
        </w:tc>
        <w:tc>
          <w:tcPr>
            <w:tcW w:w="1036" w:type="dxa"/>
            <w:vMerge w:val="restart"/>
            <w:vAlign w:val="center"/>
          </w:tcPr>
          <w:p w:rsidR="00534BB4" w:rsidRPr="00816421" w:rsidRDefault="00534BB4" w:rsidP="00152865">
            <w:pPr>
              <w:autoSpaceDE w:val="0"/>
              <w:autoSpaceDN w:val="0"/>
              <w:adjustRightInd w:val="0"/>
              <w:jc w:val="center"/>
              <w:rPr>
                <w:sz w:val="20"/>
                <w:szCs w:val="20"/>
              </w:rPr>
            </w:pPr>
            <w:r>
              <w:rPr>
                <w:sz w:val="20"/>
                <w:szCs w:val="20"/>
              </w:rPr>
              <w:t>0.012</w:t>
            </w:r>
          </w:p>
        </w:tc>
      </w:tr>
      <w:tr w:rsidR="00534BB4" w:rsidTr="00152865">
        <w:trPr>
          <w:jc w:val="center"/>
        </w:trPr>
        <w:tc>
          <w:tcPr>
            <w:tcW w:w="3936" w:type="dxa"/>
          </w:tcPr>
          <w:p w:rsidR="00534BB4" w:rsidRPr="00E654ED" w:rsidRDefault="00534BB4" w:rsidP="00152865">
            <w:pPr>
              <w:autoSpaceDE w:val="0"/>
              <w:autoSpaceDN w:val="0"/>
              <w:adjustRightInd w:val="0"/>
              <w:ind w:left="186"/>
              <w:rPr>
                <w:b/>
                <w:sz w:val="20"/>
                <w:szCs w:val="20"/>
              </w:rPr>
            </w:pPr>
            <w:r w:rsidRPr="00E654ED">
              <w:rPr>
                <w:b/>
                <w:sz w:val="20"/>
                <w:szCs w:val="20"/>
              </w:rPr>
              <w:t>No</w:t>
            </w:r>
          </w:p>
        </w:tc>
        <w:tc>
          <w:tcPr>
            <w:tcW w:w="1701"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121 (85.2%)</w:t>
            </w:r>
          </w:p>
        </w:tc>
        <w:tc>
          <w:tcPr>
            <w:tcW w:w="1701" w:type="dxa"/>
            <w:tcBorders>
              <w:top w:val="nil"/>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135 (93.8%)</w:t>
            </w:r>
          </w:p>
        </w:tc>
        <w:tc>
          <w:tcPr>
            <w:tcW w:w="1036" w:type="dxa"/>
            <w:vMerge/>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3936" w:type="dxa"/>
            <w:tcBorders>
              <w:right w:val="nil"/>
            </w:tcBorders>
          </w:tcPr>
          <w:p w:rsidR="00534BB4" w:rsidRPr="00E654ED" w:rsidRDefault="00534BB4" w:rsidP="00152865">
            <w:pPr>
              <w:autoSpaceDE w:val="0"/>
              <w:autoSpaceDN w:val="0"/>
              <w:adjustRightInd w:val="0"/>
              <w:rPr>
                <w:b/>
                <w:sz w:val="20"/>
                <w:szCs w:val="20"/>
              </w:rPr>
            </w:pPr>
            <w:r w:rsidRPr="00E654ED">
              <w:rPr>
                <w:b/>
                <w:sz w:val="20"/>
                <w:szCs w:val="20"/>
              </w:rPr>
              <w:t>IGA score 0 at Week 16</w:t>
            </w:r>
          </w:p>
        </w:tc>
        <w:tc>
          <w:tcPr>
            <w:tcW w:w="1701" w:type="dxa"/>
            <w:tcBorders>
              <w:left w:val="nil"/>
              <w:right w:val="nil"/>
            </w:tcBorders>
            <w:vAlign w:val="center"/>
          </w:tcPr>
          <w:p w:rsidR="00534BB4" w:rsidRPr="00816421" w:rsidRDefault="00534BB4" w:rsidP="00152865">
            <w:pPr>
              <w:autoSpaceDE w:val="0"/>
              <w:autoSpaceDN w:val="0"/>
              <w:adjustRightInd w:val="0"/>
              <w:jc w:val="center"/>
              <w:rPr>
                <w:sz w:val="20"/>
                <w:szCs w:val="20"/>
              </w:rPr>
            </w:pPr>
          </w:p>
        </w:tc>
        <w:tc>
          <w:tcPr>
            <w:tcW w:w="1701" w:type="dxa"/>
            <w:tcBorders>
              <w:left w:val="nil"/>
              <w:right w:val="nil"/>
            </w:tcBorders>
            <w:vAlign w:val="center"/>
          </w:tcPr>
          <w:p w:rsidR="00534BB4" w:rsidRPr="00816421" w:rsidRDefault="00534BB4" w:rsidP="00152865">
            <w:pPr>
              <w:autoSpaceDE w:val="0"/>
              <w:autoSpaceDN w:val="0"/>
              <w:adjustRightInd w:val="0"/>
              <w:jc w:val="center"/>
              <w:rPr>
                <w:sz w:val="20"/>
                <w:szCs w:val="20"/>
              </w:rPr>
            </w:pPr>
          </w:p>
        </w:tc>
        <w:tc>
          <w:tcPr>
            <w:tcW w:w="1036" w:type="dxa"/>
            <w:tcBorders>
              <w:top w:val="single" w:sz="4" w:space="0" w:color="auto"/>
              <w:left w:val="nil"/>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3936" w:type="dxa"/>
          </w:tcPr>
          <w:p w:rsidR="00534BB4" w:rsidRPr="00E654ED" w:rsidRDefault="00534BB4" w:rsidP="00152865">
            <w:pPr>
              <w:autoSpaceDE w:val="0"/>
              <w:autoSpaceDN w:val="0"/>
              <w:adjustRightInd w:val="0"/>
              <w:ind w:left="186"/>
              <w:rPr>
                <w:b/>
                <w:sz w:val="20"/>
                <w:szCs w:val="20"/>
              </w:rPr>
            </w:pPr>
            <w:r w:rsidRPr="00E654ED">
              <w:rPr>
                <w:b/>
                <w:sz w:val="20"/>
                <w:szCs w:val="20"/>
              </w:rPr>
              <w:t>Yes</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2 (1.4%)</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0</w:t>
            </w:r>
          </w:p>
        </w:tc>
        <w:tc>
          <w:tcPr>
            <w:tcW w:w="1036" w:type="dxa"/>
            <w:vMerge w:val="restart"/>
            <w:tcBorders>
              <w:top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0.134</w:t>
            </w:r>
          </w:p>
        </w:tc>
      </w:tr>
      <w:tr w:rsidR="00534BB4" w:rsidTr="00152865">
        <w:trPr>
          <w:jc w:val="center"/>
        </w:trPr>
        <w:tc>
          <w:tcPr>
            <w:tcW w:w="3936" w:type="dxa"/>
          </w:tcPr>
          <w:p w:rsidR="00534BB4" w:rsidRPr="00E654ED" w:rsidRDefault="00534BB4" w:rsidP="00152865">
            <w:pPr>
              <w:autoSpaceDE w:val="0"/>
              <w:autoSpaceDN w:val="0"/>
              <w:adjustRightInd w:val="0"/>
              <w:ind w:left="186"/>
              <w:rPr>
                <w:b/>
                <w:sz w:val="20"/>
                <w:szCs w:val="20"/>
              </w:rPr>
            </w:pPr>
            <w:r w:rsidRPr="00E654ED">
              <w:rPr>
                <w:b/>
                <w:sz w:val="20"/>
                <w:szCs w:val="20"/>
              </w:rPr>
              <w:t>No</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140 (98.6%)</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144 (100.0%)</w:t>
            </w:r>
          </w:p>
        </w:tc>
        <w:tc>
          <w:tcPr>
            <w:tcW w:w="1036" w:type="dxa"/>
            <w:vMerge/>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p>
        </w:tc>
      </w:tr>
    </w:tbl>
    <w:p w:rsidR="00534BB4" w:rsidRDefault="00534BB4" w:rsidP="004626E1">
      <w:pPr>
        <w:pStyle w:val="Notes"/>
      </w:pPr>
      <w:r w:rsidRPr="00CE2C9A">
        <w:rPr>
          <w:vertAlign w:val="superscript"/>
        </w:rPr>
        <w:t>1</w:t>
      </w:r>
      <w:r w:rsidRPr="00CE2C9A">
        <w:t xml:space="preserve"> </w:t>
      </w:r>
      <w:r>
        <w:t>B</w:t>
      </w:r>
      <w:r w:rsidRPr="00CE2C9A">
        <w:t>ased on a Cochran-Mantel-Haenszel Test stratified by pooled centre</w:t>
      </w:r>
    </w:p>
    <w:p w:rsidR="00534BB4" w:rsidRPr="00CE2C9A" w:rsidRDefault="00534BB4" w:rsidP="004626E1">
      <w:pPr>
        <w:pStyle w:val="Notes"/>
      </w:pPr>
      <w:r w:rsidRPr="00D93DAA">
        <w:rPr>
          <w:vertAlign w:val="superscript"/>
        </w:rPr>
        <w:t>2</w:t>
      </w:r>
      <w:r>
        <w:t xml:space="preserve"> For the PP population, a significant difference was observed (p=0.007) only for the first definition (</w:t>
      </w:r>
      <w:proofErr w:type="spellStart"/>
      <w:r w:rsidRPr="00DE53BB">
        <w:rPr>
          <w:i/>
        </w:rPr>
        <w:t>ie</w:t>
      </w:r>
      <w:proofErr w:type="spellEnd"/>
      <w:r>
        <w:t>, score 0 or 1).</w:t>
      </w:r>
    </w:p>
    <w:p w:rsidR="00534BB4" w:rsidRDefault="00E654ED" w:rsidP="00E654ED">
      <w:pPr>
        <w:pStyle w:val="FigureTitle"/>
        <w:keepNext/>
      </w:pPr>
      <w:proofErr w:type="gramStart"/>
      <w:r>
        <w:lastRenderedPageBreak/>
        <w:t>Figure 4.</w:t>
      </w:r>
      <w:proofErr w:type="gramEnd"/>
      <w:r>
        <w:t xml:space="preserve"> </w:t>
      </w:r>
      <w:r w:rsidR="00534BB4">
        <w:t>Change from Baseline in Total Inflammatory Lesions – ITT Population</w:t>
      </w:r>
    </w:p>
    <w:p w:rsidR="00534BB4" w:rsidRDefault="00534BB4" w:rsidP="00E654ED">
      <w:pPr>
        <w:keepNext/>
      </w:pPr>
      <w:r>
        <w:t>(Similar results were found in the PP population.)</w:t>
      </w:r>
    </w:p>
    <w:p w:rsidR="00534BB4" w:rsidRDefault="00534BB4" w:rsidP="00324D05">
      <w:r>
        <w:rPr>
          <w:noProof/>
          <w:lang w:eastAsia="en-AU"/>
        </w:rPr>
        <w:drawing>
          <wp:inline distT="0" distB="0" distL="0" distR="0">
            <wp:extent cx="4829175" cy="2828925"/>
            <wp:effectExtent l="19050" t="0" r="9525" b="0"/>
            <wp:docPr id="6" name="Picture 2" descr="Figure 4. Change from Baseline in Total Inflammatory Lesions –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4829175" cy="2828925"/>
                    </a:xfrm>
                    <a:prstGeom prst="rect">
                      <a:avLst/>
                    </a:prstGeom>
                    <a:noFill/>
                    <a:ln w="9525">
                      <a:noFill/>
                      <a:miter lim="800000"/>
                      <a:headEnd/>
                      <a:tailEnd/>
                    </a:ln>
                  </pic:spPr>
                </pic:pic>
              </a:graphicData>
            </a:graphic>
          </wp:inline>
        </w:drawing>
      </w:r>
    </w:p>
    <w:p w:rsidR="00534BB4" w:rsidRDefault="00534BB4" w:rsidP="00E654ED">
      <w:pPr>
        <w:pStyle w:val="Heading6"/>
      </w:pPr>
      <w:r>
        <w:t>Results for longevity of treatment effect (Study 302 only)</w:t>
      </w:r>
    </w:p>
    <w:p w:rsidR="00534BB4" w:rsidRDefault="00534BB4" w:rsidP="00534BB4">
      <w:r w:rsidRPr="00AD23A8">
        <w:t xml:space="preserve">Patients who received </w:t>
      </w:r>
      <w:r>
        <w:t>Oracea</w:t>
      </w:r>
      <w:r w:rsidRPr="00AD23A8">
        <w:t xml:space="preserve"> during the Treatment Period</w:t>
      </w:r>
      <w:r>
        <w:t xml:space="preserve"> (to Week 16)</w:t>
      </w:r>
      <w:r w:rsidRPr="00AD23A8">
        <w:t xml:space="preserve"> and enrolled in the 4-Week</w:t>
      </w:r>
      <w:r>
        <w:t xml:space="preserve"> </w:t>
      </w:r>
      <w:r w:rsidRPr="00AD23A8">
        <w:t>Follow-Up Period maintained a treatment benefit at Week 20 when compared to patients who</w:t>
      </w:r>
      <w:r>
        <w:t xml:space="preserve"> </w:t>
      </w:r>
      <w:r w:rsidRPr="00AD23A8">
        <w:t>had received placebo during the Treatment Period. The mean lesion count at Week 20 was</w:t>
      </w:r>
      <w:r w:rsidR="00E654ED">
        <w:t xml:space="preserve"> </w:t>
      </w:r>
      <w:r w:rsidRPr="00AD23A8">
        <w:t xml:space="preserve">10.3 for the </w:t>
      </w:r>
      <w:r>
        <w:t>Oracea</w:t>
      </w:r>
      <w:r w:rsidRPr="00AD23A8">
        <w:t xml:space="preserve"> group and 15.3 for the placebo group, a mean treatment difference of</w:t>
      </w:r>
      <w:r w:rsidR="00E654ED">
        <w:t xml:space="preserve"> </w:t>
      </w:r>
      <w:r w:rsidRPr="00AD23A8">
        <w:t>5 lesions.</w:t>
      </w:r>
    </w:p>
    <w:p w:rsidR="00534BB4" w:rsidRDefault="00E654ED" w:rsidP="00E654ED">
      <w:pPr>
        <w:pStyle w:val="Heading4"/>
      </w:pPr>
      <w:bookmarkStart w:id="88" w:name="_Ref271037188"/>
      <w:bookmarkStart w:id="89" w:name="_Ref271037210"/>
      <w:bookmarkStart w:id="90" w:name="_Toc272414655"/>
      <w:bookmarkStart w:id="91" w:name="_Toc273018218"/>
      <w:bookmarkStart w:id="92" w:name="_Toc348527487"/>
      <w:bookmarkStart w:id="93" w:name="_Toc241374311"/>
      <w:bookmarkStart w:id="94" w:name="_Ref243294291"/>
      <w:r>
        <w:t xml:space="preserve">Other </w:t>
      </w:r>
      <w:r w:rsidR="0079497B">
        <w:t>e</w:t>
      </w:r>
      <w:r>
        <w:t xml:space="preserve">fficacy </w:t>
      </w:r>
      <w:r w:rsidR="0079497B">
        <w:t>s</w:t>
      </w:r>
      <w:r>
        <w:t>tudies</w:t>
      </w:r>
      <w:bookmarkEnd w:id="88"/>
      <w:bookmarkEnd w:id="89"/>
      <w:bookmarkEnd w:id="90"/>
      <w:bookmarkEnd w:id="91"/>
      <w:bookmarkEnd w:id="92"/>
    </w:p>
    <w:p w:rsidR="00534BB4" w:rsidRPr="00705DC0" w:rsidRDefault="00534BB4" w:rsidP="00E654ED">
      <w:pPr>
        <w:pStyle w:val="Heading5"/>
      </w:pPr>
      <w:r>
        <w:t>Study DERM-303</w:t>
      </w:r>
    </w:p>
    <w:p w:rsidR="00534BB4" w:rsidRDefault="00534BB4" w:rsidP="00534BB4">
      <w:r w:rsidRPr="00F05198">
        <w:t>This was a randomised, double-blind, placebo-controlled, parallel-group study of doxycycline hydrochloride 20</w:t>
      </w:r>
      <w:r>
        <w:t xml:space="preserve"> mg (Periostat) tablets taken bd for 16 weeks by patients with rosacea. Inclusion and exclusion criteria were similar to those used in the pivotal studies. 134 patients were randomised (67 Periostat, 67 </w:t>
      </w:r>
      <w:proofErr w:type="gramStart"/>
      <w:r>
        <w:t>placebo</w:t>
      </w:r>
      <w:proofErr w:type="gramEnd"/>
      <w:r>
        <w:t>). Baseline demographics are tabulated below.</w:t>
      </w:r>
    </w:p>
    <w:p w:rsidR="00534BB4" w:rsidRDefault="00E654ED" w:rsidP="005A4A31">
      <w:pPr>
        <w:pStyle w:val="TableTitle"/>
      </w:pPr>
      <w:proofErr w:type="gramStart"/>
      <w:r>
        <w:t>Table 1</w:t>
      </w:r>
      <w:r w:rsidR="00D42840">
        <w:t>7</w:t>
      </w:r>
      <w:r>
        <w:t>.</w:t>
      </w:r>
      <w:proofErr w:type="gramEnd"/>
      <w:r>
        <w:t xml:space="preserve"> Baseline demographics</w:t>
      </w:r>
    </w:p>
    <w:tbl>
      <w:tblPr>
        <w:tblStyle w:val="TableGrid"/>
        <w:tblW w:w="0" w:type="auto"/>
        <w:jc w:val="center"/>
        <w:tblLook w:val="04A0"/>
      </w:tblPr>
      <w:tblGrid>
        <w:gridCol w:w="2693"/>
        <w:gridCol w:w="1648"/>
        <w:gridCol w:w="1890"/>
        <w:gridCol w:w="1890"/>
      </w:tblGrid>
      <w:tr w:rsidR="00534BB4" w:rsidRPr="00816421" w:rsidTr="005A4A31">
        <w:trPr>
          <w:tblHeader/>
          <w:jc w:val="center"/>
        </w:trPr>
        <w:tc>
          <w:tcPr>
            <w:tcW w:w="2693" w:type="dxa"/>
            <w:shd w:val="clear" w:color="auto" w:fill="0070C0"/>
            <w:vAlign w:val="center"/>
          </w:tcPr>
          <w:p w:rsidR="00534BB4" w:rsidRPr="00E654ED" w:rsidRDefault="00534BB4" w:rsidP="00152865">
            <w:pPr>
              <w:autoSpaceDE w:val="0"/>
              <w:autoSpaceDN w:val="0"/>
              <w:adjustRightInd w:val="0"/>
              <w:rPr>
                <w:b/>
                <w:color w:val="FFFFFF" w:themeColor="background1"/>
                <w:sz w:val="20"/>
                <w:szCs w:val="20"/>
              </w:rPr>
            </w:pPr>
            <w:r w:rsidRPr="00E654ED">
              <w:rPr>
                <w:b/>
                <w:color w:val="FFFFFF" w:themeColor="background1"/>
                <w:sz w:val="20"/>
                <w:szCs w:val="20"/>
              </w:rPr>
              <w:t>Characteristic</w:t>
            </w:r>
          </w:p>
        </w:tc>
        <w:tc>
          <w:tcPr>
            <w:tcW w:w="1648" w:type="dxa"/>
            <w:shd w:val="clear" w:color="auto" w:fill="0070C0"/>
            <w:vAlign w:val="center"/>
          </w:tcPr>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Periostat</w:t>
            </w:r>
          </w:p>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 xml:space="preserve"> (N=67)</w:t>
            </w:r>
          </w:p>
        </w:tc>
        <w:tc>
          <w:tcPr>
            <w:tcW w:w="1890" w:type="dxa"/>
            <w:shd w:val="clear" w:color="auto" w:fill="0070C0"/>
            <w:vAlign w:val="center"/>
          </w:tcPr>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Placebo</w:t>
            </w:r>
          </w:p>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 xml:space="preserve"> (N=67)</w:t>
            </w:r>
          </w:p>
        </w:tc>
        <w:tc>
          <w:tcPr>
            <w:tcW w:w="1890" w:type="dxa"/>
            <w:shd w:val="clear" w:color="auto" w:fill="0070C0"/>
            <w:vAlign w:val="center"/>
          </w:tcPr>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Total</w:t>
            </w:r>
          </w:p>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(N=134)</w:t>
            </w:r>
          </w:p>
        </w:tc>
      </w:tr>
      <w:tr w:rsidR="00534BB4" w:rsidTr="005A4A31">
        <w:trPr>
          <w:jc w:val="center"/>
        </w:trPr>
        <w:tc>
          <w:tcPr>
            <w:tcW w:w="2693" w:type="dxa"/>
          </w:tcPr>
          <w:p w:rsidR="00534BB4" w:rsidRPr="00E654ED" w:rsidRDefault="00E654ED" w:rsidP="00E654ED">
            <w:pPr>
              <w:autoSpaceDE w:val="0"/>
              <w:autoSpaceDN w:val="0"/>
              <w:adjustRightInd w:val="0"/>
              <w:ind w:left="142"/>
              <w:rPr>
                <w:b/>
                <w:sz w:val="20"/>
                <w:szCs w:val="20"/>
              </w:rPr>
            </w:pPr>
            <w:r w:rsidRPr="00E654ED">
              <w:rPr>
                <w:b/>
                <w:sz w:val="20"/>
                <w:szCs w:val="20"/>
              </w:rPr>
              <w:t xml:space="preserve">Age </w:t>
            </w:r>
            <w:r>
              <w:rPr>
                <w:b/>
                <w:sz w:val="20"/>
                <w:szCs w:val="20"/>
              </w:rPr>
              <w:t>Y</w:t>
            </w:r>
            <w:r w:rsidRPr="00E654ED">
              <w:rPr>
                <w:b/>
                <w:sz w:val="20"/>
                <w:szCs w:val="20"/>
              </w:rPr>
              <w:t>ears</w:t>
            </w:r>
            <w:r>
              <w:rPr>
                <w:b/>
                <w:sz w:val="20"/>
                <w:szCs w:val="20"/>
              </w:rPr>
              <w:t xml:space="preserve"> </w:t>
            </w:r>
            <w:r w:rsidR="00534BB4" w:rsidRPr="00E654ED">
              <w:rPr>
                <w:b/>
                <w:sz w:val="20"/>
                <w:szCs w:val="20"/>
              </w:rPr>
              <w:t>Mean (Range)</w:t>
            </w:r>
          </w:p>
        </w:tc>
        <w:tc>
          <w:tcPr>
            <w:tcW w:w="1648" w:type="dxa"/>
            <w:vAlign w:val="center"/>
          </w:tcPr>
          <w:p w:rsidR="00534BB4" w:rsidRPr="00816421" w:rsidRDefault="00534BB4" w:rsidP="00152865">
            <w:pPr>
              <w:autoSpaceDE w:val="0"/>
              <w:autoSpaceDN w:val="0"/>
              <w:adjustRightInd w:val="0"/>
              <w:jc w:val="center"/>
              <w:rPr>
                <w:sz w:val="20"/>
                <w:szCs w:val="20"/>
              </w:rPr>
            </w:pPr>
            <w:r>
              <w:rPr>
                <w:sz w:val="20"/>
                <w:szCs w:val="20"/>
              </w:rPr>
              <w:t>44.5 (25-65)</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48.9 (26-81)</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46.7 (25-81)</w:t>
            </w:r>
          </w:p>
        </w:tc>
      </w:tr>
      <w:tr w:rsidR="00534BB4" w:rsidTr="005A4A31">
        <w:trPr>
          <w:jc w:val="center"/>
        </w:trPr>
        <w:tc>
          <w:tcPr>
            <w:tcW w:w="2693" w:type="dxa"/>
          </w:tcPr>
          <w:p w:rsidR="00534BB4" w:rsidRPr="00E654ED" w:rsidRDefault="00534BB4" w:rsidP="00152865">
            <w:pPr>
              <w:autoSpaceDE w:val="0"/>
              <w:autoSpaceDN w:val="0"/>
              <w:adjustRightInd w:val="0"/>
              <w:ind w:left="142"/>
              <w:rPr>
                <w:b/>
                <w:sz w:val="20"/>
                <w:szCs w:val="20"/>
              </w:rPr>
            </w:pPr>
            <w:r w:rsidRPr="00E654ED">
              <w:rPr>
                <w:b/>
                <w:sz w:val="20"/>
                <w:szCs w:val="20"/>
              </w:rPr>
              <w:t>M</w:t>
            </w:r>
            <w:r w:rsidR="00E654ED">
              <w:rPr>
                <w:b/>
                <w:sz w:val="20"/>
                <w:szCs w:val="20"/>
              </w:rPr>
              <w:t xml:space="preserve">ale </w:t>
            </w:r>
          </w:p>
        </w:tc>
        <w:tc>
          <w:tcPr>
            <w:tcW w:w="1648" w:type="dxa"/>
            <w:vAlign w:val="center"/>
          </w:tcPr>
          <w:p w:rsidR="00534BB4" w:rsidRPr="00816421" w:rsidRDefault="00534BB4" w:rsidP="00152865">
            <w:pPr>
              <w:autoSpaceDE w:val="0"/>
              <w:autoSpaceDN w:val="0"/>
              <w:adjustRightInd w:val="0"/>
              <w:jc w:val="center"/>
              <w:rPr>
                <w:sz w:val="20"/>
                <w:szCs w:val="20"/>
              </w:rPr>
            </w:pPr>
            <w:r>
              <w:rPr>
                <w:sz w:val="20"/>
                <w:szCs w:val="20"/>
              </w:rPr>
              <w:t>13</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27</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40</w:t>
            </w:r>
          </w:p>
        </w:tc>
      </w:tr>
      <w:tr w:rsidR="00534BB4" w:rsidTr="005A4A31">
        <w:trPr>
          <w:jc w:val="center"/>
        </w:trPr>
        <w:tc>
          <w:tcPr>
            <w:tcW w:w="2693" w:type="dxa"/>
          </w:tcPr>
          <w:p w:rsidR="00534BB4" w:rsidRPr="00E654ED" w:rsidRDefault="00534BB4" w:rsidP="00152865">
            <w:pPr>
              <w:autoSpaceDE w:val="0"/>
              <w:autoSpaceDN w:val="0"/>
              <w:adjustRightInd w:val="0"/>
              <w:ind w:left="142"/>
              <w:rPr>
                <w:b/>
                <w:sz w:val="20"/>
                <w:szCs w:val="20"/>
              </w:rPr>
            </w:pPr>
            <w:r w:rsidRPr="00E654ED">
              <w:rPr>
                <w:b/>
                <w:sz w:val="20"/>
                <w:szCs w:val="20"/>
              </w:rPr>
              <w:t>F</w:t>
            </w:r>
            <w:r w:rsidR="00E654ED">
              <w:rPr>
                <w:b/>
                <w:sz w:val="20"/>
                <w:szCs w:val="20"/>
              </w:rPr>
              <w:t>emale</w:t>
            </w:r>
          </w:p>
        </w:tc>
        <w:tc>
          <w:tcPr>
            <w:tcW w:w="1648" w:type="dxa"/>
            <w:vAlign w:val="center"/>
          </w:tcPr>
          <w:p w:rsidR="00534BB4" w:rsidRPr="00816421" w:rsidRDefault="00534BB4" w:rsidP="00152865">
            <w:pPr>
              <w:autoSpaceDE w:val="0"/>
              <w:autoSpaceDN w:val="0"/>
              <w:adjustRightInd w:val="0"/>
              <w:jc w:val="center"/>
              <w:rPr>
                <w:sz w:val="20"/>
                <w:szCs w:val="20"/>
              </w:rPr>
            </w:pPr>
            <w:r>
              <w:rPr>
                <w:sz w:val="20"/>
                <w:szCs w:val="20"/>
              </w:rPr>
              <w:t>54</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40</w:t>
            </w:r>
          </w:p>
        </w:tc>
        <w:tc>
          <w:tcPr>
            <w:tcW w:w="1890" w:type="dxa"/>
            <w:vAlign w:val="center"/>
          </w:tcPr>
          <w:p w:rsidR="00534BB4" w:rsidRPr="00816421" w:rsidRDefault="00534BB4" w:rsidP="00152865">
            <w:pPr>
              <w:autoSpaceDE w:val="0"/>
              <w:autoSpaceDN w:val="0"/>
              <w:adjustRightInd w:val="0"/>
              <w:jc w:val="center"/>
              <w:rPr>
                <w:sz w:val="20"/>
                <w:szCs w:val="20"/>
              </w:rPr>
            </w:pPr>
            <w:r>
              <w:rPr>
                <w:sz w:val="20"/>
                <w:szCs w:val="20"/>
              </w:rPr>
              <w:t>94</w:t>
            </w:r>
          </w:p>
        </w:tc>
      </w:tr>
    </w:tbl>
    <w:p w:rsidR="00534BB4" w:rsidRDefault="00534BB4" w:rsidP="00534BB4">
      <w:r>
        <w:t>Analyses of the 2 designated primary efficacy variables are tabulated below.</w:t>
      </w:r>
    </w:p>
    <w:p w:rsidR="00534BB4" w:rsidRDefault="00E654ED" w:rsidP="00EF1D6C">
      <w:pPr>
        <w:pStyle w:val="TableTitle"/>
      </w:pPr>
      <w:proofErr w:type="gramStart"/>
      <w:r>
        <w:lastRenderedPageBreak/>
        <w:t>Table 1</w:t>
      </w:r>
      <w:r w:rsidR="00D42840">
        <w:t>8</w:t>
      </w:r>
      <w:r>
        <w:t>.</w:t>
      </w:r>
      <w:proofErr w:type="gramEnd"/>
      <w:r>
        <w:t xml:space="preserve"> Primary efficacy variables</w:t>
      </w:r>
    </w:p>
    <w:tbl>
      <w:tblPr>
        <w:tblStyle w:val="TableGrid"/>
        <w:tblW w:w="0" w:type="auto"/>
        <w:jc w:val="center"/>
        <w:tblLook w:val="04A0"/>
      </w:tblPr>
      <w:tblGrid>
        <w:gridCol w:w="4077"/>
        <w:gridCol w:w="1701"/>
        <w:gridCol w:w="1701"/>
        <w:gridCol w:w="993"/>
      </w:tblGrid>
      <w:tr w:rsidR="00534BB4" w:rsidRPr="00E654ED" w:rsidTr="00EF1D6C">
        <w:trPr>
          <w:tblHeader/>
          <w:jc w:val="center"/>
        </w:trPr>
        <w:tc>
          <w:tcPr>
            <w:tcW w:w="4077" w:type="dxa"/>
            <w:tcBorders>
              <w:top w:val="single" w:sz="4" w:space="0" w:color="auto"/>
              <w:left w:val="single" w:sz="4" w:space="0" w:color="auto"/>
            </w:tcBorders>
            <w:shd w:val="clear" w:color="auto" w:fill="0070C0"/>
            <w:vAlign w:val="center"/>
          </w:tcPr>
          <w:p w:rsidR="00534BB4" w:rsidRPr="00E654ED" w:rsidRDefault="00534BB4" w:rsidP="00E654ED">
            <w:pPr>
              <w:keepNext/>
              <w:autoSpaceDE w:val="0"/>
              <w:autoSpaceDN w:val="0"/>
              <w:adjustRightInd w:val="0"/>
              <w:rPr>
                <w:b/>
                <w:color w:val="FFFFFF" w:themeColor="background1"/>
                <w:sz w:val="20"/>
                <w:szCs w:val="20"/>
              </w:rPr>
            </w:pPr>
            <w:r w:rsidRPr="00E654ED">
              <w:rPr>
                <w:b/>
                <w:color w:val="FFFFFF" w:themeColor="background1"/>
                <w:sz w:val="20"/>
                <w:szCs w:val="20"/>
              </w:rPr>
              <w:t>Parameter − ITT population</w:t>
            </w:r>
          </w:p>
        </w:tc>
        <w:tc>
          <w:tcPr>
            <w:tcW w:w="1701" w:type="dxa"/>
            <w:shd w:val="clear" w:color="auto" w:fill="0070C0"/>
            <w:vAlign w:val="center"/>
          </w:tcPr>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Periostat</w:t>
            </w:r>
          </w:p>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 xml:space="preserve"> (N=67)</w:t>
            </w:r>
          </w:p>
        </w:tc>
        <w:tc>
          <w:tcPr>
            <w:tcW w:w="1701" w:type="dxa"/>
            <w:tcBorders>
              <w:bottom w:val="single" w:sz="4" w:space="0" w:color="auto"/>
            </w:tcBorders>
            <w:shd w:val="clear" w:color="auto" w:fill="0070C0"/>
            <w:vAlign w:val="center"/>
          </w:tcPr>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Placebo</w:t>
            </w:r>
          </w:p>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(N=67)</w:t>
            </w:r>
          </w:p>
        </w:tc>
        <w:tc>
          <w:tcPr>
            <w:tcW w:w="993" w:type="dxa"/>
            <w:tcBorders>
              <w:bottom w:val="single" w:sz="4" w:space="0" w:color="auto"/>
            </w:tcBorders>
            <w:shd w:val="clear" w:color="auto" w:fill="0070C0"/>
            <w:vAlign w:val="center"/>
          </w:tcPr>
          <w:p w:rsidR="00534BB4" w:rsidRPr="00E654ED" w:rsidRDefault="00534BB4" w:rsidP="00152865">
            <w:pPr>
              <w:autoSpaceDE w:val="0"/>
              <w:autoSpaceDN w:val="0"/>
              <w:adjustRightInd w:val="0"/>
              <w:jc w:val="center"/>
              <w:rPr>
                <w:b/>
                <w:color w:val="FFFFFF" w:themeColor="background1"/>
                <w:sz w:val="20"/>
                <w:szCs w:val="20"/>
              </w:rPr>
            </w:pPr>
            <w:r w:rsidRPr="00E654ED">
              <w:rPr>
                <w:b/>
                <w:color w:val="FFFFFF" w:themeColor="background1"/>
                <w:sz w:val="20"/>
                <w:szCs w:val="20"/>
              </w:rPr>
              <w:t>p-value</w:t>
            </w:r>
          </w:p>
        </w:tc>
      </w:tr>
      <w:tr w:rsidR="00534BB4" w:rsidTr="00152865">
        <w:trPr>
          <w:trHeight w:val="340"/>
          <w:jc w:val="center"/>
        </w:trPr>
        <w:tc>
          <w:tcPr>
            <w:tcW w:w="4077" w:type="dxa"/>
            <w:tcBorders>
              <w:right w:val="nil"/>
            </w:tcBorders>
            <w:vAlign w:val="bottom"/>
          </w:tcPr>
          <w:p w:rsidR="00534BB4" w:rsidRDefault="00534BB4" w:rsidP="00E654ED">
            <w:pPr>
              <w:keepNext/>
              <w:autoSpaceDE w:val="0"/>
              <w:autoSpaceDN w:val="0"/>
              <w:adjustRightInd w:val="0"/>
              <w:rPr>
                <w:sz w:val="20"/>
                <w:szCs w:val="20"/>
              </w:rPr>
            </w:pPr>
            <w:r w:rsidRPr="00AA02A6">
              <w:rPr>
                <w:b/>
                <w:sz w:val="20"/>
                <w:szCs w:val="20"/>
              </w:rPr>
              <w:t>Total inflammatory lesions</w:t>
            </w:r>
            <w:r>
              <w:rPr>
                <w:b/>
                <w:sz w:val="20"/>
                <w:szCs w:val="20"/>
                <w:vertAlign w:val="superscript"/>
              </w:rPr>
              <w:t>1</w:t>
            </w:r>
            <w:r w:rsidRPr="00AA02A6">
              <w:rPr>
                <w:b/>
                <w:sz w:val="20"/>
                <w:szCs w:val="20"/>
              </w:rPr>
              <w:t xml:space="preserve"> </w:t>
            </w:r>
          </w:p>
        </w:tc>
        <w:tc>
          <w:tcPr>
            <w:tcW w:w="1701" w:type="dxa"/>
            <w:tcBorders>
              <w:left w:val="nil"/>
              <w:right w:val="nil"/>
            </w:tcBorders>
            <w:vAlign w:val="bottom"/>
          </w:tcPr>
          <w:p w:rsidR="00534BB4" w:rsidRPr="00816421" w:rsidRDefault="00534BB4" w:rsidP="00152865">
            <w:pPr>
              <w:autoSpaceDE w:val="0"/>
              <w:autoSpaceDN w:val="0"/>
              <w:adjustRightInd w:val="0"/>
              <w:rPr>
                <w:sz w:val="20"/>
                <w:szCs w:val="20"/>
              </w:rPr>
            </w:pPr>
          </w:p>
        </w:tc>
        <w:tc>
          <w:tcPr>
            <w:tcW w:w="1701" w:type="dxa"/>
            <w:tcBorders>
              <w:left w:val="nil"/>
              <w:right w:val="nil"/>
            </w:tcBorders>
            <w:vAlign w:val="bottom"/>
          </w:tcPr>
          <w:p w:rsidR="00534BB4" w:rsidRPr="00816421" w:rsidRDefault="00534BB4" w:rsidP="00152865">
            <w:pPr>
              <w:autoSpaceDE w:val="0"/>
              <w:autoSpaceDN w:val="0"/>
              <w:adjustRightInd w:val="0"/>
              <w:rPr>
                <w:sz w:val="20"/>
                <w:szCs w:val="20"/>
              </w:rPr>
            </w:pPr>
          </w:p>
        </w:tc>
        <w:tc>
          <w:tcPr>
            <w:tcW w:w="993" w:type="dxa"/>
            <w:tcBorders>
              <w:left w:val="nil"/>
            </w:tcBorders>
            <w:vAlign w:val="bottom"/>
          </w:tcPr>
          <w:p w:rsidR="00534BB4" w:rsidRPr="00816421" w:rsidRDefault="00534BB4" w:rsidP="00152865">
            <w:pPr>
              <w:autoSpaceDE w:val="0"/>
              <w:autoSpaceDN w:val="0"/>
              <w:adjustRightInd w:val="0"/>
              <w:rPr>
                <w:sz w:val="20"/>
                <w:szCs w:val="20"/>
              </w:rPr>
            </w:pPr>
          </w:p>
        </w:tc>
      </w:tr>
      <w:tr w:rsidR="00534BB4" w:rsidTr="00152865">
        <w:trPr>
          <w:jc w:val="center"/>
        </w:trPr>
        <w:tc>
          <w:tcPr>
            <w:tcW w:w="4077" w:type="dxa"/>
          </w:tcPr>
          <w:p w:rsidR="00534BB4" w:rsidRDefault="00534BB4" w:rsidP="00E654ED">
            <w:pPr>
              <w:keepNext/>
              <w:autoSpaceDE w:val="0"/>
              <w:autoSpaceDN w:val="0"/>
              <w:adjustRightInd w:val="0"/>
              <w:ind w:left="142"/>
              <w:rPr>
                <w:sz w:val="20"/>
                <w:szCs w:val="20"/>
              </w:rPr>
            </w:pPr>
            <w:r>
              <w:rPr>
                <w:sz w:val="20"/>
                <w:szCs w:val="20"/>
              </w:rPr>
              <w:t>Baseline, N</w:t>
            </w:r>
          </w:p>
        </w:tc>
        <w:tc>
          <w:tcPr>
            <w:tcW w:w="1701" w:type="dxa"/>
            <w:vAlign w:val="center"/>
          </w:tcPr>
          <w:p w:rsidR="00534BB4" w:rsidRDefault="00534BB4" w:rsidP="00152865">
            <w:pPr>
              <w:autoSpaceDE w:val="0"/>
              <w:autoSpaceDN w:val="0"/>
              <w:adjustRightInd w:val="0"/>
              <w:jc w:val="center"/>
              <w:rPr>
                <w:sz w:val="20"/>
                <w:szCs w:val="20"/>
              </w:rPr>
            </w:pPr>
            <w:r>
              <w:rPr>
                <w:sz w:val="20"/>
                <w:szCs w:val="20"/>
              </w:rPr>
              <w:t>67</w:t>
            </w:r>
          </w:p>
        </w:tc>
        <w:tc>
          <w:tcPr>
            <w:tcW w:w="1701" w:type="dxa"/>
            <w:vAlign w:val="center"/>
          </w:tcPr>
          <w:p w:rsidR="00534BB4" w:rsidRDefault="00534BB4" w:rsidP="00152865">
            <w:pPr>
              <w:autoSpaceDE w:val="0"/>
              <w:autoSpaceDN w:val="0"/>
              <w:adjustRightInd w:val="0"/>
              <w:jc w:val="center"/>
              <w:rPr>
                <w:sz w:val="20"/>
                <w:szCs w:val="20"/>
              </w:rPr>
            </w:pPr>
            <w:r>
              <w:rPr>
                <w:sz w:val="20"/>
                <w:szCs w:val="20"/>
              </w:rPr>
              <w:t>67</w:t>
            </w:r>
          </w:p>
        </w:tc>
        <w:tc>
          <w:tcPr>
            <w:tcW w:w="993" w:type="dxa"/>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4077" w:type="dxa"/>
          </w:tcPr>
          <w:p w:rsidR="00534BB4" w:rsidRDefault="00534BB4" w:rsidP="00E654ED">
            <w:pPr>
              <w:keepNext/>
              <w:autoSpaceDE w:val="0"/>
              <w:autoSpaceDN w:val="0"/>
              <w:adjustRightInd w:val="0"/>
              <w:ind w:left="313"/>
              <w:rPr>
                <w:sz w:val="20"/>
                <w:szCs w:val="20"/>
              </w:rPr>
            </w:pPr>
            <w:r>
              <w:rPr>
                <w:sz w:val="20"/>
                <w:szCs w:val="20"/>
              </w:rPr>
              <w:t>Mean (sd)</w:t>
            </w:r>
          </w:p>
        </w:tc>
        <w:tc>
          <w:tcPr>
            <w:tcW w:w="1701" w:type="dxa"/>
            <w:vAlign w:val="center"/>
          </w:tcPr>
          <w:p w:rsidR="00534BB4" w:rsidRDefault="00534BB4" w:rsidP="00152865">
            <w:pPr>
              <w:autoSpaceDE w:val="0"/>
              <w:autoSpaceDN w:val="0"/>
              <w:adjustRightInd w:val="0"/>
              <w:jc w:val="center"/>
              <w:rPr>
                <w:sz w:val="20"/>
                <w:szCs w:val="20"/>
              </w:rPr>
            </w:pPr>
            <w:r>
              <w:rPr>
                <w:sz w:val="20"/>
                <w:szCs w:val="20"/>
              </w:rPr>
              <w:t>18.7 (6.8)</w:t>
            </w:r>
          </w:p>
        </w:tc>
        <w:tc>
          <w:tcPr>
            <w:tcW w:w="1701" w:type="dxa"/>
            <w:vAlign w:val="center"/>
          </w:tcPr>
          <w:p w:rsidR="00534BB4" w:rsidRDefault="00534BB4" w:rsidP="00152865">
            <w:pPr>
              <w:autoSpaceDE w:val="0"/>
              <w:autoSpaceDN w:val="0"/>
              <w:adjustRightInd w:val="0"/>
              <w:jc w:val="center"/>
              <w:rPr>
                <w:sz w:val="20"/>
                <w:szCs w:val="20"/>
              </w:rPr>
            </w:pPr>
            <w:r>
              <w:rPr>
                <w:sz w:val="20"/>
                <w:szCs w:val="20"/>
              </w:rPr>
              <w:t>17.4 (7.1)</w:t>
            </w:r>
          </w:p>
        </w:tc>
        <w:tc>
          <w:tcPr>
            <w:tcW w:w="993" w:type="dxa"/>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4077" w:type="dxa"/>
          </w:tcPr>
          <w:p w:rsidR="00534BB4" w:rsidRDefault="00534BB4" w:rsidP="00E654ED">
            <w:pPr>
              <w:keepNext/>
              <w:autoSpaceDE w:val="0"/>
              <w:autoSpaceDN w:val="0"/>
              <w:adjustRightInd w:val="0"/>
              <w:ind w:left="142"/>
              <w:rPr>
                <w:sz w:val="20"/>
                <w:szCs w:val="20"/>
              </w:rPr>
            </w:pPr>
            <w:r>
              <w:rPr>
                <w:sz w:val="20"/>
                <w:szCs w:val="20"/>
              </w:rPr>
              <w:t>Endpoint (Week 16), N</w:t>
            </w:r>
          </w:p>
        </w:tc>
        <w:tc>
          <w:tcPr>
            <w:tcW w:w="1701" w:type="dxa"/>
            <w:vAlign w:val="center"/>
          </w:tcPr>
          <w:p w:rsidR="00534BB4" w:rsidRDefault="00534BB4" w:rsidP="00152865">
            <w:pPr>
              <w:autoSpaceDE w:val="0"/>
              <w:autoSpaceDN w:val="0"/>
              <w:adjustRightInd w:val="0"/>
              <w:jc w:val="center"/>
              <w:rPr>
                <w:sz w:val="20"/>
                <w:szCs w:val="20"/>
              </w:rPr>
            </w:pPr>
            <w:r>
              <w:rPr>
                <w:sz w:val="20"/>
                <w:szCs w:val="20"/>
              </w:rPr>
              <w:t>61</w:t>
            </w:r>
          </w:p>
        </w:tc>
        <w:tc>
          <w:tcPr>
            <w:tcW w:w="1701" w:type="dxa"/>
            <w:vAlign w:val="center"/>
          </w:tcPr>
          <w:p w:rsidR="00534BB4" w:rsidRDefault="00534BB4" w:rsidP="00152865">
            <w:pPr>
              <w:autoSpaceDE w:val="0"/>
              <w:autoSpaceDN w:val="0"/>
              <w:adjustRightInd w:val="0"/>
              <w:jc w:val="center"/>
              <w:rPr>
                <w:sz w:val="20"/>
                <w:szCs w:val="20"/>
              </w:rPr>
            </w:pPr>
            <w:r>
              <w:rPr>
                <w:sz w:val="20"/>
                <w:szCs w:val="20"/>
              </w:rPr>
              <w:t>66</w:t>
            </w:r>
          </w:p>
        </w:tc>
        <w:tc>
          <w:tcPr>
            <w:tcW w:w="993" w:type="dxa"/>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4077" w:type="dxa"/>
          </w:tcPr>
          <w:p w:rsidR="00534BB4" w:rsidRPr="00816421" w:rsidRDefault="00534BB4" w:rsidP="00E654ED">
            <w:pPr>
              <w:keepNext/>
              <w:autoSpaceDE w:val="0"/>
              <w:autoSpaceDN w:val="0"/>
              <w:adjustRightInd w:val="0"/>
              <w:ind w:left="313"/>
              <w:rPr>
                <w:sz w:val="20"/>
                <w:szCs w:val="20"/>
              </w:rPr>
            </w:pPr>
            <w:r>
              <w:rPr>
                <w:sz w:val="20"/>
                <w:szCs w:val="20"/>
              </w:rPr>
              <w:t>Mean (sd)</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11.7 (10.2)</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13.7 (9.6)</w:t>
            </w:r>
          </w:p>
        </w:tc>
        <w:tc>
          <w:tcPr>
            <w:tcW w:w="993" w:type="dxa"/>
            <w:vAlign w:val="center"/>
          </w:tcPr>
          <w:p w:rsidR="00534BB4" w:rsidRPr="00816421" w:rsidRDefault="00534BB4" w:rsidP="00152865">
            <w:pPr>
              <w:autoSpaceDE w:val="0"/>
              <w:autoSpaceDN w:val="0"/>
              <w:adjustRightInd w:val="0"/>
              <w:jc w:val="center"/>
              <w:rPr>
                <w:sz w:val="20"/>
                <w:szCs w:val="20"/>
              </w:rPr>
            </w:pPr>
          </w:p>
        </w:tc>
      </w:tr>
      <w:tr w:rsidR="00534BB4" w:rsidTr="00152865">
        <w:trPr>
          <w:jc w:val="center"/>
        </w:trPr>
        <w:tc>
          <w:tcPr>
            <w:tcW w:w="4077" w:type="dxa"/>
          </w:tcPr>
          <w:p w:rsidR="00534BB4" w:rsidRPr="00816421" w:rsidRDefault="00534BB4" w:rsidP="00E654ED">
            <w:pPr>
              <w:keepNext/>
              <w:autoSpaceDE w:val="0"/>
              <w:autoSpaceDN w:val="0"/>
              <w:adjustRightInd w:val="0"/>
              <w:ind w:left="142"/>
              <w:rPr>
                <w:sz w:val="20"/>
                <w:szCs w:val="20"/>
              </w:rPr>
            </w:pPr>
            <w:r>
              <w:rPr>
                <w:sz w:val="20"/>
                <w:szCs w:val="20"/>
              </w:rPr>
              <w:t>Change from baseline to Week 16, mean (sd)</w:t>
            </w:r>
          </w:p>
        </w:tc>
        <w:tc>
          <w:tcPr>
            <w:tcW w:w="1701"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-6.7 (8.9)</w:t>
            </w:r>
          </w:p>
        </w:tc>
        <w:tc>
          <w:tcPr>
            <w:tcW w:w="1701"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-3.8 (8.2)</w:t>
            </w:r>
          </w:p>
        </w:tc>
        <w:tc>
          <w:tcPr>
            <w:tcW w:w="993" w:type="dxa"/>
            <w:tcBorders>
              <w:bottom w:val="single" w:sz="4" w:space="0" w:color="auto"/>
            </w:tcBorders>
            <w:vAlign w:val="center"/>
          </w:tcPr>
          <w:p w:rsidR="00534BB4" w:rsidRPr="00816421" w:rsidRDefault="00534BB4" w:rsidP="00152865">
            <w:pPr>
              <w:autoSpaceDE w:val="0"/>
              <w:autoSpaceDN w:val="0"/>
              <w:adjustRightInd w:val="0"/>
              <w:jc w:val="center"/>
              <w:rPr>
                <w:sz w:val="20"/>
                <w:szCs w:val="20"/>
              </w:rPr>
            </w:pPr>
            <w:r>
              <w:rPr>
                <w:sz w:val="20"/>
                <w:szCs w:val="20"/>
              </w:rPr>
              <w:t>&lt; 0.009</w:t>
            </w:r>
            <w:r>
              <w:rPr>
                <w:sz w:val="20"/>
                <w:szCs w:val="20"/>
                <w:vertAlign w:val="superscript"/>
              </w:rPr>
              <w:t>2</w:t>
            </w:r>
          </w:p>
        </w:tc>
      </w:tr>
    </w:tbl>
    <w:p w:rsidR="00E654ED" w:rsidRDefault="00E654ED" w:rsidP="00EF1D6C">
      <w:pPr>
        <w:pStyle w:val="TableTitle"/>
      </w:pPr>
      <w:proofErr w:type="gramStart"/>
      <w:r>
        <w:t xml:space="preserve">Table </w:t>
      </w:r>
      <w:r w:rsidR="00D42840">
        <w:t>19</w:t>
      </w:r>
      <w:r>
        <w:t>.</w:t>
      </w:r>
      <w:proofErr w:type="gramEnd"/>
      <w:r>
        <w:t xml:space="preserve"> CEA Total score</w:t>
      </w:r>
    </w:p>
    <w:tbl>
      <w:tblPr>
        <w:tblStyle w:val="TableGrid"/>
        <w:tblW w:w="0" w:type="auto"/>
        <w:jc w:val="center"/>
        <w:tblLook w:val="04A0"/>
      </w:tblPr>
      <w:tblGrid>
        <w:gridCol w:w="4077"/>
        <w:gridCol w:w="1701"/>
        <w:gridCol w:w="1701"/>
        <w:gridCol w:w="993"/>
      </w:tblGrid>
      <w:tr w:rsidR="00534BB4" w:rsidRPr="00685DCB" w:rsidTr="00EF1D6C">
        <w:trPr>
          <w:trHeight w:val="340"/>
          <w:tblHeader/>
          <w:jc w:val="center"/>
        </w:trPr>
        <w:tc>
          <w:tcPr>
            <w:tcW w:w="4077" w:type="dxa"/>
            <w:tcBorders>
              <w:right w:val="nil"/>
            </w:tcBorders>
            <w:shd w:val="clear" w:color="auto" w:fill="0070C0"/>
            <w:vAlign w:val="bottom"/>
          </w:tcPr>
          <w:p w:rsidR="00534BB4" w:rsidRPr="00E654ED" w:rsidRDefault="00534BB4" w:rsidP="00152865">
            <w:pPr>
              <w:autoSpaceDE w:val="0"/>
              <w:autoSpaceDN w:val="0"/>
              <w:adjustRightInd w:val="0"/>
              <w:ind w:left="29"/>
              <w:rPr>
                <w:b/>
                <w:color w:val="FFFFFF" w:themeColor="background1"/>
                <w:sz w:val="20"/>
                <w:szCs w:val="20"/>
              </w:rPr>
            </w:pPr>
            <w:r w:rsidRPr="00E654ED">
              <w:rPr>
                <w:b/>
                <w:color w:val="FFFFFF" w:themeColor="background1"/>
                <w:sz w:val="20"/>
                <w:szCs w:val="20"/>
              </w:rPr>
              <w:t>CEA, Total score</w:t>
            </w:r>
          </w:p>
        </w:tc>
        <w:tc>
          <w:tcPr>
            <w:tcW w:w="1701" w:type="dxa"/>
            <w:tcBorders>
              <w:left w:val="nil"/>
              <w:right w:val="nil"/>
            </w:tcBorders>
            <w:shd w:val="clear" w:color="auto" w:fill="0070C0"/>
            <w:vAlign w:val="bottom"/>
          </w:tcPr>
          <w:p w:rsidR="00534BB4" w:rsidRPr="00E654ED" w:rsidRDefault="00534BB4" w:rsidP="00152865">
            <w:pPr>
              <w:autoSpaceDE w:val="0"/>
              <w:autoSpaceDN w:val="0"/>
              <w:adjustRightInd w:val="0"/>
              <w:rPr>
                <w:b/>
                <w:color w:val="FFFFFF" w:themeColor="background1"/>
                <w:sz w:val="20"/>
                <w:szCs w:val="20"/>
              </w:rPr>
            </w:pPr>
          </w:p>
        </w:tc>
        <w:tc>
          <w:tcPr>
            <w:tcW w:w="1701" w:type="dxa"/>
            <w:tcBorders>
              <w:left w:val="nil"/>
              <w:right w:val="nil"/>
            </w:tcBorders>
            <w:shd w:val="clear" w:color="auto" w:fill="0070C0"/>
            <w:vAlign w:val="bottom"/>
          </w:tcPr>
          <w:p w:rsidR="00534BB4" w:rsidRPr="00E654ED" w:rsidRDefault="00534BB4" w:rsidP="00152865">
            <w:pPr>
              <w:autoSpaceDE w:val="0"/>
              <w:autoSpaceDN w:val="0"/>
              <w:adjustRightInd w:val="0"/>
              <w:rPr>
                <w:b/>
                <w:color w:val="FFFFFF" w:themeColor="background1"/>
                <w:sz w:val="20"/>
                <w:szCs w:val="20"/>
              </w:rPr>
            </w:pPr>
          </w:p>
        </w:tc>
        <w:tc>
          <w:tcPr>
            <w:tcW w:w="993" w:type="dxa"/>
            <w:tcBorders>
              <w:left w:val="nil"/>
            </w:tcBorders>
            <w:shd w:val="clear" w:color="auto" w:fill="0070C0"/>
            <w:vAlign w:val="bottom"/>
          </w:tcPr>
          <w:p w:rsidR="00534BB4" w:rsidRPr="00E654ED" w:rsidRDefault="00534BB4" w:rsidP="00152865">
            <w:pPr>
              <w:autoSpaceDE w:val="0"/>
              <w:autoSpaceDN w:val="0"/>
              <w:adjustRightInd w:val="0"/>
              <w:rPr>
                <w:b/>
                <w:color w:val="FFFFFF" w:themeColor="background1"/>
                <w:sz w:val="20"/>
                <w:szCs w:val="20"/>
              </w:rPr>
            </w:pPr>
          </w:p>
        </w:tc>
      </w:tr>
      <w:tr w:rsidR="00534BB4" w:rsidTr="00152865">
        <w:trPr>
          <w:jc w:val="center"/>
        </w:trPr>
        <w:tc>
          <w:tcPr>
            <w:tcW w:w="4077" w:type="dxa"/>
          </w:tcPr>
          <w:p w:rsidR="00534BB4" w:rsidRDefault="00534BB4" w:rsidP="00152865">
            <w:pPr>
              <w:autoSpaceDE w:val="0"/>
              <w:autoSpaceDN w:val="0"/>
              <w:adjustRightInd w:val="0"/>
              <w:ind w:left="142"/>
              <w:rPr>
                <w:sz w:val="20"/>
                <w:szCs w:val="20"/>
              </w:rPr>
            </w:pPr>
            <w:r>
              <w:rPr>
                <w:sz w:val="20"/>
                <w:szCs w:val="20"/>
              </w:rPr>
              <w:t>Baseline, N</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67</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67</w:t>
            </w:r>
          </w:p>
        </w:tc>
        <w:tc>
          <w:tcPr>
            <w:tcW w:w="993" w:type="dxa"/>
            <w:vAlign w:val="center"/>
          </w:tcPr>
          <w:p w:rsidR="00534BB4" w:rsidRDefault="00534BB4" w:rsidP="00152865">
            <w:pPr>
              <w:autoSpaceDE w:val="0"/>
              <w:autoSpaceDN w:val="0"/>
              <w:adjustRightInd w:val="0"/>
              <w:jc w:val="center"/>
              <w:rPr>
                <w:sz w:val="20"/>
                <w:szCs w:val="20"/>
              </w:rPr>
            </w:pPr>
          </w:p>
        </w:tc>
      </w:tr>
      <w:tr w:rsidR="00534BB4" w:rsidTr="00152865">
        <w:trPr>
          <w:jc w:val="center"/>
        </w:trPr>
        <w:tc>
          <w:tcPr>
            <w:tcW w:w="4077" w:type="dxa"/>
          </w:tcPr>
          <w:p w:rsidR="00534BB4" w:rsidRDefault="00534BB4" w:rsidP="00152865">
            <w:pPr>
              <w:autoSpaceDE w:val="0"/>
              <w:autoSpaceDN w:val="0"/>
              <w:adjustRightInd w:val="0"/>
              <w:ind w:left="313"/>
              <w:rPr>
                <w:sz w:val="20"/>
                <w:szCs w:val="20"/>
              </w:rPr>
            </w:pPr>
            <w:r>
              <w:rPr>
                <w:sz w:val="20"/>
                <w:szCs w:val="20"/>
              </w:rPr>
              <w:t>Mean (sd)</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8.8 (2.6)</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8.4 (2.5)</w:t>
            </w:r>
          </w:p>
        </w:tc>
        <w:tc>
          <w:tcPr>
            <w:tcW w:w="993" w:type="dxa"/>
            <w:vAlign w:val="center"/>
          </w:tcPr>
          <w:p w:rsidR="00534BB4" w:rsidRDefault="00534BB4" w:rsidP="00152865">
            <w:pPr>
              <w:autoSpaceDE w:val="0"/>
              <w:autoSpaceDN w:val="0"/>
              <w:adjustRightInd w:val="0"/>
              <w:jc w:val="center"/>
              <w:rPr>
                <w:sz w:val="20"/>
                <w:szCs w:val="20"/>
              </w:rPr>
            </w:pPr>
          </w:p>
        </w:tc>
      </w:tr>
      <w:tr w:rsidR="00534BB4" w:rsidTr="00152865">
        <w:trPr>
          <w:jc w:val="center"/>
        </w:trPr>
        <w:tc>
          <w:tcPr>
            <w:tcW w:w="4077" w:type="dxa"/>
          </w:tcPr>
          <w:p w:rsidR="00534BB4" w:rsidRDefault="00534BB4" w:rsidP="00152865">
            <w:pPr>
              <w:autoSpaceDE w:val="0"/>
              <w:autoSpaceDN w:val="0"/>
              <w:adjustRightInd w:val="0"/>
              <w:ind w:left="142"/>
              <w:rPr>
                <w:sz w:val="20"/>
                <w:szCs w:val="20"/>
              </w:rPr>
            </w:pPr>
            <w:r>
              <w:rPr>
                <w:sz w:val="20"/>
                <w:szCs w:val="20"/>
              </w:rPr>
              <w:t>Endpoint (Week 16), N</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61</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66</w:t>
            </w:r>
          </w:p>
        </w:tc>
        <w:tc>
          <w:tcPr>
            <w:tcW w:w="993" w:type="dxa"/>
            <w:vAlign w:val="center"/>
          </w:tcPr>
          <w:p w:rsidR="00534BB4" w:rsidRDefault="00534BB4" w:rsidP="00152865">
            <w:pPr>
              <w:autoSpaceDE w:val="0"/>
              <w:autoSpaceDN w:val="0"/>
              <w:adjustRightInd w:val="0"/>
              <w:jc w:val="center"/>
              <w:rPr>
                <w:sz w:val="20"/>
                <w:szCs w:val="20"/>
              </w:rPr>
            </w:pPr>
          </w:p>
        </w:tc>
      </w:tr>
      <w:tr w:rsidR="00534BB4" w:rsidTr="00152865">
        <w:trPr>
          <w:jc w:val="center"/>
        </w:trPr>
        <w:tc>
          <w:tcPr>
            <w:tcW w:w="4077" w:type="dxa"/>
          </w:tcPr>
          <w:p w:rsidR="00534BB4" w:rsidRPr="00816421" w:rsidRDefault="00534BB4" w:rsidP="00152865">
            <w:pPr>
              <w:autoSpaceDE w:val="0"/>
              <w:autoSpaceDN w:val="0"/>
              <w:adjustRightInd w:val="0"/>
              <w:ind w:left="313"/>
              <w:rPr>
                <w:sz w:val="20"/>
                <w:szCs w:val="20"/>
              </w:rPr>
            </w:pPr>
            <w:r>
              <w:rPr>
                <w:sz w:val="20"/>
                <w:szCs w:val="20"/>
              </w:rPr>
              <w:t>Mean (sd)</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5.9 (2.7)</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6.4 (2.4)</w:t>
            </w:r>
          </w:p>
        </w:tc>
        <w:tc>
          <w:tcPr>
            <w:tcW w:w="993" w:type="dxa"/>
            <w:vAlign w:val="center"/>
          </w:tcPr>
          <w:p w:rsidR="00534BB4" w:rsidRDefault="00534BB4" w:rsidP="00152865">
            <w:pPr>
              <w:autoSpaceDE w:val="0"/>
              <w:autoSpaceDN w:val="0"/>
              <w:adjustRightInd w:val="0"/>
              <w:jc w:val="center"/>
              <w:rPr>
                <w:sz w:val="20"/>
                <w:szCs w:val="20"/>
              </w:rPr>
            </w:pPr>
          </w:p>
        </w:tc>
      </w:tr>
      <w:tr w:rsidR="00534BB4" w:rsidTr="00152865">
        <w:trPr>
          <w:jc w:val="center"/>
        </w:trPr>
        <w:tc>
          <w:tcPr>
            <w:tcW w:w="4077" w:type="dxa"/>
          </w:tcPr>
          <w:p w:rsidR="00534BB4" w:rsidRPr="00816421" w:rsidRDefault="00534BB4" w:rsidP="00152865">
            <w:pPr>
              <w:autoSpaceDE w:val="0"/>
              <w:autoSpaceDN w:val="0"/>
              <w:adjustRightInd w:val="0"/>
              <w:ind w:left="142"/>
              <w:rPr>
                <w:sz w:val="20"/>
                <w:szCs w:val="20"/>
              </w:rPr>
            </w:pPr>
            <w:r>
              <w:rPr>
                <w:sz w:val="20"/>
                <w:szCs w:val="20"/>
              </w:rPr>
              <w:t>Change from baseline to Week 16, mean (sd)</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-3.0 (3.1)</w:t>
            </w:r>
          </w:p>
        </w:tc>
        <w:tc>
          <w:tcPr>
            <w:tcW w:w="1701" w:type="dxa"/>
            <w:vAlign w:val="center"/>
          </w:tcPr>
          <w:p w:rsidR="00534BB4" w:rsidRPr="00816421" w:rsidRDefault="00534BB4" w:rsidP="00152865">
            <w:pPr>
              <w:autoSpaceDE w:val="0"/>
              <w:autoSpaceDN w:val="0"/>
              <w:adjustRightInd w:val="0"/>
              <w:jc w:val="center"/>
              <w:rPr>
                <w:sz w:val="20"/>
                <w:szCs w:val="20"/>
              </w:rPr>
            </w:pPr>
            <w:r>
              <w:rPr>
                <w:sz w:val="20"/>
                <w:szCs w:val="20"/>
              </w:rPr>
              <w:t>-2.0 (2.8)</w:t>
            </w:r>
          </w:p>
        </w:tc>
        <w:tc>
          <w:tcPr>
            <w:tcW w:w="993" w:type="dxa"/>
            <w:vAlign w:val="center"/>
          </w:tcPr>
          <w:p w:rsidR="00534BB4" w:rsidRDefault="00534BB4" w:rsidP="00152865">
            <w:pPr>
              <w:autoSpaceDE w:val="0"/>
              <w:autoSpaceDN w:val="0"/>
              <w:adjustRightInd w:val="0"/>
              <w:jc w:val="center"/>
              <w:rPr>
                <w:sz w:val="20"/>
                <w:szCs w:val="20"/>
              </w:rPr>
            </w:pPr>
            <w:r>
              <w:rPr>
                <w:sz w:val="20"/>
                <w:szCs w:val="20"/>
              </w:rPr>
              <w:t>NS</w:t>
            </w:r>
            <w:r>
              <w:rPr>
                <w:sz w:val="20"/>
                <w:szCs w:val="20"/>
                <w:vertAlign w:val="superscript"/>
              </w:rPr>
              <w:t>3</w:t>
            </w:r>
          </w:p>
        </w:tc>
      </w:tr>
    </w:tbl>
    <w:p w:rsidR="00534BB4" w:rsidRDefault="00534BB4" w:rsidP="004626E1">
      <w:pPr>
        <w:pStyle w:val="Notes"/>
      </w:pPr>
      <w:r>
        <w:rPr>
          <w:vertAlign w:val="superscript"/>
        </w:rPr>
        <w:t>1</w:t>
      </w:r>
      <w:r w:rsidRPr="002C0F4E">
        <w:t xml:space="preserve"> </w:t>
      </w:r>
      <w:r>
        <w:t>For</w:t>
      </w:r>
      <w:r w:rsidRPr="002C0F4E">
        <w:t xml:space="preserve"> </w:t>
      </w:r>
      <w:r>
        <w:t>this criterion (but not for CEA) the outcome was also significant for the PP population (p=0.035)</w:t>
      </w:r>
    </w:p>
    <w:p w:rsidR="00534BB4" w:rsidRDefault="00534BB4" w:rsidP="004626E1">
      <w:pPr>
        <w:pStyle w:val="Notes"/>
      </w:pPr>
      <w:r>
        <w:rPr>
          <w:vertAlign w:val="superscript"/>
        </w:rPr>
        <w:t>2</w:t>
      </w:r>
      <w:r w:rsidRPr="002C0F4E">
        <w:t xml:space="preserve"> Van Elteren test stratified by centre</w:t>
      </w:r>
    </w:p>
    <w:p w:rsidR="00534BB4" w:rsidRDefault="00534BB4" w:rsidP="004626E1">
      <w:pPr>
        <w:pStyle w:val="Notes"/>
      </w:pPr>
      <w:r>
        <w:rPr>
          <w:vertAlign w:val="superscript"/>
        </w:rPr>
        <w:t>3</w:t>
      </w:r>
      <w:r w:rsidRPr="00685DCB">
        <w:t xml:space="preserve"> ANCOVA model with treatment as the main effect with centre as the covariate</w:t>
      </w:r>
    </w:p>
    <w:p w:rsidR="00534BB4" w:rsidRPr="004C719B" w:rsidRDefault="00534BB4" w:rsidP="00E654ED">
      <w:pPr>
        <w:pStyle w:val="Heading6"/>
        <w:numPr>
          <w:ilvl w:val="0"/>
          <w:numId w:val="0"/>
        </w:numPr>
      </w:pPr>
      <w:r w:rsidRPr="004C719B">
        <w:t>Evaluator’s comments</w:t>
      </w:r>
    </w:p>
    <w:p w:rsidR="00534BB4" w:rsidRDefault="00534BB4" w:rsidP="00E654ED">
      <w:r>
        <w:t xml:space="preserve">This was a study done with a different product, but expected to achieve similar plasma concentrations of doxycycline during a 24-hour period. A small beneficial effect was shown. In terms of efficacy, this study adds nothing to the 2 pivotal studies. </w:t>
      </w:r>
    </w:p>
    <w:p w:rsidR="00534BB4" w:rsidRDefault="00715772" w:rsidP="00E654ED">
      <w:pPr>
        <w:pStyle w:val="Heading3"/>
      </w:pPr>
      <w:bookmarkStart w:id="95" w:name="_Toc241374312"/>
      <w:bookmarkStart w:id="96" w:name="_Toc272414656"/>
      <w:bookmarkStart w:id="97" w:name="_Toc273018219"/>
      <w:bookmarkStart w:id="98" w:name="_Toc348527488"/>
      <w:bookmarkStart w:id="99" w:name="_Toc366439579"/>
      <w:bookmarkEnd w:id="93"/>
      <w:bookmarkEnd w:id="94"/>
      <w:r>
        <w:t>Analyses p</w:t>
      </w:r>
      <w:r w:rsidR="00E654ED">
        <w:t>e</w:t>
      </w:r>
      <w:r>
        <w:t>rformed across t</w:t>
      </w:r>
      <w:r w:rsidR="00E654ED">
        <w:t>rials (</w:t>
      </w:r>
      <w:r>
        <w:t>p</w:t>
      </w:r>
      <w:r w:rsidR="00E654ED">
        <w:t xml:space="preserve">ooled </w:t>
      </w:r>
      <w:r>
        <w:t>analyses and m</w:t>
      </w:r>
      <w:r w:rsidR="00E654ED">
        <w:t>eta-</w:t>
      </w:r>
      <w:r>
        <w:t>a</w:t>
      </w:r>
      <w:r w:rsidR="00E654ED">
        <w:t>nalyses)</w:t>
      </w:r>
      <w:bookmarkEnd w:id="95"/>
      <w:bookmarkEnd w:id="96"/>
      <w:bookmarkEnd w:id="97"/>
      <w:bookmarkEnd w:id="98"/>
      <w:bookmarkEnd w:id="99"/>
    </w:p>
    <w:p w:rsidR="00534BB4" w:rsidRDefault="00E654ED" w:rsidP="00534BB4">
      <w:r>
        <w:t xml:space="preserve">The evaluator </w:t>
      </w:r>
      <w:r w:rsidR="00534BB4">
        <w:t>believe</w:t>
      </w:r>
      <w:r>
        <w:t>d nothing wa</w:t>
      </w:r>
      <w:r w:rsidR="00534BB4">
        <w:t>s to be gained from pooled efficacy analysis of the pivotal studies.</w:t>
      </w:r>
    </w:p>
    <w:p w:rsidR="00534BB4" w:rsidRDefault="00534BB4" w:rsidP="00E654ED">
      <w:pPr>
        <w:pStyle w:val="Heading3"/>
      </w:pPr>
      <w:bookmarkStart w:id="100" w:name="_Toc348527489"/>
      <w:bookmarkStart w:id="101" w:name="_Toc366439580"/>
      <w:r>
        <w:t>E</w:t>
      </w:r>
      <w:r w:rsidR="00715772">
        <w:t>valuator’s c</w:t>
      </w:r>
      <w:r w:rsidR="00E654ED">
        <w:t xml:space="preserve">onclusions on </w:t>
      </w:r>
      <w:r w:rsidR="00715772">
        <w:t>c</w:t>
      </w:r>
      <w:r w:rsidR="00E654ED">
        <w:t xml:space="preserve">linical </w:t>
      </w:r>
      <w:r w:rsidR="00715772">
        <w:t>e</w:t>
      </w:r>
      <w:r w:rsidR="00E654ED">
        <w:t>fficacy</w:t>
      </w:r>
      <w:bookmarkEnd w:id="100"/>
      <w:bookmarkEnd w:id="101"/>
    </w:p>
    <w:p w:rsidR="00534BB4" w:rsidRDefault="00534BB4" w:rsidP="00534BB4">
      <w:r w:rsidRPr="00E654ED">
        <w:t xml:space="preserve">The aetiology of rosacea is not known, and the mode of action of doxycycline in this condition is uncertain. The sponsor suggests − largely on the basis of published pre-clinical studies − that low dose doxycycline has an anti-inflammatory effect, at dosage below that required for a significant antimicrobial effect. This is a matter for the pre-clinical evaluator, or for possible future clinical studies, preferably in conditions of known aetiology in which microorganisms are not thought to play any role. </w:t>
      </w:r>
      <w:r w:rsidR="00E654ED">
        <w:t xml:space="preserve">The evaluator did </w:t>
      </w:r>
      <w:r w:rsidRPr="00E654ED">
        <w:t>not consider that approval of the present application need depend upon elucidation of the mode of action</w:t>
      </w:r>
      <w:r>
        <w:t>.</w:t>
      </w:r>
    </w:p>
    <w:p w:rsidR="00534BB4" w:rsidRDefault="00534BB4" w:rsidP="00E654ED">
      <w:pPr>
        <w:pStyle w:val="Heading4"/>
      </w:pPr>
      <w:bookmarkStart w:id="102" w:name="_Toc348527490"/>
      <w:r>
        <w:lastRenderedPageBreak/>
        <w:t>Major problems</w:t>
      </w:r>
      <w:bookmarkEnd w:id="102"/>
    </w:p>
    <w:p w:rsidR="00534BB4" w:rsidRPr="003C2864" w:rsidRDefault="00534BB4" w:rsidP="00E654ED">
      <w:pPr>
        <w:pStyle w:val="Heading5"/>
      </w:pPr>
      <w:r>
        <w:t>Modified-release property</w:t>
      </w:r>
    </w:p>
    <w:p w:rsidR="00534BB4" w:rsidRPr="002C6EC5" w:rsidRDefault="00534BB4" w:rsidP="00534BB4">
      <w:r>
        <w:t xml:space="preserve">A fundamental problem with the present application is lack of evidence that the modified-release property of Oracea is necessary to its use in rosacea. See </w:t>
      </w:r>
      <w:r w:rsidR="00E654ED" w:rsidRPr="00E654ED">
        <w:rPr>
          <w:i/>
        </w:rPr>
        <w:t>Evaluator’s Overall Conclusions on Pharmacokinetics</w:t>
      </w:r>
      <w:r>
        <w:t xml:space="preserve"> above. The relevant guideline (EMEA 2000) states, at section 2.1:</w:t>
      </w:r>
    </w:p>
    <w:p w:rsidR="00534BB4" w:rsidRPr="002C6EC5" w:rsidRDefault="00534BB4" w:rsidP="00534BB4">
      <w:pPr>
        <w:spacing w:before="40" w:after="40"/>
        <w:ind w:left="709"/>
        <w:rPr>
          <w:sz w:val="20"/>
          <w:szCs w:val="20"/>
        </w:rPr>
      </w:pPr>
      <w:r w:rsidRPr="002C6EC5">
        <w:rPr>
          <w:sz w:val="20"/>
          <w:szCs w:val="20"/>
        </w:rPr>
        <w:t>"</w:t>
      </w:r>
      <w:r w:rsidRPr="00E654ED">
        <w:rPr>
          <w:i/>
        </w:rPr>
        <w:t>The development of a prolonged or delayed release formulation has to be based on a well-defined clinical need and on an integration of physiological, pharmacodynamic and pharmacokinetic considerations</w:t>
      </w:r>
      <w:r w:rsidRPr="002C6EC5">
        <w:rPr>
          <w:sz w:val="20"/>
          <w:szCs w:val="20"/>
        </w:rPr>
        <w:t>."</w:t>
      </w:r>
    </w:p>
    <w:p w:rsidR="00534BB4" w:rsidRDefault="00534BB4" w:rsidP="00534BB4">
      <w:r>
        <w:t xml:space="preserve">Speculation about the mode of action, or about a possible advantage over immediate release preparations regarding resident </w:t>
      </w:r>
      <w:proofErr w:type="spellStart"/>
      <w:r>
        <w:t>microflora</w:t>
      </w:r>
      <w:proofErr w:type="spellEnd"/>
      <w:r>
        <w:t>, cannot in my opinion take the place of clinical testing, aimed at establishing whether Oracea has any efficacy or safety advantage over a once daily dose of an immediate release preparation.</w:t>
      </w:r>
    </w:p>
    <w:p w:rsidR="00534BB4" w:rsidRDefault="00534BB4" w:rsidP="00E654ED">
      <w:pPr>
        <w:pStyle w:val="Heading5"/>
      </w:pPr>
      <w:r>
        <w:t>Effect of food</w:t>
      </w:r>
    </w:p>
    <w:p w:rsidR="00534BB4" w:rsidRPr="00301B4B" w:rsidRDefault="00534BB4" w:rsidP="00534BB4">
      <w:r>
        <w:t xml:space="preserve">An unusual feature of this application is that the main efficacy and safety studies have been done with a modified-release preparation. Although those studies have demonstrated some efficacy and provided safety data, we do not know (because the study protocols were silent on the matter) exactly how the patients were treated: </w:t>
      </w:r>
      <w:proofErr w:type="spellStart"/>
      <w:r w:rsidRPr="00987F0A">
        <w:rPr>
          <w:i/>
        </w:rPr>
        <w:t>ie</w:t>
      </w:r>
      <w:proofErr w:type="spellEnd"/>
      <w:r>
        <w:t xml:space="preserve">, with </w:t>
      </w:r>
      <w:proofErr w:type="spellStart"/>
      <w:r>
        <w:t>Oracea</w:t>
      </w:r>
      <w:proofErr w:type="spellEnd"/>
      <w:r>
        <w:t xml:space="preserve"> taken in fasting conditions, or Oracea taken with food. This point is important, because food has been shown (in Study 105) to have a significant effect on absorption − particularly on C</w:t>
      </w:r>
      <w:r w:rsidRPr="00987F0A">
        <w:rPr>
          <w:vertAlign w:val="subscript"/>
        </w:rPr>
        <w:t>max</w:t>
      </w:r>
      <w:r>
        <w:t xml:space="preserve"> − and the fundamental rationale for the product's development (see </w:t>
      </w:r>
      <w:r w:rsidR="00E654ED">
        <w:t>discussions</w:t>
      </w:r>
      <w:r>
        <w:t xml:space="preserve"> above) relates particularly to the C</w:t>
      </w:r>
      <w:r w:rsidRPr="00987F0A">
        <w:rPr>
          <w:vertAlign w:val="subscript"/>
        </w:rPr>
        <w:t>max</w:t>
      </w:r>
      <w:r>
        <w:t xml:space="preserve"> which it produces. In </w:t>
      </w:r>
      <w:r w:rsidR="00E654ED">
        <w:t>the evaluator’s</w:t>
      </w:r>
      <w:r>
        <w:t xml:space="preserve"> opinion therefore, Studies 301 and 302 contribute no valid efficacy data to the application. The sponsor argues (Module 2, section 2.5, page 18):</w:t>
      </w:r>
    </w:p>
    <w:p w:rsidR="00534BB4" w:rsidRPr="00301B4B" w:rsidRDefault="00534BB4" w:rsidP="00534BB4">
      <w:pPr>
        <w:autoSpaceDE w:val="0"/>
        <w:autoSpaceDN w:val="0"/>
        <w:adjustRightInd w:val="0"/>
        <w:spacing w:before="40" w:after="40"/>
        <w:ind w:left="720"/>
        <w:rPr>
          <w:sz w:val="20"/>
          <w:szCs w:val="20"/>
        </w:rPr>
      </w:pPr>
      <w:r w:rsidRPr="00301B4B">
        <w:rPr>
          <w:sz w:val="20"/>
          <w:szCs w:val="20"/>
        </w:rPr>
        <w:t>"</w:t>
      </w:r>
      <w:r w:rsidRPr="00E654ED">
        <w:rPr>
          <w:i/>
        </w:rPr>
        <w:t>In the single-dose food-effect study involving healthy volunteers … concomitant administration of Oracea with a 1000 calorie, high-fat, high protein meal that included dairy products resulted in a decrease in peak plasma levels of 43.4% and a decrease in overall doxycycline exposure of 20.3% compared to fasted conditions. Thus, the decrease in overall exposure to doxycycline following a high-fat meal (arguably the worst case situation) was modest and is smaller than the variability between the genders observed in the same study …. Patients in the Phase 3 clinical studies were advised to take Oracea capsules once daily in the morning, with no specific instruction with respect to ingestion before or after food. In view of the limited effect of food on doxycycline bioavailability from Oracea and in view of the efficacy observed in Phase 3 studies where timing of dose in relation to meals was not restricted, it is considered that Oracea may be administered with or without food in clinical practice.</w:t>
      </w:r>
      <w:r w:rsidRPr="00301B4B">
        <w:rPr>
          <w:sz w:val="20"/>
          <w:szCs w:val="20"/>
        </w:rPr>
        <w:t>"</w:t>
      </w:r>
    </w:p>
    <w:p w:rsidR="00534BB4" w:rsidRPr="00530324" w:rsidRDefault="00E654ED" w:rsidP="00534BB4">
      <w:pPr>
        <w:autoSpaceDE w:val="0"/>
        <w:autoSpaceDN w:val="0"/>
        <w:adjustRightInd w:val="0"/>
      </w:pPr>
      <w:r>
        <w:t>The evaluator</w:t>
      </w:r>
      <w:r w:rsidR="00534BB4" w:rsidRPr="00530324">
        <w:t xml:space="preserve"> reject</w:t>
      </w:r>
      <w:r>
        <w:t>s</w:t>
      </w:r>
      <w:r w:rsidR="00534BB4" w:rsidRPr="00530324">
        <w:t xml:space="preserve"> every part of this argument. The decrease in overall exposure resulting from food is significant, and the decrease in peak level is substantial. The sponsor has implied elsewhere that the latter is of particular relevance in the present application. The argument in the last sentence lacks logic: The fact that some efficacy was demonstrated in a trial with unrestricted dosing conditions leaves open the possibility that efficacy or safety might have been different in patients who dosed (say) 2 hours before breakfast, compared to efficacy or safety in patients who dosed after breakfast. (The data on "responders"</w:t>
      </w:r>
      <w:r w:rsidR="00A71154">
        <w:t xml:space="preserve">, see </w:t>
      </w:r>
      <w:r w:rsidR="00A71154" w:rsidRPr="00A71154">
        <w:rPr>
          <w:i/>
        </w:rPr>
        <w:t>Pivotal Efficacy Studies</w:t>
      </w:r>
      <w:r w:rsidR="00534BB4" w:rsidRPr="00530324">
        <w:t xml:space="preserve"> above</w:t>
      </w:r>
      <w:r w:rsidR="00A71154">
        <w:t>,</w:t>
      </w:r>
      <w:r w:rsidR="00534BB4" w:rsidRPr="00530324">
        <w:t xml:space="preserve"> are also relevant to this point.)</w:t>
      </w:r>
    </w:p>
    <w:p w:rsidR="00534BB4" w:rsidRDefault="00534BB4" w:rsidP="00A71154">
      <w:pPr>
        <w:pStyle w:val="Heading5"/>
      </w:pPr>
      <w:r>
        <w:t>Dose-finding</w:t>
      </w:r>
    </w:p>
    <w:p w:rsidR="00534BB4" w:rsidRDefault="00534BB4" w:rsidP="00534BB4">
      <w:r>
        <w:t>As no dose-finding studies were presented, it is not known whether the dosage proposed is optimal.</w:t>
      </w:r>
    </w:p>
    <w:p w:rsidR="00534BB4" w:rsidRDefault="00534BB4" w:rsidP="00A71154">
      <w:pPr>
        <w:pStyle w:val="Heading4"/>
      </w:pPr>
      <w:bookmarkStart w:id="103" w:name="_Toc348527491"/>
      <w:r>
        <w:t>Other problems</w:t>
      </w:r>
      <w:bookmarkEnd w:id="103"/>
    </w:p>
    <w:p w:rsidR="00534BB4" w:rsidRDefault="00534BB4" w:rsidP="00534BB4">
      <w:r>
        <w:t xml:space="preserve">As rosacea is a clinical diagnosis, some patients with other diagnoses may have been enrolled in the clinical trials. The exclusion criterion relating to topical corticosteroid use would have </w:t>
      </w:r>
      <w:r>
        <w:lastRenderedPageBreak/>
        <w:t>excluded patients with steroid-induced acne, and the requirement for telangiectasia would have reduced the risk of including adult-onset acne patients in the studies. However, the possibility exists that some of the responses in the pivotal studies may have been in patients who in fact suffered from adult-onset acne rather than rosacea.</w:t>
      </w:r>
    </w:p>
    <w:p w:rsidR="00534BB4" w:rsidRDefault="00534BB4" w:rsidP="00534BB4">
      <w:r>
        <w:t>From the outcome of the pivotal studies, the benefit of Oracea treatment in rosacea appears to be modest, and confined to certain aspects of the condition. Erythema is a principal feature, but benefit was not consistent across the studies. Telangiectasia is often a prominent aspect of rosacea, and presence of this feature was an inclusion criterion in the pivotal studies. However, telangiectasia was not considered in any of the efficacy measures (presumably because it was thought unlikely to respond).</w:t>
      </w:r>
    </w:p>
    <w:p w:rsidR="00534BB4" w:rsidRDefault="00534BB4" w:rsidP="00534BB4">
      <w:r>
        <w:t>As symptoms in rosacea are principally concerned with its appearance, it would have been of interest to include patient self-assessments in the pivotal studies. This is particularly relevant in the present application, where one of the principal features of the condition is regarded as refractory to the treatment studied (see previous paragraph).</w:t>
      </w:r>
    </w:p>
    <w:p w:rsidR="00C22678" w:rsidRPr="00586F98" w:rsidRDefault="00534BB4" w:rsidP="00534BB4">
      <w:pPr>
        <w:rPr>
          <w:lang w:eastAsia="ja-JP"/>
        </w:rPr>
      </w:pPr>
      <w:r>
        <w:t xml:space="preserve">There were no studies comparing Oracea with any other active treatment − such as topical </w:t>
      </w:r>
      <w:proofErr w:type="spellStart"/>
      <w:r>
        <w:t>metronidazole</w:t>
      </w:r>
      <w:proofErr w:type="spellEnd"/>
      <w:r>
        <w:t xml:space="preserve"> or </w:t>
      </w:r>
      <w:proofErr w:type="spellStart"/>
      <w:r>
        <w:t>azelaic</w:t>
      </w:r>
      <w:proofErr w:type="spellEnd"/>
      <w:r>
        <w:t xml:space="preserve"> acid. Studies with active comparators are of particular interest where the first phase 3 studies show only a small benefit.</w:t>
      </w:r>
    </w:p>
    <w:p w:rsidR="00C22678" w:rsidRDefault="00C22678" w:rsidP="00A71154">
      <w:pPr>
        <w:pStyle w:val="Heading2"/>
      </w:pPr>
      <w:bookmarkStart w:id="104" w:name="_Toc366439581"/>
      <w:r>
        <w:t>Clinical</w:t>
      </w:r>
      <w:r w:rsidRPr="00324D05">
        <w:t xml:space="preserve"> </w:t>
      </w:r>
      <w:r>
        <w:t>safety</w:t>
      </w:r>
      <w:bookmarkEnd w:id="104"/>
    </w:p>
    <w:p w:rsidR="00534BB4" w:rsidRPr="004B259C" w:rsidRDefault="00A71154" w:rsidP="00324D05">
      <w:pPr>
        <w:pStyle w:val="Heading3"/>
      </w:pPr>
      <w:bookmarkStart w:id="105" w:name="_Toc272414659"/>
      <w:bookmarkStart w:id="106" w:name="_Toc273018222"/>
      <w:bookmarkStart w:id="107" w:name="_Toc348527493"/>
      <w:bookmarkStart w:id="108" w:name="_Toc366439582"/>
      <w:r>
        <w:t>St</w:t>
      </w:r>
      <w:r w:rsidR="00715772">
        <w:t>udies p</w:t>
      </w:r>
      <w:r>
        <w:t xml:space="preserve">roviding </w:t>
      </w:r>
      <w:r w:rsidR="00715772">
        <w:t>evaluable s</w:t>
      </w:r>
      <w:r>
        <w:t xml:space="preserve">afety </w:t>
      </w:r>
      <w:r w:rsidR="00715772">
        <w:t>d</w:t>
      </w:r>
      <w:r>
        <w:t>ata</w:t>
      </w:r>
      <w:bookmarkEnd w:id="105"/>
      <w:bookmarkEnd w:id="106"/>
      <w:bookmarkEnd w:id="107"/>
      <w:bookmarkEnd w:id="108"/>
    </w:p>
    <w:p w:rsidR="00534BB4" w:rsidRDefault="00534BB4" w:rsidP="00534BB4">
      <w:bookmarkStart w:id="109" w:name="_Ref268776745"/>
      <w:r>
        <w:t>The following studies provided evaluable safety data:</w:t>
      </w:r>
    </w:p>
    <w:p w:rsidR="00534BB4" w:rsidRPr="00A71154" w:rsidRDefault="00534BB4" w:rsidP="00F16E69">
      <w:pPr>
        <w:pStyle w:val="Heading4"/>
        <w:numPr>
          <w:ilvl w:val="0"/>
          <w:numId w:val="0"/>
        </w:numPr>
        <w:ind w:left="170"/>
      </w:pPr>
      <w:r w:rsidRPr="00A71154">
        <w:t>Pivotal efficacy studies</w:t>
      </w:r>
    </w:p>
    <w:p w:rsidR="00534BB4" w:rsidRDefault="00534BB4" w:rsidP="00534BB4">
      <w:r>
        <w:t>In the pivotal efficacy studies, the following safety data were collected:</w:t>
      </w:r>
    </w:p>
    <w:p w:rsidR="00534BB4" w:rsidRPr="00F16E69" w:rsidRDefault="00534BB4" w:rsidP="004F2943">
      <w:pPr>
        <w:pStyle w:val="ListBullet"/>
      </w:pPr>
      <w:r w:rsidRPr="00F16E69">
        <w:t>General adverse events (AEs) were assessed by open-ended questioning at each study visit (Weeks 3, 6, 12 and 16).</w:t>
      </w:r>
    </w:p>
    <w:p w:rsidR="00534BB4" w:rsidRPr="00F16E69" w:rsidRDefault="00534BB4" w:rsidP="004F2943">
      <w:pPr>
        <w:pStyle w:val="ListBullet"/>
      </w:pPr>
      <w:r w:rsidRPr="00F16E69">
        <w:t>Routine haematology and clinical chemistry laboratory tests at baseline and study end (Week 16).</w:t>
      </w:r>
    </w:p>
    <w:p w:rsidR="00534BB4" w:rsidRPr="00A71154" w:rsidRDefault="00534BB4" w:rsidP="00F16E69">
      <w:pPr>
        <w:pStyle w:val="Heading4"/>
        <w:numPr>
          <w:ilvl w:val="0"/>
          <w:numId w:val="0"/>
        </w:numPr>
        <w:ind w:left="170"/>
      </w:pPr>
      <w:r w:rsidRPr="00A71154">
        <w:t>Dose-response and non-pivotal efficacy studies</w:t>
      </w:r>
    </w:p>
    <w:p w:rsidR="00534BB4" w:rsidRDefault="00534BB4" w:rsidP="00534BB4">
      <w:r>
        <w:t>Safety data from Study DERM-303 not included, as Oracea was not administered in that study.</w:t>
      </w:r>
    </w:p>
    <w:p w:rsidR="00534BB4" w:rsidRPr="00A71154" w:rsidRDefault="00534BB4" w:rsidP="00F16E69">
      <w:pPr>
        <w:pStyle w:val="Heading4"/>
        <w:numPr>
          <w:ilvl w:val="0"/>
          <w:numId w:val="0"/>
        </w:numPr>
        <w:ind w:left="170"/>
      </w:pPr>
      <w:r w:rsidRPr="00A71154">
        <w:t>Clinical pharmacology studies</w:t>
      </w:r>
    </w:p>
    <w:p w:rsidR="00534BB4" w:rsidRDefault="00534BB4" w:rsidP="00A71154">
      <w:r>
        <w:t>Of the clinical pharmacology studies presented, only the following used Oracea: COL-101-SDPK-105, PERIO-DOXYSR-103, PERIO-DOXYSR-104 and COL-101-SSPK-106.  AEs, vital signs, haematology and</w:t>
      </w:r>
      <w:r w:rsidRPr="009F6B58">
        <w:t xml:space="preserve"> clinical chemistry were recorded in the</w:t>
      </w:r>
      <w:r>
        <w:t>se</w:t>
      </w:r>
      <w:r w:rsidRPr="009F6B58">
        <w:t xml:space="preserve"> studies</w:t>
      </w:r>
      <w:r>
        <w:t xml:space="preserve">, all of which </w:t>
      </w:r>
      <w:r w:rsidRPr="009F6B58">
        <w:t xml:space="preserve">enrolled participants who were not in the target population and who received </w:t>
      </w:r>
      <w:r>
        <w:t>Oracea</w:t>
      </w:r>
      <w:r w:rsidRPr="009F6B58">
        <w:t xml:space="preserve"> for periods of a week or less.</w:t>
      </w:r>
    </w:p>
    <w:p w:rsidR="00534BB4" w:rsidRDefault="00715772" w:rsidP="00A71154">
      <w:pPr>
        <w:pStyle w:val="Heading3"/>
      </w:pPr>
      <w:bookmarkStart w:id="110" w:name="_Ref269204367"/>
      <w:bookmarkStart w:id="111" w:name="_Ref271195835"/>
      <w:bookmarkStart w:id="112" w:name="_Ref271195841"/>
      <w:bookmarkStart w:id="113" w:name="_Toc272414660"/>
      <w:bookmarkStart w:id="114" w:name="_Toc273018223"/>
      <w:bookmarkStart w:id="115" w:name="_Toc348527494"/>
      <w:bookmarkStart w:id="116" w:name="_Toc366439583"/>
      <w:bookmarkEnd w:id="109"/>
      <w:r>
        <w:t>Pivotal s</w:t>
      </w:r>
      <w:r w:rsidR="00A71154">
        <w:t xml:space="preserve">tudies </w:t>
      </w:r>
      <w:r>
        <w:t>that a</w:t>
      </w:r>
      <w:r w:rsidR="00A71154" w:rsidRPr="00027276">
        <w:t xml:space="preserve">ssessed </w:t>
      </w:r>
      <w:r>
        <w:t>s</w:t>
      </w:r>
      <w:r w:rsidR="00A71154">
        <w:t xml:space="preserve">afety </w:t>
      </w:r>
      <w:r w:rsidR="002A418E">
        <w:t>a</w:t>
      </w:r>
      <w:r w:rsidR="00A71154">
        <w:t xml:space="preserve">s </w:t>
      </w:r>
      <w:r>
        <w:t>a</w:t>
      </w:r>
      <w:r w:rsidR="00A71154">
        <w:t xml:space="preserve"> </w:t>
      </w:r>
      <w:r>
        <w:t>p</w:t>
      </w:r>
      <w:r w:rsidR="00A71154">
        <w:t xml:space="preserve">rimary </w:t>
      </w:r>
      <w:r>
        <w:t>o</w:t>
      </w:r>
      <w:r w:rsidR="00A71154">
        <w:t>utcome</w:t>
      </w:r>
      <w:bookmarkEnd w:id="110"/>
      <w:bookmarkEnd w:id="111"/>
      <w:bookmarkEnd w:id="112"/>
      <w:bookmarkEnd w:id="113"/>
      <w:bookmarkEnd w:id="114"/>
      <w:bookmarkEnd w:id="115"/>
      <w:bookmarkEnd w:id="116"/>
    </w:p>
    <w:p w:rsidR="00534BB4" w:rsidRDefault="00324D05" w:rsidP="00534BB4">
      <w:r>
        <w:t>None presented.</w:t>
      </w:r>
    </w:p>
    <w:p w:rsidR="00534BB4" w:rsidRDefault="00A71154" w:rsidP="00A71154">
      <w:pPr>
        <w:pStyle w:val="Heading3"/>
      </w:pPr>
      <w:bookmarkStart w:id="117" w:name="_Toc241374318"/>
      <w:bookmarkStart w:id="118" w:name="_Ref271196630"/>
      <w:bookmarkStart w:id="119" w:name="_Toc272414662"/>
      <w:bookmarkStart w:id="120" w:name="_Toc273018225"/>
      <w:bookmarkStart w:id="121" w:name="_Toc348527495"/>
      <w:bookmarkStart w:id="122" w:name="_Toc366439584"/>
      <w:r>
        <w:lastRenderedPageBreak/>
        <w:t xml:space="preserve">Patient </w:t>
      </w:r>
      <w:r w:rsidR="00715772">
        <w:t>e</w:t>
      </w:r>
      <w:r>
        <w:t>xposure</w:t>
      </w:r>
      <w:bookmarkEnd w:id="117"/>
      <w:bookmarkEnd w:id="118"/>
      <w:bookmarkEnd w:id="119"/>
      <w:bookmarkEnd w:id="120"/>
      <w:bookmarkEnd w:id="121"/>
      <w:bookmarkEnd w:id="122"/>
    </w:p>
    <w:p w:rsidR="00534BB4" w:rsidRDefault="00534BB4" w:rsidP="00F16E69">
      <w:pPr>
        <w:pStyle w:val="TableTitle"/>
      </w:pPr>
      <w:bookmarkStart w:id="123" w:name="_Toc274575529"/>
      <w:bookmarkStart w:id="124" w:name="_Toc291955328"/>
      <w:bookmarkStart w:id="125" w:name="_Toc292027093"/>
      <w:bookmarkStart w:id="126" w:name="_Toc292206539"/>
      <w:proofErr w:type="gramStart"/>
      <w:r>
        <w:t xml:space="preserve">Table </w:t>
      </w:r>
      <w:r w:rsidR="00A71154">
        <w:t>2</w:t>
      </w:r>
      <w:r w:rsidR="00D42840">
        <w:t>0</w:t>
      </w:r>
      <w:r w:rsidR="00A71154">
        <w:t>.</w:t>
      </w:r>
      <w:proofErr w:type="gramEnd"/>
      <w:r w:rsidR="00A71154">
        <w:t xml:space="preserve"> </w:t>
      </w:r>
      <w:proofErr w:type="gramStart"/>
      <w:r>
        <w:t>Exposure to Oracea and comparators in clinical studies.</w:t>
      </w:r>
      <w:bookmarkEnd w:id="123"/>
      <w:proofErr w:type="gramEnd"/>
      <w:r>
        <w:t xml:space="preserve"> </w:t>
      </w:r>
      <w:proofErr w:type="gramStart"/>
      <w:r>
        <w:t>Numbers of subjects.</w:t>
      </w:r>
      <w:bookmarkEnd w:id="124"/>
      <w:bookmarkEnd w:id="125"/>
      <w:bookmarkEnd w:id="126"/>
      <w:proofErr w:type="gramEnd"/>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8"/>
        <w:gridCol w:w="955"/>
        <w:gridCol w:w="983"/>
        <w:gridCol w:w="1179"/>
        <w:gridCol w:w="1417"/>
        <w:gridCol w:w="1134"/>
      </w:tblGrid>
      <w:tr w:rsidR="00534BB4" w:rsidTr="00F16E69">
        <w:trPr>
          <w:tblHeader/>
          <w:jc w:val="center"/>
        </w:trPr>
        <w:tc>
          <w:tcPr>
            <w:tcW w:w="2378" w:type="dxa"/>
            <w:vMerge w:val="restart"/>
            <w:shd w:val="clear" w:color="auto" w:fill="0070C0"/>
            <w:vAlign w:val="center"/>
          </w:tcPr>
          <w:p w:rsidR="00534BB4" w:rsidRPr="00A71154" w:rsidRDefault="00534BB4" w:rsidP="00A71154">
            <w:pPr>
              <w:keepNext/>
              <w:autoSpaceDE w:val="0"/>
              <w:autoSpaceDN w:val="0"/>
              <w:adjustRightInd w:val="0"/>
              <w:rPr>
                <w:b/>
                <w:color w:val="FFFFFF" w:themeColor="background1"/>
                <w:sz w:val="20"/>
                <w:szCs w:val="20"/>
              </w:rPr>
            </w:pPr>
            <w:r w:rsidRPr="00A71154">
              <w:rPr>
                <w:b/>
                <w:color w:val="FFFFFF" w:themeColor="background1"/>
                <w:sz w:val="20"/>
                <w:szCs w:val="20"/>
              </w:rPr>
              <w:t>Study type</w:t>
            </w:r>
          </w:p>
        </w:tc>
        <w:tc>
          <w:tcPr>
            <w:tcW w:w="3117" w:type="dxa"/>
            <w:gridSpan w:val="3"/>
            <w:shd w:val="clear" w:color="auto" w:fill="0070C0"/>
            <w:vAlign w:val="center"/>
          </w:tcPr>
          <w:p w:rsidR="00534BB4" w:rsidRPr="00A71154" w:rsidRDefault="00534BB4" w:rsidP="00A71154">
            <w:pPr>
              <w:keepNext/>
              <w:autoSpaceDE w:val="0"/>
              <w:autoSpaceDN w:val="0"/>
              <w:adjustRightInd w:val="0"/>
              <w:jc w:val="center"/>
              <w:rPr>
                <w:b/>
                <w:color w:val="FFFFFF" w:themeColor="background1"/>
                <w:sz w:val="20"/>
              </w:rPr>
            </w:pPr>
            <w:r w:rsidRPr="00A71154">
              <w:rPr>
                <w:b/>
                <w:color w:val="FFFFFF" w:themeColor="background1"/>
                <w:sz w:val="20"/>
              </w:rPr>
              <w:t>Controlled studies</w:t>
            </w:r>
          </w:p>
        </w:tc>
        <w:tc>
          <w:tcPr>
            <w:tcW w:w="1417" w:type="dxa"/>
            <w:shd w:val="clear" w:color="auto" w:fill="0070C0"/>
          </w:tcPr>
          <w:p w:rsidR="00534BB4" w:rsidRPr="00A71154" w:rsidRDefault="00534BB4" w:rsidP="00A71154">
            <w:pPr>
              <w:keepNext/>
              <w:autoSpaceDE w:val="0"/>
              <w:autoSpaceDN w:val="0"/>
              <w:adjustRightInd w:val="0"/>
              <w:jc w:val="center"/>
              <w:rPr>
                <w:b/>
                <w:color w:val="FFFFFF" w:themeColor="background1"/>
                <w:sz w:val="20"/>
                <w:szCs w:val="20"/>
              </w:rPr>
            </w:pPr>
            <w:r w:rsidRPr="00A71154">
              <w:rPr>
                <w:b/>
                <w:color w:val="FFFFFF" w:themeColor="background1"/>
                <w:sz w:val="20"/>
                <w:szCs w:val="20"/>
              </w:rPr>
              <w:t>Uncontrolled</w:t>
            </w:r>
          </w:p>
          <w:p w:rsidR="00534BB4" w:rsidRPr="00A71154" w:rsidRDefault="00534BB4" w:rsidP="00A71154">
            <w:pPr>
              <w:keepNext/>
              <w:autoSpaceDE w:val="0"/>
              <w:autoSpaceDN w:val="0"/>
              <w:adjustRightInd w:val="0"/>
              <w:jc w:val="center"/>
              <w:rPr>
                <w:b/>
                <w:color w:val="FFFFFF" w:themeColor="background1"/>
                <w:sz w:val="20"/>
                <w:szCs w:val="20"/>
              </w:rPr>
            </w:pPr>
            <w:r w:rsidRPr="00A71154">
              <w:rPr>
                <w:b/>
                <w:color w:val="FFFFFF" w:themeColor="background1"/>
                <w:sz w:val="20"/>
                <w:szCs w:val="20"/>
              </w:rPr>
              <w:t>studies</w:t>
            </w:r>
          </w:p>
        </w:tc>
        <w:tc>
          <w:tcPr>
            <w:tcW w:w="1134" w:type="dxa"/>
            <w:vMerge w:val="restart"/>
            <w:shd w:val="clear" w:color="auto" w:fill="0070C0"/>
            <w:vAlign w:val="center"/>
          </w:tcPr>
          <w:p w:rsidR="00534BB4" w:rsidRPr="00A71154" w:rsidRDefault="00534BB4" w:rsidP="00A71154">
            <w:pPr>
              <w:keepNext/>
              <w:autoSpaceDE w:val="0"/>
              <w:autoSpaceDN w:val="0"/>
              <w:adjustRightInd w:val="0"/>
              <w:jc w:val="center"/>
              <w:rPr>
                <w:b/>
                <w:color w:val="FFFFFF" w:themeColor="background1"/>
                <w:sz w:val="20"/>
              </w:rPr>
            </w:pPr>
            <w:r w:rsidRPr="00A71154">
              <w:rPr>
                <w:b/>
                <w:color w:val="FFFFFF" w:themeColor="background1"/>
                <w:sz w:val="20"/>
              </w:rPr>
              <w:t>Total</w:t>
            </w:r>
          </w:p>
          <w:p w:rsidR="00534BB4" w:rsidRPr="00A71154" w:rsidRDefault="00534BB4" w:rsidP="00A71154">
            <w:pPr>
              <w:keepNext/>
              <w:autoSpaceDE w:val="0"/>
              <w:autoSpaceDN w:val="0"/>
              <w:adjustRightInd w:val="0"/>
              <w:jc w:val="center"/>
              <w:rPr>
                <w:b/>
                <w:color w:val="FFFFFF" w:themeColor="background1"/>
                <w:sz w:val="20"/>
              </w:rPr>
            </w:pPr>
            <w:r w:rsidRPr="00A71154">
              <w:rPr>
                <w:b/>
                <w:color w:val="FFFFFF" w:themeColor="background1"/>
                <w:sz w:val="20"/>
              </w:rPr>
              <w:t>Oracea</w:t>
            </w:r>
          </w:p>
        </w:tc>
      </w:tr>
      <w:tr w:rsidR="00534BB4" w:rsidTr="00F16E69">
        <w:trPr>
          <w:tblHeader/>
          <w:jc w:val="center"/>
        </w:trPr>
        <w:tc>
          <w:tcPr>
            <w:tcW w:w="2378" w:type="dxa"/>
            <w:vMerge/>
          </w:tcPr>
          <w:p w:rsidR="00534BB4" w:rsidRPr="00090722" w:rsidRDefault="00534BB4" w:rsidP="00152865">
            <w:pPr>
              <w:keepNext/>
              <w:autoSpaceDE w:val="0"/>
              <w:autoSpaceDN w:val="0"/>
              <w:adjustRightInd w:val="0"/>
              <w:rPr>
                <w:b/>
                <w:sz w:val="20"/>
                <w:szCs w:val="20"/>
              </w:rPr>
            </w:pPr>
          </w:p>
        </w:tc>
        <w:tc>
          <w:tcPr>
            <w:tcW w:w="955" w:type="dxa"/>
            <w:shd w:val="clear" w:color="auto" w:fill="0070C0"/>
          </w:tcPr>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szCs w:val="20"/>
              </w:rPr>
              <w:t>Oracea</w:t>
            </w:r>
          </w:p>
        </w:tc>
        <w:tc>
          <w:tcPr>
            <w:tcW w:w="983" w:type="dxa"/>
            <w:shd w:val="clear" w:color="auto" w:fill="0070C0"/>
          </w:tcPr>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rPr>
              <w:t>Placebo</w:t>
            </w:r>
          </w:p>
        </w:tc>
        <w:tc>
          <w:tcPr>
            <w:tcW w:w="1179" w:type="dxa"/>
            <w:shd w:val="clear" w:color="auto" w:fill="0070C0"/>
          </w:tcPr>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rPr>
              <w:t>Periostat</w:t>
            </w:r>
          </w:p>
        </w:tc>
        <w:tc>
          <w:tcPr>
            <w:tcW w:w="1417" w:type="dxa"/>
            <w:shd w:val="clear" w:color="auto" w:fill="0070C0"/>
          </w:tcPr>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szCs w:val="20"/>
              </w:rPr>
              <w:t>Oracea</w:t>
            </w:r>
          </w:p>
        </w:tc>
        <w:tc>
          <w:tcPr>
            <w:tcW w:w="1134" w:type="dxa"/>
            <w:vMerge/>
          </w:tcPr>
          <w:p w:rsidR="00534BB4" w:rsidRPr="006B14DE" w:rsidRDefault="00534BB4" w:rsidP="00152865">
            <w:pPr>
              <w:keepNext/>
              <w:autoSpaceDE w:val="0"/>
              <w:autoSpaceDN w:val="0"/>
              <w:adjustRightInd w:val="0"/>
              <w:jc w:val="center"/>
              <w:rPr>
                <w:b/>
                <w:sz w:val="20"/>
                <w:szCs w:val="20"/>
              </w:rPr>
            </w:pPr>
          </w:p>
        </w:tc>
      </w:tr>
      <w:tr w:rsidR="00534BB4" w:rsidTr="00152865">
        <w:trPr>
          <w:jc w:val="center"/>
        </w:trPr>
        <w:tc>
          <w:tcPr>
            <w:tcW w:w="2378" w:type="dxa"/>
          </w:tcPr>
          <w:p w:rsidR="00534BB4" w:rsidRPr="00A53643" w:rsidRDefault="00534BB4" w:rsidP="00152865">
            <w:pPr>
              <w:keepNext/>
              <w:autoSpaceDE w:val="0"/>
              <w:autoSpaceDN w:val="0"/>
              <w:adjustRightInd w:val="0"/>
              <w:rPr>
                <w:b/>
                <w:sz w:val="20"/>
                <w:szCs w:val="20"/>
              </w:rPr>
            </w:pPr>
            <w:r w:rsidRPr="00A53643">
              <w:rPr>
                <w:b/>
                <w:sz w:val="20"/>
                <w:szCs w:val="20"/>
              </w:rPr>
              <w:t>Clinical pharmacology</w:t>
            </w:r>
            <w:r w:rsidRPr="000C7597">
              <w:rPr>
                <w:b/>
                <w:sz w:val="20"/>
                <w:szCs w:val="20"/>
                <w:vertAlign w:val="superscript"/>
              </w:rPr>
              <w:t>1</w:t>
            </w:r>
          </w:p>
        </w:tc>
        <w:tc>
          <w:tcPr>
            <w:tcW w:w="955" w:type="dxa"/>
          </w:tcPr>
          <w:p w:rsidR="00534BB4" w:rsidRPr="006B14DE" w:rsidRDefault="00534BB4" w:rsidP="00152865">
            <w:pPr>
              <w:keepNext/>
              <w:autoSpaceDE w:val="0"/>
              <w:autoSpaceDN w:val="0"/>
              <w:adjustRightInd w:val="0"/>
              <w:jc w:val="center"/>
              <w:rPr>
                <w:sz w:val="20"/>
                <w:szCs w:val="20"/>
              </w:rPr>
            </w:pPr>
            <w:r>
              <w:rPr>
                <w:sz w:val="20"/>
                <w:szCs w:val="20"/>
              </w:rPr>
              <w:t>93</w:t>
            </w:r>
          </w:p>
        </w:tc>
        <w:tc>
          <w:tcPr>
            <w:tcW w:w="983" w:type="dxa"/>
          </w:tcPr>
          <w:p w:rsidR="00534BB4" w:rsidRPr="006B14DE" w:rsidRDefault="00534BB4" w:rsidP="00152865">
            <w:pPr>
              <w:keepNext/>
              <w:autoSpaceDE w:val="0"/>
              <w:autoSpaceDN w:val="0"/>
              <w:adjustRightInd w:val="0"/>
              <w:jc w:val="center"/>
              <w:rPr>
                <w:sz w:val="20"/>
                <w:szCs w:val="20"/>
              </w:rPr>
            </w:pPr>
            <w:r>
              <w:rPr>
                <w:sz w:val="20"/>
                <w:szCs w:val="20"/>
              </w:rPr>
              <w:t>0</w:t>
            </w:r>
          </w:p>
        </w:tc>
        <w:tc>
          <w:tcPr>
            <w:tcW w:w="1179" w:type="dxa"/>
          </w:tcPr>
          <w:p w:rsidR="00534BB4" w:rsidRPr="006B14DE" w:rsidRDefault="00534BB4" w:rsidP="00152865">
            <w:pPr>
              <w:keepNext/>
              <w:autoSpaceDE w:val="0"/>
              <w:autoSpaceDN w:val="0"/>
              <w:adjustRightInd w:val="0"/>
              <w:jc w:val="center"/>
              <w:rPr>
                <w:sz w:val="20"/>
                <w:szCs w:val="20"/>
              </w:rPr>
            </w:pPr>
            <w:r>
              <w:rPr>
                <w:sz w:val="20"/>
                <w:szCs w:val="20"/>
              </w:rPr>
              <w:t>63</w:t>
            </w:r>
          </w:p>
        </w:tc>
        <w:tc>
          <w:tcPr>
            <w:tcW w:w="1417" w:type="dxa"/>
          </w:tcPr>
          <w:p w:rsidR="00534BB4" w:rsidRPr="006B14DE" w:rsidRDefault="00534BB4" w:rsidP="00152865">
            <w:pPr>
              <w:keepNext/>
              <w:autoSpaceDE w:val="0"/>
              <w:autoSpaceDN w:val="0"/>
              <w:adjustRightInd w:val="0"/>
              <w:jc w:val="center"/>
              <w:rPr>
                <w:sz w:val="20"/>
                <w:szCs w:val="20"/>
              </w:rPr>
            </w:pPr>
            <w:r>
              <w:rPr>
                <w:sz w:val="20"/>
                <w:szCs w:val="20"/>
              </w:rPr>
              <w:t>0</w:t>
            </w:r>
          </w:p>
        </w:tc>
        <w:tc>
          <w:tcPr>
            <w:tcW w:w="1134" w:type="dxa"/>
          </w:tcPr>
          <w:p w:rsidR="00534BB4" w:rsidRPr="006B14DE" w:rsidRDefault="00534BB4" w:rsidP="00152865">
            <w:pPr>
              <w:keepNext/>
              <w:autoSpaceDE w:val="0"/>
              <w:autoSpaceDN w:val="0"/>
              <w:adjustRightInd w:val="0"/>
              <w:jc w:val="center"/>
              <w:rPr>
                <w:sz w:val="20"/>
                <w:szCs w:val="20"/>
              </w:rPr>
            </w:pPr>
            <w:r>
              <w:rPr>
                <w:sz w:val="20"/>
                <w:szCs w:val="20"/>
              </w:rPr>
              <w:t>93</w:t>
            </w:r>
          </w:p>
        </w:tc>
      </w:tr>
      <w:tr w:rsidR="00534BB4" w:rsidTr="00152865">
        <w:trPr>
          <w:jc w:val="center"/>
        </w:trPr>
        <w:tc>
          <w:tcPr>
            <w:tcW w:w="2378" w:type="dxa"/>
            <w:tcBorders>
              <w:top w:val="nil"/>
              <w:bottom w:val="nil"/>
            </w:tcBorders>
          </w:tcPr>
          <w:p w:rsidR="00534BB4" w:rsidRPr="00CD0EBD" w:rsidRDefault="00A71154" w:rsidP="00152865">
            <w:pPr>
              <w:keepNext/>
              <w:autoSpaceDE w:val="0"/>
              <w:autoSpaceDN w:val="0"/>
              <w:adjustRightInd w:val="0"/>
              <w:rPr>
                <w:b/>
                <w:sz w:val="20"/>
                <w:szCs w:val="20"/>
              </w:rPr>
            </w:pPr>
            <w:r>
              <w:rPr>
                <w:b/>
                <w:sz w:val="20"/>
                <w:szCs w:val="20"/>
              </w:rPr>
              <w:t>Phase III</w:t>
            </w:r>
          </w:p>
        </w:tc>
        <w:tc>
          <w:tcPr>
            <w:tcW w:w="955" w:type="dxa"/>
            <w:tcBorders>
              <w:top w:val="nil"/>
              <w:bottom w:val="nil"/>
            </w:tcBorders>
          </w:tcPr>
          <w:p w:rsidR="00534BB4" w:rsidRPr="006B14DE" w:rsidRDefault="00534BB4" w:rsidP="00152865">
            <w:pPr>
              <w:keepNext/>
              <w:autoSpaceDE w:val="0"/>
              <w:autoSpaceDN w:val="0"/>
              <w:adjustRightInd w:val="0"/>
              <w:jc w:val="center"/>
              <w:rPr>
                <w:sz w:val="20"/>
                <w:szCs w:val="20"/>
              </w:rPr>
            </w:pPr>
          </w:p>
        </w:tc>
        <w:tc>
          <w:tcPr>
            <w:tcW w:w="983" w:type="dxa"/>
            <w:tcBorders>
              <w:top w:val="nil"/>
              <w:bottom w:val="nil"/>
            </w:tcBorders>
          </w:tcPr>
          <w:p w:rsidR="00534BB4" w:rsidRPr="006B14DE" w:rsidRDefault="00534BB4" w:rsidP="00152865">
            <w:pPr>
              <w:keepNext/>
              <w:autoSpaceDE w:val="0"/>
              <w:autoSpaceDN w:val="0"/>
              <w:adjustRightInd w:val="0"/>
              <w:jc w:val="center"/>
              <w:rPr>
                <w:sz w:val="20"/>
                <w:szCs w:val="20"/>
              </w:rPr>
            </w:pPr>
          </w:p>
        </w:tc>
        <w:tc>
          <w:tcPr>
            <w:tcW w:w="1179" w:type="dxa"/>
            <w:tcBorders>
              <w:top w:val="nil"/>
              <w:bottom w:val="nil"/>
            </w:tcBorders>
          </w:tcPr>
          <w:p w:rsidR="00534BB4" w:rsidRPr="006B14DE" w:rsidRDefault="00534BB4" w:rsidP="00152865">
            <w:pPr>
              <w:keepNext/>
              <w:autoSpaceDE w:val="0"/>
              <w:autoSpaceDN w:val="0"/>
              <w:adjustRightInd w:val="0"/>
              <w:jc w:val="center"/>
              <w:rPr>
                <w:sz w:val="20"/>
                <w:szCs w:val="20"/>
              </w:rPr>
            </w:pPr>
          </w:p>
        </w:tc>
        <w:tc>
          <w:tcPr>
            <w:tcW w:w="1417" w:type="dxa"/>
            <w:tcBorders>
              <w:top w:val="nil"/>
              <w:bottom w:val="nil"/>
            </w:tcBorders>
          </w:tcPr>
          <w:p w:rsidR="00534BB4" w:rsidRPr="006B14DE" w:rsidRDefault="00534BB4" w:rsidP="00152865">
            <w:pPr>
              <w:keepNext/>
              <w:autoSpaceDE w:val="0"/>
              <w:autoSpaceDN w:val="0"/>
              <w:adjustRightInd w:val="0"/>
              <w:jc w:val="center"/>
              <w:rPr>
                <w:sz w:val="20"/>
                <w:szCs w:val="20"/>
              </w:rPr>
            </w:pPr>
          </w:p>
        </w:tc>
        <w:tc>
          <w:tcPr>
            <w:tcW w:w="1134" w:type="dxa"/>
            <w:tcBorders>
              <w:top w:val="nil"/>
              <w:bottom w:val="nil"/>
            </w:tcBorders>
          </w:tcPr>
          <w:p w:rsidR="00534BB4" w:rsidRPr="006B14DE" w:rsidRDefault="00534BB4" w:rsidP="00152865">
            <w:pPr>
              <w:keepNext/>
              <w:autoSpaceDE w:val="0"/>
              <w:autoSpaceDN w:val="0"/>
              <w:adjustRightInd w:val="0"/>
              <w:jc w:val="center"/>
              <w:rPr>
                <w:sz w:val="20"/>
                <w:szCs w:val="20"/>
              </w:rPr>
            </w:pPr>
          </w:p>
        </w:tc>
      </w:tr>
      <w:tr w:rsidR="00534BB4" w:rsidTr="00152865">
        <w:trPr>
          <w:jc w:val="center"/>
        </w:trPr>
        <w:tc>
          <w:tcPr>
            <w:tcW w:w="2378" w:type="dxa"/>
            <w:tcBorders>
              <w:top w:val="nil"/>
              <w:bottom w:val="nil"/>
            </w:tcBorders>
          </w:tcPr>
          <w:p w:rsidR="00534BB4" w:rsidRPr="006B14DE" w:rsidRDefault="00534BB4" w:rsidP="00152865">
            <w:pPr>
              <w:keepNext/>
              <w:autoSpaceDE w:val="0"/>
              <w:autoSpaceDN w:val="0"/>
              <w:adjustRightInd w:val="0"/>
              <w:rPr>
                <w:sz w:val="20"/>
                <w:szCs w:val="20"/>
              </w:rPr>
            </w:pPr>
            <w:r>
              <w:rPr>
                <w:sz w:val="20"/>
                <w:szCs w:val="20"/>
              </w:rPr>
              <w:tab/>
              <w:t>Pivotal</w:t>
            </w:r>
          </w:p>
        </w:tc>
        <w:tc>
          <w:tcPr>
            <w:tcW w:w="955"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269</w:t>
            </w:r>
          </w:p>
        </w:tc>
        <w:tc>
          <w:tcPr>
            <w:tcW w:w="983"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268</w:t>
            </w:r>
          </w:p>
        </w:tc>
        <w:tc>
          <w:tcPr>
            <w:tcW w:w="1179" w:type="dxa"/>
            <w:tcBorders>
              <w:top w:val="nil"/>
              <w:bottom w:val="nil"/>
            </w:tcBorders>
          </w:tcPr>
          <w:p w:rsidR="00534BB4" w:rsidRPr="006B14DE" w:rsidRDefault="00534BB4" w:rsidP="00152865">
            <w:pPr>
              <w:keepNext/>
              <w:autoSpaceDE w:val="0"/>
              <w:autoSpaceDN w:val="0"/>
              <w:adjustRightInd w:val="0"/>
              <w:jc w:val="center"/>
              <w:rPr>
                <w:sz w:val="20"/>
                <w:szCs w:val="20"/>
              </w:rPr>
            </w:pPr>
          </w:p>
        </w:tc>
        <w:tc>
          <w:tcPr>
            <w:tcW w:w="1417"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1134"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269</w:t>
            </w:r>
          </w:p>
        </w:tc>
      </w:tr>
      <w:tr w:rsidR="00534BB4" w:rsidTr="00152865">
        <w:trPr>
          <w:jc w:val="center"/>
        </w:trPr>
        <w:tc>
          <w:tcPr>
            <w:tcW w:w="2378" w:type="dxa"/>
            <w:tcBorders>
              <w:top w:val="nil"/>
              <w:bottom w:val="nil"/>
            </w:tcBorders>
          </w:tcPr>
          <w:p w:rsidR="00534BB4" w:rsidRPr="006B14DE" w:rsidRDefault="00534BB4" w:rsidP="00152865">
            <w:pPr>
              <w:keepNext/>
              <w:autoSpaceDE w:val="0"/>
              <w:autoSpaceDN w:val="0"/>
              <w:adjustRightInd w:val="0"/>
              <w:rPr>
                <w:sz w:val="20"/>
                <w:szCs w:val="20"/>
              </w:rPr>
            </w:pPr>
            <w:r>
              <w:rPr>
                <w:sz w:val="20"/>
                <w:szCs w:val="20"/>
              </w:rPr>
              <w:tab/>
              <w:t>Other</w:t>
            </w:r>
          </w:p>
        </w:tc>
        <w:tc>
          <w:tcPr>
            <w:tcW w:w="955"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983"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67</w:t>
            </w:r>
          </w:p>
        </w:tc>
        <w:tc>
          <w:tcPr>
            <w:tcW w:w="1179"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67</w:t>
            </w:r>
          </w:p>
        </w:tc>
        <w:tc>
          <w:tcPr>
            <w:tcW w:w="1417"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1134"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r>
      <w:tr w:rsidR="00534BB4" w:rsidTr="00152865">
        <w:trPr>
          <w:jc w:val="center"/>
        </w:trPr>
        <w:tc>
          <w:tcPr>
            <w:tcW w:w="2378" w:type="dxa"/>
          </w:tcPr>
          <w:p w:rsidR="00534BB4" w:rsidRPr="005C5FA2" w:rsidRDefault="00534BB4" w:rsidP="00152865">
            <w:pPr>
              <w:keepNext/>
              <w:autoSpaceDE w:val="0"/>
              <w:autoSpaceDN w:val="0"/>
              <w:adjustRightInd w:val="0"/>
              <w:rPr>
                <w:b/>
                <w:sz w:val="20"/>
                <w:szCs w:val="20"/>
              </w:rPr>
            </w:pPr>
            <w:r w:rsidRPr="005C5FA2">
              <w:rPr>
                <w:b/>
                <w:sz w:val="20"/>
                <w:szCs w:val="20"/>
              </w:rPr>
              <w:t>TOTAL</w:t>
            </w:r>
          </w:p>
        </w:tc>
        <w:tc>
          <w:tcPr>
            <w:tcW w:w="955" w:type="dxa"/>
          </w:tcPr>
          <w:p w:rsidR="00534BB4" w:rsidRPr="006B14DE" w:rsidRDefault="00534BB4" w:rsidP="00152865">
            <w:pPr>
              <w:keepNext/>
              <w:autoSpaceDE w:val="0"/>
              <w:autoSpaceDN w:val="0"/>
              <w:adjustRightInd w:val="0"/>
              <w:jc w:val="center"/>
              <w:rPr>
                <w:sz w:val="20"/>
                <w:szCs w:val="20"/>
              </w:rPr>
            </w:pPr>
            <w:r>
              <w:rPr>
                <w:sz w:val="20"/>
                <w:szCs w:val="20"/>
              </w:rPr>
              <w:t>362</w:t>
            </w:r>
          </w:p>
        </w:tc>
        <w:tc>
          <w:tcPr>
            <w:tcW w:w="983" w:type="dxa"/>
          </w:tcPr>
          <w:p w:rsidR="00534BB4" w:rsidRPr="006B14DE" w:rsidRDefault="00534BB4" w:rsidP="00152865">
            <w:pPr>
              <w:keepNext/>
              <w:autoSpaceDE w:val="0"/>
              <w:autoSpaceDN w:val="0"/>
              <w:adjustRightInd w:val="0"/>
              <w:jc w:val="center"/>
              <w:rPr>
                <w:sz w:val="20"/>
                <w:szCs w:val="20"/>
              </w:rPr>
            </w:pPr>
            <w:r>
              <w:rPr>
                <w:sz w:val="20"/>
                <w:szCs w:val="20"/>
              </w:rPr>
              <w:t>335</w:t>
            </w:r>
          </w:p>
        </w:tc>
        <w:tc>
          <w:tcPr>
            <w:tcW w:w="1179" w:type="dxa"/>
          </w:tcPr>
          <w:p w:rsidR="00534BB4" w:rsidRPr="006B14DE" w:rsidRDefault="00534BB4" w:rsidP="00152865">
            <w:pPr>
              <w:keepNext/>
              <w:autoSpaceDE w:val="0"/>
              <w:autoSpaceDN w:val="0"/>
              <w:adjustRightInd w:val="0"/>
              <w:jc w:val="center"/>
              <w:rPr>
                <w:sz w:val="20"/>
                <w:szCs w:val="20"/>
              </w:rPr>
            </w:pPr>
            <w:r>
              <w:rPr>
                <w:sz w:val="20"/>
                <w:szCs w:val="20"/>
              </w:rPr>
              <w:t>130</w:t>
            </w:r>
          </w:p>
        </w:tc>
        <w:tc>
          <w:tcPr>
            <w:tcW w:w="1417" w:type="dxa"/>
          </w:tcPr>
          <w:p w:rsidR="00534BB4" w:rsidRPr="006B14DE" w:rsidRDefault="00534BB4" w:rsidP="00152865">
            <w:pPr>
              <w:keepNext/>
              <w:autoSpaceDE w:val="0"/>
              <w:autoSpaceDN w:val="0"/>
              <w:adjustRightInd w:val="0"/>
              <w:jc w:val="center"/>
              <w:rPr>
                <w:sz w:val="20"/>
                <w:szCs w:val="20"/>
              </w:rPr>
            </w:pPr>
            <w:r>
              <w:rPr>
                <w:sz w:val="20"/>
                <w:szCs w:val="20"/>
              </w:rPr>
              <w:t>0</w:t>
            </w:r>
          </w:p>
        </w:tc>
        <w:tc>
          <w:tcPr>
            <w:tcW w:w="1134" w:type="dxa"/>
          </w:tcPr>
          <w:p w:rsidR="00534BB4" w:rsidRPr="006B14DE" w:rsidRDefault="00534BB4" w:rsidP="00152865">
            <w:pPr>
              <w:keepNext/>
              <w:autoSpaceDE w:val="0"/>
              <w:autoSpaceDN w:val="0"/>
              <w:adjustRightInd w:val="0"/>
              <w:jc w:val="center"/>
              <w:rPr>
                <w:sz w:val="20"/>
                <w:szCs w:val="20"/>
              </w:rPr>
            </w:pPr>
            <w:r>
              <w:rPr>
                <w:sz w:val="20"/>
                <w:szCs w:val="20"/>
              </w:rPr>
              <w:t>362</w:t>
            </w:r>
          </w:p>
        </w:tc>
      </w:tr>
    </w:tbl>
    <w:p w:rsidR="00534BB4" w:rsidRPr="000C7597" w:rsidRDefault="00534BB4" w:rsidP="004626E1">
      <w:pPr>
        <w:pStyle w:val="Notes"/>
      </w:pPr>
      <w:proofErr w:type="gramStart"/>
      <w:r w:rsidRPr="000C7597">
        <w:rPr>
          <w:vertAlign w:val="superscript"/>
        </w:rPr>
        <w:t xml:space="preserve">1 </w:t>
      </w:r>
      <w:r w:rsidRPr="000C7597">
        <w:t>Studies COL-101-SDPK-105, PERIO-DOXYSR-103, PERIO-DOXYSR-104 and COL-101-SSPK-106</w:t>
      </w:r>
      <w:r>
        <w:t>.</w:t>
      </w:r>
      <w:proofErr w:type="gramEnd"/>
    </w:p>
    <w:p w:rsidR="00534BB4" w:rsidRDefault="00534BB4" w:rsidP="00F16E69">
      <w:pPr>
        <w:pStyle w:val="TableTitle"/>
      </w:pPr>
      <w:bookmarkStart w:id="127" w:name="_Ref272765193"/>
      <w:bookmarkStart w:id="128" w:name="_Toc269112508"/>
      <w:bookmarkStart w:id="129" w:name="_Toc274575530"/>
      <w:bookmarkStart w:id="130" w:name="_Toc291955329"/>
      <w:bookmarkStart w:id="131" w:name="_Toc292027094"/>
      <w:bookmarkStart w:id="132" w:name="_Toc292206540"/>
      <w:proofErr w:type="gramStart"/>
      <w:r>
        <w:t xml:space="preserve">Table </w:t>
      </w:r>
      <w:bookmarkEnd w:id="127"/>
      <w:r w:rsidR="00A71154">
        <w:t>2</w:t>
      </w:r>
      <w:r w:rsidR="00D42840">
        <w:t>1</w:t>
      </w:r>
      <w:r>
        <w:t>.</w:t>
      </w:r>
      <w:proofErr w:type="gramEnd"/>
      <w:r>
        <w:t xml:space="preserve"> </w:t>
      </w:r>
      <w:proofErr w:type="gramStart"/>
      <w:r>
        <w:t>Exposure to Oracea in clinical studies according to dose and duration.</w:t>
      </w:r>
      <w:bookmarkEnd w:id="128"/>
      <w:bookmarkEnd w:id="129"/>
      <w:bookmarkEnd w:id="130"/>
      <w:bookmarkEnd w:id="131"/>
      <w:bookmarkEnd w:id="132"/>
      <w:proofErr w:type="gramEnd"/>
    </w:p>
    <w:tbl>
      <w:tblPr>
        <w:tblW w:w="6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1"/>
        <w:gridCol w:w="882"/>
        <w:gridCol w:w="883"/>
        <w:gridCol w:w="883"/>
        <w:gridCol w:w="1155"/>
      </w:tblGrid>
      <w:tr w:rsidR="00534BB4" w:rsidTr="00F16E69">
        <w:trPr>
          <w:tblHeader/>
          <w:jc w:val="center"/>
        </w:trPr>
        <w:tc>
          <w:tcPr>
            <w:tcW w:w="2401" w:type="dxa"/>
            <w:vMerge w:val="restart"/>
            <w:shd w:val="clear" w:color="auto" w:fill="0070C0"/>
            <w:vAlign w:val="center"/>
          </w:tcPr>
          <w:p w:rsidR="00534BB4" w:rsidRPr="00A71154" w:rsidRDefault="00534BB4" w:rsidP="00152865">
            <w:pPr>
              <w:keepNext/>
              <w:autoSpaceDE w:val="0"/>
              <w:autoSpaceDN w:val="0"/>
              <w:adjustRightInd w:val="0"/>
              <w:rPr>
                <w:b/>
                <w:color w:val="FFFFFF" w:themeColor="background1"/>
                <w:sz w:val="20"/>
                <w:szCs w:val="20"/>
              </w:rPr>
            </w:pPr>
            <w:r w:rsidRPr="00A71154">
              <w:rPr>
                <w:b/>
                <w:color w:val="FFFFFF" w:themeColor="background1"/>
                <w:sz w:val="20"/>
                <w:szCs w:val="20"/>
              </w:rPr>
              <w:t>Study type</w:t>
            </w:r>
          </w:p>
        </w:tc>
        <w:tc>
          <w:tcPr>
            <w:tcW w:w="3803" w:type="dxa"/>
            <w:gridSpan w:val="4"/>
            <w:shd w:val="clear" w:color="auto" w:fill="0070C0"/>
          </w:tcPr>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rPr>
              <w:t>Proposed dose range</w:t>
            </w:r>
          </w:p>
        </w:tc>
      </w:tr>
      <w:tr w:rsidR="00534BB4" w:rsidTr="00F16E69">
        <w:trPr>
          <w:tblHeader/>
          <w:jc w:val="center"/>
        </w:trPr>
        <w:tc>
          <w:tcPr>
            <w:tcW w:w="2401" w:type="dxa"/>
            <w:vMerge/>
            <w:shd w:val="clear" w:color="auto" w:fill="0070C0"/>
          </w:tcPr>
          <w:p w:rsidR="00534BB4" w:rsidRPr="00A71154" w:rsidRDefault="00534BB4" w:rsidP="00152865">
            <w:pPr>
              <w:keepNext/>
              <w:autoSpaceDE w:val="0"/>
              <w:autoSpaceDN w:val="0"/>
              <w:adjustRightInd w:val="0"/>
              <w:rPr>
                <w:color w:val="FFFFFF" w:themeColor="background1"/>
                <w:sz w:val="20"/>
                <w:szCs w:val="20"/>
              </w:rPr>
            </w:pPr>
          </w:p>
        </w:tc>
        <w:tc>
          <w:tcPr>
            <w:tcW w:w="882" w:type="dxa"/>
            <w:shd w:val="clear" w:color="auto" w:fill="0070C0"/>
          </w:tcPr>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rPr>
              <w:t>≥</w:t>
            </w:r>
            <w:r w:rsidRPr="00A71154">
              <w:rPr>
                <w:b/>
                <w:color w:val="FFFFFF" w:themeColor="background1"/>
                <w:sz w:val="20"/>
                <w:szCs w:val="20"/>
              </w:rPr>
              <w:t xml:space="preserve"> 3</w:t>
            </w:r>
          </w:p>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szCs w:val="20"/>
              </w:rPr>
              <w:t>mo.</w:t>
            </w:r>
          </w:p>
        </w:tc>
        <w:tc>
          <w:tcPr>
            <w:tcW w:w="883" w:type="dxa"/>
            <w:shd w:val="clear" w:color="auto" w:fill="0070C0"/>
          </w:tcPr>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rPr>
              <w:t>≥</w:t>
            </w:r>
            <w:r w:rsidRPr="00A71154">
              <w:rPr>
                <w:b/>
                <w:color w:val="FFFFFF" w:themeColor="background1"/>
                <w:sz w:val="20"/>
                <w:szCs w:val="20"/>
              </w:rPr>
              <w:t xml:space="preserve"> 6</w:t>
            </w:r>
          </w:p>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szCs w:val="20"/>
              </w:rPr>
              <w:t>mo.</w:t>
            </w:r>
          </w:p>
        </w:tc>
        <w:tc>
          <w:tcPr>
            <w:tcW w:w="883" w:type="dxa"/>
            <w:shd w:val="clear" w:color="auto" w:fill="0070C0"/>
          </w:tcPr>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rPr>
              <w:t>≥</w:t>
            </w:r>
            <w:r w:rsidRPr="00A71154">
              <w:rPr>
                <w:b/>
                <w:color w:val="FFFFFF" w:themeColor="background1"/>
                <w:sz w:val="20"/>
                <w:szCs w:val="20"/>
              </w:rPr>
              <w:t xml:space="preserve"> 12</w:t>
            </w:r>
          </w:p>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szCs w:val="20"/>
              </w:rPr>
              <w:t>mo.</w:t>
            </w:r>
          </w:p>
        </w:tc>
        <w:tc>
          <w:tcPr>
            <w:tcW w:w="1155" w:type="dxa"/>
            <w:shd w:val="clear" w:color="auto" w:fill="0070C0"/>
          </w:tcPr>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szCs w:val="20"/>
              </w:rPr>
              <w:t>Any</w:t>
            </w:r>
          </w:p>
          <w:p w:rsidR="00534BB4" w:rsidRPr="00A71154" w:rsidRDefault="00534BB4" w:rsidP="00152865">
            <w:pPr>
              <w:keepNext/>
              <w:autoSpaceDE w:val="0"/>
              <w:autoSpaceDN w:val="0"/>
              <w:adjustRightInd w:val="0"/>
              <w:jc w:val="center"/>
              <w:rPr>
                <w:b/>
                <w:color w:val="FFFFFF" w:themeColor="background1"/>
                <w:sz w:val="20"/>
                <w:szCs w:val="20"/>
              </w:rPr>
            </w:pPr>
            <w:r w:rsidRPr="00A71154">
              <w:rPr>
                <w:b/>
                <w:color w:val="FFFFFF" w:themeColor="background1"/>
                <w:sz w:val="20"/>
                <w:szCs w:val="20"/>
              </w:rPr>
              <w:t>duration</w:t>
            </w:r>
          </w:p>
        </w:tc>
      </w:tr>
      <w:tr w:rsidR="00534BB4" w:rsidTr="00152865">
        <w:trPr>
          <w:jc w:val="center"/>
        </w:trPr>
        <w:tc>
          <w:tcPr>
            <w:tcW w:w="2401" w:type="dxa"/>
            <w:tcBorders>
              <w:bottom w:val="single" w:sz="4" w:space="0" w:color="auto"/>
            </w:tcBorders>
          </w:tcPr>
          <w:p w:rsidR="00534BB4" w:rsidRPr="00A53643" w:rsidRDefault="00534BB4" w:rsidP="00152865">
            <w:pPr>
              <w:keepNext/>
              <w:autoSpaceDE w:val="0"/>
              <w:autoSpaceDN w:val="0"/>
              <w:adjustRightInd w:val="0"/>
              <w:rPr>
                <w:b/>
                <w:sz w:val="20"/>
                <w:szCs w:val="20"/>
              </w:rPr>
            </w:pPr>
            <w:r w:rsidRPr="00A53643">
              <w:rPr>
                <w:b/>
                <w:sz w:val="20"/>
                <w:szCs w:val="20"/>
              </w:rPr>
              <w:t>Clinical pharmacology</w:t>
            </w:r>
          </w:p>
        </w:tc>
        <w:tc>
          <w:tcPr>
            <w:tcW w:w="882" w:type="dxa"/>
            <w:tcBorders>
              <w:bottom w:val="single" w:sz="4" w:space="0" w:color="auto"/>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883" w:type="dxa"/>
            <w:tcBorders>
              <w:bottom w:val="single" w:sz="4" w:space="0" w:color="auto"/>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883" w:type="dxa"/>
            <w:tcBorders>
              <w:bottom w:val="single" w:sz="4" w:space="0" w:color="auto"/>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1155" w:type="dxa"/>
            <w:tcBorders>
              <w:bottom w:val="single" w:sz="4" w:space="0" w:color="auto"/>
            </w:tcBorders>
          </w:tcPr>
          <w:p w:rsidR="00534BB4" w:rsidRPr="006B14DE" w:rsidRDefault="00534BB4" w:rsidP="00152865">
            <w:pPr>
              <w:keepNext/>
              <w:autoSpaceDE w:val="0"/>
              <w:autoSpaceDN w:val="0"/>
              <w:adjustRightInd w:val="0"/>
              <w:jc w:val="center"/>
              <w:rPr>
                <w:sz w:val="20"/>
                <w:szCs w:val="20"/>
              </w:rPr>
            </w:pPr>
            <w:r>
              <w:rPr>
                <w:sz w:val="20"/>
                <w:szCs w:val="20"/>
              </w:rPr>
              <w:t>93</w:t>
            </w:r>
          </w:p>
        </w:tc>
      </w:tr>
      <w:tr w:rsidR="00534BB4" w:rsidTr="00152865">
        <w:trPr>
          <w:jc w:val="center"/>
        </w:trPr>
        <w:tc>
          <w:tcPr>
            <w:tcW w:w="2401" w:type="dxa"/>
            <w:tcBorders>
              <w:bottom w:val="nil"/>
            </w:tcBorders>
          </w:tcPr>
          <w:p w:rsidR="00534BB4" w:rsidRPr="00A53643" w:rsidRDefault="00534BB4" w:rsidP="00A71154">
            <w:pPr>
              <w:keepNext/>
              <w:autoSpaceDE w:val="0"/>
              <w:autoSpaceDN w:val="0"/>
              <w:adjustRightInd w:val="0"/>
              <w:rPr>
                <w:b/>
                <w:sz w:val="20"/>
                <w:szCs w:val="20"/>
              </w:rPr>
            </w:pPr>
            <w:r>
              <w:rPr>
                <w:b/>
                <w:sz w:val="20"/>
                <w:szCs w:val="20"/>
              </w:rPr>
              <w:t xml:space="preserve">Phase </w:t>
            </w:r>
            <w:r w:rsidR="00A71154">
              <w:rPr>
                <w:b/>
                <w:sz w:val="20"/>
                <w:szCs w:val="20"/>
              </w:rPr>
              <w:t>III</w:t>
            </w:r>
          </w:p>
        </w:tc>
        <w:tc>
          <w:tcPr>
            <w:tcW w:w="882" w:type="dxa"/>
            <w:tcBorders>
              <w:bottom w:val="nil"/>
            </w:tcBorders>
          </w:tcPr>
          <w:p w:rsidR="00534BB4" w:rsidRPr="006B14DE" w:rsidRDefault="00534BB4" w:rsidP="00152865">
            <w:pPr>
              <w:keepNext/>
              <w:autoSpaceDE w:val="0"/>
              <w:autoSpaceDN w:val="0"/>
              <w:adjustRightInd w:val="0"/>
              <w:jc w:val="center"/>
              <w:rPr>
                <w:sz w:val="20"/>
                <w:szCs w:val="20"/>
              </w:rPr>
            </w:pPr>
          </w:p>
        </w:tc>
        <w:tc>
          <w:tcPr>
            <w:tcW w:w="883" w:type="dxa"/>
            <w:tcBorders>
              <w:bottom w:val="nil"/>
            </w:tcBorders>
          </w:tcPr>
          <w:p w:rsidR="00534BB4" w:rsidRPr="006B14DE" w:rsidRDefault="00534BB4" w:rsidP="00152865">
            <w:pPr>
              <w:keepNext/>
              <w:autoSpaceDE w:val="0"/>
              <w:autoSpaceDN w:val="0"/>
              <w:adjustRightInd w:val="0"/>
              <w:jc w:val="center"/>
              <w:rPr>
                <w:sz w:val="20"/>
                <w:szCs w:val="20"/>
              </w:rPr>
            </w:pPr>
          </w:p>
        </w:tc>
        <w:tc>
          <w:tcPr>
            <w:tcW w:w="883" w:type="dxa"/>
            <w:tcBorders>
              <w:bottom w:val="nil"/>
            </w:tcBorders>
          </w:tcPr>
          <w:p w:rsidR="00534BB4" w:rsidRPr="006B14DE" w:rsidRDefault="00534BB4" w:rsidP="00152865">
            <w:pPr>
              <w:keepNext/>
              <w:autoSpaceDE w:val="0"/>
              <w:autoSpaceDN w:val="0"/>
              <w:adjustRightInd w:val="0"/>
              <w:jc w:val="center"/>
              <w:rPr>
                <w:sz w:val="20"/>
                <w:szCs w:val="20"/>
              </w:rPr>
            </w:pPr>
          </w:p>
        </w:tc>
        <w:tc>
          <w:tcPr>
            <w:tcW w:w="1155" w:type="dxa"/>
            <w:tcBorders>
              <w:bottom w:val="nil"/>
            </w:tcBorders>
          </w:tcPr>
          <w:p w:rsidR="00534BB4" w:rsidRPr="006B14DE" w:rsidRDefault="00534BB4" w:rsidP="00152865">
            <w:pPr>
              <w:keepNext/>
              <w:autoSpaceDE w:val="0"/>
              <w:autoSpaceDN w:val="0"/>
              <w:adjustRightInd w:val="0"/>
              <w:jc w:val="center"/>
              <w:rPr>
                <w:sz w:val="20"/>
                <w:szCs w:val="20"/>
              </w:rPr>
            </w:pPr>
          </w:p>
        </w:tc>
      </w:tr>
      <w:tr w:rsidR="00534BB4" w:rsidTr="00152865">
        <w:trPr>
          <w:jc w:val="center"/>
        </w:trPr>
        <w:tc>
          <w:tcPr>
            <w:tcW w:w="2401" w:type="dxa"/>
            <w:tcBorders>
              <w:top w:val="nil"/>
              <w:bottom w:val="nil"/>
            </w:tcBorders>
          </w:tcPr>
          <w:p w:rsidR="00534BB4" w:rsidRPr="006B14DE" w:rsidRDefault="00534BB4" w:rsidP="00152865">
            <w:pPr>
              <w:keepNext/>
              <w:autoSpaceDE w:val="0"/>
              <w:autoSpaceDN w:val="0"/>
              <w:adjustRightInd w:val="0"/>
              <w:rPr>
                <w:sz w:val="20"/>
                <w:szCs w:val="20"/>
              </w:rPr>
            </w:pPr>
            <w:r w:rsidRPr="006B14DE">
              <w:rPr>
                <w:sz w:val="20"/>
                <w:szCs w:val="20"/>
              </w:rPr>
              <w:t>Placebo-controlled</w:t>
            </w:r>
          </w:p>
        </w:tc>
        <w:tc>
          <w:tcPr>
            <w:tcW w:w="882"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269</w:t>
            </w:r>
          </w:p>
        </w:tc>
        <w:tc>
          <w:tcPr>
            <w:tcW w:w="883"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883"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1155"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269</w:t>
            </w:r>
          </w:p>
        </w:tc>
      </w:tr>
      <w:tr w:rsidR="00534BB4" w:rsidTr="00152865">
        <w:trPr>
          <w:jc w:val="center"/>
        </w:trPr>
        <w:tc>
          <w:tcPr>
            <w:tcW w:w="2401" w:type="dxa"/>
            <w:tcBorders>
              <w:top w:val="nil"/>
              <w:bottom w:val="nil"/>
            </w:tcBorders>
          </w:tcPr>
          <w:p w:rsidR="00534BB4" w:rsidRPr="006B14DE" w:rsidRDefault="00534BB4" w:rsidP="00152865">
            <w:pPr>
              <w:keepNext/>
              <w:autoSpaceDE w:val="0"/>
              <w:autoSpaceDN w:val="0"/>
              <w:adjustRightInd w:val="0"/>
              <w:rPr>
                <w:sz w:val="20"/>
                <w:szCs w:val="20"/>
              </w:rPr>
            </w:pPr>
            <w:r w:rsidRPr="006B14DE">
              <w:rPr>
                <w:sz w:val="20"/>
                <w:szCs w:val="20"/>
              </w:rPr>
              <w:t>Active-controlled</w:t>
            </w:r>
          </w:p>
        </w:tc>
        <w:tc>
          <w:tcPr>
            <w:tcW w:w="882"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883"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883"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1155"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r>
      <w:tr w:rsidR="00534BB4" w:rsidTr="00152865">
        <w:trPr>
          <w:jc w:val="center"/>
        </w:trPr>
        <w:tc>
          <w:tcPr>
            <w:tcW w:w="2401" w:type="dxa"/>
            <w:tcBorders>
              <w:top w:val="nil"/>
              <w:bottom w:val="nil"/>
            </w:tcBorders>
          </w:tcPr>
          <w:p w:rsidR="00534BB4" w:rsidRDefault="00534BB4" w:rsidP="00152865">
            <w:pPr>
              <w:keepNext/>
              <w:autoSpaceDE w:val="0"/>
              <w:autoSpaceDN w:val="0"/>
              <w:adjustRightInd w:val="0"/>
              <w:rPr>
                <w:sz w:val="20"/>
                <w:szCs w:val="20"/>
              </w:rPr>
            </w:pPr>
            <w:r w:rsidRPr="006B14DE">
              <w:rPr>
                <w:sz w:val="20"/>
                <w:szCs w:val="20"/>
              </w:rPr>
              <w:t>Uncontrolled</w:t>
            </w:r>
          </w:p>
        </w:tc>
        <w:tc>
          <w:tcPr>
            <w:tcW w:w="882"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883"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883"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c>
          <w:tcPr>
            <w:tcW w:w="1155" w:type="dxa"/>
            <w:tcBorders>
              <w:top w:val="nil"/>
              <w:bottom w:val="nil"/>
            </w:tcBorders>
          </w:tcPr>
          <w:p w:rsidR="00534BB4" w:rsidRPr="006B14DE" w:rsidRDefault="00534BB4" w:rsidP="00152865">
            <w:pPr>
              <w:keepNext/>
              <w:autoSpaceDE w:val="0"/>
              <w:autoSpaceDN w:val="0"/>
              <w:adjustRightInd w:val="0"/>
              <w:jc w:val="center"/>
              <w:rPr>
                <w:sz w:val="20"/>
                <w:szCs w:val="20"/>
              </w:rPr>
            </w:pPr>
            <w:r>
              <w:rPr>
                <w:sz w:val="20"/>
                <w:szCs w:val="20"/>
              </w:rPr>
              <w:t>0</w:t>
            </w:r>
          </w:p>
        </w:tc>
      </w:tr>
      <w:tr w:rsidR="00534BB4" w:rsidTr="00152865">
        <w:trPr>
          <w:jc w:val="center"/>
        </w:trPr>
        <w:tc>
          <w:tcPr>
            <w:tcW w:w="2401" w:type="dxa"/>
          </w:tcPr>
          <w:p w:rsidR="00534BB4" w:rsidRPr="005C5FA2" w:rsidRDefault="00534BB4" w:rsidP="00A71154">
            <w:pPr>
              <w:autoSpaceDE w:val="0"/>
              <w:autoSpaceDN w:val="0"/>
              <w:adjustRightInd w:val="0"/>
              <w:rPr>
                <w:b/>
                <w:sz w:val="20"/>
                <w:szCs w:val="20"/>
              </w:rPr>
            </w:pPr>
            <w:r w:rsidRPr="005C5FA2">
              <w:rPr>
                <w:b/>
                <w:sz w:val="20"/>
                <w:szCs w:val="20"/>
              </w:rPr>
              <w:t>TOTAL</w:t>
            </w:r>
          </w:p>
        </w:tc>
        <w:tc>
          <w:tcPr>
            <w:tcW w:w="882" w:type="dxa"/>
          </w:tcPr>
          <w:p w:rsidR="00534BB4" w:rsidRPr="006B14DE" w:rsidRDefault="00534BB4" w:rsidP="00152865">
            <w:pPr>
              <w:keepNext/>
              <w:autoSpaceDE w:val="0"/>
              <w:autoSpaceDN w:val="0"/>
              <w:adjustRightInd w:val="0"/>
              <w:jc w:val="center"/>
              <w:rPr>
                <w:sz w:val="20"/>
                <w:szCs w:val="20"/>
              </w:rPr>
            </w:pPr>
            <w:r>
              <w:rPr>
                <w:sz w:val="20"/>
                <w:szCs w:val="20"/>
              </w:rPr>
              <w:t>269</w:t>
            </w:r>
          </w:p>
        </w:tc>
        <w:tc>
          <w:tcPr>
            <w:tcW w:w="883" w:type="dxa"/>
          </w:tcPr>
          <w:p w:rsidR="00534BB4" w:rsidRPr="006B14DE" w:rsidRDefault="00534BB4" w:rsidP="00152865">
            <w:pPr>
              <w:keepNext/>
              <w:autoSpaceDE w:val="0"/>
              <w:autoSpaceDN w:val="0"/>
              <w:adjustRightInd w:val="0"/>
              <w:jc w:val="center"/>
              <w:rPr>
                <w:sz w:val="20"/>
                <w:szCs w:val="20"/>
              </w:rPr>
            </w:pPr>
            <w:r>
              <w:rPr>
                <w:sz w:val="20"/>
                <w:szCs w:val="20"/>
              </w:rPr>
              <w:t>0</w:t>
            </w:r>
          </w:p>
        </w:tc>
        <w:tc>
          <w:tcPr>
            <w:tcW w:w="883" w:type="dxa"/>
          </w:tcPr>
          <w:p w:rsidR="00534BB4" w:rsidRPr="006B14DE" w:rsidRDefault="00534BB4" w:rsidP="00152865">
            <w:pPr>
              <w:keepNext/>
              <w:autoSpaceDE w:val="0"/>
              <w:autoSpaceDN w:val="0"/>
              <w:adjustRightInd w:val="0"/>
              <w:jc w:val="center"/>
              <w:rPr>
                <w:sz w:val="20"/>
                <w:szCs w:val="20"/>
              </w:rPr>
            </w:pPr>
            <w:r>
              <w:rPr>
                <w:sz w:val="20"/>
                <w:szCs w:val="20"/>
              </w:rPr>
              <w:t>0</w:t>
            </w:r>
          </w:p>
        </w:tc>
        <w:tc>
          <w:tcPr>
            <w:tcW w:w="1155" w:type="dxa"/>
          </w:tcPr>
          <w:p w:rsidR="00534BB4" w:rsidRPr="006B14DE" w:rsidRDefault="00534BB4" w:rsidP="00152865">
            <w:pPr>
              <w:keepNext/>
              <w:autoSpaceDE w:val="0"/>
              <w:autoSpaceDN w:val="0"/>
              <w:adjustRightInd w:val="0"/>
              <w:jc w:val="center"/>
              <w:rPr>
                <w:sz w:val="20"/>
                <w:szCs w:val="20"/>
              </w:rPr>
            </w:pPr>
            <w:r>
              <w:rPr>
                <w:sz w:val="20"/>
                <w:szCs w:val="20"/>
              </w:rPr>
              <w:t>362</w:t>
            </w:r>
          </w:p>
        </w:tc>
      </w:tr>
    </w:tbl>
    <w:p w:rsidR="00534BB4" w:rsidRDefault="00715772" w:rsidP="00A71154">
      <w:pPr>
        <w:pStyle w:val="Heading3"/>
      </w:pPr>
      <w:bookmarkStart w:id="133" w:name="_Toc241374319"/>
      <w:bookmarkStart w:id="134" w:name="_Ref271044764"/>
      <w:bookmarkStart w:id="135" w:name="_Toc272414663"/>
      <w:bookmarkStart w:id="136" w:name="_Toc273018226"/>
      <w:bookmarkStart w:id="137" w:name="_Toc348527496"/>
      <w:bookmarkStart w:id="138" w:name="_Toc366439585"/>
      <w:r>
        <w:lastRenderedPageBreak/>
        <w:t>Adverse e</w:t>
      </w:r>
      <w:r w:rsidR="00A71154">
        <w:t>vents</w:t>
      </w:r>
      <w:bookmarkEnd w:id="133"/>
      <w:bookmarkEnd w:id="134"/>
      <w:bookmarkEnd w:id="135"/>
      <w:bookmarkEnd w:id="136"/>
      <w:bookmarkEnd w:id="137"/>
      <w:bookmarkEnd w:id="138"/>
    </w:p>
    <w:p w:rsidR="00534BB4" w:rsidRDefault="00715772" w:rsidP="00A71154">
      <w:pPr>
        <w:pStyle w:val="Heading4"/>
      </w:pPr>
      <w:bookmarkStart w:id="139" w:name="_Ref272317284"/>
      <w:bookmarkStart w:id="140" w:name="_Ref272333565"/>
      <w:bookmarkStart w:id="141" w:name="_Toc272414664"/>
      <w:bookmarkStart w:id="142" w:name="_Toc273018227"/>
      <w:bookmarkStart w:id="143" w:name="_Toc348527497"/>
      <w:r>
        <w:t>All a</w:t>
      </w:r>
      <w:r w:rsidR="00A71154">
        <w:t xml:space="preserve">dverse </w:t>
      </w:r>
      <w:r>
        <w:t>e</w:t>
      </w:r>
      <w:r w:rsidR="00A71154">
        <w:t>vents (</w:t>
      </w:r>
      <w:r>
        <w:t>irrespective of r</w:t>
      </w:r>
      <w:r w:rsidR="00A71154">
        <w:t xml:space="preserve">elationship </w:t>
      </w:r>
      <w:r>
        <w:t>to study t</w:t>
      </w:r>
      <w:r w:rsidR="00A71154">
        <w:t>reatment)</w:t>
      </w:r>
      <w:bookmarkEnd w:id="139"/>
      <w:bookmarkEnd w:id="140"/>
      <w:bookmarkEnd w:id="141"/>
      <w:bookmarkEnd w:id="142"/>
      <w:bookmarkEnd w:id="143"/>
    </w:p>
    <w:p w:rsidR="00534BB4" w:rsidRPr="00EF5097" w:rsidRDefault="00534BB4" w:rsidP="00324D05">
      <w:pPr>
        <w:pStyle w:val="TableTitle"/>
      </w:pPr>
      <w:bookmarkStart w:id="144" w:name="_Toc291955330"/>
      <w:bookmarkStart w:id="145" w:name="_Toc292027095"/>
      <w:bookmarkStart w:id="146" w:name="_Toc292206541"/>
      <w:proofErr w:type="gramStart"/>
      <w:r>
        <w:t>Table</w:t>
      </w:r>
      <w:r w:rsidR="00A71154">
        <w:t xml:space="preserve"> 2</w:t>
      </w:r>
      <w:r w:rsidR="00D42840">
        <w:t>2</w:t>
      </w:r>
      <w:r>
        <w:t>.</w:t>
      </w:r>
      <w:proofErr w:type="gramEnd"/>
      <w:r>
        <w:t xml:space="preserve"> Adverse events reported for &gt; 1% of patients treated with Oracea in the pivotal studies combined in decreasing order of overall frequency (ITT population)</w:t>
      </w:r>
      <w:bookmarkEnd w:id="144"/>
      <w:bookmarkEnd w:id="145"/>
      <w:bookmarkEnd w:id="146"/>
      <w:r w:rsidR="00A71154">
        <w:t xml:space="preserve">. </w:t>
      </w:r>
      <w:r w:rsidR="002A418E">
        <w:t>Table c</w:t>
      </w:r>
      <w:r w:rsidR="00A71154">
        <w:t>ontinued across 2 pages.</w:t>
      </w:r>
    </w:p>
    <w:tbl>
      <w:tblPr>
        <w:tblW w:w="8931" w:type="dxa"/>
        <w:tblInd w:w="5" w:type="dxa"/>
        <w:tblLayout w:type="fixed"/>
        <w:tblCellMar>
          <w:left w:w="0" w:type="dxa"/>
          <w:right w:w="0" w:type="dxa"/>
        </w:tblCellMar>
        <w:tblLook w:val="0000"/>
      </w:tblPr>
      <w:tblGrid>
        <w:gridCol w:w="2117"/>
        <w:gridCol w:w="293"/>
        <w:gridCol w:w="777"/>
        <w:gridCol w:w="423"/>
        <w:gridCol w:w="785"/>
        <w:gridCol w:w="425"/>
        <w:gridCol w:w="709"/>
        <w:gridCol w:w="425"/>
        <w:gridCol w:w="709"/>
        <w:gridCol w:w="425"/>
        <w:gridCol w:w="709"/>
        <w:gridCol w:w="425"/>
        <w:gridCol w:w="709"/>
      </w:tblGrid>
      <w:tr w:rsidR="00534BB4" w:rsidRPr="00EF5097" w:rsidTr="00A71154">
        <w:trPr>
          <w:cantSplit/>
          <w:tblHeader/>
        </w:trPr>
        <w:tc>
          <w:tcPr>
            <w:tcW w:w="2117" w:type="dxa"/>
            <w:vMerge w:val="restart"/>
            <w:tcBorders>
              <w:top w:val="single" w:sz="4" w:space="0" w:color="auto"/>
              <w:left w:val="single" w:sz="4" w:space="0" w:color="auto"/>
              <w:bottom w:val="nil"/>
              <w:right w:val="single" w:sz="4" w:space="0" w:color="auto"/>
            </w:tcBorders>
            <w:shd w:val="clear" w:color="auto" w:fill="0070C0"/>
          </w:tcPr>
          <w:p w:rsidR="00534BB4" w:rsidRPr="00A71154" w:rsidRDefault="00534BB4" w:rsidP="00A71154">
            <w:pPr>
              <w:keepNext/>
              <w:widowControl w:val="0"/>
              <w:kinsoku w:val="0"/>
              <w:rPr>
                <w:b/>
                <w:color w:val="FFFFFF" w:themeColor="background1"/>
                <w:sz w:val="20"/>
                <w:szCs w:val="20"/>
                <w:lang w:val="en-US"/>
              </w:rPr>
            </w:pPr>
            <w:r w:rsidRPr="00A71154">
              <w:rPr>
                <w:b/>
                <w:color w:val="FFFFFF" w:themeColor="background1"/>
                <w:sz w:val="20"/>
                <w:szCs w:val="20"/>
                <w:lang w:val="en-US"/>
              </w:rPr>
              <w:t>Preferred term</w:t>
            </w:r>
          </w:p>
        </w:tc>
        <w:tc>
          <w:tcPr>
            <w:tcW w:w="2278"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Study 301</w:t>
            </w:r>
          </w:p>
        </w:tc>
        <w:tc>
          <w:tcPr>
            <w:tcW w:w="2268"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Study 302</w:t>
            </w:r>
          </w:p>
        </w:tc>
        <w:tc>
          <w:tcPr>
            <w:tcW w:w="2268"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Combined studies</w:t>
            </w:r>
          </w:p>
        </w:tc>
      </w:tr>
      <w:tr w:rsidR="00534BB4" w:rsidRPr="00EF5097" w:rsidTr="00A71154">
        <w:trPr>
          <w:cantSplit/>
          <w:tblHeader/>
        </w:trPr>
        <w:tc>
          <w:tcPr>
            <w:tcW w:w="2117" w:type="dxa"/>
            <w:vMerge/>
            <w:tcBorders>
              <w:top w:val="nil"/>
              <w:left w:val="single" w:sz="4" w:space="0" w:color="auto"/>
              <w:bottom w:val="single" w:sz="4" w:space="0" w:color="auto"/>
              <w:right w:val="single" w:sz="4" w:space="0" w:color="auto"/>
            </w:tcBorders>
            <w:shd w:val="clear" w:color="auto" w:fill="0070C0"/>
          </w:tcPr>
          <w:p w:rsidR="00534BB4" w:rsidRPr="00A71154" w:rsidRDefault="00534BB4" w:rsidP="00A71154">
            <w:pPr>
              <w:keepNext/>
              <w:widowControl w:val="0"/>
              <w:kinsoku w:val="0"/>
              <w:rPr>
                <w:color w:val="FFFFFF" w:themeColor="background1"/>
                <w:sz w:val="20"/>
                <w:szCs w:val="20"/>
                <w:lang w:val="en-US"/>
              </w:rPr>
            </w:pPr>
          </w:p>
        </w:tc>
        <w:tc>
          <w:tcPr>
            <w:tcW w:w="107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Oracea</w:t>
            </w:r>
          </w:p>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(N = 127)</w:t>
            </w:r>
          </w:p>
        </w:tc>
        <w:tc>
          <w:tcPr>
            <w:tcW w:w="1208"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Placebo</w:t>
            </w:r>
          </w:p>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(N = 124)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Oracea</w:t>
            </w:r>
          </w:p>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(N = 142)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Placebo</w:t>
            </w:r>
          </w:p>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(N = 144)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Oracea</w:t>
            </w:r>
          </w:p>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(N = 269)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Placebo</w:t>
            </w:r>
          </w:p>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(N = 268)</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A71154">
            <w:pPr>
              <w:keepNext/>
              <w:widowControl w:val="0"/>
              <w:kinsoku w:val="0"/>
              <w:rPr>
                <w:sz w:val="20"/>
                <w:szCs w:val="20"/>
                <w:lang w:val="en-US"/>
              </w:rPr>
            </w:pPr>
            <w:r w:rsidRPr="007440CB">
              <w:rPr>
                <w:sz w:val="20"/>
                <w:szCs w:val="20"/>
                <w:lang w:val="en-US"/>
              </w:rPr>
              <w:t>Nasopharyngitis</w:t>
            </w:r>
          </w:p>
        </w:tc>
        <w:tc>
          <w:tcPr>
            <w:tcW w:w="293"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3</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(2.4%)</w:t>
            </w:r>
          </w:p>
        </w:tc>
        <w:tc>
          <w:tcPr>
            <w:tcW w:w="423"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2</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(1.6%)</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10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(7.0%)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7</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(4.9%)</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13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(4.8%)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9</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(3.4%)</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A71154">
            <w:pPr>
              <w:keepNext/>
              <w:widowControl w:val="0"/>
              <w:kinsoku w:val="0"/>
              <w:rPr>
                <w:sz w:val="20"/>
                <w:szCs w:val="20"/>
                <w:lang w:val="en-US"/>
              </w:rPr>
            </w:pPr>
            <w:r w:rsidRPr="007440CB">
              <w:rPr>
                <w:sz w:val="20"/>
                <w:szCs w:val="20"/>
                <w:lang w:val="en-US"/>
              </w:rPr>
              <w:t>Diarrhoea</w:t>
            </w:r>
          </w:p>
        </w:tc>
        <w:tc>
          <w:tcPr>
            <w:tcW w:w="293"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6</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(4.7%)</w:t>
            </w:r>
          </w:p>
        </w:tc>
        <w:tc>
          <w:tcPr>
            <w:tcW w:w="423"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4</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(3.2%)</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6</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(4.2%)</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(2.1%)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12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(4.5%)</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7</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(2.6%)</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A71154">
            <w:pPr>
              <w:keepNext/>
              <w:widowControl w:val="0"/>
              <w:kinsoku w:val="0"/>
              <w:rPr>
                <w:sz w:val="20"/>
                <w:szCs w:val="20"/>
                <w:lang w:val="en-US"/>
              </w:rPr>
            </w:pPr>
            <w:r w:rsidRPr="007440CB">
              <w:rPr>
                <w:sz w:val="20"/>
                <w:szCs w:val="20"/>
                <w:lang w:val="en-US"/>
              </w:rPr>
              <w:t>Headache</w:t>
            </w:r>
          </w:p>
        </w:tc>
        <w:tc>
          <w:tcPr>
            <w:tcW w:w="293"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4</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(3.1%)</w:t>
            </w:r>
          </w:p>
        </w:tc>
        <w:tc>
          <w:tcPr>
            <w:tcW w:w="423"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5</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(4.0%)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8</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(5.6%)</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11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(7.6%)</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12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(4.5%)</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16</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(6.0%)</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A71154">
            <w:pPr>
              <w:keepNext/>
              <w:widowControl w:val="0"/>
              <w:kinsoku w:val="0"/>
              <w:rPr>
                <w:sz w:val="20"/>
                <w:szCs w:val="20"/>
                <w:lang w:val="en-US"/>
              </w:rPr>
            </w:pPr>
            <w:r>
              <w:rPr>
                <w:sz w:val="20"/>
                <w:szCs w:val="20"/>
                <w:lang w:val="en-US"/>
              </w:rPr>
              <w:t>URTI</w:t>
            </w:r>
          </w:p>
        </w:tc>
        <w:tc>
          <w:tcPr>
            <w:tcW w:w="293"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5</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(3.9%)</w:t>
            </w:r>
          </w:p>
        </w:tc>
        <w:tc>
          <w:tcPr>
            <w:tcW w:w="423"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6</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(4.8%)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(2.8%)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14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(9.7%)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9</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(3.3%)</w:t>
            </w:r>
          </w:p>
        </w:tc>
        <w:tc>
          <w:tcPr>
            <w:tcW w:w="425" w:type="dxa"/>
            <w:tcBorders>
              <w:top w:val="single" w:sz="4" w:space="0" w:color="auto"/>
              <w:left w:val="single" w:sz="4" w:space="0" w:color="auto"/>
              <w:bottom w:val="single" w:sz="4" w:space="0" w:color="auto"/>
            </w:tcBorders>
            <w:vAlign w:val="center"/>
          </w:tcPr>
          <w:p w:rsidR="00534BB4" w:rsidRPr="00221C8B" w:rsidRDefault="00534BB4" w:rsidP="00A71154">
            <w:pPr>
              <w:keepNext/>
              <w:widowControl w:val="0"/>
              <w:kinsoku w:val="0"/>
              <w:jc w:val="right"/>
              <w:rPr>
                <w:sz w:val="20"/>
                <w:szCs w:val="20"/>
                <w:lang w:val="en-US"/>
              </w:rPr>
            </w:pPr>
            <w:r w:rsidRPr="00221C8B">
              <w:rPr>
                <w:sz w:val="20"/>
                <w:szCs w:val="20"/>
                <w:lang w:val="en-US"/>
              </w:rPr>
              <w:t>20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A71154">
            <w:pPr>
              <w:keepNext/>
              <w:widowControl w:val="0"/>
              <w:kinsoku w:val="0"/>
              <w:rPr>
                <w:sz w:val="20"/>
                <w:szCs w:val="20"/>
                <w:lang w:val="en-US"/>
              </w:rPr>
            </w:pPr>
            <w:r w:rsidRPr="00221C8B">
              <w:rPr>
                <w:sz w:val="20"/>
                <w:szCs w:val="20"/>
                <w:lang w:val="en-US"/>
              </w:rPr>
              <w:t>(7.5%)</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Hypertension</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6</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(4.2%)</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8</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(3.0%)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Sinusitis</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5</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(3.5%)</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7</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(2.6%)</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 xml:space="preserve">AST </w:t>
            </w:r>
            <w:r>
              <w:rPr>
                <w:sz w:val="20"/>
                <w:szCs w:val="20"/>
                <w:lang w:val="en-US"/>
              </w:rPr>
              <w:t>↑</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6</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(2.2%)</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Abdominal pain upper</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(2.4%)</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(1.4%)</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5</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(1.9%)</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(0.4%)</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Fungal infection</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(2.4%)</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(1.4%)</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5</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(1.9%)</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(0.4%)</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Influenza</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5</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(1.9%)</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Nausea</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(3.2%)</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5</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(1.9%)</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8</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(3.0%)</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 xml:space="preserve">ALT </w:t>
            </w:r>
            <w:r>
              <w:rPr>
                <w:sz w:val="20"/>
                <w:szCs w:val="20"/>
                <w:lang w:val="en-US"/>
              </w:rPr>
              <w:t>↑</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(1.5%)</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(1.5%)</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Anxiety</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(2.4%)</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(1.5%)</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 xml:space="preserve">Blood LDH </w:t>
            </w:r>
            <w:r>
              <w:rPr>
                <w:sz w:val="20"/>
                <w:szCs w:val="20"/>
                <w:lang w:val="en-US"/>
              </w:rPr>
              <w:t>↑</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(1.5%)</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(0.4%)</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 xml:space="preserve">Blood pressure </w:t>
            </w:r>
            <w:r>
              <w:rPr>
                <w:sz w:val="20"/>
                <w:szCs w:val="20"/>
                <w:lang w:val="en-US"/>
              </w:rPr>
              <w:t>↑</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(1.4%)</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(1.5%)</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(0.4%)</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Nasal congestion</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(1.5%)</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Pain</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(1.5%)</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(0.4%)</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Pruritus</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(2.4%)</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(1.4%)</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(1.5%)</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4</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(1.5%)</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Abdominal distension</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(1.4%)</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(0.4%)</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Abdominal pain</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(0.4%)</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Back pain</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(1.4%)</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 xml:space="preserve">Blood glucose </w:t>
            </w:r>
            <w:r>
              <w:rPr>
                <w:sz w:val="20"/>
                <w:szCs w:val="20"/>
                <w:lang w:val="en-US"/>
              </w:rPr>
              <w:t>↑</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lastRenderedPageBreak/>
              <w:t>Dermatitis contact</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(0.4%)</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Dry mouth</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(1.4%)</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proofErr w:type="spellStart"/>
            <w:r w:rsidRPr="007440CB">
              <w:rPr>
                <w:sz w:val="20"/>
                <w:szCs w:val="20"/>
                <w:lang w:val="en-US"/>
              </w:rPr>
              <w:t>Pharyngo</w:t>
            </w:r>
            <w:proofErr w:type="spellEnd"/>
            <w:r w:rsidRPr="007440CB">
              <w:rPr>
                <w:sz w:val="20"/>
                <w:szCs w:val="20"/>
                <w:lang w:val="en-US"/>
              </w:rPr>
              <w:t>-laryngeal pain</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(1.4%)</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Sinus congestion</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(1.6%)</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(1.4%)</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Sinus headache</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p>
        </w:tc>
      </w:tr>
      <w:tr w:rsidR="00534BB4" w:rsidRPr="00EF5097" w:rsidTr="00152865">
        <w:tc>
          <w:tcPr>
            <w:tcW w:w="2117"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sidRPr="007440CB">
              <w:rPr>
                <w:sz w:val="20"/>
                <w:szCs w:val="20"/>
                <w:lang w:val="en-US"/>
              </w:rPr>
              <w:t>Stomach discomfort</w:t>
            </w:r>
          </w:p>
        </w:tc>
        <w:tc>
          <w:tcPr>
            <w:tcW w:w="29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77"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(2.4%)</w:t>
            </w:r>
          </w:p>
        </w:tc>
        <w:tc>
          <w:tcPr>
            <w:tcW w:w="423"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85"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(0.8%)</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0</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1</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3</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(1.1%)</w:t>
            </w:r>
          </w:p>
        </w:tc>
        <w:tc>
          <w:tcPr>
            <w:tcW w:w="425" w:type="dxa"/>
            <w:tcBorders>
              <w:top w:val="single" w:sz="4" w:space="0" w:color="auto"/>
              <w:left w:val="single" w:sz="4" w:space="0" w:color="auto"/>
              <w:bottom w:val="single" w:sz="4" w:space="0" w:color="auto"/>
            </w:tcBorders>
            <w:vAlign w:val="center"/>
          </w:tcPr>
          <w:p w:rsidR="00534BB4" w:rsidRPr="00221C8B" w:rsidRDefault="00534BB4" w:rsidP="00152865">
            <w:pPr>
              <w:widowControl w:val="0"/>
              <w:kinsoku w:val="0"/>
              <w:jc w:val="right"/>
              <w:rPr>
                <w:sz w:val="20"/>
                <w:szCs w:val="20"/>
                <w:lang w:val="en-US"/>
              </w:rPr>
            </w:pPr>
            <w:r w:rsidRPr="00221C8B">
              <w:rPr>
                <w:sz w:val="20"/>
                <w:szCs w:val="20"/>
                <w:lang w:val="en-US"/>
              </w:rPr>
              <w:t>2</w:t>
            </w:r>
          </w:p>
        </w:tc>
        <w:tc>
          <w:tcPr>
            <w:tcW w:w="709" w:type="dxa"/>
            <w:tcBorders>
              <w:top w:val="single" w:sz="4" w:space="0" w:color="auto"/>
              <w:bottom w:val="single" w:sz="4" w:space="0" w:color="auto"/>
              <w:right w:val="single" w:sz="4" w:space="0" w:color="auto"/>
            </w:tcBorders>
            <w:vAlign w:val="center"/>
          </w:tcPr>
          <w:p w:rsidR="00534BB4" w:rsidRPr="00221C8B" w:rsidRDefault="00534BB4" w:rsidP="00152865">
            <w:pPr>
              <w:widowControl w:val="0"/>
              <w:kinsoku w:val="0"/>
              <w:rPr>
                <w:sz w:val="20"/>
                <w:szCs w:val="20"/>
                <w:lang w:val="en-US"/>
              </w:rPr>
            </w:pPr>
            <w:r w:rsidRPr="00221C8B">
              <w:rPr>
                <w:sz w:val="20"/>
                <w:szCs w:val="20"/>
                <w:lang w:val="en-US"/>
              </w:rPr>
              <w:t>(0.7%)</w:t>
            </w:r>
          </w:p>
        </w:tc>
      </w:tr>
    </w:tbl>
    <w:p w:rsidR="00534BB4" w:rsidRDefault="00534BB4" w:rsidP="00850EE2">
      <w:pPr>
        <w:pStyle w:val="TableTitle"/>
      </w:pPr>
      <w:bookmarkStart w:id="147" w:name="_Toc291955331"/>
      <w:bookmarkStart w:id="148" w:name="_Toc292027096"/>
      <w:bookmarkStart w:id="149" w:name="_Toc292206542"/>
      <w:proofErr w:type="gramStart"/>
      <w:r>
        <w:t xml:space="preserve">Table </w:t>
      </w:r>
      <w:r w:rsidR="00A71154">
        <w:t>2</w:t>
      </w:r>
      <w:r w:rsidR="00D42840">
        <w:t>3</w:t>
      </w:r>
      <w:r w:rsidR="00A71154">
        <w:t>.</w:t>
      </w:r>
      <w:proofErr w:type="gramEnd"/>
      <w:r>
        <w:t xml:space="preserve"> Adverse events reported for &gt; 1% of patients treated with Oracea in the Phase 3 studies combined by SOC (ITT population)</w:t>
      </w:r>
      <w:bookmarkEnd w:id="147"/>
      <w:bookmarkEnd w:id="148"/>
      <w:bookmarkEnd w:id="149"/>
      <w:r w:rsidR="00A71154">
        <w:t>. Table continued across 2 pages.</w:t>
      </w:r>
    </w:p>
    <w:tbl>
      <w:tblPr>
        <w:tblW w:w="9388" w:type="dxa"/>
        <w:tblInd w:w="5" w:type="dxa"/>
        <w:tblLayout w:type="fixed"/>
        <w:tblCellMar>
          <w:left w:w="0" w:type="dxa"/>
          <w:right w:w="0" w:type="dxa"/>
        </w:tblCellMar>
        <w:tblLook w:val="0000"/>
      </w:tblPr>
      <w:tblGrid>
        <w:gridCol w:w="2462"/>
        <w:gridCol w:w="373"/>
        <w:gridCol w:w="7"/>
        <w:gridCol w:w="768"/>
        <w:gridCol w:w="359"/>
        <w:gridCol w:w="793"/>
        <w:gridCol w:w="341"/>
        <w:gridCol w:w="806"/>
        <w:gridCol w:w="328"/>
        <w:gridCol w:w="824"/>
        <w:gridCol w:w="310"/>
        <w:gridCol w:w="837"/>
        <w:gridCol w:w="297"/>
        <w:gridCol w:w="883"/>
      </w:tblGrid>
      <w:tr w:rsidR="00534BB4" w:rsidRPr="00517C9F" w:rsidTr="00A71154">
        <w:trPr>
          <w:cantSplit/>
          <w:tblHeader/>
        </w:trPr>
        <w:tc>
          <w:tcPr>
            <w:tcW w:w="2462" w:type="dxa"/>
            <w:vMerge w:val="restart"/>
            <w:tcBorders>
              <w:top w:val="single" w:sz="4" w:space="0" w:color="auto"/>
              <w:left w:val="single" w:sz="4" w:space="0" w:color="auto"/>
              <w:bottom w:val="nil"/>
              <w:right w:val="single" w:sz="4" w:space="0" w:color="auto"/>
            </w:tcBorders>
            <w:shd w:val="clear" w:color="auto" w:fill="0070C0"/>
          </w:tcPr>
          <w:p w:rsidR="00534BB4" w:rsidRPr="00A71154" w:rsidRDefault="00534BB4" w:rsidP="00152865">
            <w:pPr>
              <w:widowControl w:val="0"/>
              <w:kinsoku w:val="0"/>
              <w:rPr>
                <w:color w:val="FFFFFF" w:themeColor="background1"/>
                <w:sz w:val="20"/>
                <w:szCs w:val="20"/>
                <w:lang w:val="en-US"/>
              </w:rPr>
            </w:pPr>
            <w:r w:rsidRPr="00A71154">
              <w:rPr>
                <w:b/>
                <w:color w:val="FFFFFF" w:themeColor="background1"/>
                <w:sz w:val="20"/>
                <w:szCs w:val="20"/>
                <w:lang w:val="en-US"/>
              </w:rPr>
              <w:t>System organ class</w:t>
            </w:r>
            <w:r w:rsidRPr="00A71154">
              <w:rPr>
                <w:color w:val="FFFFFF" w:themeColor="background1"/>
                <w:sz w:val="20"/>
                <w:szCs w:val="20"/>
                <w:lang w:val="en-US"/>
              </w:rPr>
              <w:t xml:space="preserve"> </w:t>
            </w:r>
          </w:p>
          <w:p w:rsidR="00534BB4" w:rsidRPr="00A71154" w:rsidRDefault="00534BB4" w:rsidP="00152865">
            <w:pPr>
              <w:widowControl w:val="0"/>
              <w:kinsoku w:val="0"/>
              <w:rPr>
                <w:color w:val="FFFFFF" w:themeColor="background1"/>
                <w:sz w:val="20"/>
                <w:szCs w:val="20"/>
                <w:lang w:val="en-US"/>
              </w:rPr>
            </w:pPr>
            <w:r w:rsidRPr="00A71154">
              <w:rPr>
                <w:color w:val="FFFFFF" w:themeColor="background1"/>
                <w:sz w:val="20"/>
                <w:szCs w:val="20"/>
                <w:lang w:val="en-US"/>
              </w:rPr>
              <w:t>Preferred term</w:t>
            </w:r>
          </w:p>
        </w:tc>
        <w:tc>
          <w:tcPr>
            <w:tcW w:w="2300"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Study 301</w:t>
            </w:r>
          </w:p>
        </w:tc>
        <w:tc>
          <w:tcPr>
            <w:tcW w:w="2299"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Study 302</w:t>
            </w:r>
          </w:p>
        </w:tc>
        <w:tc>
          <w:tcPr>
            <w:tcW w:w="2327"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Combined studies</w:t>
            </w:r>
          </w:p>
        </w:tc>
      </w:tr>
      <w:tr w:rsidR="00534BB4" w:rsidRPr="00517C9F" w:rsidTr="00A71154">
        <w:trPr>
          <w:cantSplit/>
          <w:tblHeader/>
        </w:trPr>
        <w:tc>
          <w:tcPr>
            <w:tcW w:w="2462" w:type="dxa"/>
            <w:vMerge/>
            <w:tcBorders>
              <w:top w:val="nil"/>
              <w:left w:val="single" w:sz="4" w:space="0" w:color="auto"/>
              <w:bottom w:val="single" w:sz="4" w:space="0" w:color="auto"/>
              <w:right w:val="single" w:sz="4" w:space="0" w:color="auto"/>
            </w:tcBorders>
            <w:shd w:val="clear" w:color="auto" w:fill="0070C0"/>
          </w:tcPr>
          <w:p w:rsidR="00534BB4" w:rsidRPr="00A71154" w:rsidRDefault="00534BB4" w:rsidP="00152865">
            <w:pPr>
              <w:widowControl w:val="0"/>
              <w:kinsoku w:val="0"/>
              <w:rPr>
                <w:color w:val="FFFFFF" w:themeColor="background1"/>
                <w:sz w:val="20"/>
                <w:szCs w:val="20"/>
                <w:lang w:val="en-US"/>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Oracea</w:t>
            </w:r>
          </w:p>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(N = 127)</w:t>
            </w:r>
          </w:p>
        </w:tc>
        <w:tc>
          <w:tcPr>
            <w:tcW w:w="1152"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Placebo</w:t>
            </w:r>
          </w:p>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(N = 124)</w:t>
            </w:r>
          </w:p>
        </w:tc>
        <w:tc>
          <w:tcPr>
            <w:tcW w:w="1147"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Oracea</w:t>
            </w:r>
          </w:p>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(N = 142)</w:t>
            </w:r>
          </w:p>
        </w:tc>
        <w:tc>
          <w:tcPr>
            <w:tcW w:w="1152"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Placebo</w:t>
            </w:r>
          </w:p>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(N = 144)</w:t>
            </w:r>
          </w:p>
        </w:tc>
        <w:tc>
          <w:tcPr>
            <w:tcW w:w="1147"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Oracea</w:t>
            </w:r>
          </w:p>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(N = 269)</w:t>
            </w:r>
          </w:p>
        </w:tc>
        <w:tc>
          <w:tcPr>
            <w:tcW w:w="118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Placebo</w:t>
            </w:r>
          </w:p>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(N = 268)</w:t>
            </w:r>
          </w:p>
        </w:tc>
      </w:tr>
      <w:tr w:rsidR="00534BB4" w:rsidRPr="00517C9F" w:rsidTr="00152865">
        <w:tc>
          <w:tcPr>
            <w:tcW w:w="9388" w:type="dxa"/>
            <w:gridSpan w:val="14"/>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b/>
                <w:sz w:val="20"/>
                <w:szCs w:val="20"/>
                <w:lang w:val="en-US"/>
              </w:rPr>
            </w:pPr>
            <w:r w:rsidRPr="00517C9F">
              <w:rPr>
                <w:b/>
                <w:sz w:val="20"/>
                <w:szCs w:val="20"/>
                <w:lang w:val="en-US"/>
              </w:rPr>
              <w:t>Gastrointestinal disorders</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Abdominal distension</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68"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(0.8%)</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0</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(1.4%)</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(0.4%)</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Abdominal pain</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768"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(0.8%)</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0</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(0.4%)</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Abdominal pain upper</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768"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(2.4%)</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(0.8%)</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(1.4%)</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0</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5</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(1.9%)</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(0.4%)</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Diarrhoea</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6</w:t>
            </w:r>
          </w:p>
        </w:tc>
        <w:tc>
          <w:tcPr>
            <w:tcW w:w="768"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(4.7%)</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(3.2%)</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6</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(4.2%)</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(2.1 %)</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12</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(4.5%)</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7</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(2.6%)</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Dry mouth</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68"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(0.8%)</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Pr>
                <w:sz w:val="20"/>
                <w:szCs w:val="20"/>
                <w:lang w:val="en-US"/>
              </w:rPr>
              <w:t>0</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(1.4%)</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Nausea</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768"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(3.2%)</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(2.1 %)</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(2.8%)</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5</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(1.9%)</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8</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(3.0%)</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Stomach discomfort</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768"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(2.4%)</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(0.8%)</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r>
      <w:tr w:rsidR="00534BB4" w:rsidRPr="00517C9F" w:rsidTr="00152865">
        <w:tc>
          <w:tcPr>
            <w:tcW w:w="9388" w:type="dxa"/>
            <w:gridSpan w:val="14"/>
            <w:tcBorders>
              <w:top w:val="single" w:sz="4" w:space="0" w:color="auto"/>
              <w:left w:val="single" w:sz="4" w:space="0" w:color="auto"/>
              <w:bottom w:val="single" w:sz="4" w:space="0" w:color="auto"/>
              <w:right w:val="single" w:sz="4" w:space="0" w:color="auto"/>
            </w:tcBorders>
            <w:vAlign w:val="center"/>
          </w:tcPr>
          <w:p w:rsidR="00534BB4" w:rsidRPr="00517C9F" w:rsidRDefault="00534BB4" w:rsidP="00152865">
            <w:pPr>
              <w:widowControl w:val="0"/>
              <w:kinsoku w:val="0"/>
              <w:rPr>
                <w:b/>
                <w:sz w:val="20"/>
                <w:szCs w:val="20"/>
                <w:lang w:val="en-US"/>
              </w:rPr>
            </w:pPr>
            <w:r w:rsidRPr="00517C9F">
              <w:rPr>
                <w:b/>
                <w:sz w:val="20"/>
                <w:szCs w:val="20"/>
                <w:lang w:val="en-US"/>
              </w:rPr>
              <w:t>General disorders &amp; administration site conditions</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Pain</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(0.8%)</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(0.8%)</w:t>
            </w:r>
          </w:p>
        </w:tc>
        <w:tc>
          <w:tcPr>
            <w:tcW w:w="341"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(2.1 %)</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(1.5%)</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(0.4%)</w:t>
            </w:r>
          </w:p>
        </w:tc>
      </w:tr>
      <w:tr w:rsidR="00534BB4" w:rsidRPr="00517C9F" w:rsidTr="00152865">
        <w:tc>
          <w:tcPr>
            <w:tcW w:w="9388" w:type="dxa"/>
            <w:gridSpan w:val="14"/>
            <w:tcBorders>
              <w:top w:val="single" w:sz="4" w:space="0" w:color="auto"/>
              <w:left w:val="single" w:sz="4" w:space="0" w:color="auto"/>
              <w:bottom w:val="single" w:sz="4" w:space="0" w:color="auto"/>
              <w:right w:val="single" w:sz="4" w:space="0" w:color="auto"/>
            </w:tcBorders>
            <w:vAlign w:val="center"/>
          </w:tcPr>
          <w:p w:rsidR="00534BB4" w:rsidRPr="00517C9F" w:rsidRDefault="00534BB4" w:rsidP="00152865">
            <w:pPr>
              <w:widowControl w:val="0"/>
              <w:kinsoku w:val="0"/>
              <w:rPr>
                <w:b/>
                <w:sz w:val="20"/>
                <w:szCs w:val="20"/>
                <w:lang w:val="en-US"/>
              </w:rPr>
            </w:pPr>
            <w:r w:rsidRPr="00517C9F">
              <w:rPr>
                <w:b/>
                <w:sz w:val="20"/>
                <w:szCs w:val="20"/>
                <w:lang w:val="en-US"/>
              </w:rPr>
              <w:t>Infections &amp; infestations</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Fungal infection</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(2.4%)</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0</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(1.4%)</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5</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(1.9%)</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(0.4%)</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Influenza</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0</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(2.1 %)</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(2.1 %)</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5</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(1.9%)</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Nasopharyngitis</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(2.4%)</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(1.6%)</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10</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(7.0%)</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7</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(4.9%)</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(4.8%)</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9</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(3.4%)</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Sinusitis</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(0.8%)</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5</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(3.5%)</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7</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(2.6%)</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Pr>
                <w:sz w:val="20"/>
                <w:szCs w:val="20"/>
                <w:lang w:val="en-US"/>
              </w:rPr>
              <w:lastRenderedPageBreak/>
              <w:t>URTI</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5</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(3.9%)</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6</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(4.8%)</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(2.8%)</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14</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(9.7%)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9</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(3.3%)</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20</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(7.5%)</w:t>
            </w:r>
          </w:p>
        </w:tc>
      </w:tr>
      <w:tr w:rsidR="00534BB4" w:rsidRPr="00517C9F" w:rsidTr="00152865">
        <w:tc>
          <w:tcPr>
            <w:tcW w:w="9388" w:type="dxa"/>
            <w:gridSpan w:val="14"/>
            <w:tcBorders>
              <w:top w:val="single" w:sz="4" w:space="0" w:color="auto"/>
              <w:left w:val="single" w:sz="4" w:space="0" w:color="auto"/>
              <w:bottom w:val="single" w:sz="4" w:space="0" w:color="auto"/>
              <w:right w:val="single" w:sz="4" w:space="0" w:color="auto"/>
            </w:tcBorders>
            <w:vAlign w:val="center"/>
          </w:tcPr>
          <w:p w:rsidR="00534BB4" w:rsidRPr="00517C9F" w:rsidRDefault="00534BB4" w:rsidP="00152865">
            <w:pPr>
              <w:widowControl w:val="0"/>
              <w:kinsoku w:val="0"/>
              <w:rPr>
                <w:b/>
                <w:sz w:val="20"/>
                <w:szCs w:val="20"/>
                <w:lang w:val="en-US"/>
              </w:rPr>
            </w:pPr>
            <w:r w:rsidRPr="00517C9F">
              <w:rPr>
                <w:b/>
                <w:sz w:val="20"/>
                <w:szCs w:val="20"/>
                <w:lang w:val="en-US"/>
              </w:rPr>
              <w:t>Investigations</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 xml:space="preserve">ALT </w:t>
            </w:r>
            <w:r>
              <w:rPr>
                <w:sz w:val="20"/>
                <w:szCs w:val="20"/>
                <w:lang w:val="en-US"/>
              </w:rPr>
              <w:t>↑</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(0.8%)</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(0.8%)</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(2.1 %)</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(2.1 %)</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(1.5%)</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(1.5%)</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 xml:space="preserve">AST </w:t>
            </w:r>
            <w:r>
              <w:rPr>
                <w:sz w:val="20"/>
                <w:szCs w:val="20"/>
                <w:lang w:val="en-US"/>
              </w:rPr>
              <w:t>↑</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93" w:type="dxa"/>
            <w:tcBorders>
              <w:top w:val="single" w:sz="4" w:space="0" w:color="auto"/>
              <w:bottom w:val="single" w:sz="4" w:space="0" w:color="auto"/>
              <w:right w:val="single" w:sz="4" w:space="0" w:color="auto"/>
            </w:tcBorders>
            <w:vAlign w:val="center"/>
          </w:tcPr>
          <w:p w:rsidR="00534BB4" w:rsidRPr="00517C9F" w:rsidRDefault="00534BB4" w:rsidP="00152865">
            <w:pPr>
              <w:widowControl w:val="0"/>
              <w:kinsoku w:val="0"/>
              <w:rPr>
                <w:sz w:val="20"/>
                <w:szCs w:val="20"/>
                <w:lang w:val="en-US"/>
              </w:rPr>
            </w:pPr>
            <w:r w:rsidRPr="00517C9F">
              <w:rPr>
                <w:sz w:val="20"/>
                <w:szCs w:val="20"/>
                <w:lang w:val="en-US"/>
              </w:rPr>
              <w:t>(0.8%)</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(2.8%)</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6</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(2.2%)</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 xml:space="preserve">Blood glucose </w:t>
            </w:r>
            <w:r>
              <w:rPr>
                <w:sz w:val="20"/>
                <w:szCs w:val="20"/>
                <w:lang w:val="en-US"/>
              </w:rPr>
              <w:t>↑</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0</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 xml:space="preserve">Blood LDH </w:t>
            </w:r>
            <w:r>
              <w:rPr>
                <w:sz w:val="20"/>
                <w:szCs w:val="20"/>
                <w:lang w:val="en-US"/>
              </w:rPr>
              <w:t>↑</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(0.8%)</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0</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(2.1 %)</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(1.5%)</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(0.4%)</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 xml:space="preserve">Blood pressure </w:t>
            </w:r>
            <w:r>
              <w:rPr>
                <w:sz w:val="20"/>
                <w:szCs w:val="20"/>
                <w:lang w:val="en-US"/>
              </w:rPr>
              <w:t>↑</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0</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(1.4%)</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(1.5%)</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(0.4%)</w:t>
            </w:r>
          </w:p>
        </w:tc>
      </w:tr>
      <w:tr w:rsidR="00534BB4" w:rsidRPr="00517C9F" w:rsidTr="00152865">
        <w:tc>
          <w:tcPr>
            <w:tcW w:w="9388" w:type="dxa"/>
            <w:gridSpan w:val="14"/>
            <w:tcBorders>
              <w:top w:val="single" w:sz="4" w:space="0" w:color="auto"/>
              <w:left w:val="single" w:sz="4" w:space="0" w:color="auto"/>
              <w:bottom w:val="single" w:sz="4" w:space="0" w:color="auto"/>
              <w:right w:val="single" w:sz="4" w:space="0" w:color="auto"/>
            </w:tcBorders>
            <w:vAlign w:val="center"/>
          </w:tcPr>
          <w:p w:rsidR="00534BB4" w:rsidRPr="00517C9F" w:rsidRDefault="00534BB4" w:rsidP="00152865">
            <w:pPr>
              <w:widowControl w:val="0"/>
              <w:kinsoku w:val="0"/>
              <w:rPr>
                <w:b/>
                <w:sz w:val="20"/>
                <w:szCs w:val="20"/>
                <w:lang w:val="en-US"/>
              </w:rPr>
            </w:pPr>
            <w:r w:rsidRPr="00517C9F">
              <w:rPr>
                <w:b/>
                <w:sz w:val="20"/>
                <w:szCs w:val="20"/>
                <w:lang w:val="en-US"/>
              </w:rPr>
              <w:t>Musculoskeletal &amp; connective tissue diseases</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Back pain</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(0.8%)</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Pr>
                <w:sz w:val="20"/>
                <w:szCs w:val="20"/>
                <w:lang w:val="en-US"/>
              </w:rPr>
              <w:t>0</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(1.4%)</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r>
      <w:tr w:rsidR="00534BB4" w:rsidRPr="00517C9F" w:rsidTr="00152865">
        <w:tc>
          <w:tcPr>
            <w:tcW w:w="9388" w:type="dxa"/>
            <w:gridSpan w:val="14"/>
            <w:tcBorders>
              <w:top w:val="single" w:sz="4" w:space="0" w:color="auto"/>
              <w:left w:val="single" w:sz="4" w:space="0" w:color="auto"/>
              <w:bottom w:val="single" w:sz="4" w:space="0" w:color="auto"/>
              <w:right w:val="single" w:sz="4" w:space="0" w:color="auto"/>
            </w:tcBorders>
            <w:vAlign w:val="center"/>
          </w:tcPr>
          <w:p w:rsidR="00534BB4" w:rsidRPr="00517C9F" w:rsidRDefault="00534BB4" w:rsidP="00152865">
            <w:pPr>
              <w:widowControl w:val="0"/>
              <w:kinsoku w:val="0"/>
              <w:rPr>
                <w:b/>
                <w:sz w:val="20"/>
                <w:szCs w:val="20"/>
                <w:lang w:val="en-US"/>
              </w:rPr>
            </w:pPr>
            <w:r w:rsidRPr="00517C9F">
              <w:rPr>
                <w:b/>
                <w:sz w:val="20"/>
                <w:szCs w:val="20"/>
                <w:lang w:val="en-US"/>
              </w:rPr>
              <w:t>Nervous system disorders</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Headache</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(3.1 %)</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5</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(4.0%)</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8</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(5.6%)</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(7.6%)</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12</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(4.5%)</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16</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(6.0%)</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Sinus headache</w:t>
            </w:r>
          </w:p>
        </w:tc>
        <w:tc>
          <w:tcPr>
            <w:tcW w:w="380" w:type="dxa"/>
            <w:gridSpan w:val="2"/>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Pr>
                <w:sz w:val="20"/>
                <w:szCs w:val="20"/>
                <w:lang w:val="en-US"/>
              </w:rPr>
              <w:t>0</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Pr>
                <w:sz w:val="20"/>
                <w:szCs w:val="20"/>
                <w:lang w:val="en-US"/>
              </w:rPr>
              <w:t>0</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(2.1 %)</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r>
      <w:tr w:rsidR="00534BB4" w:rsidRPr="00517C9F" w:rsidTr="00152865">
        <w:tc>
          <w:tcPr>
            <w:tcW w:w="9388" w:type="dxa"/>
            <w:gridSpan w:val="14"/>
            <w:tcBorders>
              <w:top w:val="single" w:sz="4" w:space="0" w:color="auto"/>
              <w:left w:val="single" w:sz="4" w:space="0" w:color="auto"/>
              <w:bottom w:val="single" w:sz="4" w:space="0" w:color="auto"/>
              <w:right w:val="single" w:sz="4" w:space="0" w:color="auto"/>
            </w:tcBorders>
          </w:tcPr>
          <w:p w:rsidR="00534BB4" w:rsidRPr="00244337" w:rsidRDefault="00534BB4" w:rsidP="00152865">
            <w:pPr>
              <w:widowControl w:val="0"/>
              <w:kinsoku w:val="0"/>
              <w:rPr>
                <w:b/>
                <w:sz w:val="20"/>
                <w:szCs w:val="20"/>
                <w:lang w:val="en-US"/>
              </w:rPr>
            </w:pPr>
            <w:r w:rsidRPr="00244337">
              <w:rPr>
                <w:b/>
                <w:sz w:val="20"/>
                <w:szCs w:val="20"/>
                <w:lang w:val="en-US"/>
              </w:rPr>
              <w:t>Psychiatric disorders</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Anxiety</w:t>
            </w:r>
          </w:p>
        </w:tc>
        <w:tc>
          <w:tcPr>
            <w:tcW w:w="380" w:type="dxa"/>
            <w:gridSpan w:val="2"/>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768"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(2.4%)</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Pr>
                <w:sz w:val="20"/>
                <w:szCs w:val="20"/>
                <w:lang w:val="en-US"/>
              </w:rPr>
              <w:t>0</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(1.5%)</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Pr>
                <w:sz w:val="20"/>
                <w:szCs w:val="20"/>
                <w:lang w:val="en-US"/>
              </w:rPr>
              <w:t>0</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p>
        </w:tc>
      </w:tr>
      <w:tr w:rsidR="00534BB4" w:rsidRPr="00517C9F" w:rsidTr="00152865">
        <w:tc>
          <w:tcPr>
            <w:tcW w:w="9388" w:type="dxa"/>
            <w:gridSpan w:val="14"/>
            <w:tcBorders>
              <w:top w:val="single" w:sz="4" w:space="0" w:color="auto"/>
              <w:left w:val="single" w:sz="4" w:space="0" w:color="auto"/>
              <w:bottom w:val="single" w:sz="4" w:space="0" w:color="auto"/>
              <w:right w:val="single" w:sz="4" w:space="0" w:color="auto"/>
            </w:tcBorders>
            <w:vAlign w:val="center"/>
          </w:tcPr>
          <w:p w:rsidR="00534BB4" w:rsidRPr="00517C9F" w:rsidRDefault="00534BB4" w:rsidP="00152865">
            <w:pPr>
              <w:widowControl w:val="0"/>
              <w:kinsoku w:val="0"/>
              <w:rPr>
                <w:b/>
                <w:sz w:val="20"/>
                <w:szCs w:val="20"/>
                <w:lang w:val="en-US"/>
              </w:rPr>
            </w:pPr>
            <w:r w:rsidRPr="00517C9F">
              <w:rPr>
                <w:b/>
                <w:sz w:val="20"/>
                <w:szCs w:val="20"/>
                <w:lang w:val="en-US"/>
              </w:rPr>
              <w:t>Respiratory, thoracic, &amp; mediastinal disorders</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Nasal congestion</w:t>
            </w:r>
          </w:p>
        </w:tc>
        <w:tc>
          <w:tcPr>
            <w:tcW w:w="373"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0</w:t>
            </w:r>
          </w:p>
        </w:tc>
        <w:tc>
          <w:tcPr>
            <w:tcW w:w="775" w:type="dxa"/>
            <w:gridSpan w:val="2"/>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(0.8%)</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(2.8%)</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(1.5%)</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Pharyngolaryngeal pain</w:t>
            </w:r>
          </w:p>
        </w:tc>
        <w:tc>
          <w:tcPr>
            <w:tcW w:w="373"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 xml:space="preserve">2 </w:t>
            </w:r>
          </w:p>
        </w:tc>
        <w:tc>
          <w:tcPr>
            <w:tcW w:w="775" w:type="dxa"/>
            <w:gridSpan w:val="2"/>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Pr>
                <w:sz w:val="20"/>
                <w:szCs w:val="20"/>
                <w:lang w:val="en-US"/>
              </w:rPr>
              <w:t>0</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(1.4%)</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Sinus congestion</w:t>
            </w:r>
          </w:p>
        </w:tc>
        <w:tc>
          <w:tcPr>
            <w:tcW w:w="373"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 xml:space="preserve">2 </w:t>
            </w:r>
          </w:p>
        </w:tc>
        <w:tc>
          <w:tcPr>
            <w:tcW w:w="775" w:type="dxa"/>
            <w:gridSpan w:val="2"/>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(0.8%)</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(1.4%)</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r>
      <w:tr w:rsidR="00534BB4" w:rsidRPr="00E44496" w:rsidTr="00152865">
        <w:tc>
          <w:tcPr>
            <w:tcW w:w="9388" w:type="dxa"/>
            <w:gridSpan w:val="14"/>
            <w:tcBorders>
              <w:top w:val="single" w:sz="4" w:space="0" w:color="auto"/>
              <w:left w:val="single" w:sz="4" w:space="0" w:color="auto"/>
              <w:bottom w:val="single" w:sz="4" w:space="0" w:color="auto"/>
              <w:right w:val="single" w:sz="4" w:space="0" w:color="auto"/>
            </w:tcBorders>
            <w:vAlign w:val="center"/>
          </w:tcPr>
          <w:p w:rsidR="00534BB4" w:rsidRPr="00E44496" w:rsidRDefault="00534BB4" w:rsidP="00152865">
            <w:pPr>
              <w:widowControl w:val="0"/>
              <w:kinsoku w:val="0"/>
              <w:rPr>
                <w:b/>
                <w:sz w:val="20"/>
                <w:szCs w:val="20"/>
                <w:lang w:val="en-US"/>
              </w:rPr>
            </w:pPr>
            <w:r w:rsidRPr="00E44496">
              <w:rPr>
                <w:b/>
                <w:sz w:val="20"/>
                <w:szCs w:val="20"/>
                <w:lang w:val="en-US"/>
              </w:rPr>
              <w:t>Skin &amp; subcutaneous tissue disorders</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Dermatitis contact</w:t>
            </w:r>
          </w:p>
        </w:tc>
        <w:tc>
          <w:tcPr>
            <w:tcW w:w="373"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 xml:space="preserve">2 </w:t>
            </w:r>
          </w:p>
        </w:tc>
        <w:tc>
          <w:tcPr>
            <w:tcW w:w="775" w:type="dxa"/>
            <w:gridSpan w:val="2"/>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Pr>
                <w:sz w:val="20"/>
                <w:szCs w:val="20"/>
                <w:lang w:val="en-US"/>
              </w:rPr>
              <w:t>0</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3</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(1.1 %)</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(0.4%)</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Pruritus</w:t>
            </w:r>
          </w:p>
        </w:tc>
        <w:tc>
          <w:tcPr>
            <w:tcW w:w="373"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 xml:space="preserve">3 </w:t>
            </w:r>
          </w:p>
        </w:tc>
        <w:tc>
          <w:tcPr>
            <w:tcW w:w="775" w:type="dxa"/>
            <w:gridSpan w:val="2"/>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(2.4%)</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(1.6%)</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(1.4%)</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(1.5%)</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4</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(1.5%)</w:t>
            </w:r>
          </w:p>
        </w:tc>
      </w:tr>
      <w:tr w:rsidR="00534BB4" w:rsidRPr="00517C9F" w:rsidTr="00152865">
        <w:tc>
          <w:tcPr>
            <w:tcW w:w="9388" w:type="dxa"/>
            <w:gridSpan w:val="14"/>
            <w:tcBorders>
              <w:top w:val="single" w:sz="4" w:space="0" w:color="auto"/>
              <w:left w:val="single" w:sz="4" w:space="0" w:color="auto"/>
              <w:bottom w:val="single" w:sz="4" w:space="0" w:color="auto"/>
              <w:right w:val="single" w:sz="4" w:space="0" w:color="auto"/>
            </w:tcBorders>
            <w:vAlign w:val="center"/>
          </w:tcPr>
          <w:p w:rsidR="00534BB4" w:rsidRPr="00517C9F" w:rsidRDefault="00534BB4" w:rsidP="00152865">
            <w:pPr>
              <w:widowControl w:val="0"/>
              <w:kinsoku w:val="0"/>
              <w:rPr>
                <w:b/>
                <w:sz w:val="20"/>
                <w:szCs w:val="20"/>
                <w:lang w:val="en-US"/>
              </w:rPr>
            </w:pPr>
            <w:r w:rsidRPr="00517C9F">
              <w:rPr>
                <w:b/>
                <w:sz w:val="20"/>
                <w:szCs w:val="20"/>
                <w:lang w:val="en-US"/>
              </w:rPr>
              <w:t>Vascular disorders</w:t>
            </w:r>
          </w:p>
        </w:tc>
      </w:tr>
      <w:tr w:rsidR="00534BB4" w:rsidRPr="00517C9F" w:rsidTr="00152865">
        <w:tc>
          <w:tcPr>
            <w:tcW w:w="2462" w:type="dxa"/>
            <w:tcBorders>
              <w:top w:val="single" w:sz="4" w:space="0" w:color="auto"/>
              <w:left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Hypertension</w:t>
            </w:r>
          </w:p>
        </w:tc>
        <w:tc>
          <w:tcPr>
            <w:tcW w:w="373"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 xml:space="preserve">2 </w:t>
            </w:r>
          </w:p>
        </w:tc>
        <w:tc>
          <w:tcPr>
            <w:tcW w:w="775" w:type="dxa"/>
            <w:gridSpan w:val="2"/>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(1.6%)</w:t>
            </w:r>
          </w:p>
        </w:tc>
        <w:tc>
          <w:tcPr>
            <w:tcW w:w="359" w:type="dxa"/>
            <w:tcBorders>
              <w:top w:val="single" w:sz="4" w:space="0" w:color="auto"/>
              <w:left w:val="single" w:sz="4" w:space="0" w:color="auto"/>
              <w:bottom w:val="single" w:sz="4" w:space="0" w:color="auto"/>
            </w:tcBorders>
            <w:vAlign w:val="center"/>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793" w:type="dxa"/>
            <w:tcBorders>
              <w:top w:val="single" w:sz="4" w:space="0" w:color="auto"/>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(0.8%)</w:t>
            </w:r>
          </w:p>
        </w:tc>
        <w:tc>
          <w:tcPr>
            <w:tcW w:w="341"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6</w:t>
            </w:r>
          </w:p>
        </w:tc>
        <w:tc>
          <w:tcPr>
            <w:tcW w:w="806"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(4.2%)</w:t>
            </w:r>
          </w:p>
        </w:tc>
        <w:tc>
          <w:tcPr>
            <w:tcW w:w="328"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1</w:t>
            </w:r>
          </w:p>
        </w:tc>
        <w:tc>
          <w:tcPr>
            <w:tcW w:w="824"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c>
          <w:tcPr>
            <w:tcW w:w="310"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8</w:t>
            </w:r>
          </w:p>
        </w:tc>
        <w:tc>
          <w:tcPr>
            <w:tcW w:w="837"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(3.0%)</w:t>
            </w:r>
          </w:p>
        </w:tc>
        <w:tc>
          <w:tcPr>
            <w:tcW w:w="297" w:type="dxa"/>
            <w:tcBorders>
              <w:top w:val="single" w:sz="4" w:space="0" w:color="auto"/>
              <w:left w:val="single" w:sz="4" w:space="0" w:color="auto"/>
              <w:bottom w:val="single" w:sz="4" w:space="0" w:color="auto"/>
            </w:tcBorders>
          </w:tcPr>
          <w:p w:rsidR="00534BB4" w:rsidRPr="00517C9F" w:rsidRDefault="00534BB4" w:rsidP="00152865">
            <w:pPr>
              <w:widowControl w:val="0"/>
              <w:kinsoku w:val="0"/>
              <w:jc w:val="right"/>
              <w:rPr>
                <w:sz w:val="20"/>
                <w:szCs w:val="20"/>
                <w:lang w:val="en-US"/>
              </w:rPr>
            </w:pPr>
            <w:r w:rsidRPr="00517C9F">
              <w:rPr>
                <w:sz w:val="20"/>
                <w:szCs w:val="20"/>
                <w:lang w:val="en-US"/>
              </w:rPr>
              <w:t>2</w:t>
            </w:r>
          </w:p>
        </w:tc>
        <w:tc>
          <w:tcPr>
            <w:tcW w:w="883" w:type="dxa"/>
            <w:tcBorders>
              <w:top w:val="single" w:sz="4" w:space="0" w:color="auto"/>
              <w:left w:val="nil"/>
              <w:bottom w:val="single" w:sz="4" w:space="0" w:color="auto"/>
              <w:right w:val="single" w:sz="4" w:space="0" w:color="auto"/>
            </w:tcBorders>
          </w:tcPr>
          <w:p w:rsidR="00534BB4" w:rsidRPr="00517C9F" w:rsidRDefault="00534BB4" w:rsidP="00152865">
            <w:pPr>
              <w:widowControl w:val="0"/>
              <w:kinsoku w:val="0"/>
              <w:rPr>
                <w:sz w:val="20"/>
                <w:szCs w:val="20"/>
                <w:lang w:val="en-US"/>
              </w:rPr>
            </w:pPr>
            <w:r w:rsidRPr="00517C9F">
              <w:rPr>
                <w:sz w:val="20"/>
                <w:szCs w:val="20"/>
                <w:lang w:val="en-US"/>
              </w:rPr>
              <w:t>(0.7%)</w:t>
            </w:r>
          </w:p>
        </w:tc>
      </w:tr>
    </w:tbl>
    <w:p w:rsidR="00534BB4" w:rsidRPr="00A71154" w:rsidRDefault="00715772" w:rsidP="00A71154">
      <w:pPr>
        <w:pStyle w:val="Heading4"/>
      </w:pPr>
      <w:bookmarkStart w:id="150" w:name="_Ref272333567"/>
      <w:bookmarkStart w:id="151" w:name="_Toc272414665"/>
      <w:bookmarkStart w:id="152" w:name="_Toc273018228"/>
      <w:bookmarkStart w:id="153" w:name="_Toc348527498"/>
      <w:r>
        <w:lastRenderedPageBreak/>
        <w:t>Treatment-related adverse events (adverse drug r</w:t>
      </w:r>
      <w:r w:rsidR="00A71154" w:rsidRPr="00A71154">
        <w:t>eactions)</w:t>
      </w:r>
      <w:bookmarkEnd w:id="150"/>
      <w:bookmarkEnd w:id="151"/>
      <w:bookmarkEnd w:id="152"/>
      <w:bookmarkEnd w:id="153"/>
    </w:p>
    <w:p w:rsidR="00534BB4" w:rsidRDefault="00534BB4" w:rsidP="00A71154">
      <w:pPr>
        <w:pStyle w:val="Heading5"/>
      </w:pPr>
      <w:r>
        <w:t>Pivotal studies</w:t>
      </w:r>
    </w:p>
    <w:p w:rsidR="00534BB4" w:rsidRDefault="00534BB4" w:rsidP="00534BB4">
      <w:r>
        <w:t xml:space="preserve">The number of patients experiencing AEs classified as treatment-related (either "possible" or "probable") in the combined pivotal studies (301 </w:t>
      </w:r>
      <w:r w:rsidR="00A71154">
        <w:t>and</w:t>
      </w:r>
      <w:r>
        <w:t xml:space="preserve"> 302) is shown below.</w:t>
      </w:r>
    </w:p>
    <w:p w:rsidR="00A71154" w:rsidRDefault="00A71154" w:rsidP="00850EE2">
      <w:pPr>
        <w:pStyle w:val="TableTitle"/>
      </w:pPr>
      <w:proofErr w:type="gramStart"/>
      <w:r>
        <w:t>Table 2</w:t>
      </w:r>
      <w:r w:rsidR="00D42840">
        <w:t>4</w:t>
      </w:r>
      <w:r>
        <w:t>.</w:t>
      </w:r>
      <w:proofErr w:type="gramEnd"/>
      <w:r>
        <w:t xml:space="preserve"> N</w:t>
      </w:r>
      <w:r w:rsidRPr="00A71154">
        <w:t>umber of patients experiencing AEs classified as treatment-related</w:t>
      </w:r>
      <w:r>
        <w:t>. Studies 301 and 302</w:t>
      </w:r>
    </w:p>
    <w:tbl>
      <w:tblPr>
        <w:tblW w:w="6327" w:type="dxa"/>
        <w:jc w:val="center"/>
        <w:tblInd w:w="5" w:type="dxa"/>
        <w:tblLayout w:type="fixed"/>
        <w:tblCellMar>
          <w:left w:w="0" w:type="dxa"/>
          <w:right w:w="0" w:type="dxa"/>
        </w:tblCellMar>
        <w:tblLook w:val="0000"/>
      </w:tblPr>
      <w:tblGrid>
        <w:gridCol w:w="2989"/>
        <w:gridCol w:w="1690"/>
        <w:gridCol w:w="1648"/>
      </w:tblGrid>
      <w:tr w:rsidR="00534BB4" w:rsidRPr="00221C8B" w:rsidTr="00850EE2">
        <w:trPr>
          <w:cantSplit/>
          <w:tblHeader/>
          <w:jc w:val="center"/>
        </w:trPr>
        <w:tc>
          <w:tcPr>
            <w:tcW w:w="2989" w:type="dxa"/>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rPr>
                <w:b/>
                <w:color w:val="FFFFFF" w:themeColor="background1"/>
                <w:sz w:val="20"/>
                <w:szCs w:val="20"/>
                <w:lang w:val="en-US"/>
              </w:rPr>
            </w:pPr>
            <w:r w:rsidRPr="00A71154">
              <w:rPr>
                <w:b/>
                <w:color w:val="FFFFFF" w:themeColor="background1"/>
                <w:sz w:val="20"/>
                <w:szCs w:val="20"/>
                <w:lang w:val="en-US"/>
              </w:rPr>
              <w:t>Number of patients</w:t>
            </w:r>
          </w:p>
        </w:tc>
        <w:tc>
          <w:tcPr>
            <w:tcW w:w="1690" w:type="dxa"/>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 xml:space="preserve">Oracea </w:t>
            </w:r>
          </w:p>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(N = 269)</w:t>
            </w:r>
          </w:p>
        </w:tc>
        <w:tc>
          <w:tcPr>
            <w:tcW w:w="1648" w:type="dxa"/>
            <w:tcBorders>
              <w:top w:val="single" w:sz="4" w:space="0" w:color="auto"/>
              <w:left w:val="single" w:sz="4" w:space="0" w:color="auto"/>
              <w:bottom w:val="single" w:sz="4" w:space="0" w:color="auto"/>
              <w:right w:val="single" w:sz="4" w:space="0" w:color="auto"/>
            </w:tcBorders>
            <w:shd w:val="clear" w:color="auto" w:fill="0070C0"/>
            <w:vAlign w:val="center"/>
          </w:tcPr>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Placebo</w:t>
            </w:r>
          </w:p>
          <w:p w:rsidR="00534BB4" w:rsidRPr="00A71154" w:rsidRDefault="00534BB4" w:rsidP="00A71154">
            <w:pPr>
              <w:keepNext/>
              <w:widowControl w:val="0"/>
              <w:kinsoku w:val="0"/>
              <w:jc w:val="center"/>
              <w:rPr>
                <w:b/>
                <w:color w:val="FFFFFF" w:themeColor="background1"/>
                <w:sz w:val="20"/>
                <w:szCs w:val="20"/>
                <w:lang w:val="en-US"/>
              </w:rPr>
            </w:pPr>
            <w:r w:rsidRPr="00A71154">
              <w:rPr>
                <w:b/>
                <w:color w:val="FFFFFF" w:themeColor="background1"/>
                <w:sz w:val="20"/>
                <w:szCs w:val="20"/>
                <w:lang w:val="en-US"/>
              </w:rPr>
              <w:t>(N = 268)</w:t>
            </w:r>
          </w:p>
        </w:tc>
      </w:tr>
      <w:tr w:rsidR="00534BB4" w:rsidRPr="00221C8B" w:rsidTr="00152865">
        <w:trPr>
          <w:jc w:val="center"/>
        </w:trPr>
        <w:tc>
          <w:tcPr>
            <w:tcW w:w="2989"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rPr>
                <w:sz w:val="20"/>
                <w:szCs w:val="20"/>
                <w:lang w:val="en-US"/>
              </w:rPr>
            </w:pPr>
            <w:r>
              <w:rPr>
                <w:sz w:val="20"/>
                <w:szCs w:val="20"/>
                <w:lang w:val="en-US"/>
              </w:rPr>
              <w:t>Reporting treatment-related AEs</w:t>
            </w:r>
          </w:p>
        </w:tc>
        <w:tc>
          <w:tcPr>
            <w:tcW w:w="1690" w:type="dxa"/>
            <w:tcBorders>
              <w:top w:val="single" w:sz="4" w:space="0" w:color="auto"/>
              <w:left w:val="single" w:sz="4" w:space="0" w:color="auto"/>
              <w:bottom w:val="single" w:sz="4" w:space="0" w:color="auto"/>
              <w:right w:val="single" w:sz="4" w:space="0" w:color="auto"/>
            </w:tcBorders>
            <w:vAlign w:val="center"/>
          </w:tcPr>
          <w:p w:rsidR="00534BB4" w:rsidRPr="00221C8B" w:rsidRDefault="00534BB4" w:rsidP="00152865">
            <w:pPr>
              <w:widowControl w:val="0"/>
              <w:kinsoku w:val="0"/>
              <w:jc w:val="center"/>
              <w:rPr>
                <w:sz w:val="20"/>
                <w:szCs w:val="20"/>
                <w:lang w:val="en-US"/>
              </w:rPr>
            </w:pPr>
            <w:r>
              <w:rPr>
                <w:sz w:val="20"/>
                <w:szCs w:val="20"/>
                <w:lang w:val="en-US"/>
              </w:rPr>
              <w:t>56 (20.8%)</w:t>
            </w:r>
          </w:p>
        </w:tc>
        <w:tc>
          <w:tcPr>
            <w:tcW w:w="1648" w:type="dxa"/>
            <w:tcBorders>
              <w:top w:val="single" w:sz="4" w:space="0" w:color="auto"/>
              <w:left w:val="single" w:sz="4" w:space="0" w:color="auto"/>
              <w:bottom w:val="single" w:sz="4" w:space="0" w:color="auto"/>
              <w:right w:val="single" w:sz="4" w:space="0" w:color="auto"/>
            </w:tcBorders>
            <w:vAlign w:val="center"/>
          </w:tcPr>
          <w:p w:rsidR="00534BB4" w:rsidRPr="00221C8B" w:rsidRDefault="00534BB4" w:rsidP="00152865">
            <w:pPr>
              <w:widowControl w:val="0"/>
              <w:kinsoku w:val="0"/>
              <w:jc w:val="center"/>
              <w:rPr>
                <w:sz w:val="20"/>
                <w:szCs w:val="20"/>
                <w:lang w:val="en-US"/>
              </w:rPr>
            </w:pPr>
            <w:r>
              <w:rPr>
                <w:sz w:val="20"/>
                <w:szCs w:val="20"/>
                <w:lang w:val="en-US"/>
              </w:rPr>
              <w:t>38 (14.2%)</w:t>
            </w:r>
          </w:p>
        </w:tc>
      </w:tr>
      <w:tr w:rsidR="00534BB4" w:rsidRPr="00221C8B" w:rsidTr="00152865">
        <w:trPr>
          <w:jc w:val="center"/>
        </w:trPr>
        <w:tc>
          <w:tcPr>
            <w:tcW w:w="2989"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ind w:left="142"/>
              <w:rPr>
                <w:sz w:val="20"/>
                <w:szCs w:val="20"/>
                <w:lang w:val="en-US"/>
              </w:rPr>
            </w:pPr>
            <w:r>
              <w:rPr>
                <w:sz w:val="20"/>
                <w:szCs w:val="20"/>
                <w:lang w:val="en-US"/>
              </w:rPr>
              <w:t>Classified possible</w:t>
            </w:r>
          </w:p>
        </w:tc>
        <w:tc>
          <w:tcPr>
            <w:tcW w:w="1690" w:type="dxa"/>
            <w:tcBorders>
              <w:top w:val="single" w:sz="4" w:space="0" w:color="auto"/>
              <w:left w:val="single" w:sz="4" w:space="0" w:color="auto"/>
              <w:bottom w:val="single" w:sz="4" w:space="0" w:color="auto"/>
              <w:right w:val="single" w:sz="4" w:space="0" w:color="auto"/>
            </w:tcBorders>
            <w:vAlign w:val="center"/>
          </w:tcPr>
          <w:p w:rsidR="00534BB4" w:rsidRPr="00221C8B" w:rsidRDefault="00534BB4" w:rsidP="00152865">
            <w:pPr>
              <w:widowControl w:val="0"/>
              <w:kinsoku w:val="0"/>
              <w:jc w:val="center"/>
              <w:rPr>
                <w:sz w:val="20"/>
                <w:szCs w:val="20"/>
                <w:lang w:val="en-US"/>
              </w:rPr>
            </w:pPr>
            <w:r>
              <w:rPr>
                <w:sz w:val="20"/>
                <w:szCs w:val="20"/>
                <w:lang w:val="en-US"/>
              </w:rPr>
              <w:t>42 (15.6%)</w:t>
            </w:r>
          </w:p>
        </w:tc>
        <w:tc>
          <w:tcPr>
            <w:tcW w:w="1648" w:type="dxa"/>
            <w:tcBorders>
              <w:top w:val="single" w:sz="4" w:space="0" w:color="auto"/>
              <w:left w:val="single" w:sz="4" w:space="0" w:color="auto"/>
              <w:bottom w:val="single" w:sz="4" w:space="0" w:color="auto"/>
              <w:right w:val="single" w:sz="4" w:space="0" w:color="auto"/>
            </w:tcBorders>
            <w:vAlign w:val="center"/>
          </w:tcPr>
          <w:p w:rsidR="00534BB4" w:rsidRPr="00221C8B" w:rsidRDefault="00534BB4" w:rsidP="00152865">
            <w:pPr>
              <w:widowControl w:val="0"/>
              <w:kinsoku w:val="0"/>
              <w:jc w:val="center"/>
              <w:rPr>
                <w:sz w:val="20"/>
                <w:szCs w:val="20"/>
                <w:lang w:val="en-US"/>
              </w:rPr>
            </w:pPr>
            <w:r>
              <w:rPr>
                <w:sz w:val="20"/>
                <w:szCs w:val="20"/>
                <w:lang w:val="en-US"/>
              </w:rPr>
              <w:t>31 (11.6%)</w:t>
            </w:r>
          </w:p>
        </w:tc>
      </w:tr>
      <w:tr w:rsidR="00534BB4" w:rsidRPr="00221C8B" w:rsidTr="00152865">
        <w:trPr>
          <w:jc w:val="center"/>
        </w:trPr>
        <w:tc>
          <w:tcPr>
            <w:tcW w:w="2989" w:type="dxa"/>
            <w:tcBorders>
              <w:top w:val="single" w:sz="4" w:space="0" w:color="auto"/>
              <w:left w:val="single" w:sz="4" w:space="0" w:color="auto"/>
              <w:bottom w:val="single" w:sz="4" w:space="0" w:color="auto"/>
              <w:right w:val="single" w:sz="4" w:space="0" w:color="auto"/>
            </w:tcBorders>
          </w:tcPr>
          <w:p w:rsidR="00534BB4" w:rsidRPr="007440CB" w:rsidRDefault="00534BB4" w:rsidP="00152865">
            <w:pPr>
              <w:widowControl w:val="0"/>
              <w:kinsoku w:val="0"/>
              <w:ind w:left="142"/>
              <w:rPr>
                <w:sz w:val="20"/>
                <w:szCs w:val="20"/>
                <w:lang w:val="en-US"/>
              </w:rPr>
            </w:pPr>
            <w:r>
              <w:rPr>
                <w:sz w:val="20"/>
                <w:szCs w:val="20"/>
                <w:lang w:val="en-US"/>
              </w:rPr>
              <w:t>Classified probable</w:t>
            </w:r>
          </w:p>
        </w:tc>
        <w:tc>
          <w:tcPr>
            <w:tcW w:w="1690" w:type="dxa"/>
            <w:tcBorders>
              <w:top w:val="single" w:sz="4" w:space="0" w:color="auto"/>
              <w:left w:val="single" w:sz="4" w:space="0" w:color="auto"/>
              <w:bottom w:val="single" w:sz="4" w:space="0" w:color="auto"/>
              <w:right w:val="single" w:sz="4" w:space="0" w:color="auto"/>
            </w:tcBorders>
            <w:vAlign w:val="center"/>
          </w:tcPr>
          <w:p w:rsidR="00534BB4" w:rsidRPr="00221C8B" w:rsidRDefault="00534BB4" w:rsidP="00152865">
            <w:pPr>
              <w:widowControl w:val="0"/>
              <w:kinsoku w:val="0"/>
              <w:jc w:val="center"/>
              <w:rPr>
                <w:sz w:val="20"/>
                <w:szCs w:val="20"/>
                <w:lang w:val="en-US"/>
              </w:rPr>
            </w:pPr>
            <w:r>
              <w:rPr>
                <w:sz w:val="20"/>
                <w:szCs w:val="20"/>
                <w:lang w:val="en-US"/>
              </w:rPr>
              <w:t>14 (5.2%)</w:t>
            </w:r>
          </w:p>
        </w:tc>
        <w:tc>
          <w:tcPr>
            <w:tcW w:w="1648" w:type="dxa"/>
            <w:tcBorders>
              <w:top w:val="single" w:sz="4" w:space="0" w:color="auto"/>
              <w:left w:val="single" w:sz="4" w:space="0" w:color="auto"/>
              <w:bottom w:val="single" w:sz="4" w:space="0" w:color="auto"/>
              <w:right w:val="single" w:sz="4" w:space="0" w:color="auto"/>
            </w:tcBorders>
            <w:vAlign w:val="center"/>
          </w:tcPr>
          <w:p w:rsidR="00534BB4" w:rsidRPr="00221C8B" w:rsidRDefault="00534BB4" w:rsidP="00152865">
            <w:pPr>
              <w:widowControl w:val="0"/>
              <w:kinsoku w:val="0"/>
              <w:jc w:val="center"/>
              <w:rPr>
                <w:sz w:val="20"/>
                <w:szCs w:val="20"/>
                <w:lang w:val="en-US"/>
              </w:rPr>
            </w:pPr>
            <w:r>
              <w:rPr>
                <w:sz w:val="20"/>
                <w:szCs w:val="20"/>
                <w:lang w:val="en-US"/>
              </w:rPr>
              <w:t>7 (2.6%)</w:t>
            </w:r>
          </w:p>
        </w:tc>
      </w:tr>
    </w:tbl>
    <w:p w:rsidR="00534BB4" w:rsidRDefault="00534BB4" w:rsidP="00534BB4">
      <w:r>
        <w:t>Numbers of patients experiencing AEs classified as treatment-related (either "possible" or "probable") in the combined pivotal studies (301 &amp; 302) is shown below (extracted from Module 5, section 5.3.5.3 Table 12.5). SOC data are comprehensive, but only Preferred Terms reported by &gt; 1% in either treatment group are included.</w:t>
      </w:r>
    </w:p>
    <w:p w:rsidR="00A71154" w:rsidRDefault="00A71154" w:rsidP="00850EE2">
      <w:pPr>
        <w:pStyle w:val="TableTitle"/>
      </w:pPr>
      <w:proofErr w:type="gramStart"/>
      <w:r>
        <w:t>Table 2</w:t>
      </w:r>
      <w:r w:rsidR="00D42840">
        <w:t>5</w:t>
      </w:r>
      <w:r>
        <w:t>.</w:t>
      </w:r>
      <w:proofErr w:type="gramEnd"/>
      <w:r>
        <w:t xml:space="preserve"> </w:t>
      </w:r>
      <w:r w:rsidRPr="00A71154">
        <w:t xml:space="preserve">Numbers of patients experiencing AEs classified as treatment-related (either "possible" or "probable") in the combined pivotal studies (301 </w:t>
      </w:r>
      <w:r>
        <w:t>and 302) By System Organ Class (</w:t>
      </w:r>
      <w:r w:rsidRPr="00A71154">
        <w:t>SOC</w:t>
      </w:r>
      <w:r>
        <w:t>)</w:t>
      </w:r>
      <w:r w:rsidR="0010152A">
        <w:t>. Table continued across 2 pages.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28"/>
        <w:gridCol w:w="720"/>
        <w:gridCol w:w="944"/>
        <w:gridCol w:w="676"/>
        <w:gridCol w:w="989"/>
      </w:tblGrid>
      <w:tr w:rsidR="00534BB4" w:rsidRPr="00A55731" w:rsidTr="0010152A">
        <w:trPr>
          <w:cantSplit/>
          <w:trHeight w:val="338"/>
          <w:tblHeader/>
          <w:jc w:val="center"/>
        </w:trPr>
        <w:tc>
          <w:tcPr>
            <w:tcW w:w="3528" w:type="dxa"/>
            <w:vMerge w:val="restart"/>
            <w:shd w:val="clear" w:color="auto" w:fill="0070C0"/>
            <w:vAlign w:val="center"/>
          </w:tcPr>
          <w:p w:rsidR="00534BB4" w:rsidRPr="00A71154" w:rsidRDefault="00534BB4" w:rsidP="00A71154">
            <w:pPr>
              <w:autoSpaceDE w:val="0"/>
              <w:autoSpaceDN w:val="0"/>
              <w:adjustRightInd w:val="0"/>
              <w:rPr>
                <w:bCs/>
                <w:color w:val="FFFFFF" w:themeColor="background1"/>
                <w:sz w:val="20"/>
                <w:szCs w:val="20"/>
              </w:rPr>
            </w:pPr>
            <w:r w:rsidRPr="00A71154">
              <w:rPr>
                <w:b/>
                <w:bCs/>
                <w:color w:val="FFFFFF" w:themeColor="background1"/>
                <w:sz w:val="20"/>
                <w:szCs w:val="20"/>
              </w:rPr>
              <w:t>SOC</w:t>
            </w:r>
            <w:r w:rsidR="00A71154">
              <w:rPr>
                <w:b/>
                <w:bCs/>
                <w:color w:val="FFFFFF" w:themeColor="background1"/>
                <w:sz w:val="20"/>
                <w:szCs w:val="20"/>
              </w:rPr>
              <w:t xml:space="preserve"> </w:t>
            </w:r>
            <w:r w:rsidRPr="00A71154">
              <w:rPr>
                <w:bCs/>
                <w:color w:val="FFFFFF" w:themeColor="background1"/>
                <w:sz w:val="20"/>
                <w:szCs w:val="20"/>
              </w:rPr>
              <w:t>Preferred Term</w:t>
            </w:r>
          </w:p>
        </w:tc>
        <w:tc>
          <w:tcPr>
            <w:tcW w:w="1664" w:type="dxa"/>
            <w:gridSpan w:val="2"/>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Oracea</w:t>
            </w:r>
          </w:p>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(N = 269)</w:t>
            </w:r>
          </w:p>
        </w:tc>
        <w:tc>
          <w:tcPr>
            <w:tcW w:w="1665" w:type="dxa"/>
            <w:gridSpan w:val="2"/>
            <w:shd w:val="clear" w:color="auto" w:fill="0070C0"/>
            <w:vAlign w:val="center"/>
          </w:tcPr>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Placebo</w:t>
            </w:r>
          </w:p>
          <w:p w:rsidR="00534BB4" w:rsidRPr="00A71154" w:rsidRDefault="00534BB4" w:rsidP="00152865">
            <w:pPr>
              <w:widowControl w:val="0"/>
              <w:kinsoku w:val="0"/>
              <w:jc w:val="center"/>
              <w:rPr>
                <w:b/>
                <w:color w:val="FFFFFF" w:themeColor="background1"/>
                <w:sz w:val="20"/>
                <w:szCs w:val="20"/>
                <w:lang w:val="en-US"/>
              </w:rPr>
            </w:pPr>
            <w:r w:rsidRPr="00A71154">
              <w:rPr>
                <w:b/>
                <w:color w:val="FFFFFF" w:themeColor="background1"/>
                <w:sz w:val="20"/>
                <w:szCs w:val="20"/>
                <w:lang w:val="en-US"/>
              </w:rPr>
              <w:t>(N = 268)</w:t>
            </w:r>
          </w:p>
        </w:tc>
      </w:tr>
      <w:tr w:rsidR="00534BB4" w:rsidRPr="00A55731" w:rsidTr="0010152A">
        <w:trPr>
          <w:cantSplit/>
          <w:trHeight w:val="337"/>
          <w:tblHeader/>
          <w:jc w:val="center"/>
        </w:trPr>
        <w:tc>
          <w:tcPr>
            <w:tcW w:w="3528" w:type="dxa"/>
            <w:vMerge/>
            <w:shd w:val="clear" w:color="auto" w:fill="0070C0"/>
          </w:tcPr>
          <w:p w:rsidR="00534BB4" w:rsidRPr="00A71154" w:rsidRDefault="00534BB4" w:rsidP="00152865">
            <w:pPr>
              <w:autoSpaceDE w:val="0"/>
              <w:autoSpaceDN w:val="0"/>
              <w:adjustRightInd w:val="0"/>
              <w:rPr>
                <w:b/>
                <w:bCs/>
                <w:color w:val="FFFFFF" w:themeColor="background1"/>
                <w:sz w:val="20"/>
                <w:szCs w:val="20"/>
              </w:rPr>
            </w:pPr>
          </w:p>
        </w:tc>
        <w:tc>
          <w:tcPr>
            <w:tcW w:w="1664" w:type="dxa"/>
            <w:gridSpan w:val="2"/>
            <w:shd w:val="clear" w:color="auto" w:fill="0070C0"/>
            <w:vAlign w:val="center"/>
          </w:tcPr>
          <w:p w:rsidR="00534BB4" w:rsidRPr="00A71154" w:rsidRDefault="00534BB4" w:rsidP="00152865">
            <w:pPr>
              <w:autoSpaceDE w:val="0"/>
              <w:autoSpaceDN w:val="0"/>
              <w:adjustRightInd w:val="0"/>
              <w:jc w:val="center"/>
              <w:rPr>
                <w:b/>
                <w:bCs/>
                <w:color w:val="FFFFFF" w:themeColor="background1"/>
                <w:sz w:val="20"/>
                <w:szCs w:val="20"/>
              </w:rPr>
            </w:pPr>
            <w:proofErr w:type="gramStart"/>
            <w:r w:rsidRPr="00A71154">
              <w:rPr>
                <w:b/>
                <w:bCs/>
                <w:color w:val="FFFFFF" w:themeColor="background1"/>
                <w:sz w:val="20"/>
                <w:szCs w:val="20"/>
              </w:rPr>
              <w:t>n</w:t>
            </w:r>
            <w:proofErr w:type="gramEnd"/>
            <w:r w:rsidRPr="00A71154">
              <w:rPr>
                <w:b/>
                <w:bCs/>
                <w:color w:val="FFFFFF" w:themeColor="background1"/>
                <w:sz w:val="20"/>
                <w:szCs w:val="20"/>
              </w:rPr>
              <w:t xml:space="preserve"> (%)</w:t>
            </w:r>
          </w:p>
        </w:tc>
        <w:tc>
          <w:tcPr>
            <w:tcW w:w="1665" w:type="dxa"/>
            <w:gridSpan w:val="2"/>
            <w:shd w:val="clear" w:color="auto" w:fill="0070C0"/>
            <w:vAlign w:val="center"/>
          </w:tcPr>
          <w:p w:rsidR="00534BB4" w:rsidRPr="00A71154" w:rsidRDefault="00534BB4" w:rsidP="00152865">
            <w:pPr>
              <w:autoSpaceDE w:val="0"/>
              <w:autoSpaceDN w:val="0"/>
              <w:adjustRightInd w:val="0"/>
              <w:jc w:val="center"/>
              <w:rPr>
                <w:b/>
                <w:bCs/>
                <w:color w:val="FFFFFF" w:themeColor="background1"/>
                <w:sz w:val="20"/>
                <w:szCs w:val="20"/>
              </w:rPr>
            </w:pPr>
            <w:proofErr w:type="gramStart"/>
            <w:r w:rsidRPr="00A71154">
              <w:rPr>
                <w:b/>
                <w:bCs/>
                <w:color w:val="FFFFFF" w:themeColor="background1"/>
                <w:sz w:val="20"/>
                <w:szCs w:val="20"/>
              </w:rPr>
              <w:t>n</w:t>
            </w:r>
            <w:proofErr w:type="gramEnd"/>
            <w:r w:rsidRPr="00A71154">
              <w:rPr>
                <w:b/>
                <w:bCs/>
                <w:color w:val="FFFFFF" w:themeColor="background1"/>
                <w:sz w:val="20"/>
                <w:szCs w:val="20"/>
              </w:rPr>
              <w:t xml:space="preserve"> (%)</w:t>
            </w:r>
          </w:p>
        </w:tc>
      </w:tr>
      <w:tr w:rsidR="00534BB4" w:rsidRPr="00A55731" w:rsidTr="00152865">
        <w:trPr>
          <w:cantSplit/>
          <w:trHeight w:val="340"/>
          <w:jc w:val="center"/>
        </w:trPr>
        <w:tc>
          <w:tcPr>
            <w:tcW w:w="3528" w:type="dxa"/>
            <w:vAlign w:val="center"/>
          </w:tcPr>
          <w:p w:rsidR="00534BB4" w:rsidRPr="00A55731" w:rsidRDefault="00534BB4" w:rsidP="00152865">
            <w:pPr>
              <w:autoSpaceDE w:val="0"/>
              <w:autoSpaceDN w:val="0"/>
              <w:adjustRightInd w:val="0"/>
              <w:rPr>
                <w:bCs/>
                <w:sz w:val="20"/>
                <w:szCs w:val="20"/>
              </w:rPr>
            </w:pPr>
            <w:r w:rsidRPr="00A55731">
              <w:rPr>
                <w:sz w:val="20"/>
                <w:szCs w:val="20"/>
              </w:rPr>
              <w:t xml:space="preserve">Any </w:t>
            </w:r>
            <w:r>
              <w:rPr>
                <w:sz w:val="20"/>
                <w:szCs w:val="20"/>
              </w:rPr>
              <w:t>such</w:t>
            </w:r>
            <w:r w:rsidRPr="00A55731">
              <w:rPr>
                <w:sz w:val="20"/>
                <w:szCs w:val="20"/>
              </w:rPr>
              <w:t xml:space="preserve"> AE </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56</w:t>
            </w:r>
          </w:p>
        </w:tc>
        <w:tc>
          <w:tcPr>
            <w:tcW w:w="944" w:type="dxa"/>
            <w:tcBorders>
              <w:left w:val="nil"/>
            </w:tcBorders>
            <w:vAlign w:val="center"/>
          </w:tcPr>
          <w:p w:rsidR="00534BB4" w:rsidRPr="00A55731" w:rsidRDefault="00534BB4" w:rsidP="00152865">
            <w:pPr>
              <w:rPr>
                <w:sz w:val="20"/>
                <w:szCs w:val="20"/>
              </w:rPr>
            </w:pPr>
            <w:r w:rsidRPr="00A55731">
              <w:rPr>
                <w:sz w:val="20"/>
                <w:szCs w:val="20"/>
              </w:rPr>
              <w:t>(</w:t>
            </w:r>
            <w:r>
              <w:rPr>
                <w:sz w:val="20"/>
                <w:szCs w:val="20"/>
              </w:rPr>
              <w:t>20.8</w:t>
            </w:r>
            <w:r w:rsidRPr="00A55731">
              <w:rPr>
                <w:sz w:val="20"/>
                <w:szCs w:val="20"/>
              </w:rPr>
              <w:t>)</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38</w:t>
            </w:r>
          </w:p>
        </w:tc>
        <w:tc>
          <w:tcPr>
            <w:tcW w:w="989" w:type="dxa"/>
            <w:tcBorders>
              <w:left w:val="nil"/>
            </w:tcBorders>
            <w:vAlign w:val="center"/>
          </w:tcPr>
          <w:p w:rsidR="00534BB4" w:rsidRPr="00A55731" w:rsidRDefault="00534BB4" w:rsidP="00152865">
            <w:pPr>
              <w:rPr>
                <w:sz w:val="20"/>
                <w:szCs w:val="20"/>
              </w:rPr>
            </w:pPr>
            <w:r w:rsidRPr="00A55731">
              <w:rPr>
                <w:sz w:val="20"/>
                <w:szCs w:val="20"/>
              </w:rPr>
              <w:t>(</w:t>
            </w:r>
            <w:r>
              <w:rPr>
                <w:sz w:val="20"/>
                <w:szCs w:val="20"/>
              </w:rPr>
              <w:t>14.2</w:t>
            </w:r>
            <w:r w:rsidRPr="00A55731">
              <w:rPr>
                <w:sz w:val="20"/>
                <w:szCs w:val="20"/>
              </w:rPr>
              <w:t>)</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sidRPr="00A55731">
              <w:rPr>
                <w:b/>
                <w:bCs/>
                <w:sz w:val="20"/>
                <w:szCs w:val="20"/>
              </w:rPr>
              <w:t>Blood and lymphatic system disorders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0</w:t>
            </w:r>
          </w:p>
        </w:tc>
        <w:tc>
          <w:tcPr>
            <w:tcW w:w="944" w:type="dxa"/>
            <w:tcBorders>
              <w:left w:val="nil"/>
            </w:tcBorders>
            <w:vAlign w:val="center"/>
          </w:tcPr>
          <w:p w:rsidR="00534BB4" w:rsidRPr="00A55731" w:rsidRDefault="00534BB4" w:rsidP="00152865">
            <w:pPr>
              <w:rPr>
                <w:sz w:val="20"/>
                <w:szCs w:val="20"/>
              </w:rPr>
            </w:pP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89" w:type="dxa"/>
            <w:tcBorders>
              <w:left w:val="nil"/>
            </w:tcBorders>
            <w:vAlign w:val="center"/>
          </w:tcPr>
          <w:p w:rsidR="00534BB4" w:rsidRPr="00A55731" w:rsidRDefault="00534BB4" w:rsidP="00152865">
            <w:pPr>
              <w:rPr>
                <w:sz w:val="20"/>
                <w:szCs w:val="20"/>
              </w:rPr>
            </w:pPr>
            <w:r>
              <w:rPr>
                <w:sz w:val="20"/>
                <w:szCs w:val="20"/>
              </w:rPr>
              <w:t>(0.4)</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sidRPr="00A55731">
              <w:rPr>
                <w:b/>
                <w:bCs/>
                <w:sz w:val="20"/>
                <w:szCs w:val="20"/>
              </w:rPr>
              <w:t>Cardiac disorders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44" w:type="dxa"/>
            <w:tcBorders>
              <w:left w:val="nil"/>
            </w:tcBorders>
            <w:vAlign w:val="center"/>
          </w:tcPr>
          <w:p w:rsidR="00534BB4" w:rsidRPr="00A55731" w:rsidRDefault="00534BB4" w:rsidP="00152865">
            <w:pPr>
              <w:rPr>
                <w:sz w:val="20"/>
                <w:szCs w:val="20"/>
              </w:rPr>
            </w:pPr>
            <w:r>
              <w:rPr>
                <w:sz w:val="20"/>
                <w:szCs w:val="20"/>
              </w:rPr>
              <w:t>(0.4)</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89" w:type="dxa"/>
            <w:tcBorders>
              <w:left w:val="nil"/>
            </w:tcBorders>
            <w:vAlign w:val="center"/>
          </w:tcPr>
          <w:p w:rsidR="00534BB4" w:rsidRPr="00A55731" w:rsidRDefault="00534BB4" w:rsidP="00152865">
            <w:pPr>
              <w:rPr>
                <w:sz w:val="20"/>
                <w:szCs w:val="20"/>
              </w:rPr>
            </w:pPr>
            <w:r>
              <w:rPr>
                <w:sz w:val="20"/>
                <w:szCs w:val="20"/>
              </w:rPr>
              <w:t>(0.4)</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Pr>
                <w:b/>
                <w:bCs/>
                <w:sz w:val="20"/>
                <w:szCs w:val="20"/>
              </w:rPr>
              <w:t>Ear and labyrinth</w:t>
            </w:r>
            <w:r w:rsidRPr="00A55731">
              <w:rPr>
                <w:b/>
                <w:bCs/>
                <w:sz w:val="20"/>
                <w:szCs w:val="20"/>
              </w:rPr>
              <w:t xml:space="preserve"> disorders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44" w:type="dxa"/>
            <w:tcBorders>
              <w:left w:val="nil"/>
            </w:tcBorders>
            <w:vAlign w:val="center"/>
          </w:tcPr>
          <w:p w:rsidR="00534BB4" w:rsidRPr="00A55731" w:rsidRDefault="00534BB4" w:rsidP="00152865">
            <w:pPr>
              <w:rPr>
                <w:sz w:val="20"/>
                <w:szCs w:val="20"/>
              </w:rPr>
            </w:pPr>
            <w:r>
              <w:rPr>
                <w:sz w:val="20"/>
                <w:szCs w:val="20"/>
              </w:rPr>
              <w:t>(0.4)</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89" w:type="dxa"/>
            <w:tcBorders>
              <w:left w:val="nil"/>
            </w:tcBorders>
            <w:vAlign w:val="center"/>
          </w:tcPr>
          <w:p w:rsidR="00534BB4" w:rsidRPr="00A55731" w:rsidRDefault="00534BB4" w:rsidP="00152865">
            <w:pPr>
              <w:rPr>
                <w:sz w:val="20"/>
                <w:szCs w:val="20"/>
              </w:rPr>
            </w:pPr>
            <w:r>
              <w:rPr>
                <w:sz w:val="20"/>
                <w:szCs w:val="20"/>
              </w:rPr>
              <w:t>(0.4)</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sidRPr="00A55731">
              <w:rPr>
                <w:b/>
                <w:bCs/>
                <w:sz w:val="20"/>
                <w:szCs w:val="20"/>
              </w:rPr>
              <w:t>Eye disorders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44" w:type="dxa"/>
            <w:tcBorders>
              <w:left w:val="nil"/>
            </w:tcBorders>
            <w:vAlign w:val="center"/>
          </w:tcPr>
          <w:p w:rsidR="00534BB4" w:rsidRPr="00A55731" w:rsidRDefault="00534BB4" w:rsidP="00152865">
            <w:pPr>
              <w:rPr>
                <w:sz w:val="20"/>
                <w:szCs w:val="20"/>
              </w:rPr>
            </w:pPr>
            <w:r>
              <w:rPr>
                <w:sz w:val="20"/>
                <w:szCs w:val="20"/>
              </w:rPr>
              <w:t>(0.4)</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0</w:t>
            </w:r>
          </w:p>
        </w:tc>
        <w:tc>
          <w:tcPr>
            <w:tcW w:w="989" w:type="dxa"/>
            <w:tcBorders>
              <w:left w:val="nil"/>
            </w:tcBorders>
            <w:vAlign w:val="center"/>
          </w:tcPr>
          <w:p w:rsidR="00534BB4" w:rsidRPr="00A55731" w:rsidRDefault="00534BB4" w:rsidP="00152865">
            <w:pPr>
              <w:rPr>
                <w:sz w:val="20"/>
                <w:szCs w:val="20"/>
              </w:rPr>
            </w:pP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sz w:val="20"/>
                <w:szCs w:val="20"/>
              </w:rPr>
            </w:pPr>
            <w:r w:rsidRPr="00A55731">
              <w:rPr>
                <w:b/>
                <w:bCs/>
                <w:sz w:val="20"/>
                <w:szCs w:val="20"/>
              </w:rPr>
              <w:t>Gastrointestinal disorders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28</w:t>
            </w:r>
          </w:p>
        </w:tc>
        <w:tc>
          <w:tcPr>
            <w:tcW w:w="944" w:type="dxa"/>
            <w:tcBorders>
              <w:left w:val="nil"/>
            </w:tcBorders>
            <w:vAlign w:val="center"/>
          </w:tcPr>
          <w:p w:rsidR="00534BB4" w:rsidRPr="00A55731" w:rsidRDefault="00534BB4" w:rsidP="00152865">
            <w:pPr>
              <w:rPr>
                <w:sz w:val="20"/>
                <w:szCs w:val="20"/>
              </w:rPr>
            </w:pPr>
            <w:r>
              <w:rPr>
                <w:sz w:val="20"/>
                <w:szCs w:val="20"/>
              </w:rPr>
              <w:t>(10.4)</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18</w:t>
            </w:r>
          </w:p>
        </w:tc>
        <w:tc>
          <w:tcPr>
            <w:tcW w:w="989" w:type="dxa"/>
            <w:tcBorders>
              <w:left w:val="nil"/>
            </w:tcBorders>
            <w:vAlign w:val="center"/>
          </w:tcPr>
          <w:p w:rsidR="00534BB4" w:rsidRPr="00A55731" w:rsidRDefault="00534BB4" w:rsidP="00152865">
            <w:pPr>
              <w:rPr>
                <w:sz w:val="20"/>
                <w:szCs w:val="20"/>
              </w:rPr>
            </w:pPr>
            <w:r>
              <w:rPr>
                <w:sz w:val="20"/>
                <w:szCs w:val="20"/>
              </w:rPr>
              <w:t>(6.7)</w:t>
            </w:r>
          </w:p>
        </w:tc>
      </w:tr>
      <w:tr w:rsidR="00534BB4" w:rsidRPr="00A55731" w:rsidTr="00152865">
        <w:trPr>
          <w:cantSplit/>
          <w:jc w:val="center"/>
        </w:trPr>
        <w:tc>
          <w:tcPr>
            <w:tcW w:w="3528" w:type="dxa"/>
          </w:tcPr>
          <w:p w:rsidR="00534BB4" w:rsidRDefault="00534BB4" w:rsidP="00152865">
            <w:pPr>
              <w:autoSpaceDE w:val="0"/>
              <w:autoSpaceDN w:val="0"/>
              <w:adjustRightInd w:val="0"/>
              <w:ind w:left="239"/>
              <w:rPr>
                <w:sz w:val="20"/>
                <w:szCs w:val="20"/>
              </w:rPr>
            </w:pPr>
            <w:proofErr w:type="spellStart"/>
            <w:r>
              <w:rPr>
                <w:sz w:val="20"/>
                <w:szCs w:val="20"/>
              </w:rPr>
              <w:t>Abdo</w:t>
            </w:r>
            <w:proofErr w:type="spellEnd"/>
            <w:r>
              <w:rPr>
                <w:sz w:val="20"/>
                <w:szCs w:val="20"/>
              </w:rPr>
              <w:t xml:space="preserve"> pain upper</w:t>
            </w:r>
          </w:p>
        </w:tc>
        <w:tc>
          <w:tcPr>
            <w:tcW w:w="720" w:type="dxa"/>
            <w:tcBorders>
              <w:right w:val="nil"/>
            </w:tcBorders>
            <w:vAlign w:val="center"/>
          </w:tcPr>
          <w:p w:rsidR="00534BB4" w:rsidRDefault="00534BB4" w:rsidP="00152865">
            <w:pPr>
              <w:autoSpaceDE w:val="0"/>
              <w:autoSpaceDN w:val="0"/>
              <w:adjustRightInd w:val="0"/>
              <w:jc w:val="right"/>
              <w:rPr>
                <w:bCs/>
                <w:sz w:val="20"/>
                <w:szCs w:val="20"/>
              </w:rPr>
            </w:pPr>
            <w:r>
              <w:rPr>
                <w:bCs/>
                <w:sz w:val="20"/>
                <w:szCs w:val="20"/>
              </w:rPr>
              <w:t>5</w:t>
            </w:r>
          </w:p>
        </w:tc>
        <w:tc>
          <w:tcPr>
            <w:tcW w:w="944" w:type="dxa"/>
            <w:tcBorders>
              <w:left w:val="nil"/>
            </w:tcBorders>
            <w:vAlign w:val="center"/>
          </w:tcPr>
          <w:p w:rsidR="00534BB4" w:rsidRPr="00A55731" w:rsidRDefault="00534BB4" w:rsidP="00152865">
            <w:pPr>
              <w:rPr>
                <w:sz w:val="20"/>
                <w:szCs w:val="20"/>
              </w:rPr>
            </w:pPr>
            <w:r>
              <w:rPr>
                <w:sz w:val="20"/>
                <w:szCs w:val="20"/>
              </w:rPr>
              <w:t>(1.9)</w:t>
            </w:r>
          </w:p>
        </w:tc>
        <w:tc>
          <w:tcPr>
            <w:tcW w:w="676" w:type="dxa"/>
            <w:tcBorders>
              <w:right w:val="nil"/>
            </w:tcBorders>
            <w:vAlign w:val="center"/>
          </w:tcPr>
          <w:p w:rsidR="00534BB4" w:rsidRDefault="00534BB4" w:rsidP="00152865">
            <w:pPr>
              <w:autoSpaceDE w:val="0"/>
              <w:autoSpaceDN w:val="0"/>
              <w:adjustRightInd w:val="0"/>
              <w:jc w:val="right"/>
              <w:rPr>
                <w:bCs/>
                <w:sz w:val="20"/>
                <w:szCs w:val="20"/>
              </w:rPr>
            </w:pPr>
            <w:r>
              <w:rPr>
                <w:bCs/>
                <w:sz w:val="20"/>
                <w:szCs w:val="20"/>
              </w:rPr>
              <w:t>1</w:t>
            </w:r>
          </w:p>
        </w:tc>
        <w:tc>
          <w:tcPr>
            <w:tcW w:w="989" w:type="dxa"/>
            <w:tcBorders>
              <w:left w:val="nil"/>
            </w:tcBorders>
            <w:vAlign w:val="center"/>
          </w:tcPr>
          <w:p w:rsidR="00534BB4" w:rsidRPr="00A55731" w:rsidRDefault="00534BB4" w:rsidP="00152865">
            <w:pPr>
              <w:rPr>
                <w:sz w:val="20"/>
                <w:szCs w:val="20"/>
              </w:rPr>
            </w:pPr>
            <w:r>
              <w:rPr>
                <w:sz w:val="20"/>
                <w:szCs w:val="20"/>
              </w:rPr>
              <w:t>(0.4)</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ind w:left="239"/>
              <w:rPr>
                <w:sz w:val="20"/>
                <w:szCs w:val="20"/>
              </w:rPr>
            </w:pPr>
            <w:r w:rsidRPr="00A55731">
              <w:rPr>
                <w:sz w:val="20"/>
                <w:szCs w:val="20"/>
              </w:rPr>
              <w:t>Diarrhoea</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11</w:t>
            </w:r>
          </w:p>
        </w:tc>
        <w:tc>
          <w:tcPr>
            <w:tcW w:w="944" w:type="dxa"/>
            <w:tcBorders>
              <w:left w:val="nil"/>
            </w:tcBorders>
            <w:vAlign w:val="center"/>
          </w:tcPr>
          <w:p w:rsidR="00534BB4" w:rsidRPr="00A55731" w:rsidRDefault="00534BB4" w:rsidP="00152865">
            <w:pPr>
              <w:rPr>
                <w:sz w:val="20"/>
                <w:szCs w:val="20"/>
              </w:rPr>
            </w:pPr>
            <w:r>
              <w:rPr>
                <w:sz w:val="20"/>
                <w:szCs w:val="20"/>
              </w:rPr>
              <w:t>(4.1)</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4</w:t>
            </w:r>
          </w:p>
        </w:tc>
        <w:tc>
          <w:tcPr>
            <w:tcW w:w="989" w:type="dxa"/>
            <w:tcBorders>
              <w:left w:val="nil"/>
            </w:tcBorders>
            <w:vAlign w:val="center"/>
          </w:tcPr>
          <w:p w:rsidR="00534BB4" w:rsidRPr="00A55731" w:rsidRDefault="00534BB4" w:rsidP="00152865">
            <w:pPr>
              <w:rPr>
                <w:sz w:val="20"/>
                <w:szCs w:val="20"/>
              </w:rPr>
            </w:pPr>
            <w:r>
              <w:rPr>
                <w:sz w:val="20"/>
                <w:szCs w:val="20"/>
              </w:rPr>
              <w:t>(1.5)</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ind w:left="239"/>
              <w:rPr>
                <w:sz w:val="20"/>
                <w:szCs w:val="20"/>
              </w:rPr>
            </w:pPr>
            <w:r>
              <w:rPr>
                <w:sz w:val="20"/>
                <w:szCs w:val="20"/>
              </w:rPr>
              <w:t>Nausea</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5</w:t>
            </w:r>
          </w:p>
        </w:tc>
        <w:tc>
          <w:tcPr>
            <w:tcW w:w="944" w:type="dxa"/>
            <w:tcBorders>
              <w:left w:val="nil"/>
            </w:tcBorders>
            <w:vAlign w:val="center"/>
          </w:tcPr>
          <w:p w:rsidR="00534BB4" w:rsidRPr="00A55731" w:rsidRDefault="00534BB4" w:rsidP="00152865">
            <w:pPr>
              <w:rPr>
                <w:sz w:val="20"/>
                <w:szCs w:val="20"/>
              </w:rPr>
            </w:pPr>
            <w:r>
              <w:rPr>
                <w:sz w:val="20"/>
                <w:szCs w:val="20"/>
              </w:rPr>
              <w:t>(1.9)</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8</w:t>
            </w:r>
          </w:p>
        </w:tc>
        <w:tc>
          <w:tcPr>
            <w:tcW w:w="989" w:type="dxa"/>
            <w:tcBorders>
              <w:left w:val="nil"/>
            </w:tcBorders>
            <w:vAlign w:val="center"/>
          </w:tcPr>
          <w:p w:rsidR="00534BB4" w:rsidRPr="00A55731" w:rsidRDefault="00534BB4" w:rsidP="00152865">
            <w:pPr>
              <w:rPr>
                <w:sz w:val="20"/>
                <w:szCs w:val="20"/>
              </w:rPr>
            </w:pPr>
            <w:r>
              <w:rPr>
                <w:sz w:val="20"/>
                <w:szCs w:val="20"/>
              </w:rPr>
              <w:t>(3.0)</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ind w:left="239"/>
              <w:rPr>
                <w:sz w:val="20"/>
                <w:szCs w:val="20"/>
              </w:rPr>
            </w:pPr>
            <w:r>
              <w:rPr>
                <w:sz w:val="20"/>
                <w:szCs w:val="20"/>
              </w:rPr>
              <w:t>Stomach discomfort</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3</w:t>
            </w:r>
          </w:p>
        </w:tc>
        <w:tc>
          <w:tcPr>
            <w:tcW w:w="944" w:type="dxa"/>
            <w:tcBorders>
              <w:left w:val="nil"/>
            </w:tcBorders>
            <w:vAlign w:val="center"/>
          </w:tcPr>
          <w:p w:rsidR="00534BB4" w:rsidRPr="00A55731" w:rsidRDefault="00534BB4" w:rsidP="00152865">
            <w:pPr>
              <w:rPr>
                <w:sz w:val="20"/>
                <w:szCs w:val="20"/>
              </w:rPr>
            </w:pPr>
            <w:r>
              <w:rPr>
                <w:sz w:val="20"/>
                <w:szCs w:val="20"/>
              </w:rPr>
              <w:t>(1.1)</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2</w:t>
            </w:r>
          </w:p>
        </w:tc>
        <w:tc>
          <w:tcPr>
            <w:tcW w:w="989" w:type="dxa"/>
            <w:tcBorders>
              <w:left w:val="nil"/>
            </w:tcBorders>
            <w:vAlign w:val="center"/>
          </w:tcPr>
          <w:p w:rsidR="00534BB4" w:rsidRPr="00A55731" w:rsidRDefault="00534BB4" w:rsidP="00152865">
            <w:pPr>
              <w:rPr>
                <w:sz w:val="20"/>
                <w:szCs w:val="20"/>
              </w:rPr>
            </w:pPr>
            <w:r>
              <w:rPr>
                <w:sz w:val="20"/>
                <w:szCs w:val="20"/>
              </w:rPr>
              <w:t>(0.7)</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ind w:left="239"/>
              <w:rPr>
                <w:sz w:val="20"/>
                <w:szCs w:val="20"/>
              </w:rPr>
            </w:pPr>
            <w:r w:rsidRPr="00A55731">
              <w:rPr>
                <w:sz w:val="20"/>
                <w:szCs w:val="20"/>
              </w:rPr>
              <w:t>Vomiting</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44" w:type="dxa"/>
            <w:tcBorders>
              <w:left w:val="nil"/>
            </w:tcBorders>
            <w:vAlign w:val="center"/>
          </w:tcPr>
          <w:p w:rsidR="00534BB4" w:rsidRPr="00A55731" w:rsidRDefault="00534BB4" w:rsidP="00152865">
            <w:pPr>
              <w:rPr>
                <w:sz w:val="20"/>
                <w:szCs w:val="20"/>
              </w:rPr>
            </w:pPr>
            <w:r>
              <w:rPr>
                <w:sz w:val="20"/>
                <w:szCs w:val="20"/>
              </w:rPr>
              <w:t>(0.4)</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3</w:t>
            </w:r>
          </w:p>
        </w:tc>
        <w:tc>
          <w:tcPr>
            <w:tcW w:w="989" w:type="dxa"/>
            <w:tcBorders>
              <w:left w:val="nil"/>
            </w:tcBorders>
            <w:vAlign w:val="center"/>
          </w:tcPr>
          <w:p w:rsidR="00534BB4" w:rsidRPr="00A55731" w:rsidRDefault="00534BB4" w:rsidP="00152865">
            <w:pPr>
              <w:rPr>
                <w:sz w:val="20"/>
                <w:szCs w:val="20"/>
              </w:rPr>
            </w:pPr>
            <w:r>
              <w:rPr>
                <w:sz w:val="20"/>
                <w:szCs w:val="20"/>
              </w:rPr>
              <w:t>(1.1)</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sidRPr="00A55731">
              <w:rPr>
                <w:b/>
                <w:bCs/>
                <w:sz w:val="20"/>
                <w:szCs w:val="20"/>
              </w:rPr>
              <w:lastRenderedPageBreak/>
              <w:t xml:space="preserve">General disorders and admin site </w:t>
            </w:r>
            <w:proofErr w:type="spellStart"/>
            <w:r w:rsidRPr="00A55731">
              <w:rPr>
                <w:b/>
                <w:bCs/>
                <w:sz w:val="20"/>
                <w:szCs w:val="20"/>
              </w:rPr>
              <w:t>cond</w:t>
            </w:r>
            <w:proofErr w:type="spellEnd"/>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3</w:t>
            </w:r>
          </w:p>
        </w:tc>
        <w:tc>
          <w:tcPr>
            <w:tcW w:w="944" w:type="dxa"/>
            <w:tcBorders>
              <w:left w:val="nil"/>
            </w:tcBorders>
            <w:vAlign w:val="center"/>
          </w:tcPr>
          <w:p w:rsidR="00534BB4" w:rsidRPr="00A55731" w:rsidRDefault="00534BB4" w:rsidP="00152865">
            <w:pPr>
              <w:rPr>
                <w:sz w:val="20"/>
                <w:szCs w:val="20"/>
              </w:rPr>
            </w:pPr>
            <w:r>
              <w:rPr>
                <w:sz w:val="20"/>
                <w:szCs w:val="20"/>
              </w:rPr>
              <w:t>(1.1)</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89" w:type="dxa"/>
            <w:tcBorders>
              <w:left w:val="nil"/>
            </w:tcBorders>
            <w:vAlign w:val="center"/>
          </w:tcPr>
          <w:p w:rsidR="00534BB4" w:rsidRPr="00A55731" w:rsidRDefault="00534BB4" w:rsidP="00152865">
            <w:pPr>
              <w:rPr>
                <w:sz w:val="20"/>
                <w:szCs w:val="20"/>
              </w:rPr>
            </w:pPr>
            <w:r>
              <w:rPr>
                <w:sz w:val="20"/>
                <w:szCs w:val="20"/>
              </w:rPr>
              <w:t>(0.4)</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sz w:val="20"/>
                <w:szCs w:val="20"/>
              </w:rPr>
            </w:pPr>
            <w:r w:rsidRPr="00A55731">
              <w:rPr>
                <w:b/>
                <w:bCs/>
                <w:sz w:val="20"/>
                <w:szCs w:val="20"/>
              </w:rPr>
              <w:t>Infections and infestations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10</w:t>
            </w:r>
          </w:p>
        </w:tc>
        <w:tc>
          <w:tcPr>
            <w:tcW w:w="944" w:type="dxa"/>
            <w:tcBorders>
              <w:left w:val="nil"/>
            </w:tcBorders>
            <w:vAlign w:val="center"/>
          </w:tcPr>
          <w:p w:rsidR="00534BB4" w:rsidRPr="00A55731" w:rsidRDefault="00534BB4" w:rsidP="00152865">
            <w:pPr>
              <w:rPr>
                <w:sz w:val="20"/>
                <w:szCs w:val="20"/>
              </w:rPr>
            </w:pPr>
            <w:r>
              <w:rPr>
                <w:sz w:val="20"/>
                <w:szCs w:val="20"/>
              </w:rPr>
              <w:t>(3.7)</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7</w:t>
            </w:r>
          </w:p>
        </w:tc>
        <w:tc>
          <w:tcPr>
            <w:tcW w:w="989" w:type="dxa"/>
            <w:tcBorders>
              <w:left w:val="nil"/>
            </w:tcBorders>
            <w:vAlign w:val="center"/>
          </w:tcPr>
          <w:p w:rsidR="00534BB4" w:rsidRPr="00A55731" w:rsidRDefault="00534BB4" w:rsidP="00152865">
            <w:pPr>
              <w:rPr>
                <w:sz w:val="20"/>
                <w:szCs w:val="20"/>
              </w:rPr>
            </w:pPr>
            <w:r>
              <w:rPr>
                <w:sz w:val="20"/>
                <w:szCs w:val="20"/>
              </w:rPr>
              <w:t>(2.6)</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ind w:left="238"/>
              <w:rPr>
                <w:bCs/>
                <w:sz w:val="20"/>
                <w:szCs w:val="20"/>
              </w:rPr>
            </w:pPr>
            <w:r>
              <w:rPr>
                <w:bCs/>
                <w:sz w:val="20"/>
                <w:szCs w:val="20"/>
              </w:rPr>
              <w:t>Fungal infection</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5</w:t>
            </w:r>
          </w:p>
        </w:tc>
        <w:tc>
          <w:tcPr>
            <w:tcW w:w="944" w:type="dxa"/>
            <w:tcBorders>
              <w:left w:val="nil"/>
            </w:tcBorders>
            <w:vAlign w:val="center"/>
          </w:tcPr>
          <w:p w:rsidR="00534BB4" w:rsidRPr="00A55731" w:rsidRDefault="00534BB4" w:rsidP="00152865">
            <w:pPr>
              <w:rPr>
                <w:sz w:val="20"/>
                <w:szCs w:val="20"/>
              </w:rPr>
            </w:pPr>
            <w:r>
              <w:rPr>
                <w:sz w:val="20"/>
                <w:szCs w:val="20"/>
              </w:rPr>
              <w:t>(1.9)</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89" w:type="dxa"/>
            <w:tcBorders>
              <w:left w:val="nil"/>
            </w:tcBorders>
            <w:vAlign w:val="center"/>
          </w:tcPr>
          <w:p w:rsidR="00534BB4" w:rsidRPr="00A55731" w:rsidRDefault="00534BB4" w:rsidP="00152865">
            <w:pPr>
              <w:rPr>
                <w:sz w:val="20"/>
                <w:szCs w:val="20"/>
              </w:rPr>
            </w:pPr>
            <w:r>
              <w:rPr>
                <w:sz w:val="20"/>
                <w:szCs w:val="20"/>
              </w:rPr>
              <w:t>(0.4)</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ind w:left="238"/>
              <w:rPr>
                <w:bCs/>
                <w:sz w:val="20"/>
                <w:szCs w:val="20"/>
              </w:rPr>
            </w:pPr>
            <w:r>
              <w:rPr>
                <w:bCs/>
                <w:sz w:val="20"/>
                <w:szCs w:val="20"/>
              </w:rPr>
              <w:t>Vaginal mycosis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0</w:t>
            </w:r>
          </w:p>
        </w:tc>
        <w:tc>
          <w:tcPr>
            <w:tcW w:w="944" w:type="dxa"/>
            <w:tcBorders>
              <w:left w:val="nil"/>
            </w:tcBorders>
            <w:vAlign w:val="center"/>
          </w:tcPr>
          <w:p w:rsidR="00534BB4" w:rsidRPr="00A55731" w:rsidRDefault="00534BB4" w:rsidP="00152865">
            <w:pPr>
              <w:rPr>
                <w:sz w:val="20"/>
                <w:szCs w:val="20"/>
              </w:rPr>
            </w:pP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3</w:t>
            </w:r>
          </w:p>
        </w:tc>
        <w:tc>
          <w:tcPr>
            <w:tcW w:w="989" w:type="dxa"/>
            <w:tcBorders>
              <w:left w:val="nil"/>
            </w:tcBorders>
            <w:vAlign w:val="center"/>
          </w:tcPr>
          <w:p w:rsidR="00534BB4" w:rsidRPr="00A55731" w:rsidRDefault="00534BB4" w:rsidP="00152865">
            <w:pPr>
              <w:rPr>
                <w:sz w:val="20"/>
                <w:szCs w:val="20"/>
              </w:rPr>
            </w:pPr>
            <w:r>
              <w:rPr>
                <w:sz w:val="20"/>
                <w:szCs w:val="20"/>
              </w:rPr>
              <w:t>(1.1)</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sidRPr="00A55731">
              <w:rPr>
                <w:b/>
                <w:bCs/>
                <w:sz w:val="20"/>
                <w:szCs w:val="20"/>
              </w:rPr>
              <w:t>Injury, poisoning, procedural comp</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2</w:t>
            </w:r>
          </w:p>
        </w:tc>
        <w:tc>
          <w:tcPr>
            <w:tcW w:w="944" w:type="dxa"/>
            <w:tcBorders>
              <w:left w:val="nil"/>
            </w:tcBorders>
            <w:vAlign w:val="center"/>
          </w:tcPr>
          <w:p w:rsidR="00534BB4" w:rsidRPr="00A55731" w:rsidRDefault="00534BB4" w:rsidP="00152865">
            <w:pPr>
              <w:rPr>
                <w:sz w:val="20"/>
                <w:szCs w:val="20"/>
              </w:rPr>
            </w:pPr>
            <w:r>
              <w:rPr>
                <w:sz w:val="20"/>
                <w:szCs w:val="20"/>
              </w:rPr>
              <w:t>(0.7)</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2</w:t>
            </w:r>
          </w:p>
        </w:tc>
        <w:tc>
          <w:tcPr>
            <w:tcW w:w="989" w:type="dxa"/>
            <w:tcBorders>
              <w:left w:val="nil"/>
            </w:tcBorders>
            <w:vAlign w:val="center"/>
          </w:tcPr>
          <w:p w:rsidR="00534BB4" w:rsidRPr="00A55731" w:rsidRDefault="00534BB4" w:rsidP="00152865">
            <w:pPr>
              <w:rPr>
                <w:sz w:val="20"/>
                <w:szCs w:val="20"/>
              </w:rPr>
            </w:pPr>
            <w:r>
              <w:rPr>
                <w:sz w:val="20"/>
                <w:szCs w:val="20"/>
              </w:rPr>
              <w:t>(0.7)</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sidRPr="00A55731">
              <w:rPr>
                <w:b/>
                <w:bCs/>
                <w:sz w:val="20"/>
                <w:szCs w:val="20"/>
              </w:rPr>
              <w:t>Investigations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7</w:t>
            </w:r>
          </w:p>
        </w:tc>
        <w:tc>
          <w:tcPr>
            <w:tcW w:w="944" w:type="dxa"/>
            <w:tcBorders>
              <w:left w:val="nil"/>
            </w:tcBorders>
            <w:vAlign w:val="center"/>
          </w:tcPr>
          <w:p w:rsidR="00534BB4" w:rsidRPr="00A55731" w:rsidRDefault="00534BB4" w:rsidP="00152865">
            <w:pPr>
              <w:rPr>
                <w:sz w:val="20"/>
                <w:szCs w:val="20"/>
              </w:rPr>
            </w:pPr>
            <w:r>
              <w:rPr>
                <w:sz w:val="20"/>
                <w:szCs w:val="20"/>
              </w:rPr>
              <w:t>(2.6)</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2</w:t>
            </w:r>
          </w:p>
        </w:tc>
        <w:tc>
          <w:tcPr>
            <w:tcW w:w="989" w:type="dxa"/>
            <w:tcBorders>
              <w:left w:val="nil"/>
            </w:tcBorders>
            <w:vAlign w:val="center"/>
          </w:tcPr>
          <w:p w:rsidR="00534BB4" w:rsidRPr="00A55731" w:rsidRDefault="00534BB4" w:rsidP="00152865">
            <w:pPr>
              <w:rPr>
                <w:sz w:val="20"/>
                <w:szCs w:val="20"/>
              </w:rPr>
            </w:pPr>
            <w:r>
              <w:rPr>
                <w:sz w:val="20"/>
                <w:szCs w:val="20"/>
              </w:rPr>
              <w:t>(0.7)</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ind w:left="238"/>
              <w:rPr>
                <w:bCs/>
                <w:sz w:val="20"/>
                <w:szCs w:val="20"/>
              </w:rPr>
            </w:pPr>
            <w:r>
              <w:rPr>
                <w:bCs/>
                <w:sz w:val="20"/>
                <w:szCs w:val="20"/>
              </w:rPr>
              <w:t>AST</w:t>
            </w:r>
            <w:r w:rsidRPr="00A55731">
              <w:rPr>
                <w:bCs/>
                <w:sz w:val="20"/>
                <w:szCs w:val="20"/>
              </w:rPr>
              <w:t xml:space="preserve"> </w:t>
            </w:r>
            <w:r w:rsidRPr="00A55731">
              <w:rPr>
                <w:sz w:val="20"/>
                <w:szCs w:val="20"/>
              </w:rPr>
              <w:t>↑</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4</w:t>
            </w:r>
          </w:p>
        </w:tc>
        <w:tc>
          <w:tcPr>
            <w:tcW w:w="944" w:type="dxa"/>
            <w:tcBorders>
              <w:left w:val="nil"/>
            </w:tcBorders>
            <w:vAlign w:val="center"/>
          </w:tcPr>
          <w:p w:rsidR="00534BB4" w:rsidRPr="00A55731" w:rsidRDefault="00534BB4" w:rsidP="00152865">
            <w:pPr>
              <w:rPr>
                <w:sz w:val="20"/>
                <w:szCs w:val="20"/>
              </w:rPr>
            </w:pPr>
            <w:r>
              <w:rPr>
                <w:sz w:val="20"/>
                <w:szCs w:val="20"/>
              </w:rPr>
              <w:t>(1.5)</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0</w:t>
            </w:r>
          </w:p>
        </w:tc>
        <w:tc>
          <w:tcPr>
            <w:tcW w:w="989" w:type="dxa"/>
            <w:tcBorders>
              <w:left w:val="nil"/>
            </w:tcBorders>
            <w:vAlign w:val="center"/>
          </w:tcPr>
          <w:p w:rsidR="00534BB4" w:rsidRPr="00A55731" w:rsidRDefault="00534BB4" w:rsidP="00152865">
            <w:pPr>
              <w:rPr>
                <w:sz w:val="20"/>
                <w:szCs w:val="20"/>
              </w:rPr>
            </w:pP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sidRPr="00A55731">
              <w:rPr>
                <w:b/>
                <w:bCs/>
                <w:sz w:val="20"/>
                <w:szCs w:val="20"/>
              </w:rPr>
              <w:t>Metabolism and nutrition disorders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44" w:type="dxa"/>
            <w:tcBorders>
              <w:left w:val="nil"/>
            </w:tcBorders>
            <w:vAlign w:val="center"/>
          </w:tcPr>
          <w:p w:rsidR="00534BB4" w:rsidRPr="00A55731" w:rsidRDefault="00534BB4" w:rsidP="00152865">
            <w:pPr>
              <w:rPr>
                <w:sz w:val="20"/>
                <w:szCs w:val="20"/>
              </w:rPr>
            </w:pPr>
            <w:r>
              <w:rPr>
                <w:sz w:val="20"/>
                <w:szCs w:val="20"/>
              </w:rPr>
              <w:t>(0.4)</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0</w:t>
            </w:r>
          </w:p>
        </w:tc>
        <w:tc>
          <w:tcPr>
            <w:tcW w:w="989" w:type="dxa"/>
            <w:tcBorders>
              <w:left w:val="nil"/>
            </w:tcBorders>
            <w:vAlign w:val="center"/>
          </w:tcPr>
          <w:p w:rsidR="00534BB4" w:rsidRPr="00A55731" w:rsidRDefault="00534BB4" w:rsidP="00152865">
            <w:pPr>
              <w:rPr>
                <w:sz w:val="20"/>
                <w:szCs w:val="20"/>
              </w:rPr>
            </w:pP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sz w:val="20"/>
                <w:szCs w:val="20"/>
              </w:rPr>
            </w:pPr>
            <w:r w:rsidRPr="00A55731">
              <w:rPr>
                <w:b/>
                <w:bCs/>
                <w:sz w:val="20"/>
                <w:szCs w:val="20"/>
              </w:rPr>
              <w:t xml:space="preserve">Musculoskeletal and connective tissue </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44" w:type="dxa"/>
            <w:tcBorders>
              <w:left w:val="nil"/>
            </w:tcBorders>
            <w:vAlign w:val="center"/>
          </w:tcPr>
          <w:p w:rsidR="00534BB4" w:rsidRPr="00A55731" w:rsidRDefault="00534BB4" w:rsidP="00152865">
            <w:pPr>
              <w:rPr>
                <w:sz w:val="20"/>
                <w:szCs w:val="20"/>
              </w:rPr>
            </w:pPr>
            <w:r>
              <w:rPr>
                <w:sz w:val="20"/>
                <w:szCs w:val="20"/>
              </w:rPr>
              <w:t>(0.4)</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2</w:t>
            </w:r>
          </w:p>
        </w:tc>
        <w:tc>
          <w:tcPr>
            <w:tcW w:w="989" w:type="dxa"/>
            <w:tcBorders>
              <w:left w:val="nil"/>
            </w:tcBorders>
            <w:vAlign w:val="center"/>
          </w:tcPr>
          <w:p w:rsidR="00534BB4" w:rsidRPr="00A55731" w:rsidRDefault="00534BB4" w:rsidP="00152865">
            <w:pPr>
              <w:rPr>
                <w:sz w:val="20"/>
                <w:szCs w:val="20"/>
              </w:rPr>
            </w:pPr>
            <w:r>
              <w:rPr>
                <w:sz w:val="20"/>
                <w:szCs w:val="20"/>
              </w:rPr>
              <w:t>(0.7)</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sz w:val="20"/>
                <w:szCs w:val="20"/>
              </w:rPr>
            </w:pPr>
            <w:r w:rsidRPr="00A55731">
              <w:rPr>
                <w:b/>
                <w:bCs/>
                <w:sz w:val="20"/>
                <w:szCs w:val="20"/>
              </w:rPr>
              <w:t>Nervous system disorders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10</w:t>
            </w:r>
          </w:p>
        </w:tc>
        <w:tc>
          <w:tcPr>
            <w:tcW w:w="944" w:type="dxa"/>
            <w:tcBorders>
              <w:left w:val="nil"/>
            </w:tcBorders>
            <w:vAlign w:val="center"/>
          </w:tcPr>
          <w:p w:rsidR="00534BB4" w:rsidRPr="00A55731" w:rsidRDefault="00534BB4" w:rsidP="00152865">
            <w:pPr>
              <w:rPr>
                <w:sz w:val="20"/>
                <w:szCs w:val="20"/>
              </w:rPr>
            </w:pPr>
            <w:r>
              <w:rPr>
                <w:sz w:val="20"/>
                <w:szCs w:val="20"/>
              </w:rPr>
              <w:t>(3.7)</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14</w:t>
            </w:r>
          </w:p>
        </w:tc>
        <w:tc>
          <w:tcPr>
            <w:tcW w:w="989" w:type="dxa"/>
            <w:tcBorders>
              <w:left w:val="nil"/>
            </w:tcBorders>
            <w:vAlign w:val="center"/>
          </w:tcPr>
          <w:p w:rsidR="00534BB4" w:rsidRPr="00A55731" w:rsidRDefault="00534BB4" w:rsidP="00152865">
            <w:pPr>
              <w:rPr>
                <w:sz w:val="20"/>
                <w:szCs w:val="20"/>
              </w:rPr>
            </w:pPr>
            <w:r>
              <w:rPr>
                <w:sz w:val="20"/>
                <w:szCs w:val="20"/>
              </w:rPr>
              <w:t>(5.2)</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ind w:left="238"/>
              <w:rPr>
                <w:bCs/>
                <w:sz w:val="20"/>
                <w:szCs w:val="20"/>
              </w:rPr>
            </w:pPr>
            <w:r>
              <w:rPr>
                <w:bCs/>
                <w:sz w:val="20"/>
                <w:szCs w:val="20"/>
              </w:rPr>
              <w:t>Dizziness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44" w:type="dxa"/>
            <w:tcBorders>
              <w:left w:val="nil"/>
            </w:tcBorders>
            <w:vAlign w:val="center"/>
          </w:tcPr>
          <w:p w:rsidR="00534BB4" w:rsidRPr="00A55731" w:rsidRDefault="00534BB4" w:rsidP="00152865">
            <w:pPr>
              <w:rPr>
                <w:sz w:val="20"/>
                <w:szCs w:val="20"/>
              </w:rPr>
            </w:pPr>
            <w:r>
              <w:rPr>
                <w:sz w:val="20"/>
                <w:szCs w:val="20"/>
              </w:rPr>
              <w:t>(0.4)</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3</w:t>
            </w:r>
          </w:p>
        </w:tc>
        <w:tc>
          <w:tcPr>
            <w:tcW w:w="989" w:type="dxa"/>
            <w:tcBorders>
              <w:left w:val="nil"/>
            </w:tcBorders>
            <w:vAlign w:val="center"/>
          </w:tcPr>
          <w:p w:rsidR="00534BB4" w:rsidRPr="00A55731" w:rsidRDefault="00534BB4" w:rsidP="00152865">
            <w:pPr>
              <w:rPr>
                <w:sz w:val="20"/>
                <w:szCs w:val="20"/>
              </w:rPr>
            </w:pPr>
            <w:r>
              <w:rPr>
                <w:sz w:val="20"/>
                <w:szCs w:val="20"/>
              </w:rPr>
              <w:t>(1.1)</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ind w:left="238"/>
              <w:rPr>
                <w:bCs/>
                <w:sz w:val="20"/>
                <w:szCs w:val="20"/>
              </w:rPr>
            </w:pPr>
            <w:r w:rsidRPr="00A55731">
              <w:rPr>
                <w:bCs/>
                <w:sz w:val="20"/>
                <w:szCs w:val="20"/>
              </w:rPr>
              <w:t>Headache</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6</w:t>
            </w:r>
          </w:p>
        </w:tc>
        <w:tc>
          <w:tcPr>
            <w:tcW w:w="944" w:type="dxa"/>
            <w:tcBorders>
              <w:left w:val="nil"/>
            </w:tcBorders>
            <w:vAlign w:val="center"/>
          </w:tcPr>
          <w:p w:rsidR="00534BB4" w:rsidRPr="00A55731" w:rsidRDefault="00534BB4" w:rsidP="00152865">
            <w:pPr>
              <w:rPr>
                <w:sz w:val="20"/>
                <w:szCs w:val="20"/>
              </w:rPr>
            </w:pPr>
            <w:r>
              <w:rPr>
                <w:sz w:val="20"/>
                <w:szCs w:val="20"/>
              </w:rPr>
              <w:t>(2.2)</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11</w:t>
            </w:r>
          </w:p>
        </w:tc>
        <w:tc>
          <w:tcPr>
            <w:tcW w:w="989" w:type="dxa"/>
            <w:tcBorders>
              <w:left w:val="nil"/>
            </w:tcBorders>
            <w:vAlign w:val="center"/>
          </w:tcPr>
          <w:p w:rsidR="00534BB4" w:rsidRPr="00A55731" w:rsidRDefault="00534BB4" w:rsidP="00152865">
            <w:pPr>
              <w:rPr>
                <w:sz w:val="20"/>
                <w:szCs w:val="20"/>
              </w:rPr>
            </w:pPr>
            <w:r>
              <w:rPr>
                <w:sz w:val="20"/>
                <w:szCs w:val="20"/>
              </w:rPr>
              <w:t>(4.1)</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sidRPr="00A55731">
              <w:rPr>
                <w:b/>
                <w:bCs/>
                <w:sz w:val="20"/>
                <w:szCs w:val="20"/>
              </w:rPr>
              <w:t>Renal and urinary disorders</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44" w:type="dxa"/>
            <w:tcBorders>
              <w:left w:val="nil"/>
            </w:tcBorders>
            <w:vAlign w:val="center"/>
          </w:tcPr>
          <w:p w:rsidR="00534BB4" w:rsidRPr="00A55731" w:rsidRDefault="00534BB4" w:rsidP="00152865">
            <w:pPr>
              <w:rPr>
                <w:sz w:val="20"/>
                <w:szCs w:val="20"/>
              </w:rPr>
            </w:pPr>
            <w:r>
              <w:rPr>
                <w:sz w:val="20"/>
                <w:szCs w:val="20"/>
              </w:rPr>
              <w:t>(0.4)</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0</w:t>
            </w:r>
          </w:p>
        </w:tc>
        <w:tc>
          <w:tcPr>
            <w:tcW w:w="989" w:type="dxa"/>
            <w:tcBorders>
              <w:left w:val="nil"/>
            </w:tcBorders>
            <w:vAlign w:val="center"/>
          </w:tcPr>
          <w:p w:rsidR="00534BB4" w:rsidRPr="00A55731" w:rsidRDefault="00534BB4" w:rsidP="00152865">
            <w:pPr>
              <w:rPr>
                <w:sz w:val="20"/>
                <w:szCs w:val="20"/>
              </w:rPr>
            </w:pP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Pr>
                <w:b/>
                <w:bCs/>
                <w:sz w:val="20"/>
                <w:szCs w:val="20"/>
              </w:rPr>
              <w:t>Reproductive system and breast</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44" w:type="dxa"/>
            <w:tcBorders>
              <w:left w:val="nil"/>
            </w:tcBorders>
            <w:vAlign w:val="center"/>
          </w:tcPr>
          <w:p w:rsidR="00534BB4" w:rsidRPr="00A55731" w:rsidRDefault="00534BB4" w:rsidP="00152865">
            <w:pPr>
              <w:rPr>
                <w:sz w:val="20"/>
                <w:szCs w:val="20"/>
              </w:rPr>
            </w:pPr>
            <w:r>
              <w:rPr>
                <w:sz w:val="20"/>
                <w:szCs w:val="20"/>
              </w:rPr>
              <w:t>(0.4)</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0</w:t>
            </w:r>
          </w:p>
        </w:tc>
        <w:tc>
          <w:tcPr>
            <w:tcW w:w="989" w:type="dxa"/>
            <w:tcBorders>
              <w:left w:val="nil"/>
            </w:tcBorders>
            <w:vAlign w:val="center"/>
          </w:tcPr>
          <w:p w:rsidR="00534BB4" w:rsidRPr="00A55731" w:rsidRDefault="00534BB4" w:rsidP="00152865">
            <w:pPr>
              <w:rPr>
                <w:sz w:val="20"/>
                <w:szCs w:val="20"/>
              </w:rPr>
            </w:pP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sz w:val="20"/>
                <w:szCs w:val="20"/>
              </w:rPr>
            </w:pPr>
            <w:r w:rsidRPr="00A55731">
              <w:rPr>
                <w:b/>
                <w:bCs/>
                <w:sz w:val="20"/>
                <w:szCs w:val="20"/>
              </w:rPr>
              <w:t xml:space="preserve">Respiratory, thoracic and mediastinal </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4</w:t>
            </w:r>
          </w:p>
        </w:tc>
        <w:tc>
          <w:tcPr>
            <w:tcW w:w="944" w:type="dxa"/>
            <w:tcBorders>
              <w:left w:val="nil"/>
            </w:tcBorders>
            <w:vAlign w:val="center"/>
          </w:tcPr>
          <w:p w:rsidR="00534BB4" w:rsidRPr="00A55731" w:rsidRDefault="00534BB4" w:rsidP="00152865">
            <w:pPr>
              <w:rPr>
                <w:sz w:val="20"/>
                <w:szCs w:val="20"/>
              </w:rPr>
            </w:pPr>
            <w:r>
              <w:rPr>
                <w:sz w:val="20"/>
                <w:szCs w:val="20"/>
              </w:rPr>
              <w:t>(1.5)</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1</w:t>
            </w:r>
          </w:p>
        </w:tc>
        <w:tc>
          <w:tcPr>
            <w:tcW w:w="989" w:type="dxa"/>
            <w:tcBorders>
              <w:left w:val="nil"/>
            </w:tcBorders>
            <w:vAlign w:val="center"/>
          </w:tcPr>
          <w:p w:rsidR="00534BB4" w:rsidRPr="00A55731" w:rsidRDefault="00534BB4" w:rsidP="00152865">
            <w:pPr>
              <w:rPr>
                <w:sz w:val="20"/>
                <w:szCs w:val="20"/>
              </w:rPr>
            </w:pPr>
            <w:r>
              <w:rPr>
                <w:sz w:val="20"/>
                <w:szCs w:val="20"/>
              </w:rPr>
              <w:t>(0.4)</w:t>
            </w:r>
          </w:p>
        </w:tc>
      </w:tr>
      <w:tr w:rsidR="00534BB4" w:rsidRPr="00A55731" w:rsidTr="00152865">
        <w:trPr>
          <w:cantSplit/>
          <w:jc w:val="center"/>
        </w:trPr>
        <w:tc>
          <w:tcPr>
            <w:tcW w:w="3528" w:type="dxa"/>
          </w:tcPr>
          <w:p w:rsidR="00534BB4" w:rsidRPr="00A55731" w:rsidRDefault="00534BB4" w:rsidP="00152865">
            <w:pPr>
              <w:autoSpaceDE w:val="0"/>
              <w:autoSpaceDN w:val="0"/>
              <w:adjustRightInd w:val="0"/>
              <w:rPr>
                <w:b/>
                <w:bCs/>
                <w:sz w:val="20"/>
                <w:szCs w:val="20"/>
              </w:rPr>
            </w:pPr>
            <w:r w:rsidRPr="00A55731">
              <w:rPr>
                <w:b/>
                <w:bCs/>
                <w:sz w:val="20"/>
                <w:szCs w:val="20"/>
              </w:rPr>
              <w:t>Skin and subcutaneous tissue</w:t>
            </w:r>
          </w:p>
        </w:tc>
        <w:tc>
          <w:tcPr>
            <w:tcW w:w="720"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8</w:t>
            </w:r>
          </w:p>
        </w:tc>
        <w:tc>
          <w:tcPr>
            <w:tcW w:w="944" w:type="dxa"/>
            <w:tcBorders>
              <w:left w:val="nil"/>
            </w:tcBorders>
            <w:vAlign w:val="center"/>
          </w:tcPr>
          <w:p w:rsidR="00534BB4" w:rsidRPr="00A55731" w:rsidRDefault="00534BB4" w:rsidP="00152865">
            <w:pPr>
              <w:rPr>
                <w:sz w:val="20"/>
                <w:szCs w:val="20"/>
              </w:rPr>
            </w:pPr>
            <w:r>
              <w:rPr>
                <w:sz w:val="20"/>
                <w:szCs w:val="20"/>
              </w:rPr>
              <w:t>(3.0)</w:t>
            </w:r>
          </w:p>
        </w:tc>
        <w:tc>
          <w:tcPr>
            <w:tcW w:w="676" w:type="dxa"/>
            <w:tcBorders>
              <w:right w:val="nil"/>
            </w:tcBorders>
            <w:vAlign w:val="center"/>
          </w:tcPr>
          <w:p w:rsidR="00534BB4" w:rsidRPr="00A55731" w:rsidRDefault="00534BB4" w:rsidP="00152865">
            <w:pPr>
              <w:autoSpaceDE w:val="0"/>
              <w:autoSpaceDN w:val="0"/>
              <w:adjustRightInd w:val="0"/>
              <w:jc w:val="right"/>
              <w:rPr>
                <w:bCs/>
                <w:sz w:val="20"/>
                <w:szCs w:val="20"/>
              </w:rPr>
            </w:pPr>
            <w:r>
              <w:rPr>
                <w:bCs/>
                <w:sz w:val="20"/>
                <w:szCs w:val="20"/>
              </w:rPr>
              <w:t>2</w:t>
            </w:r>
          </w:p>
        </w:tc>
        <w:tc>
          <w:tcPr>
            <w:tcW w:w="989" w:type="dxa"/>
            <w:tcBorders>
              <w:left w:val="nil"/>
            </w:tcBorders>
            <w:vAlign w:val="center"/>
          </w:tcPr>
          <w:p w:rsidR="00534BB4" w:rsidRPr="00A55731" w:rsidRDefault="00534BB4" w:rsidP="00152865">
            <w:pPr>
              <w:rPr>
                <w:sz w:val="20"/>
                <w:szCs w:val="20"/>
              </w:rPr>
            </w:pPr>
            <w:r>
              <w:rPr>
                <w:sz w:val="20"/>
                <w:szCs w:val="20"/>
              </w:rPr>
              <w:t>(0.7)</w:t>
            </w:r>
          </w:p>
        </w:tc>
      </w:tr>
    </w:tbl>
    <w:p w:rsidR="00534BB4" w:rsidRDefault="00715772" w:rsidP="0010152A">
      <w:pPr>
        <w:pStyle w:val="Heading4"/>
      </w:pPr>
      <w:bookmarkStart w:id="154" w:name="_Toc241374320"/>
      <w:bookmarkStart w:id="155" w:name="_Ref272333507"/>
      <w:bookmarkStart w:id="156" w:name="_Toc272414666"/>
      <w:bookmarkStart w:id="157" w:name="_Toc273018229"/>
      <w:bookmarkStart w:id="158" w:name="_Toc348527499"/>
      <w:r>
        <w:t>Deaths and other serious adverse e</w:t>
      </w:r>
      <w:r w:rsidR="0010152A">
        <w:t>vents</w:t>
      </w:r>
      <w:bookmarkEnd w:id="154"/>
      <w:bookmarkEnd w:id="155"/>
      <w:bookmarkEnd w:id="156"/>
      <w:bookmarkEnd w:id="157"/>
      <w:bookmarkEnd w:id="158"/>
      <w:r w:rsidR="0010152A">
        <w:t xml:space="preserve"> (SAE)</w:t>
      </w:r>
    </w:p>
    <w:p w:rsidR="00534BB4" w:rsidRDefault="00534BB4" w:rsidP="00534BB4">
      <w:pPr>
        <w:autoSpaceDE w:val="0"/>
        <w:autoSpaceDN w:val="0"/>
        <w:adjustRightInd w:val="0"/>
      </w:pPr>
      <w:r>
        <w:t xml:space="preserve">No deaths occurred during any of the studies. In the combined pivotal studies, 3 patients on Oracea reported 8 SAEs (coronary artery disease, large intestine perforation, haemoglobin </w:t>
      </w:r>
      <w:r w:rsidR="0010152A">
        <w:t xml:space="preserve">decrease (⬇) </w:t>
      </w:r>
      <w:r>
        <w:t>uterine cancer, renal insufficiency, pulmonary embolism, respiratory arrest, DVT)</w:t>
      </w:r>
      <w:proofErr w:type="gramStart"/>
      <w:r>
        <w:t>,  and</w:t>
      </w:r>
      <w:proofErr w:type="gramEnd"/>
      <w:r>
        <w:t xml:space="preserve"> 2 patients on placebo reported 2 SAEs (chest pain, pneumonia).</w:t>
      </w:r>
    </w:p>
    <w:p w:rsidR="00534BB4" w:rsidRDefault="00715772" w:rsidP="0010152A">
      <w:pPr>
        <w:pStyle w:val="Heading4"/>
      </w:pPr>
      <w:bookmarkStart w:id="159" w:name="_Toc241374325"/>
      <w:bookmarkStart w:id="160" w:name="_Ref272333477"/>
      <w:bookmarkStart w:id="161" w:name="_Toc272414667"/>
      <w:bookmarkStart w:id="162" w:name="_Toc273018230"/>
      <w:bookmarkStart w:id="163" w:name="_Toc348527500"/>
      <w:r>
        <w:t>Discontinuation d</w:t>
      </w:r>
      <w:r w:rsidR="002A418E">
        <w:t>ue t</w:t>
      </w:r>
      <w:r w:rsidR="0010152A">
        <w:t xml:space="preserve">o </w:t>
      </w:r>
      <w:r>
        <w:t>a</w:t>
      </w:r>
      <w:r w:rsidR="0010152A">
        <w:t xml:space="preserve">dverse </w:t>
      </w:r>
      <w:r>
        <w:t>e</w:t>
      </w:r>
      <w:r w:rsidR="0010152A">
        <w:t>vents</w:t>
      </w:r>
      <w:bookmarkEnd w:id="159"/>
      <w:bookmarkEnd w:id="160"/>
      <w:bookmarkEnd w:id="161"/>
      <w:bookmarkEnd w:id="162"/>
      <w:bookmarkEnd w:id="163"/>
    </w:p>
    <w:p w:rsidR="00534BB4" w:rsidRDefault="00534BB4" w:rsidP="00534BB4">
      <w:pPr>
        <w:autoSpaceDE w:val="0"/>
        <w:autoSpaceDN w:val="0"/>
        <w:adjustRightInd w:val="0"/>
      </w:pPr>
      <w:r>
        <w:t>In the 2 pivotal studies, 20 (7.4%) patients on Oracea and 12 (4.5%) patients on placebo discontinued due to AEs. Those withdrawing due to AEs at least one of which was classified as treatment-related are listed below, with those AEs which were classified as treatment-related.</w:t>
      </w:r>
    </w:p>
    <w:p w:rsidR="00534BB4" w:rsidRDefault="0010152A" w:rsidP="00850EE2">
      <w:pPr>
        <w:pStyle w:val="TableTitle"/>
      </w:pPr>
      <w:proofErr w:type="gramStart"/>
      <w:r>
        <w:lastRenderedPageBreak/>
        <w:t>Table 2</w:t>
      </w:r>
      <w:r w:rsidR="00D42840">
        <w:t>6</w:t>
      </w:r>
      <w:r>
        <w:t>.</w:t>
      </w:r>
      <w:proofErr w:type="gramEnd"/>
      <w:r>
        <w:t xml:space="preserve"> </w:t>
      </w:r>
      <w:proofErr w:type="gramStart"/>
      <w:r>
        <w:t>Treatment-related AEs leading to discontinuation</w:t>
      </w:r>
      <w:r w:rsidRPr="0010152A">
        <w:t>.</w:t>
      </w:r>
      <w:proofErr w:type="gramEnd"/>
    </w:p>
    <w:tbl>
      <w:tblPr>
        <w:tblStyle w:val="TableGrid"/>
        <w:tblW w:w="0" w:type="auto"/>
        <w:jc w:val="center"/>
        <w:tblLook w:val="04A0"/>
      </w:tblPr>
      <w:tblGrid>
        <w:gridCol w:w="4503"/>
        <w:gridCol w:w="2835"/>
      </w:tblGrid>
      <w:tr w:rsidR="00534BB4" w:rsidRPr="00896FC1" w:rsidTr="00850EE2">
        <w:trPr>
          <w:tblHeader/>
          <w:jc w:val="center"/>
        </w:trPr>
        <w:tc>
          <w:tcPr>
            <w:tcW w:w="4503" w:type="dxa"/>
            <w:shd w:val="clear" w:color="auto" w:fill="0070C0"/>
          </w:tcPr>
          <w:p w:rsidR="00534BB4" w:rsidRPr="0010152A" w:rsidRDefault="00534BB4" w:rsidP="0010152A">
            <w:pPr>
              <w:keepNext/>
              <w:autoSpaceDE w:val="0"/>
              <w:autoSpaceDN w:val="0"/>
              <w:adjustRightInd w:val="0"/>
              <w:jc w:val="center"/>
              <w:rPr>
                <w:b/>
                <w:color w:val="FFFFFF" w:themeColor="background1"/>
                <w:sz w:val="20"/>
                <w:szCs w:val="20"/>
              </w:rPr>
            </w:pPr>
            <w:r w:rsidRPr="0010152A">
              <w:rPr>
                <w:b/>
                <w:color w:val="FFFFFF" w:themeColor="background1"/>
                <w:sz w:val="20"/>
                <w:szCs w:val="20"/>
              </w:rPr>
              <w:t>Oracea (13 patients)</w:t>
            </w:r>
          </w:p>
        </w:tc>
        <w:tc>
          <w:tcPr>
            <w:tcW w:w="2835" w:type="dxa"/>
            <w:shd w:val="clear" w:color="auto" w:fill="0070C0"/>
          </w:tcPr>
          <w:p w:rsidR="00534BB4" w:rsidRPr="0010152A" w:rsidRDefault="00534BB4" w:rsidP="0010152A">
            <w:pPr>
              <w:keepNext/>
              <w:autoSpaceDE w:val="0"/>
              <w:autoSpaceDN w:val="0"/>
              <w:adjustRightInd w:val="0"/>
              <w:jc w:val="center"/>
              <w:rPr>
                <w:b/>
                <w:color w:val="FFFFFF" w:themeColor="background1"/>
                <w:sz w:val="20"/>
                <w:szCs w:val="20"/>
              </w:rPr>
            </w:pPr>
            <w:r w:rsidRPr="0010152A">
              <w:rPr>
                <w:b/>
                <w:color w:val="FFFFFF" w:themeColor="background1"/>
                <w:sz w:val="20"/>
                <w:szCs w:val="20"/>
              </w:rPr>
              <w:t>Placebo (7 patients)</w:t>
            </w:r>
          </w:p>
        </w:tc>
      </w:tr>
      <w:tr w:rsidR="00534BB4" w:rsidTr="00152865">
        <w:trPr>
          <w:jc w:val="center"/>
        </w:trPr>
        <w:tc>
          <w:tcPr>
            <w:tcW w:w="4503" w:type="dxa"/>
          </w:tcPr>
          <w:p w:rsidR="00534BB4" w:rsidRPr="00896FC1" w:rsidRDefault="00534BB4" w:rsidP="0010152A">
            <w:pPr>
              <w:keepNext/>
              <w:autoSpaceDE w:val="0"/>
              <w:autoSpaceDN w:val="0"/>
              <w:adjustRightInd w:val="0"/>
              <w:rPr>
                <w:sz w:val="20"/>
                <w:szCs w:val="20"/>
              </w:rPr>
            </w:pPr>
            <w:proofErr w:type="spellStart"/>
            <w:r w:rsidRPr="00896FC1">
              <w:rPr>
                <w:sz w:val="20"/>
                <w:szCs w:val="20"/>
              </w:rPr>
              <w:t>abdo</w:t>
            </w:r>
            <w:proofErr w:type="spellEnd"/>
            <w:r w:rsidRPr="00896FC1">
              <w:rPr>
                <w:sz w:val="20"/>
                <w:szCs w:val="20"/>
              </w:rPr>
              <w:t xml:space="preserve"> distension, gastrointestinal discomfort, malaise</w:t>
            </w:r>
          </w:p>
          <w:p w:rsidR="00534BB4" w:rsidRPr="00896FC1" w:rsidRDefault="00534BB4" w:rsidP="0010152A">
            <w:pPr>
              <w:keepNext/>
              <w:autoSpaceDE w:val="0"/>
              <w:autoSpaceDN w:val="0"/>
              <w:adjustRightInd w:val="0"/>
              <w:rPr>
                <w:sz w:val="20"/>
                <w:szCs w:val="20"/>
              </w:rPr>
            </w:pPr>
            <w:proofErr w:type="spellStart"/>
            <w:r w:rsidRPr="00896FC1">
              <w:rPr>
                <w:sz w:val="20"/>
                <w:szCs w:val="20"/>
              </w:rPr>
              <w:t>abdo</w:t>
            </w:r>
            <w:proofErr w:type="spellEnd"/>
            <w:r w:rsidRPr="00896FC1">
              <w:rPr>
                <w:sz w:val="20"/>
                <w:szCs w:val="20"/>
              </w:rPr>
              <w:t xml:space="preserve"> pain, diarrhoea</w:t>
            </w:r>
          </w:p>
          <w:p w:rsidR="00534BB4" w:rsidRPr="00896FC1" w:rsidRDefault="00534BB4" w:rsidP="0010152A">
            <w:pPr>
              <w:keepNext/>
              <w:autoSpaceDE w:val="0"/>
              <w:autoSpaceDN w:val="0"/>
              <w:adjustRightInd w:val="0"/>
              <w:rPr>
                <w:sz w:val="20"/>
                <w:szCs w:val="20"/>
              </w:rPr>
            </w:pPr>
            <w:proofErr w:type="spellStart"/>
            <w:r w:rsidRPr="00896FC1">
              <w:rPr>
                <w:sz w:val="20"/>
                <w:szCs w:val="20"/>
              </w:rPr>
              <w:t>abdo</w:t>
            </w:r>
            <w:proofErr w:type="spellEnd"/>
            <w:r w:rsidRPr="00896FC1">
              <w:rPr>
                <w:sz w:val="20"/>
                <w:szCs w:val="20"/>
              </w:rPr>
              <w:t xml:space="preserve"> pain upper</w:t>
            </w:r>
          </w:p>
          <w:p w:rsidR="00534BB4" w:rsidRPr="00896FC1" w:rsidRDefault="00534BB4" w:rsidP="0010152A">
            <w:pPr>
              <w:keepNext/>
              <w:autoSpaceDE w:val="0"/>
              <w:autoSpaceDN w:val="0"/>
              <w:adjustRightInd w:val="0"/>
              <w:rPr>
                <w:sz w:val="20"/>
                <w:szCs w:val="20"/>
              </w:rPr>
            </w:pPr>
            <w:r w:rsidRPr="00896FC1">
              <w:rPr>
                <w:sz w:val="20"/>
                <w:szCs w:val="20"/>
              </w:rPr>
              <w:t>anxiety, insomnia, nausea</w:t>
            </w:r>
          </w:p>
          <w:p w:rsidR="00534BB4" w:rsidRPr="00896FC1" w:rsidRDefault="00534BB4" w:rsidP="0010152A">
            <w:pPr>
              <w:keepNext/>
              <w:autoSpaceDE w:val="0"/>
              <w:autoSpaceDN w:val="0"/>
              <w:adjustRightInd w:val="0"/>
              <w:rPr>
                <w:sz w:val="20"/>
                <w:szCs w:val="20"/>
              </w:rPr>
            </w:pPr>
            <w:r w:rsidRPr="00896FC1">
              <w:rPr>
                <w:sz w:val="20"/>
                <w:szCs w:val="20"/>
              </w:rPr>
              <w:t>bronchospasm, face oedema</w:t>
            </w:r>
          </w:p>
          <w:p w:rsidR="00534BB4" w:rsidRPr="00896FC1" w:rsidRDefault="00534BB4" w:rsidP="0010152A">
            <w:pPr>
              <w:keepNext/>
              <w:autoSpaceDE w:val="0"/>
              <w:autoSpaceDN w:val="0"/>
              <w:adjustRightInd w:val="0"/>
              <w:rPr>
                <w:sz w:val="20"/>
                <w:szCs w:val="20"/>
              </w:rPr>
            </w:pPr>
            <w:r w:rsidRPr="00896FC1">
              <w:rPr>
                <w:sz w:val="20"/>
                <w:szCs w:val="20"/>
              </w:rPr>
              <w:t>diarrhoea</w:t>
            </w:r>
          </w:p>
          <w:p w:rsidR="00534BB4" w:rsidRPr="00896FC1" w:rsidRDefault="00534BB4" w:rsidP="0010152A">
            <w:pPr>
              <w:keepNext/>
              <w:autoSpaceDE w:val="0"/>
              <w:autoSpaceDN w:val="0"/>
              <w:adjustRightInd w:val="0"/>
              <w:rPr>
                <w:sz w:val="20"/>
                <w:szCs w:val="20"/>
              </w:rPr>
            </w:pPr>
            <w:r w:rsidRPr="00896FC1">
              <w:rPr>
                <w:sz w:val="20"/>
                <w:szCs w:val="20"/>
              </w:rPr>
              <w:t>dysphagia, headache</w:t>
            </w:r>
          </w:p>
          <w:p w:rsidR="00534BB4" w:rsidRPr="00896FC1" w:rsidRDefault="00534BB4" w:rsidP="0010152A">
            <w:pPr>
              <w:keepNext/>
              <w:autoSpaceDE w:val="0"/>
              <w:autoSpaceDN w:val="0"/>
              <w:adjustRightInd w:val="0"/>
              <w:rPr>
                <w:sz w:val="20"/>
                <w:szCs w:val="20"/>
              </w:rPr>
            </w:pPr>
            <w:r w:rsidRPr="00896FC1">
              <w:rPr>
                <w:sz w:val="20"/>
                <w:szCs w:val="20"/>
              </w:rPr>
              <w:t>dyspnoea</w:t>
            </w:r>
          </w:p>
          <w:p w:rsidR="00534BB4" w:rsidRPr="00896FC1" w:rsidRDefault="00534BB4" w:rsidP="0010152A">
            <w:pPr>
              <w:keepNext/>
              <w:autoSpaceDE w:val="0"/>
              <w:autoSpaceDN w:val="0"/>
              <w:adjustRightInd w:val="0"/>
              <w:rPr>
                <w:sz w:val="20"/>
                <w:szCs w:val="20"/>
              </w:rPr>
            </w:pPr>
            <w:r w:rsidRPr="00896FC1">
              <w:rPr>
                <w:sz w:val="20"/>
                <w:szCs w:val="20"/>
              </w:rPr>
              <w:t>fungal infection</w:t>
            </w:r>
          </w:p>
          <w:p w:rsidR="00534BB4" w:rsidRPr="00896FC1" w:rsidRDefault="00534BB4" w:rsidP="0010152A">
            <w:pPr>
              <w:keepNext/>
              <w:autoSpaceDE w:val="0"/>
              <w:autoSpaceDN w:val="0"/>
              <w:adjustRightInd w:val="0"/>
              <w:rPr>
                <w:sz w:val="20"/>
                <w:szCs w:val="20"/>
              </w:rPr>
            </w:pPr>
            <w:r w:rsidRPr="00896FC1">
              <w:rPr>
                <w:sz w:val="20"/>
                <w:szCs w:val="20"/>
              </w:rPr>
              <w:t>furuncle</w:t>
            </w:r>
          </w:p>
          <w:p w:rsidR="00534BB4" w:rsidRPr="00896FC1" w:rsidRDefault="00534BB4" w:rsidP="0010152A">
            <w:pPr>
              <w:keepNext/>
              <w:autoSpaceDE w:val="0"/>
              <w:autoSpaceDN w:val="0"/>
              <w:adjustRightInd w:val="0"/>
              <w:rPr>
                <w:sz w:val="20"/>
                <w:szCs w:val="20"/>
              </w:rPr>
            </w:pPr>
            <w:r w:rsidRPr="00896FC1">
              <w:rPr>
                <w:sz w:val="20"/>
                <w:szCs w:val="20"/>
              </w:rPr>
              <w:t>gastrointestinal pain</w:t>
            </w:r>
          </w:p>
          <w:p w:rsidR="00534BB4" w:rsidRPr="00896FC1" w:rsidRDefault="00534BB4" w:rsidP="0010152A">
            <w:pPr>
              <w:keepNext/>
              <w:autoSpaceDE w:val="0"/>
              <w:autoSpaceDN w:val="0"/>
              <w:adjustRightInd w:val="0"/>
              <w:rPr>
                <w:sz w:val="20"/>
                <w:szCs w:val="20"/>
              </w:rPr>
            </w:pPr>
            <w:r w:rsidRPr="00896FC1">
              <w:rPr>
                <w:sz w:val="20"/>
                <w:szCs w:val="20"/>
              </w:rPr>
              <w:t>skin reaction</w:t>
            </w:r>
          </w:p>
          <w:p w:rsidR="00534BB4" w:rsidRPr="00896FC1" w:rsidRDefault="00534BB4" w:rsidP="0010152A">
            <w:pPr>
              <w:keepNext/>
              <w:autoSpaceDE w:val="0"/>
              <w:autoSpaceDN w:val="0"/>
              <w:adjustRightInd w:val="0"/>
              <w:rPr>
                <w:sz w:val="20"/>
                <w:szCs w:val="20"/>
              </w:rPr>
            </w:pPr>
            <w:r w:rsidRPr="00896FC1">
              <w:rPr>
                <w:sz w:val="20"/>
                <w:szCs w:val="20"/>
              </w:rPr>
              <w:t>ventricular extrasystoles</w:t>
            </w:r>
          </w:p>
        </w:tc>
        <w:tc>
          <w:tcPr>
            <w:tcW w:w="2835" w:type="dxa"/>
          </w:tcPr>
          <w:p w:rsidR="00534BB4" w:rsidRPr="00896FC1" w:rsidRDefault="00534BB4" w:rsidP="0010152A">
            <w:pPr>
              <w:keepNext/>
              <w:autoSpaceDE w:val="0"/>
              <w:autoSpaceDN w:val="0"/>
              <w:adjustRightInd w:val="0"/>
              <w:rPr>
                <w:sz w:val="20"/>
                <w:szCs w:val="20"/>
              </w:rPr>
            </w:pPr>
            <w:proofErr w:type="spellStart"/>
            <w:r w:rsidRPr="00896FC1">
              <w:rPr>
                <w:sz w:val="20"/>
                <w:szCs w:val="20"/>
              </w:rPr>
              <w:t>abdo</w:t>
            </w:r>
            <w:proofErr w:type="spellEnd"/>
            <w:r w:rsidRPr="00896FC1">
              <w:rPr>
                <w:sz w:val="20"/>
                <w:szCs w:val="20"/>
              </w:rPr>
              <w:t xml:space="preserve"> pain upper</w:t>
            </w:r>
          </w:p>
          <w:p w:rsidR="00534BB4" w:rsidRPr="00896FC1" w:rsidRDefault="00534BB4" w:rsidP="0010152A">
            <w:pPr>
              <w:keepNext/>
              <w:autoSpaceDE w:val="0"/>
              <w:autoSpaceDN w:val="0"/>
              <w:adjustRightInd w:val="0"/>
              <w:rPr>
                <w:sz w:val="20"/>
                <w:szCs w:val="20"/>
              </w:rPr>
            </w:pPr>
            <w:r w:rsidRPr="00896FC1">
              <w:rPr>
                <w:sz w:val="20"/>
                <w:szCs w:val="20"/>
              </w:rPr>
              <w:t>cystitis</w:t>
            </w:r>
          </w:p>
          <w:p w:rsidR="00534BB4" w:rsidRPr="00896FC1" w:rsidRDefault="00534BB4" w:rsidP="0010152A">
            <w:pPr>
              <w:keepNext/>
              <w:autoSpaceDE w:val="0"/>
              <w:autoSpaceDN w:val="0"/>
              <w:adjustRightInd w:val="0"/>
              <w:rPr>
                <w:sz w:val="20"/>
                <w:szCs w:val="20"/>
              </w:rPr>
            </w:pPr>
            <w:r w:rsidRPr="00896FC1">
              <w:rPr>
                <w:sz w:val="20"/>
                <w:szCs w:val="20"/>
              </w:rPr>
              <w:t>diarrhoea, nausea</w:t>
            </w:r>
          </w:p>
          <w:p w:rsidR="00534BB4" w:rsidRPr="00896FC1" w:rsidRDefault="00534BB4" w:rsidP="0010152A">
            <w:pPr>
              <w:keepNext/>
              <w:autoSpaceDE w:val="0"/>
              <w:autoSpaceDN w:val="0"/>
              <w:adjustRightInd w:val="0"/>
              <w:rPr>
                <w:sz w:val="20"/>
                <w:szCs w:val="20"/>
              </w:rPr>
            </w:pPr>
            <w:r w:rsidRPr="00896FC1">
              <w:rPr>
                <w:sz w:val="20"/>
                <w:szCs w:val="20"/>
              </w:rPr>
              <w:t>headache</w:t>
            </w:r>
          </w:p>
          <w:p w:rsidR="00534BB4" w:rsidRPr="00896FC1" w:rsidRDefault="00534BB4" w:rsidP="0010152A">
            <w:pPr>
              <w:keepNext/>
              <w:autoSpaceDE w:val="0"/>
              <w:autoSpaceDN w:val="0"/>
              <w:adjustRightInd w:val="0"/>
              <w:rPr>
                <w:sz w:val="20"/>
                <w:szCs w:val="20"/>
              </w:rPr>
            </w:pPr>
            <w:r w:rsidRPr="00896FC1">
              <w:rPr>
                <w:sz w:val="20"/>
                <w:szCs w:val="20"/>
              </w:rPr>
              <w:t>muscle cramp, dizziness, nausea</w:t>
            </w:r>
          </w:p>
          <w:p w:rsidR="00534BB4" w:rsidRPr="00896FC1" w:rsidRDefault="00534BB4" w:rsidP="0010152A">
            <w:pPr>
              <w:keepNext/>
              <w:autoSpaceDE w:val="0"/>
              <w:autoSpaceDN w:val="0"/>
              <w:adjustRightInd w:val="0"/>
              <w:rPr>
                <w:sz w:val="20"/>
                <w:szCs w:val="20"/>
              </w:rPr>
            </w:pPr>
            <w:r w:rsidRPr="00896FC1">
              <w:rPr>
                <w:sz w:val="20"/>
                <w:szCs w:val="20"/>
              </w:rPr>
              <w:t>nausea</w:t>
            </w:r>
          </w:p>
          <w:p w:rsidR="00534BB4" w:rsidRPr="00896FC1" w:rsidRDefault="00534BB4" w:rsidP="0010152A">
            <w:pPr>
              <w:keepNext/>
              <w:autoSpaceDE w:val="0"/>
              <w:autoSpaceDN w:val="0"/>
              <w:adjustRightInd w:val="0"/>
              <w:rPr>
                <w:sz w:val="20"/>
                <w:szCs w:val="20"/>
              </w:rPr>
            </w:pPr>
            <w:r w:rsidRPr="00896FC1">
              <w:rPr>
                <w:sz w:val="20"/>
                <w:szCs w:val="20"/>
              </w:rPr>
              <w:t>nausea, vomiting</w:t>
            </w:r>
          </w:p>
          <w:p w:rsidR="00534BB4" w:rsidRPr="00896FC1" w:rsidRDefault="00534BB4" w:rsidP="0010152A">
            <w:pPr>
              <w:keepNext/>
              <w:autoSpaceDE w:val="0"/>
              <w:autoSpaceDN w:val="0"/>
              <w:adjustRightInd w:val="0"/>
              <w:rPr>
                <w:sz w:val="20"/>
                <w:szCs w:val="20"/>
              </w:rPr>
            </w:pPr>
          </w:p>
        </w:tc>
      </w:tr>
    </w:tbl>
    <w:p w:rsidR="00534BB4" w:rsidRDefault="00715772" w:rsidP="0010152A">
      <w:pPr>
        <w:pStyle w:val="Heading3"/>
      </w:pPr>
      <w:bookmarkStart w:id="164" w:name="_Toc241374321"/>
      <w:bookmarkStart w:id="165" w:name="_Ref271044780"/>
      <w:bookmarkStart w:id="166" w:name="_Ref271196640"/>
      <w:bookmarkStart w:id="167" w:name="_Ref272333085"/>
      <w:bookmarkStart w:id="168" w:name="_Toc272414668"/>
      <w:bookmarkStart w:id="169" w:name="_Toc273018231"/>
      <w:bookmarkStart w:id="170" w:name="_Toc348527501"/>
      <w:bookmarkStart w:id="171" w:name="_Toc366439586"/>
      <w:r>
        <w:t>Laboratory t</w:t>
      </w:r>
      <w:r w:rsidR="0010152A">
        <w:t>ests</w:t>
      </w:r>
      <w:bookmarkEnd w:id="164"/>
      <w:bookmarkEnd w:id="165"/>
      <w:bookmarkEnd w:id="166"/>
      <w:bookmarkEnd w:id="167"/>
      <w:bookmarkEnd w:id="168"/>
      <w:bookmarkEnd w:id="169"/>
      <w:bookmarkEnd w:id="170"/>
      <w:bookmarkEnd w:id="171"/>
    </w:p>
    <w:p w:rsidR="00534BB4" w:rsidRDefault="00534BB4" w:rsidP="0010152A">
      <w:pPr>
        <w:pStyle w:val="Heading4"/>
      </w:pPr>
      <w:r>
        <w:t>Pivotal studies</w:t>
      </w:r>
    </w:p>
    <w:p w:rsidR="00534BB4" w:rsidRPr="00530324" w:rsidRDefault="00534BB4" w:rsidP="00ED1990">
      <w:r w:rsidRPr="00530324">
        <w:t>There were no notable changes from baseline to endpoint in either treatment group for any laboratory parameter.</w:t>
      </w:r>
    </w:p>
    <w:p w:rsidR="00534BB4" w:rsidRPr="00530324" w:rsidRDefault="00534BB4" w:rsidP="00ED1990">
      <w:r w:rsidRPr="00530324">
        <w:t xml:space="preserve">Clinically significant laboratory values at endpoint </w:t>
      </w:r>
      <w:proofErr w:type="gramStart"/>
      <w:r w:rsidRPr="00530324">
        <w:t>visit,</w:t>
      </w:r>
      <w:proofErr w:type="gramEnd"/>
      <w:r w:rsidRPr="00530324">
        <w:t xml:space="preserve"> when reported as AEs and classified as treatment-related (possible or probable)</w:t>
      </w:r>
      <w:r w:rsidR="0010152A">
        <w:t xml:space="preserve"> are listed below.</w:t>
      </w:r>
    </w:p>
    <w:p w:rsidR="00534BB4" w:rsidRDefault="0010152A" w:rsidP="00850EE2">
      <w:pPr>
        <w:pStyle w:val="TableTitle"/>
      </w:pPr>
      <w:proofErr w:type="gramStart"/>
      <w:r>
        <w:t>Table 2</w:t>
      </w:r>
      <w:r w:rsidR="00D42840">
        <w:t>7</w:t>
      </w:r>
      <w:r>
        <w:t>.</w:t>
      </w:r>
      <w:proofErr w:type="gramEnd"/>
      <w:r>
        <w:t xml:space="preserve"> </w:t>
      </w:r>
      <w:r w:rsidRPr="0010152A">
        <w:t>Clinically significant laboratory values at endpoint visit, when reported as AEs and classified as treatment-related (possible or probable)</w:t>
      </w:r>
    </w:p>
    <w:tbl>
      <w:tblPr>
        <w:tblStyle w:val="TableGrid"/>
        <w:tblW w:w="0" w:type="auto"/>
        <w:tblInd w:w="392" w:type="dxa"/>
        <w:tblLook w:val="04A0"/>
      </w:tblPr>
      <w:tblGrid>
        <w:gridCol w:w="2268"/>
        <w:gridCol w:w="1961"/>
        <w:gridCol w:w="1866"/>
        <w:gridCol w:w="1843"/>
      </w:tblGrid>
      <w:tr w:rsidR="00534BB4" w:rsidRPr="00A93207" w:rsidTr="00850EE2">
        <w:trPr>
          <w:tblHeader/>
        </w:trPr>
        <w:tc>
          <w:tcPr>
            <w:tcW w:w="4229" w:type="dxa"/>
            <w:gridSpan w:val="2"/>
            <w:shd w:val="clear" w:color="auto" w:fill="0070C0"/>
          </w:tcPr>
          <w:p w:rsidR="00534BB4" w:rsidRPr="0010152A" w:rsidRDefault="00534BB4" w:rsidP="00152865">
            <w:pPr>
              <w:autoSpaceDE w:val="0"/>
              <w:autoSpaceDN w:val="0"/>
              <w:adjustRightInd w:val="0"/>
              <w:jc w:val="center"/>
              <w:rPr>
                <w:b/>
                <w:color w:val="FFFFFF" w:themeColor="background1"/>
                <w:sz w:val="20"/>
                <w:szCs w:val="20"/>
              </w:rPr>
            </w:pPr>
            <w:r w:rsidRPr="0010152A">
              <w:rPr>
                <w:b/>
                <w:color w:val="FFFFFF" w:themeColor="background1"/>
                <w:sz w:val="20"/>
                <w:szCs w:val="20"/>
              </w:rPr>
              <w:t>Oracea</w:t>
            </w:r>
          </w:p>
        </w:tc>
        <w:tc>
          <w:tcPr>
            <w:tcW w:w="3709" w:type="dxa"/>
            <w:gridSpan w:val="2"/>
            <w:shd w:val="clear" w:color="auto" w:fill="0070C0"/>
          </w:tcPr>
          <w:p w:rsidR="00534BB4" w:rsidRPr="0010152A" w:rsidRDefault="00534BB4" w:rsidP="00152865">
            <w:pPr>
              <w:autoSpaceDE w:val="0"/>
              <w:autoSpaceDN w:val="0"/>
              <w:adjustRightInd w:val="0"/>
              <w:jc w:val="center"/>
              <w:rPr>
                <w:b/>
                <w:color w:val="FFFFFF" w:themeColor="background1"/>
                <w:sz w:val="20"/>
                <w:szCs w:val="20"/>
              </w:rPr>
            </w:pPr>
            <w:r w:rsidRPr="0010152A">
              <w:rPr>
                <w:b/>
                <w:color w:val="FFFFFF" w:themeColor="background1"/>
                <w:sz w:val="20"/>
                <w:szCs w:val="20"/>
              </w:rPr>
              <w:t>Placebo</w:t>
            </w:r>
          </w:p>
        </w:tc>
      </w:tr>
      <w:tr w:rsidR="00534BB4" w:rsidTr="00850EE2">
        <w:trPr>
          <w:tblHeader/>
        </w:trPr>
        <w:tc>
          <w:tcPr>
            <w:tcW w:w="2268" w:type="dxa"/>
            <w:shd w:val="clear" w:color="auto" w:fill="0070C0"/>
          </w:tcPr>
          <w:p w:rsidR="00534BB4" w:rsidRPr="0010152A" w:rsidRDefault="00534BB4" w:rsidP="00152865">
            <w:pPr>
              <w:autoSpaceDE w:val="0"/>
              <w:autoSpaceDN w:val="0"/>
              <w:adjustRightInd w:val="0"/>
              <w:rPr>
                <w:b/>
                <w:color w:val="FFFFFF" w:themeColor="background1"/>
                <w:sz w:val="20"/>
                <w:szCs w:val="20"/>
              </w:rPr>
            </w:pPr>
            <w:r w:rsidRPr="0010152A">
              <w:rPr>
                <w:b/>
                <w:color w:val="FFFFFF" w:themeColor="background1"/>
                <w:sz w:val="20"/>
                <w:szCs w:val="20"/>
              </w:rPr>
              <w:t>Abnormality</w:t>
            </w:r>
          </w:p>
        </w:tc>
        <w:tc>
          <w:tcPr>
            <w:tcW w:w="1961" w:type="dxa"/>
            <w:shd w:val="clear" w:color="auto" w:fill="0070C0"/>
          </w:tcPr>
          <w:p w:rsidR="00534BB4" w:rsidRPr="0010152A" w:rsidRDefault="00534BB4" w:rsidP="00152865">
            <w:pPr>
              <w:autoSpaceDE w:val="0"/>
              <w:autoSpaceDN w:val="0"/>
              <w:adjustRightInd w:val="0"/>
              <w:rPr>
                <w:b/>
                <w:color w:val="FFFFFF" w:themeColor="background1"/>
                <w:sz w:val="20"/>
                <w:szCs w:val="20"/>
              </w:rPr>
            </w:pPr>
            <w:r w:rsidRPr="0010152A">
              <w:rPr>
                <w:b/>
                <w:color w:val="FFFFFF" w:themeColor="background1"/>
                <w:sz w:val="20"/>
                <w:szCs w:val="20"/>
              </w:rPr>
              <w:t>Comment</w:t>
            </w:r>
          </w:p>
        </w:tc>
        <w:tc>
          <w:tcPr>
            <w:tcW w:w="1866" w:type="dxa"/>
            <w:shd w:val="clear" w:color="auto" w:fill="0070C0"/>
          </w:tcPr>
          <w:p w:rsidR="00534BB4" w:rsidRPr="0010152A" w:rsidRDefault="00534BB4" w:rsidP="00152865">
            <w:pPr>
              <w:autoSpaceDE w:val="0"/>
              <w:autoSpaceDN w:val="0"/>
              <w:adjustRightInd w:val="0"/>
              <w:rPr>
                <w:b/>
                <w:color w:val="FFFFFF" w:themeColor="background1"/>
                <w:sz w:val="20"/>
                <w:szCs w:val="20"/>
              </w:rPr>
            </w:pPr>
            <w:r w:rsidRPr="0010152A">
              <w:rPr>
                <w:b/>
                <w:color w:val="FFFFFF" w:themeColor="background1"/>
                <w:sz w:val="20"/>
                <w:szCs w:val="20"/>
              </w:rPr>
              <w:t>Abnormality</w:t>
            </w:r>
          </w:p>
        </w:tc>
        <w:tc>
          <w:tcPr>
            <w:tcW w:w="1843" w:type="dxa"/>
            <w:shd w:val="clear" w:color="auto" w:fill="0070C0"/>
          </w:tcPr>
          <w:p w:rsidR="00534BB4" w:rsidRPr="0010152A" w:rsidRDefault="00534BB4" w:rsidP="00152865">
            <w:pPr>
              <w:autoSpaceDE w:val="0"/>
              <w:autoSpaceDN w:val="0"/>
              <w:adjustRightInd w:val="0"/>
              <w:rPr>
                <w:b/>
                <w:color w:val="FFFFFF" w:themeColor="background1"/>
                <w:sz w:val="20"/>
                <w:szCs w:val="20"/>
              </w:rPr>
            </w:pPr>
            <w:r w:rsidRPr="0010152A">
              <w:rPr>
                <w:b/>
                <w:color w:val="FFFFFF" w:themeColor="background1"/>
                <w:sz w:val="20"/>
                <w:szCs w:val="20"/>
              </w:rPr>
              <w:t>Comment</w:t>
            </w:r>
          </w:p>
        </w:tc>
      </w:tr>
      <w:tr w:rsidR="00534BB4" w:rsidTr="002A418E">
        <w:tc>
          <w:tcPr>
            <w:tcW w:w="2268" w:type="dxa"/>
          </w:tcPr>
          <w:p w:rsidR="00534BB4" w:rsidRPr="00A93207" w:rsidRDefault="00534BB4" w:rsidP="00152865">
            <w:pPr>
              <w:autoSpaceDE w:val="0"/>
              <w:autoSpaceDN w:val="0"/>
              <w:adjustRightInd w:val="0"/>
              <w:rPr>
                <w:sz w:val="20"/>
                <w:szCs w:val="20"/>
              </w:rPr>
            </w:pPr>
            <w:r>
              <w:rPr>
                <w:sz w:val="20"/>
                <w:szCs w:val="20"/>
              </w:rPr>
              <w:t>AST↑, ALT↑</w:t>
            </w:r>
          </w:p>
        </w:tc>
        <w:tc>
          <w:tcPr>
            <w:tcW w:w="1961" w:type="dxa"/>
          </w:tcPr>
          <w:p w:rsidR="00534BB4" w:rsidRPr="00A93207" w:rsidRDefault="00534BB4" w:rsidP="00152865">
            <w:pPr>
              <w:autoSpaceDE w:val="0"/>
              <w:autoSpaceDN w:val="0"/>
              <w:adjustRightInd w:val="0"/>
              <w:rPr>
                <w:sz w:val="20"/>
                <w:szCs w:val="20"/>
              </w:rPr>
            </w:pPr>
          </w:p>
        </w:tc>
        <w:tc>
          <w:tcPr>
            <w:tcW w:w="1866" w:type="dxa"/>
          </w:tcPr>
          <w:p w:rsidR="00534BB4" w:rsidRPr="00A93207" w:rsidRDefault="00534BB4" w:rsidP="00152865">
            <w:pPr>
              <w:autoSpaceDE w:val="0"/>
              <w:autoSpaceDN w:val="0"/>
              <w:adjustRightInd w:val="0"/>
              <w:rPr>
                <w:sz w:val="20"/>
                <w:szCs w:val="20"/>
              </w:rPr>
            </w:pPr>
            <w:r>
              <w:rPr>
                <w:sz w:val="20"/>
                <w:szCs w:val="20"/>
              </w:rPr>
              <w:t>AST↑, ALT↑</w:t>
            </w:r>
          </w:p>
        </w:tc>
        <w:tc>
          <w:tcPr>
            <w:tcW w:w="1843" w:type="dxa"/>
          </w:tcPr>
          <w:p w:rsidR="00534BB4" w:rsidRPr="00A93207" w:rsidRDefault="00534BB4" w:rsidP="00152865">
            <w:pPr>
              <w:autoSpaceDE w:val="0"/>
              <w:autoSpaceDN w:val="0"/>
              <w:adjustRightInd w:val="0"/>
              <w:rPr>
                <w:sz w:val="20"/>
                <w:szCs w:val="20"/>
              </w:rPr>
            </w:pPr>
          </w:p>
        </w:tc>
      </w:tr>
      <w:tr w:rsidR="00534BB4" w:rsidTr="002A418E">
        <w:tc>
          <w:tcPr>
            <w:tcW w:w="2268" w:type="dxa"/>
          </w:tcPr>
          <w:p w:rsidR="00534BB4" w:rsidRPr="00A93207" w:rsidRDefault="00534BB4" w:rsidP="00152865">
            <w:pPr>
              <w:autoSpaceDE w:val="0"/>
              <w:autoSpaceDN w:val="0"/>
              <w:adjustRightInd w:val="0"/>
              <w:rPr>
                <w:sz w:val="20"/>
                <w:szCs w:val="20"/>
              </w:rPr>
            </w:pPr>
            <w:r>
              <w:rPr>
                <w:sz w:val="20"/>
                <w:szCs w:val="20"/>
              </w:rPr>
              <w:t>AST↑, LDH↑</w:t>
            </w:r>
          </w:p>
        </w:tc>
        <w:tc>
          <w:tcPr>
            <w:tcW w:w="1961" w:type="dxa"/>
          </w:tcPr>
          <w:p w:rsidR="00534BB4" w:rsidRPr="00A93207" w:rsidRDefault="00534BB4" w:rsidP="00152865">
            <w:pPr>
              <w:autoSpaceDE w:val="0"/>
              <w:autoSpaceDN w:val="0"/>
              <w:adjustRightInd w:val="0"/>
              <w:rPr>
                <w:sz w:val="20"/>
                <w:szCs w:val="20"/>
              </w:rPr>
            </w:pPr>
          </w:p>
        </w:tc>
        <w:tc>
          <w:tcPr>
            <w:tcW w:w="1866" w:type="dxa"/>
          </w:tcPr>
          <w:p w:rsidR="00534BB4" w:rsidRPr="00A93207" w:rsidRDefault="00534BB4" w:rsidP="00152865">
            <w:pPr>
              <w:autoSpaceDE w:val="0"/>
              <w:autoSpaceDN w:val="0"/>
              <w:adjustRightInd w:val="0"/>
              <w:rPr>
                <w:sz w:val="20"/>
                <w:szCs w:val="20"/>
              </w:rPr>
            </w:pPr>
            <w:proofErr w:type="spellStart"/>
            <w:r>
              <w:rPr>
                <w:sz w:val="20"/>
                <w:szCs w:val="20"/>
              </w:rPr>
              <w:t>Hb</w:t>
            </w:r>
            <w:proofErr w:type="spellEnd"/>
            <w:r>
              <w:rPr>
                <w:sz w:val="20"/>
                <w:szCs w:val="20"/>
              </w:rPr>
              <w:t xml:space="preserve">↓, </w:t>
            </w:r>
            <w:proofErr w:type="spellStart"/>
            <w:r>
              <w:rPr>
                <w:sz w:val="20"/>
                <w:szCs w:val="20"/>
              </w:rPr>
              <w:t>Hct</w:t>
            </w:r>
            <w:proofErr w:type="spellEnd"/>
            <w:r>
              <w:rPr>
                <w:sz w:val="20"/>
                <w:szCs w:val="20"/>
              </w:rPr>
              <w:t>↓</w:t>
            </w:r>
          </w:p>
        </w:tc>
        <w:tc>
          <w:tcPr>
            <w:tcW w:w="1843" w:type="dxa"/>
          </w:tcPr>
          <w:p w:rsidR="00534BB4" w:rsidRPr="00A93207" w:rsidRDefault="00534BB4" w:rsidP="00152865">
            <w:pPr>
              <w:autoSpaceDE w:val="0"/>
              <w:autoSpaceDN w:val="0"/>
              <w:adjustRightInd w:val="0"/>
              <w:rPr>
                <w:sz w:val="20"/>
                <w:szCs w:val="20"/>
              </w:rPr>
            </w:pPr>
          </w:p>
        </w:tc>
      </w:tr>
      <w:tr w:rsidR="00534BB4" w:rsidTr="002A418E">
        <w:tc>
          <w:tcPr>
            <w:tcW w:w="2268" w:type="dxa"/>
          </w:tcPr>
          <w:p w:rsidR="00534BB4" w:rsidRPr="00A93207" w:rsidRDefault="00534BB4" w:rsidP="00152865">
            <w:pPr>
              <w:autoSpaceDE w:val="0"/>
              <w:autoSpaceDN w:val="0"/>
              <w:adjustRightInd w:val="0"/>
              <w:rPr>
                <w:sz w:val="20"/>
                <w:szCs w:val="20"/>
              </w:rPr>
            </w:pPr>
            <w:r>
              <w:rPr>
                <w:sz w:val="20"/>
                <w:szCs w:val="20"/>
              </w:rPr>
              <w:t>AST↑, ALT↑, LDH↑</w:t>
            </w:r>
          </w:p>
        </w:tc>
        <w:tc>
          <w:tcPr>
            <w:tcW w:w="1961" w:type="dxa"/>
          </w:tcPr>
          <w:p w:rsidR="00534BB4" w:rsidRPr="00A93207" w:rsidRDefault="00534BB4" w:rsidP="00152865">
            <w:pPr>
              <w:autoSpaceDE w:val="0"/>
              <w:autoSpaceDN w:val="0"/>
              <w:adjustRightInd w:val="0"/>
              <w:rPr>
                <w:sz w:val="20"/>
                <w:szCs w:val="20"/>
              </w:rPr>
            </w:pPr>
            <w:r>
              <w:rPr>
                <w:sz w:val="20"/>
                <w:szCs w:val="20"/>
              </w:rPr>
              <w:t xml:space="preserve">Also ↑ at baseline </w:t>
            </w:r>
          </w:p>
        </w:tc>
        <w:tc>
          <w:tcPr>
            <w:tcW w:w="1866" w:type="dxa"/>
          </w:tcPr>
          <w:p w:rsidR="00534BB4" w:rsidRPr="00A93207" w:rsidRDefault="00534BB4" w:rsidP="00152865">
            <w:pPr>
              <w:autoSpaceDE w:val="0"/>
              <w:autoSpaceDN w:val="0"/>
              <w:adjustRightInd w:val="0"/>
              <w:rPr>
                <w:sz w:val="20"/>
                <w:szCs w:val="20"/>
              </w:rPr>
            </w:pPr>
          </w:p>
        </w:tc>
        <w:tc>
          <w:tcPr>
            <w:tcW w:w="1843" w:type="dxa"/>
          </w:tcPr>
          <w:p w:rsidR="00534BB4" w:rsidRPr="00A93207" w:rsidRDefault="00534BB4" w:rsidP="00152865">
            <w:pPr>
              <w:autoSpaceDE w:val="0"/>
              <w:autoSpaceDN w:val="0"/>
              <w:adjustRightInd w:val="0"/>
              <w:rPr>
                <w:sz w:val="20"/>
                <w:szCs w:val="20"/>
              </w:rPr>
            </w:pPr>
          </w:p>
        </w:tc>
      </w:tr>
      <w:tr w:rsidR="00534BB4" w:rsidTr="002A418E">
        <w:tc>
          <w:tcPr>
            <w:tcW w:w="2268" w:type="dxa"/>
          </w:tcPr>
          <w:p w:rsidR="00534BB4" w:rsidRPr="00A93207" w:rsidRDefault="00534BB4" w:rsidP="00152865">
            <w:pPr>
              <w:autoSpaceDE w:val="0"/>
              <w:autoSpaceDN w:val="0"/>
              <w:adjustRightInd w:val="0"/>
              <w:rPr>
                <w:sz w:val="20"/>
                <w:szCs w:val="20"/>
              </w:rPr>
            </w:pPr>
            <w:r>
              <w:rPr>
                <w:sz w:val="20"/>
                <w:szCs w:val="20"/>
              </w:rPr>
              <w:t>glucose↑</w:t>
            </w:r>
          </w:p>
        </w:tc>
        <w:tc>
          <w:tcPr>
            <w:tcW w:w="1961" w:type="dxa"/>
          </w:tcPr>
          <w:p w:rsidR="00534BB4" w:rsidRPr="00A93207" w:rsidRDefault="00534BB4" w:rsidP="00152865">
            <w:pPr>
              <w:autoSpaceDE w:val="0"/>
              <w:autoSpaceDN w:val="0"/>
              <w:adjustRightInd w:val="0"/>
              <w:rPr>
                <w:sz w:val="20"/>
                <w:szCs w:val="20"/>
              </w:rPr>
            </w:pPr>
            <w:r>
              <w:rPr>
                <w:sz w:val="20"/>
                <w:szCs w:val="20"/>
              </w:rPr>
              <w:t xml:space="preserve">Also ↑ at baseline </w:t>
            </w:r>
          </w:p>
        </w:tc>
        <w:tc>
          <w:tcPr>
            <w:tcW w:w="1866" w:type="dxa"/>
          </w:tcPr>
          <w:p w:rsidR="00534BB4" w:rsidRPr="00A93207" w:rsidRDefault="00534BB4" w:rsidP="00152865">
            <w:pPr>
              <w:autoSpaceDE w:val="0"/>
              <w:autoSpaceDN w:val="0"/>
              <w:adjustRightInd w:val="0"/>
              <w:rPr>
                <w:sz w:val="20"/>
                <w:szCs w:val="20"/>
              </w:rPr>
            </w:pPr>
          </w:p>
        </w:tc>
        <w:tc>
          <w:tcPr>
            <w:tcW w:w="1843" w:type="dxa"/>
          </w:tcPr>
          <w:p w:rsidR="00534BB4" w:rsidRPr="00A93207" w:rsidRDefault="00534BB4" w:rsidP="00152865">
            <w:pPr>
              <w:autoSpaceDE w:val="0"/>
              <w:autoSpaceDN w:val="0"/>
              <w:adjustRightInd w:val="0"/>
              <w:rPr>
                <w:sz w:val="20"/>
                <w:szCs w:val="20"/>
              </w:rPr>
            </w:pPr>
          </w:p>
        </w:tc>
      </w:tr>
      <w:tr w:rsidR="00534BB4" w:rsidTr="002A418E">
        <w:tc>
          <w:tcPr>
            <w:tcW w:w="2268" w:type="dxa"/>
          </w:tcPr>
          <w:p w:rsidR="00534BB4" w:rsidRPr="00A93207" w:rsidRDefault="00534BB4" w:rsidP="00152865">
            <w:pPr>
              <w:autoSpaceDE w:val="0"/>
              <w:autoSpaceDN w:val="0"/>
              <w:adjustRightInd w:val="0"/>
              <w:rPr>
                <w:sz w:val="20"/>
                <w:szCs w:val="20"/>
              </w:rPr>
            </w:pPr>
            <w:r>
              <w:rPr>
                <w:sz w:val="20"/>
                <w:szCs w:val="20"/>
              </w:rPr>
              <w:t>Uric acid↑</w:t>
            </w:r>
          </w:p>
        </w:tc>
        <w:tc>
          <w:tcPr>
            <w:tcW w:w="1961" w:type="dxa"/>
          </w:tcPr>
          <w:p w:rsidR="00534BB4" w:rsidRPr="00A93207" w:rsidRDefault="00534BB4" w:rsidP="00152865">
            <w:pPr>
              <w:autoSpaceDE w:val="0"/>
              <w:autoSpaceDN w:val="0"/>
              <w:adjustRightInd w:val="0"/>
              <w:rPr>
                <w:sz w:val="20"/>
                <w:szCs w:val="20"/>
              </w:rPr>
            </w:pPr>
          </w:p>
        </w:tc>
        <w:tc>
          <w:tcPr>
            <w:tcW w:w="1866" w:type="dxa"/>
          </w:tcPr>
          <w:p w:rsidR="00534BB4" w:rsidRPr="00A93207" w:rsidRDefault="00534BB4" w:rsidP="00152865">
            <w:pPr>
              <w:autoSpaceDE w:val="0"/>
              <w:autoSpaceDN w:val="0"/>
              <w:adjustRightInd w:val="0"/>
              <w:rPr>
                <w:sz w:val="20"/>
                <w:szCs w:val="20"/>
              </w:rPr>
            </w:pPr>
          </w:p>
        </w:tc>
        <w:tc>
          <w:tcPr>
            <w:tcW w:w="1843" w:type="dxa"/>
          </w:tcPr>
          <w:p w:rsidR="00534BB4" w:rsidRPr="00A93207" w:rsidRDefault="00534BB4" w:rsidP="00152865">
            <w:pPr>
              <w:autoSpaceDE w:val="0"/>
              <w:autoSpaceDN w:val="0"/>
              <w:adjustRightInd w:val="0"/>
              <w:rPr>
                <w:sz w:val="20"/>
                <w:szCs w:val="20"/>
              </w:rPr>
            </w:pPr>
          </w:p>
        </w:tc>
      </w:tr>
      <w:tr w:rsidR="00534BB4" w:rsidTr="002A418E">
        <w:tc>
          <w:tcPr>
            <w:tcW w:w="2268" w:type="dxa"/>
          </w:tcPr>
          <w:p w:rsidR="00534BB4" w:rsidRPr="00A93207" w:rsidRDefault="00534BB4" w:rsidP="00152865">
            <w:pPr>
              <w:autoSpaceDE w:val="0"/>
              <w:autoSpaceDN w:val="0"/>
              <w:adjustRightInd w:val="0"/>
              <w:rPr>
                <w:sz w:val="20"/>
                <w:szCs w:val="20"/>
              </w:rPr>
            </w:pPr>
            <w:r>
              <w:rPr>
                <w:sz w:val="20"/>
                <w:szCs w:val="20"/>
              </w:rPr>
              <w:t xml:space="preserve">AST↑ </w:t>
            </w:r>
          </w:p>
        </w:tc>
        <w:tc>
          <w:tcPr>
            <w:tcW w:w="1961" w:type="dxa"/>
          </w:tcPr>
          <w:p w:rsidR="00534BB4" w:rsidRPr="00A93207" w:rsidRDefault="00534BB4" w:rsidP="00152865">
            <w:pPr>
              <w:autoSpaceDE w:val="0"/>
              <w:autoSpaceDN w:val="0"/>
              <w:adjustRightInd w:val="0"/>
              <w:rPr>
                <w:sz w:val="20"/>
                <w:szCs w:val="20"/>
              </w:rPr>
            </w:pPr>
          </w:p>
        </w:tc>
        <w:tc>
          <w:tcPr>
            <w:tcW w:w="1866" w:type="dxa"/>
          </w:tcPr>
          <w:p w:rsidR="00534BB4" w:rsidRPr="00A93207" w:rsidRDefault="00534BB4" w:rsidP="00152865">
            <w:pPr>
              <w:autoSpaceDE w:val="0"/>
              <w:autoSpaceDN w:val="0"/>
              <w:adjustRightInd w:val="0"/>
              <w:rPr>
                <w:sz w:val="20"/>
                <w:szCs w:val="20"/>
              </w:rPr>
            </w:pPr>
          </w:p>
        </w:tc>
        <w:tc>
          <w:tcPr>
            <w:tcW w:w="1843" w:type="dxa"/>
          </w:tcPr>
          <w:p w:rsidR="00534BB4" w:rsidRPr="00A93207" w:rsidRDefault="00534BB4" w:rsidP="00152865">
            <w:pPr>
              <w:autoSpaceDE w:val="0"/>
              <w:autoSpaceDN w:val="0"/>
              <w:adjustRightInd w:val="0"/>
              <w:rPr>
                <w:sz w:val="20"/>
                <w:szCs w:val="20"/>
              </w:rPr>
            </w:pPr>
          </w:p>
        </w:tc>
      </w:tr>
    </w:tbl>
    <w:p w:rsidR="00534BB4" w:rsidRDefault="00715772" w:rsidP="0010152A">
      <w:pPr>
        <w:pStyle w:val="Heading3"/>
      </w:pPr>
      <w:bookmarkStart w:id="172" w:name="_Toc241374326"/>
      <w:bookmarkStart w:id="173" w:name="_Ref272333048"/>
      <w:bookmarkStart w:id="174" w:name="_Toc272414679"/>
      <w:bookmarkStart w:id="175" w:name="_Toc273018242"/>
      <w:bookmarkStart w:id="176" w:name="_Toc348527502"/>
      <w:bookmarkStart w:id="177" w:name="_Toc366439587"/>
      <w:proofErr w:type="spellStart"/>
      <w:r>
        <w:lastRenderedPageBreak/>
        <w:t>Postmarketing</w:t>
      </w:r>
      <w:proofErr w:type="spellEnd"/>
      <w:r>
        <w:t xml:space="preserve"> e</w:t>
      </w:r>
      <w:r w:rsidR="0010152A">
        <w:t>xperience</w:t>
      </w:r>
      <w:bookmarkEnd w:id="172"/>
      <w:bookmarkEnd w:id="173"/>
      <w:bookmarkEnd w:id="174"/>
      <w:bookmarkEnd w:id="175"/>
      <w:bookmarkEnd w:id="176"/>
      <w:bookmarkEnd w:id="177"/>
    </w:p>
    <w:p w:rsidR="00534BB4" w:rsidRDefault="00534BB4" w:rsidP="00534BB4">
      <w:pPr>
        <w:autoSpaceDE w:val="0"/>
        <w:autoSpaceDN w:val="0"/>
        <w:adjustRightInd w:val="0"/>
      </w:pPr>
      <w:r w:rsidRPr="00966F63">
        <w:rPr>
          <w:i/>
        </w:rPr>
        <w:t>Safety Summary Reports</w:t>
      </w:r>
      <w:r>
        <w:t xml:space="preserve"> for Periostat, covering the period 1 Jan</w:t>
      </w:r>
      <w:r w:rsidR="0010152A">
        <w:t>uary</w:t>
      </w:r>
      <w:r>
        <w:t xml:space="preserve"> 1999 to 1 Feb</w:t>
      </w:r>
      <w:r w:rsidR="0010152A">
        <w:t>ruary</w:t>
      </w:r>
      <w:r>
        <w:t xml:space="preserve"> 2005, were included in the dossier, as was a </w:t>
      </w:r>
      <w:r w:rsidRPr="00966F63">
        <w:rPr>
          <w:i/>
        </w:rPr>
        <w:t>NDA 50-805 Safety</w:t>
      </w:r>
      <w:r w:rsidRPr="00A95AC2">
        <w:rPr>
          <w:i/>
        </w:rPr>
        <w:t xml:space="preserve"> Update Report</w:t>
      </w:r>
      <w:r>
        <w:t xml:space="preserve"> for Oracea, dated 17 March 2006 (covering the period 2 Feb</w:t>
      </w:r>
      <w:r w:rsidR="0010152A">
        <w:t>ruary</w:t>
      </w:r>
      <w:r>
        <w:t xml:space="preserve"> to 1 May 2005), which did not relate to post-marketing experience. </w:t>
      </w:r>
      <w:r w:rsidR="0010152A">
        <w:t xml:space="preserve">The evaluator </w:t>
      </w:r>
      <w:r>
        <w:t>considered these reports irrelevant.</w:t>
      </w:r>
    </w:p>
    <w:p w:rsidR="00534BB4" w:rsidRDefault="00534BB4" w:rsidP="00534BB4">
      <w:pPr>
        <w:autoSpaceDE w:val="0"/>
        <w:autoSpaceDN w:val="0"/>
        <w:adjustRightInd w:val="0"/>
      </w:pPr>
      <w:r>
        <w:t xml:space="preserve">Also included was </w:t>
      </w:r>
      <w:r w:rsidRPr="00A95AC2">
        <w:rPr>
          <w:i/>
        </w:rPr>
        <w:t>Periodic Safety Update Report No. 1 for Doxycycline Products</w:t>
      </w:r>
      <w:r>
        <w:t>, dated 27 Jul</w:t>
      </w:r>
      <w:r w:rsidR="0010152A">
        <w:t>y</w:t>
      </w:r>
      <w:r>
        <w:t xml:space="preserve"> 2009 (covering the period 25 Apr</w:t>
      </w:r>
      <w:r w:rsidR="0010152A">
        <w:t>il</w:t>
      </w:r>
      <w:r>
        <w:t xml:space="preserve"> 2008 to 31 May 2009). </w:t>
      </w:r>
      <w:r w:rsidR="0010152A">
        <w:t>[</w:t>
      </w:r>
      <w:proofErr w:type="gramStart"/>
      <w:r w:rsidR="0010152A">
        <w:t>information</w:t>
      </w:r>
      <w:proofErr w:type="gramEnd"/>
      <w:r w:rsidR="0010152A">
        <w:t xml:space="preserve"> redacted].</w:t>
      </w:r>
      <w:r>
        <w:t xml:space="preserve"> In a table headed "All Medically Confirmed Reactions", the following reports related to cases in which it was stated that the patient had been treated with Oracea or "doxycycline capsules 40 mg daily":</w:t>
      </w:r>
    </w:p>
    <w:p w:rsidR="00534BB4" w:rsidRDefault="0010152A" w:rsidP="00850EE2">
      <w:pPr>
        <w:pStyle w:val="TableTitle"/>
      </w:pPr>
      <w:proofErr w:type="gramStart"/>
      <w:r>
        <w:t>Table 2</w:t>
      </w:r>
      <w:r w:rsidR="00D42840">
        <w:t>8</w:t>
      </w:r>
      <w:r>
        <w:t>.</w:t>
      </w:r>
      <w:proofErr w:type="gramEnd"/>
      <w:r>
        <w:t xml:space="preserve"> </w:t>
      </w:r>
      <w:r w:rsidRPr="0010152A">
        <w:t>All Medically Confirmed Reactions</w:t>
      </w:r>
    </w:p>
    <w:tbl>
      <w:tblPr>
        <w:tblStyle w:val="TableGrid"/>
        <w:tblW w:w="0" w:type="auto"/>
        <w:tblInd w:w="392" w:type="dxa"/>
        <w:tblLook w:val="04A0"/>
      </w:tblPr>
      <w:tblGrid>
        <w:gridCol w:w="3969"/>
        <w:gridCol w:w="4394"/>
      </w:tblGrid>
      <w:tr w:rsidR="00534BB4" w:rsidRPr="00EB146F" w:rsidTr="00850EE2">
        <w:trPr>
          <w:tblHeader/>
        </w:trPr>
        <w:tc>
          <w:tcPr>
            <w:tcW w:w="3969" w:type="dxa"/>
            <w:shd w:val="clear" w:color="auto" w:fill="0070C0"/>
          </w:tcPr>
          <w:p w:rsidR="00534BB4" w:rsidRPr="0010152A" w:rsidRDefault="00534BB4" w:rsidP="00152865">
            <w:pPr>
              <w:autoSpaceDE w:val="0"/>
              <w:autoSpaceDN w:val="0"/>
              <w:adjustRightInd w:val="0"/>
              <w:rPr>
                <w:b/>
                <w:color w:val="FFFFFF" w:themeColor="background1"/>
                <w:sz w:val="20"/>
                <w:szCs w:val="20"/>
              </w:rPr>
            </w:pPr>
            <w:r w:rsidRPr="0010152A">
              <w:rPr>
                <w:b/>
                <w:color w:val="FFFFFF" w:themeColor="background1"/>
                <w:sz w:val="20"/>
                <w:szCs w:val="20"/>
              </w:rPr>
              <w:t>Description of AE</w:t>
            </w:r>
          </w:p>
        </w:tc>
        <w:tc>
          <w:tcPr>
            <w:tcW w:w="4394" w:type="dxa"/>
            <w:shd w:val="clear" w:color="auto" w:fill="0070C0"/>
          </w:tcPr>
          <w:p w:rsidR="00534BB4" w:rsidRPr="0010152A" w:rsidRDefault="00534BB4" w:rsidP="00152865">
            <w:pPr>
              <w:autoSpaceDE w:val="0"/>
              <w:autoSpaceDN w:val="0"/>
              <w:adjustRightInd w:val="0"/>
              <w:rPr>
                <w:b/>
                <w:color w:val="FFFFFF" w:themeColor="background1"/>
                <w:sz w:val="20"/>
                <w:szCs w:val="20"/>
              </w:rPr>
            </w:pPr>
            <w:r w:rsidRPr="0010152A">
              <w:rPr>
                <w:b/>
                <w:color w:val="FFFFFF" w:themeColor="background1"/>
                <w:sz w:val="20"/>
                <w:szCs w:val="20"/>
              </w:rPr>
              <w:t>Comment</w:t>
            </w:r>
          </w:p>
        </w:tc>
      </w:tr>
      <w:tr w:rsidR="00534BB4" w:rsidTr="00D42840">
        <w:tc>
          <w:tcPr>
            <w:tcW w:w="3969" w:type="dxa"/>
          </w:tcPr>
          <w:p w:rsidR="00534BB4" w:rsidRPr="00EB146F" w:rsidRDefault="00534BB4" w:rsidP="00152865">
            <w:pPr>
              <w:autoSpaceDE w:val="0"/>
              <w:autoSpaceDN w:val="0"/>
              <w:adjustRightInd w:val="0"/>
              <w:rPr>
                <w:sz w:val="20"/>
                <w:szCs w:val="20"/>
              </w:rPr>
            </w:pPr>
            <w:r w:rsidRPr="00EB146F">
              <w:rPr>
                <w:sz w:val="20"/>
                <w:szCs w:val="20"/>
              </w:rPr>
              <w:t>hearing loss</w:t>
            </w:r>
          </w:p>
        </w:tc>
        <w:tc>
          <w:tcPr>
            <w:tcW w:w="4394" w:type="dxa"/>
          </w:tcPr>
          <w:p w:rsidR="00534BB4" w:rsidRDefault="00534BB4" w:rsidP="00152865">
            <w:pPr>
              <w:autoSpaceDE w:val="0"/>
              <w:autoSpaceDN w:val="0"/>
              <w:adjustRightInd w:val="0"/>
              <w:rPr>
                <w:sz w:val="20"/>
                <w:szCs w:val="20"/>
              </w:rPr>
            </w:pP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ocular hyperaemia</w:t>
            </w:r>
          </w:p>
        </w:tc>
        <w:tc>
          <w:tcPr>
            <w:tcW w:w="4394" w:type="dxa"/>
          </w:tcPr>
          <w:p w:rsidR="00534BB4" w:rsidRDefault="00534BB4" w:rsidP="00152865">
            <w:pPr>
              <w:autoSpaceDE w:val="0"/>
              <w:autoSpaceDN w:val="0"/>
              <w:adjustRightInd w:val="0"/>
              <w:rPr>
                <w:sz w:val="20"/>
                <w:szCs w:val="20"/>
              </w:rPr>
            </w:pPr>
            <w:r>
              <w:rPr>
                <w:sz w:val="20"/>
                <w:szCs w:val="20"/>
              </w:rPr>
              <w:t xml:space="preserve">Onset after few </w:t>
            </w:r>
            <w:proofErr w:type="gramStart"/>
            <w:r>
              <w:rPr>
                <w:sz w:val="20"/>
                <w:szCs w:val="20"/>
              </w:rPr>
              <w:t>days</w:t>
            </w:r>
            <w:proofErr w:type="gramEnd"/>
            <w:r>
              <w:rPr>
                <w:sz w:val="20"/>
                <w:szCs w:val="20"/>
              </w:rPr>
              <w:t xml:space="preserve"> treatment. Positive rechallenge</w:t>
            </w: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dyspepsia</w:t>
            </w:r>
          </w:p>
        </w:tc>
        <w:tc>
          <w:tcPr>
            <w:tcW w:w="4394" w:type="dxa"/>
          </w:tcPr>
          <w:p w:rsidR="00534BB4" w:rsidRDefault="00534BB4" w:rsidP="00152865">
            <w:pPr>
              <w:autoSpaceDE w:val="0"/>
              <w:autoSpaceDN w:val="0"/>
              <w:adjustRightInd w:val="0"/>
              <w:rPr>
                <w:sz w:val="20"/>
                <w:szCs w:val="20"/>
              </w:rPr>
            </w:pPr>
            <w:r>
              <w:rPr>
                <w:sz w:val="20"/>
                <w:szCs w:val="20"/>
              </w:rPr>
              <w:t>Resolved 2 days after stopping Oracea</w:t>
            </w:r>
          </w:p>
        </w:tc>
      </w:tr>
      <w:tr w:rsidR="00534BB4" w:rsidTr="00D42840">
        <w:tc>
          <w:tcPr>
            <w:tcW w:w="3969" w:type="dxa"/>
          </w:tcPr>
          <w:p w:rsidR="00534BB4" w:rsidRDefault="00534BB4" w:rsidP="00152865">
            <w:pPr>
              <w:autoSpaceDE w:val="0"/>
              <w:autoSpaceDN w:val="0"/>
              <w:adjustRightInd w:val="0"/>
              <w:rPr>
                <w:sz w:val="20"/>
                <w:szCs w:val="20"/>
              </w:rPr>
            </w:pPr>
            <w:proofErr w:type="spellStart"/>
            <w:r w:rsidRPr="00EB146F">
              <w:rPr>
                <w:sz w:val="20"/>
                <w:szCs w:val="20"/>
              </w:rPr>
              <w:t>pseudomembranous</w:t>
            </w:r>
            <w:proofErr w:type="spellEnd"/>
            <w:r w:rsidRPr="00EB146F">
              <w:rPr>
                <w:sz w:val="20"/>
                <w:szCs w:val="20"/>
              </w:rPr>
              <w:t xml:space="preserve"> colitis recurrence</w:t>
            </w:r>
          </w:p>
        </w:tc>
        <w:tc>
          <w:tcPr>
            <w:tcW w:w="4394" w:type="dxa"/>
          </w:tcPr>
          <w:p w:rsidR="00534BB4" w:rsidRDefault="00534BB4" w:rsidP="00152865">
            <w:pPr>
              <w:autoSpaceDE w:val="0"/>
              <w:autoSpaceDN w:val="0"/>
              <w:adjustRightInd w:val="0"/>
              <w:rPr>
                <w:sz w:val="20"/>
                <w:szCs w:val="20"/>
              </w:rPr>
            </w:pPr>
            <w:r w:rsidRPr="00EB146F">
              <w:rPr>
                <w:sz w:val="20"/>
                <w:szCs w:val="20"/>
              </w:rPr>
              <w:t xml:space="preserve">Clostridium </w:t>
            </w:r>
            <w:proofErr w:type="spellStart"/>
            <w:r w:rsidRPr="00EB146F">
              <w:rPr>
                <w:sz w:val="20"/>
                <w:szCs w:val="20"/>
              </w:rPr>
              <w:t>difficile</w:t>
            </w:r>
            <w:proofErr w:type="spellEnd"/>
            <w:r>
              <w:rPr>
                <w:sz w:val="20"/>
                <w:szCs w:val="20"/>
              </w:rPr>
              <w:t xml:space="preserve"> cultured from stool</w:t>
            </w:r>
          </w:p>
        </w:tc>
      </w:tr>
      <w:tr w:rsidR="00534BB4" w:rsidTr="00D42840">
        <w:tc>
          <w:tcPr>
            <w:tcW w:w="3969" w:type="dxa"/>
          </w:tcPr>
          <w:p w:rsidR="00534BB4" w:rsidRDefault="00534BB4" w:rsidP="00152865">
            <w:pPr>
              <w:autoSpaceDE w:val="0"/>
              <w:autoSpaceDN w:val="0"/>
              <w:adjustRightInd w:val="0"/>
              <w:rPr>
                <w:sz w:val="20"/>
                <w:szCs w:val="20"/>
              </w:rPr>
            </w:pPr>
            <w:proofErr w:type="spellStart"/>
            <w:r w:rsidRPr="00EB146F">
              <w:rPr>
                <w:sz w:val="20"/>
                <w:szCs w:val="20"/>
              </w:rPr>
              <w:t>onychomycosis</w:t>
            </w:r>
            <w:proofErr w:type="spellEnd"/>
          </w:p>
        </w:tc>
        <w:tc>
          <w:tcPr>
            <w:tcW w:w="4394" w:type="dxa"/>
          </w:tcPr>
          <w:p w:rsidR="00534BB4" w:rsidRDefault="00534BB4" w:rsidP="00152865">
            <w:pPr>
              <w:autoSpaceDE w:val="0"/>
              <w:autoSpaceDN w:val="0"/>
              <w:adjustRightInd w:val="0"/>
              <w:rPr>
                <w:sz w:val="20"/>
                <w:szCs w:val="20"/>
              </w:rPr>
            </w:pP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UTI</w:t>
            </w:r>
          </w:p>
        </w:tc>
        <w:tc>
          <w:tcPr>
            <w:tcW w:w="4394" w:type="dxa"/>
          </w:tcPr>
          <w:p w:rsidR="00534BB4" w:rsidRDefault="00534BB4" w:rsidP="00152865">
            <w:pPr>
              <w:autoSpaceDE w:val="0"/>
              <w:autoSpaceDN w:val="0"/>
              <w:adjustRightInd w:val="0"/>
              <w:rPr>
                <w:sz w:val="20"/>
                <w:szCs w:val="20"/>
              </w:rPr>
            </w:pPr>
            <w:r>
              <w:rPr>
                <w:sz w:val="20"/>
                <w:szCs w:val="20"/>
              </w:rPr>
              <w:t>Treating physician believed unrelated to Oracea</w:t>
            </w: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 xml:space="preserve">Clostridium </w:t>
            </w:r>
            <w:proofErr w:type="spellStart"/>
            <w:r w:rsidRPr="00EB146F">
              <w:rPr>
                <w:sz w:val="20"/>
                <w:szCs w:val="20"/>
              </w:rPr>
              <w:t>difficile</w:t>
            </w:r>
            <w:proofErr w:type="spellEnd"/>
            <w:r w:rsidRPr="00EB146F">
              <w:rPr>
                <w:sz w:val="20"/>
                <w:szCs w:val="20"/>
              </w:rPr>
              <w:t xml:space="preserve"> colitis</w:t>
            </w:r>
          </w:p>
        </w:tc>
        <w:tc>
          <w:tcPr>
            <w:tcW w:w="4394" w:type="dxa"/>
          </w:tcPr>
          <w:p w:rsidR="00534BB4" w:rsidRDefault="00534BB4" w:rsidP="00152865">
            <w:pPr>
              <w:autoSpaceDE w:val="0"/>
              <w:autoSpaceDN w:val="0"/>
              <w:adjustRightInd w:val="0"/>
              <w:rPr>
                <w:sz w:val="20"/>
                <w:szCs w:val="20"/>
              </w:rPr>
            </w:pP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rectal injury</w:t>
            </w:r>
          </w:p>
        </w:tc>
        <w:tc>
          <w:tcPr>
            <w:tcW w:w="4394" w:type="dxa"/>
          </w:tcPr>
          <w:p w:rsidR="00534BB4" w:rsidRDefault="00534BB4" w:rsidP="00152865">
            <w:pPr>
              <w:autoSpaceDE w:val="0"/>
              <w:autoSpaceDN w:val="0"/>
              <w:adjustRightInd w:val="0"/>
              <w:rPr>
                <w:sz w:val="20"/>
                <w:szCs w:val="20"/>
              </w:rPr>
            </w:pP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arthralgia</w:t>
            </w:r>
          </w:p>
        </w:tc>
        <w:tc>
          <w:tcPr>
            <w:tcW w:w="4394" w:type="dxa"/>
          </w:tcPr>
          <w:p w:rsidR="00534BB4" w:rsidRDefault="00534BB4" w:rsidP="00152865">
            <w:pPr>
              <w:autoSpaceDE w:val="0"/>
              <w:autoSpaceDN w:val="0"/>
              <w:adjustRightInd w:val="0"/>
              <w:rPr>
                <w:sz w:val="20"/>
                <w:szCs w:val="20"/>
              </w:rPr>
            </w:pP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myalgia</w:t>
            </w:r>
          </w:p>
        </w:tc>
        <w:tc>
          <w:tcPr>
            <w:tcW w:w="4394" w:type="dxa"/>
          </w:tcPr>
          <w:p w:rsidR="00534BB4" w:rsidRDefault="00534BB4" w:rsidP="00152865">
            <w:pPr>
              <w:autoSpaceDE w:val="0"/>
              <w:autoSpaceDN w:val="0"/>
              <w:adjustRightInd w:val="0"/>
              <w:rPr>
                <w:sz w:val="20"/>
                <w:szCs w:val="20"/>
              </w:rPr>
            </w:pPr>
            <w:r>
              <w:rPr>
                <w:sz w:val="20"/>
                <w:szCs w:val="20"/>
              </w:rPr>
              <w:t>Onset about 3 weeks after starting Oracea</w:t>
            </w: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headache</w:t>
            </w:r>
          </w:p>
        </w:tc>
        <w:tc>
          <w:tcPr>
            <w:tcW w:w="4394" w:type="dxa"/>
          </w:tcPr>
          <w:p w:rsidR="00534BB4" w:rsidRDefault="00534BB4" w:rsidP="00152865">
            <w:pPr>
              <w:autoSpaceDE w:val="0"/>
              <w:autoSpaceDN w:val="0"/>
              <w:adjustRightInd w:val="0"/>
              <w:rPr>
                <w:sz w:val="20"/>
                <w:szCs w:val="20"/>
              </w:rPr>
            </w:pP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benign intracranial hypertension</w:t>
            </w:r>
          </w:p>
        </w:tc>
        <w:tc>
          <w:tcPr>
            <w:tcW w:w="4394" w:type="dxa"/>
          </w:tcPr>
          <w:p w:rsidR="00534BB4" w:rsidRDefault="00534BB4" w:rsidP="00152865">
            <w:pPr>
              <w:autoSpaceDE w:val="0"/>
              <w:autoSpaceDN w:val="0"/>
              <w:adjustRightInd w:val="0"/>
              <w:rPr>
                <w:sz w:val="20"/>
                <w:szCs w:val="20"/>
              </w:rPr>
            </w:pPr>
            <w:r>
              <w:rPr>
                <w:sz w:val="20"/>
                <w:szCs w:val="20"/>
              </w:rPr>
              <w:t>Onset about 19 weeks after starting Oracea</w:t>
            </w: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headache</w:t>
            </w:r>
          </w:p>
        </w:tc>
        <w:tc>
          <w:tcPr>
            <w:tcW w:w="4394" w:type="dxa"/>
          </w:tcPr>
          <w:p w:rsidR="00534BB4" w:rsidRDefault="00534BB4" w:rsidP="00152865">
            <w:pPr>
              <w:autoSpaceDE w:val="0"/>
              <w:autoSpaceDN w:val="0"/>
              <w:adjustRightInd w:val="0"/>
              <w:rPr>
                <w:sz w:val="20"/>
                <w:szCs w:val="20"/>
              </w:rPr>
            </w:pP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migraine</w:t>
            </w:r>
          </w:p>
        </w:tc>
        <w:tc>
          <w:tcPr>
            <w:tcW w:w="4394" w:type="dxa"/>
          </w:tcPr>
          <w:p w:rsidR="00534BB4" w:rsidRDefault="00534BB4" w:rsidP="00152865">
            <w:pPr>
              <w:autoSpaceDE w:val="0"/>
              <w:autoSpaceDN w:val="0"/>
              <w:adjustRightInd w:val="0"/>
              <w:rPr>
                <w:sz w:val="20"/>
                <w:szCs w:val="20"/>
              </w:rPr>
            </w:pPr>
            <w:r>
              <w:rPr>
                <w:sz w:val="20"/>
                <w:szCs w:val="20"/>
              </w:rPr>
              <w:t>Patient on multiple drugs</w:t>
            </w:r>
          </w:p>
        </w:tc>
      </w:tr>
      <w:tr w:rsidR="00534BB4" w:rsidTr="00D42840">
        <w:tc>
          <w:tcPr>
            <w:tcW w:w="3969" w:type="dxa"/>
          </w:tcPr>
          <w:p w:rsidR="00534BB4" w:rsidRPr="00EB146F" w:rsidRDefault="00534BB4" w:rsidP="00152865">
            <w:pPr>
              <w:autoSpaceDE w:val="0"/>
              <w:autoSpaceDN w:val="0"/>
              <w:adjustRightInd w:val="0"/>
              <w:rPr>
                <w:sz w:val="20"/>
                <w:szCs w:val="20"/>
              </w:rPr>
            </w:pPr>
            <w:r w:rsidRPr="00EB146F">
              <w:rPr>
                <w:sz w:val="20"/>
                <w:szCs w:val="20"/>
              </w:rPr>
              <w:t>confusional state</w:t>
            </w:r>
          </w:p>
        </w:tc>
        <w:tc>
          <w:tcPr>
            <w:tcW w:w="4394" w:type="dxa"/>
          </w:tcPr>
          <w:p w:rsidR="00534BB4" w:rsidRDefault="00534BB4" w:rsidP="00152865">
            <w:pPr>
              <w:autoSpaceDE w:val="0"/>
              <w:autoSpaceDN w:val="0"/>
              <w:adjustRightInd w:val="0"/>
              <w:rPr>
                <w:sz w:val="20"/>
                <w:szCs w:val="20"/>
              </w:rPr>
            </w:pPr>
            <w:r>
              <w:rPr>
                <w:sz w:val="20"/>
                <w:szCs w:val="20"/>
              </w:rPr>
              <w:t>Onset day after starting Oracea.</w:t>
            </w: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dyspnoea</w:t>
            </w:r>
          </w:p>
        </w:tc>
        <w:tc>
          <w:tcPr>
            <w:tcW w:w="4394" w:type="dxa"/>
          </w:tcPr>
          <w:p w:rsidR="00534BB4" w:rsidRDefault="00534BB4" w:rsidP="00152865">
            <w:pPr>
              <w:autoSpaceDE w:val="0"/>
              <w:autoSpaceDN w:val="0"/>
              <w:adjustRightInd w:val="0"/>
              <w:rPr>
                <w:sz w:val="20"/>
                <w:szCs w:val="20"/>
              </w:rPr>
            </w:pPr>
          </w:p>
        </w:tc>
      </w:tr>
      <w:tr w:rsidR="00534BB4" w:rsidTr="00D42840">
        <w:tc>
          <w:tcPr>
            <w:tcW w:w="3969" w:type="dxa"/>
          </w:tcPr>
          <w:p w:rsidR="00534BB4" w:rsidRDefault="00534BB4" w:rsidP="00152865">
            <w:pPr>
              <w:autoSpaceDE w:val="0"/>
              <w:autoSpaceDN w:val="0"/>
              <w:adjustRightInd w:val="0"/>
              <w:rPr>
                <w:sz w:val="20"/>
                <w:szCs w:val="20"/>
              </w:rPr>
            </w:pPr>
            <w:r w:rsidRPr="00EB146F">
              <w:rPr>
                <w:sz w:val="20"/>
                <w:szCs w:val="20"/>
              </w:rPr>
              <w:t>rash</w:t>
            </w:r>
          </w:p>
        </w:tc>
        <w:tc>
          <w:tcPr>
            <w:tcW w:w="4394" w:type="dxa"/>
          </w:tcPr>
          <w:p w:rsidR="00534BB4" w:rsidRDefault="00534BB4" w:rsidP="00152865">
            <w:pPr>
              <w:autoSpaceDE w:val="0"/>
              <w:autoSpaceDN w:val="0"/>
              <w:adjustRightInd w:val="0"/>
              <w:rPr>
                <w:sz w:val="20"/>
                <w:szCs w:val="20"/>
              </w:rPr>
            </w:pPr>
            <w:r>
              <w:rPr>
                <w:sz w:val="20"/>
                <w:szCs w:val="20"/>
              </w:rPr>
              <w:t>Onset 4 hours after starting Oracea.</w:t>
            </w:r>
          </w:p>
        </w:tc>
      </w:tr>
    </w:tbl>
    <w:p w:rsidR="00534BB4" w:rsidRDefault="00715772" w:rsidP="0010152A">
      <w:pPr>
        <w:pStyle w:val="Heading3"/>
      </w:pPr>
      <w:bookmarkStart w:id="178" w:name="_Ref272333005"/>
      <w:bookmarkStart w:id="179" w:name="_Toc272414680"/>
      <w:bookmarkStart w:id="180" w:name="_Toc273018243"/>
      <w:bookmarkStart w:id="181" w:name="_Toc348527503"/>
      <w:bookmarkStart w:id="182" w:name="_Toc366439588"/>
      <w:r>
        <w:t>Specific safety issues of regulatory i</w:t>
      </w:r>
      <w:r w:rsidR="0010152A">
        <w:t>mportance</w:t>
      </w:r>
      <w:bookmarkEnd w:id="178"/>
      <w:bookmarkEnd w:id="179"/>
      <w:bookmarkEnd w:id="180"/>
      <w:bookmarkEnd w:id="181"/>
      <w:bookmarkEnd w:id="182"/>
    </w:p>
    <w:p w:rsidR="00534BB4" w:rsidRDefault="00534BB4" w:rsidP="00534BB4">
      <w:pPr>
        <w:autoSpaceDE w:val="0"/>
        <w:autoSpaceDN w:val="0"/>
        <w:adjustRightInd w:val="0"/>
      </w:pPr>
      <w:r>
        <w:t xml:space="preserve">The principal safety issue relates to the question of whether long-term exposure to low dosage doxycycline might have an effect on resident </w:t>
      </w:r>
      <w:proofErr w:type="spellStart"/>
      <w:r>
        <w:t>microflora</w:t>
      </w:r>
      <w:proofErr w:type="spellEnd"/>
      <w:r>
        <w:t xml:space="preserve"> − such as induction of resistance, or increase in the risk of opportunistic infection such as yeasts.</w:t>
      </w:r>
    </w:p>
    <w:p w:rsidR="00534BB4" w:rsidRDefault="00534BB4" w:rsidP="00534BB4">
      <w:pPr>
        <w:autoSpaceDE w:val="0"/>
        <w:autoSpaceDN w:val="0"/>
        <w:adjustRightInd w:val="0"/>
      </w:pPr>
      <w:r>
        <w:lastRenderedPageBreak/>
        <w:t xml:space="preserve">See </w:t>
      </w:r>
      <w:r w:rsidR="0010152A">
        <w:t>discussions</w:t>
      </w:r>
      <w:r>
        <w:t xml:space="preserve"> above.</w:t>
      </w:r>
    </w:p>
    <w:p w:rsidR="00534BB4" w:rsidRDefault="00715772" w:rsidP="0010152A">
      <w:pPr>
        <w:pStyle w:val="Heading3"/>
      </w:pPr>
      <w:bookmarkStart w:id="183" w:name="_Toc272414686"/>
      <w:bookmarkStart w:id="184" w:name="_Ref273005527"/>
      <w:bookmarkStart w:id="185" w:name="_Toc273018249"/>
      <w:bookmarkStart w:id="186" w:name="_Toc348527504"/>
      <w:bookmarkStart w:id="187" w:name="_Toc366439589"/>
      <w:r>
        <w:t>Other safety i</w:t>
      </w:r>
      <w:r w:rsidR="0010152A">
        <w:t>ss</w:t>
      </w:r>
      <w:r w:rsidR="0010152A" w:rsidRPr="00324D05">
        <w:t>u</w:t>
      </w:r>
      <w:r w:rsidR="0010152A">
        <w:t>es</w:t>
      </w:r>
      <w:bookmarkEnd w:id="183"/>
      <w:bookmarkEnd w:id="184"/>
      <w:bookmarkEnd w:id="185"/>
      <w:bookmarkEnd w:id="186"/>
      <w:bookmarkEnd w:id="187"/>
    </w:p>
    <w:p w:rsidR="00534BB4" w:rsidRDefault="00534BB4" w:rsidP="00534BB4">
      <w:pPr>
        <w:autoSpaceDE w:val="0"/>
        <w:autoSpaceDN w:val="0"/>
        <w:adjustRightInd w:val="0"/>
      </w:pPr>
      <w:r>
        <w:t>Not applicable.</w:t>
      </w:r>
    </w:p>
    <w:p w:rsidR="00534BB4" w:rsidRDefault="00715772" w:rsidP="0010152A">
      <w:pPr>
        <w:pStyle w:val="Heading3"/>
      </w:pPr>
      <w:bookmarkStart w:id="188" w:name="_Toc241374328"/>
      <w:bookmarkStart w:id="189" w:name="_Toc272414691"/>
      <w:bookmarkStart w:id="190" w:name="_Toc273018254"/>
      <w:bookmarkStart w:id="191" w:name="_Toc348527505"/>
      <w:bookmarkStart w:id="192" w:name="_Toc366439590"/>
      <w:r>
        <w:t>Evaluator’s overall conclusions on clinical s</w:t>
      </w:r>
      <w:r w:rsidR="0010152A">
        <w:t>afety</w:t>
      </w:r>
      <w:bookmarkEnd w:id="188"/>
      <w:bookmarkEnd w:id="189"/>
      <w:bookmarkEnd w:id="190"/>
      <w:bookmarkEnd w:id="191"/>
      <w:bookmarkEnd w:id="192"/>
    </w:p>
    <w:p w:rsidR="00534BB4" w:rsidRDefault="00534BB4" w:rsidP="00534BB4">
      <w:pPr>
        <w:autoSpaceDE w:val="0"/>
        <w:autoSpaceDN w:val="0"/>
        <w:adjustRightInd w:val="0"/>
      </w:pPr>
      <w:r>
        <w:t xml:space="preserve">The safety data from studies 301 and 302 are of only ancillary value, for the reason given under </w:t>
      </w:r>
      <w:r w:rsidRPr="00A23E93">
        <w:rPr>
          <w:i/>
        </w:rPr>
        <w:t>Effect of food</w:t>
      </w:r>
      <w:r w:rsidRPr="00A23E93">
        <w:t xml:space="preserve"> </w:t>
      </w:r>
      <w:r>
        <w:t>above.</w:t>
      </w:r>
    </w:p>
    <w:p w:rsidR="00534BB4" w:rsidRDefault="00534BB4" w:rsidP="00534BB4">
      <w:pPr>
        <w:autoSpaceDE w:val="0"/>
        <w:autoSpaceDN w:val="0"/>
        <w:adjustRightInd w:val="0"/>
      </w:pPr>
      <w:r>
        <w:t>The safety data from the pivotal studies suggest that use of Oracea is associated with gastrointestinal AEs, and that the possibility of an effect on BP should be kept under review, but do not raise any major concern. Also, safety should be considered in the context of the long history of doxycycline use at dosages of 100 mg daily, often for months at a time (as an anti-malarial) − a fact which provides useful general safety reassurance.</w:t>
      </w:r>
    </w:p>
    <w:p w:rsidR="00534BB4" w:rsidRDefault="00534BB4" w:rsidP="00534BB4">
      <w:pPr>
        <w:autoSpaceDE w:val="0"/>
        <w:autoSpaceDN w:val="0"/>
        <w:adjustRightInd w:val="0"/>
        <w:spacing w:after="80"/>
      </w:pPr>
      <w:r>
        <w:t xml:space="preserve">Studies like that of Skidmore </w:t>
      </w:r>
      <w:r w:rsidR="00A23E93" w:rsidRPr="00A23E93">
        <w:rPr>
          <w:i/>
        </w:rPr>
        <w:t>et al.</w:t>
      </w:r>
      <w:r>
        <w:t xml:space="preserve"> (2003) can provide some reassurance in relation to the point desc</w:t>
      </w:r>
      <w:r w:rsidR="00324D05">
        <w:t>ribed at section 8.7 above. But</w:t>
      </w:r>
    </w:p>
    <w:p w:rsidR="00534BB4" w:rsidRDefault="00534BB4" w:rsidP="00E67B18">
      <w:pPr>
        <w:pStyle w:val="ListBullet"/>
      </w:pPr>
      <w:r>
        <w:t xml:space="preserve">the concept of attempting to identify a particular plasma concentration of an antibiotic, below which micro-organisms, </w:t>
      </w:r>
      <w:r w:rsidRPr="006906E9">
        <w:rPr>
          <w:b/>
        </w:rPr>
        <w:t>wherever they occur in the body</w:t>
      </w:r>
      <w:r w:rsidRPr="006906E9">
        <w:t>,</w:t>
      </w:r>
      <w:r>
        <w:t xml:space="preserve"> are not expected to be affected, is in </w:t>
      </w:r>
      <w:r w:rsidR="00A23E93">
        <w:t>the evaluator’s</w:t>
      </w:r>
      <w:r>
        <w:t xml:space="preserve"> opinion fundamentally flawed; and</w:t>
      </w:r>
    </w:p>
    <w:p w:rsidR="00534BB4" w:rsidRPr="00E67B18" w:rsidRDefault="00534BB4" w:rsidP="00E67B18">
      <w:pPr>
        <w:pStyle w:val="ListBullet"/>
      </w:pPr>
      <w:proofErr w:type="gramStart"/>
      <w:r w:rsidRPr="00E67B18">
        <w:t>any</w:t>
      </w:r>
      <w:proofErr w:type="gramEnd"/>
      <w:r w:rsidRPr="00E67B18">
        <w:t xml:space="preserve"> study which focuses on examination of the </w:t>
      </w:r>
      <w:proofErr w:type="spellStart"/>
      <w:r w:rsidRPr="00E67B18">
        <w:t>microflora</w:t>
      </w:r>
      <w:proofErr w:type="spellEnd"/>
      <w:r w:rsidRPr="00E67B18">
        <w:t xml:space="preserve"> in small patient groups leaves open the possibility that some unrecognised or unstudied microorganism may be affected by prolonged treatment with low-dose </w:t>
      </w:r>
      <w:proofErr w:type="spellStart"/>
      <w:r w:rsidRPr="00E67B18">
        <w:t>doxycycline</w:t>
      </w:r>
      <w:proofErr w:type="spellEnd"/>
      <w:r w:rsidRPr="00E67B18">
        <w:t>, with adverse results for the patient.</w:t>
      </w:r>
    </w:p>
    <w:p w:rsidR="00534BB4" w:rsidRDefault="00534BB4" w:rsidP="00534BB4">
      <w:pPr>
        <w:autoSpaceDE w:val="0"/>
        <w:autoSpaceDN w:val="0"/>
        <w:adjustRightInd w:val="0"/>
      </w:pPr>
      <w:r>
        <w:t xml:space="preserve">In principle, this aspect of safety should involve use of the actual product proposed for registration. Ultimately, </w:t>
      </w:r>
      <w:r w:rsidR="00A23E93">
        <w:t>P</w:t>
      </w:r>
      <w:r>
        <w:t xml:space="preserve">hase </w:t>
      </w:r>
      <w:r w:rsidR="00A23E93">
        <w:t>III</w:t>
      </w:r>
      <w:r>
        <w:t xml:space="preserve"> clinical studies of adequate size and duration must be relied upon for safety reassurance − including reassurance on the question of possible effects of low dose </w:t>
      </w:r>
      <w:proofErr w:type="spellStart"/>
      <w:r>
        <w:t>doxycycline</w:t>
      </w:r>
      <w:proofErr w:type="spellEnd"/>
      <w:r>
        <w:t xml:space="preserve"> on </w:t>
      </w:r>
      <w:proofErr w:type="spellStart"/>
      <w:r>
        <w:t>microflora</w:t>
      </w:r>
      <w:proofErr w:type="spellEnd"/>
      <w:r>
        <w:t xml:space="preserve">. Thus, </w:t>
      </w:r>
      <w:r w:rsidR="00A23E93">
        <w:t>the evaluator</w:t>
      </w:r>
      <w:r>
        <w:t xml:space="preserve"> doubt</w:t>
      </w:r>
      <w:r w:rsidR="00A23E93">
        <w:t>ed</w:t>
      </w:r>
      <w:r>
        <w:t xml:space="preserve"> that there is much to gain from the submission of further studies of the kind considered at </w:t>
      </w:r>
      <w:r w:rsidR="00A23E93" w:rsidRPr="00A23E93">
        <w:rPr>
          <w:i/>
        </w:rPr>
        <w:t>Pharmacodynamics</w:t>
      </w:r>
      <w:r>
        <w:t xml:space="preserve"> above. The question of co-morbidities which may require periodic antibiotic treatment should also be given some consideration. For example, COPD affects &gt; 1 million Australians, and for initial treatment of exacerbations therapeutic guidelines recommend amoxycillin or doxycycline (Therapeutic Guidelines Limited, 2010). It would be of interest to study whether exacerbations in these patients are more difficult to treat if they have been taking long-term low</w:t>
      </w:r>
      <w:r w:rsidR="00324D05">
        <w:t xml:space="preserve">-dose </w:t>
      </w:r>
      <w:proofErr w:type="spellStart"/>
      <w:r w:rsidR="00324D05">
        <w:t>doxycycline</w:t>
      </w:r>
      <w:proofErr w:type="spellEnd"/>
      <w:r w:rsidR="00324D05">
        <w:t xml:space="preserve"> for </w:t>
      </w:r>
      <w:proofErr w:type="spellStart"/>
      <w:r w:rsidR="00324D05">
        <w:t>rosacea</w:t>
      </w:r>
      <w:proofErr w:type="spellEnd"/>
      <w:r w:rsidR="00324D05">
        <w:t>.</w:t>
      </w:r>
    </w:p>
    <w:p w:rsidR="00C22678" w:rsidRPr="00586F98" w:rsidRDefault="00534BB4" w:rsidP="00534BB4">
      <w:pPr>
        <w:rPr>
          <w:lang w:eastAsia="ja-JP"/>
        </w:rPr>
      </w:pPr>
      <w:r>
        <w:t xml:space="preserve">The guideline on </w:t>
      </w:r>
      <w:r w:rsidRPr="00461365">
        <w:rPr>
          <w:rStyle w:val="eutitle"/>
        </w:rPr>
        <w:t xml:space="preserve">population exposure </w:t>
      </w:r>
      <w:r>
        <w:rPr>
          <w:rStyle w:val="eutitle"/>
        </w:rPr>
        <w:t>appropriate for the assessment of</w:t>
      </w:r>
      <w:r w:rsidRPr="00461365">
        <w:rPr>
          <w:rStyle w:val="eutitle"/>
        </w:rPr>
        <w:t xml:space="preserve"> clinical safety for medicines intended for long-term treatment of non-life-threatening conditions</w:t>
      </w:r>
      <w:r>
        <w:rPr>
          <w:rStyle w:val="eutitle"/>
        </w:rPr>
        <w:t xml:space="preserve"> (EU, 1998) recommends 300-600 patients over 6 months, with perhaps 100 patients exposed for 1 year. In </w:t>
      </w:r>
      <w:r w:rsidR="00A23E93">
        <w:rPr>
          <w:rStyle w:val="eutitle"/>
        </w:rPr>
        <w:t>the evaluator’s</w:t>
      </w:r>
      <w:r>
        <w:rPr>
          <w:rStyle w:val="eutitle"/>
        </w:rPr>
        <w:t xml:space="preserve"> opinion, in view of the point made in the </w:t>
      </w:r>
      <w:r w:rsidR="00A23E93">
        <w:rPr>
          <w:rStyle w:val="eutitle"/>
        </w:rPr>
        <w:t>first</w:t>
      </w:r>
      <w:r>
        <w:rPr>
          <w:rStyle w:val="eutitle"/>
        </w:rPr>
        <w:t xml:space="preserve"> paragraph in this section, further </w:t>
      </w:r>
      <w:r w:rsidR="00A23E93">
        <w:rPr>
          <w:rStyle w:val="eutitle"/>
        </w:rPr>
        <w:t>P</w:t>
      </w:r>
      <w:r>
        <w:rPr>
          <w:rStyle w:val="eutitle"/>
        </w:rPr>
        <w:t xml:space="preserve">hase </w:t>
      </w:r>
      <w:r w:rsidR="00A23E93">
        <w:rPr>
          <w:rStyle w:val="eutitle"/>
        </w:rPr>
        <w:t xml:space="preserve">III </w:t>
      </w:r>
      <w:r>
        <w:rPr>
          <w:rStyle w:val="eutitle"/>
        </w:rPr>
        <w:t xml:space="preserve">trials need to include at least 300 patients studied over 6 months, with specific attention being given to problems which may result from an effect on resident </w:t>
      </w:r>
      <w:proofErr w:type="spellStart"/>
      <w:r>
        <w:rPr>
          <w:rStyle w:val="eutitle"/>
        </w:rPr>
        <w:t>microflora</w:t>
      </w:r>
      <w:proofErr w:type="spellEnd"/>
      <w:r>
        <w:rPr>
          <w:rStyle w:val="eutitle"/>
        </w:rPr>
        <w:t>.</w:t>
      </w:r>
    </w:p>
    <w:p w:rsidR="00C22678" w:rsidRDefault="00C22678" w:rsidP="00C22678">
      <w:pPr>
        <w:pStyle w:val="Heading2"/>
      </w:pPr>
      <w:bookmarkStart w:id="193" w:name="_Toc366439591"/>
      <w:r>
        <w:t>First round benefit-risk assessment</w:t>
      </w:r>
      <w:bookmarkEnd w:id="193"/>
    </w:p>
    <w:p w:rsidR="00534BB4" w:rsidRDefault="00534BB4" w:rsidP="00A23E93">
      <w:pPr>
        <w:pStyle w:val="Heading3"/>
      </w:pPr>
      <w:bookmarkStart w:id="194" w:name="_Toc236802592"/>
      <w:bookmarkStart w:id="195" w:name="_Toc241374331"/>
      <w:bookmarkStart w:id="196" w:name="_Ref272160836"/>
      <w:bookmarkStart w:id="197" w:name="_Toc272414693"/>
      <w:bookmarkStart w:id="198" w:name="_Toc274575493"/>
      <w:bookmarkStart w:id="199" w:name="_Toc348527507"/>
      <w:bookmarkStart w:id="200" w:name="_Toc366439592"/>
      <w:r>
        <w:t>P</w:t>
      </w:r>
      <w:r w:rsidR="00715772">
        <w:t>reliminary a</w:t>
      </w:r>
      <w:r w:rsidR="002A418E">
        <w:t>ssessment o</w:t>
      </w:r>
      <w:r w:rsidR="00A23E93">
        <w:t xml:space="preserve">f </w:t>
      </w:r>
      <w:r w:rsidR="00715772">
        <w:t>b</w:t>
      </w:r>
      <w:r w:rsidR="00A23E93">
        <w:t>enefits</w:t>
      </w:r>
      <w:bookmarkEnd w:id="194"/>
      <w:bookmarkEnd w:id="195"/>
      <w:bookmarkEnd w:id="196"/>
      <w:bookmarkEnd w:id="197"/>
      <w:bookmarkEnd w:id="198"/>
      <w:bookmarkEnd w:id="199"/>
      <w:bookmarkEnd w:id="200"/>
    </w:p>
    <w:p w:rsidR="00534BB4" w:rsidRDefault="00534BB4" w:rsidP="00534BB4">
      <w:r>
        <w:t xml:space="preserve">In view </w:t>
      </w:r>
      <w:r w:rsidR="00A23E93">
        <w:t>of the</w:t>
      </w:r>
      <w:r>
        <w:t xml:space="preserve"> flaws in the pivotal studies, </w:t>
      </w:r>
      <w:r w:rsidR="00A23E93">
        <w:t>the evaluator</w:t>
      </w:r>
      <w:r>
        <w:t xml:space="preserve"> believe</w:t>
      </w:r>
      <w:r w:rsidR="00A23E93">
        <w:t>d</w:t>
      </w:r>
      <w:r>
        <w:t xml:space="preserve"> no valid efficacy data survive, and no benefits have been proven.</w:t>
      </w:r>
    </w:p>
    <w:p w:rsidR="00534BB4" w:rsidRDefault="00534BB4" w:rsidP="00534BB4">
      <w:r>
        <w:t xml:space="preserve">In case </w:t>
      </w:r>
      <w:r w:rsidR="00A23E93">
        <w:t xml:space="preserve">the </w:t>
      </w:r>
      <w:proofErr w:type="spellStart"/>
      <w:r w:rsidR="00A23E93">
        <w:t>vealuator’s</w:t>
      </w:r>
      <w:proofErr w:type="spellEnd"/>
      <w:r>
        <w:t xml:space="preserve"> opinion in the paragraph above is not accepted, note that the benefits of the treatment proposed are modest, have not been subjected to patient self-assessment, and </w:t>
      </w:r>
      <w:r>
        <w:lastRenderedPageBreak/>
        <w:t xml:space="preserve">have not been compared to those which are offered by other treatment (see </w:t>
      </w:r>
      <w:r w:rsidR="00A23E93" w:rsidRPr="00A23E93">
        <w:rPr>
          <w:i/>
        </w:rPr>
        <w:t>Evaluator’s Conclusions o</w:t>
      </w:r>
      <w:r w:rsidR="00A23E93">
        <w:rPr>
          <w:i/>
        </w:rPr>
        <w:t>n</w:t>
      </w:r>
      <w:r w:rsidR="00A23E93" w:rsidRPr="00A23E93">
        <w:rPr>
          <w:i/>
        </w:rPr>
        <w:t xml:space="preserve"> Clinical Efficacy</w:t>
      </w:r>
      <w:r w:rsidRPr="00A23E93">
        <w:rPr>
          <w:i/>
        </w:rPr>
        <w:t xml:space="preserve"> </w:t>
      </w:r>
      <w:r>
        <w:t>above).</w:t>
      </w:r>
    </w:p>
    <w:p w:rsidR="00534BB4" w:rsidRDefault="00A23E93" w:rsidP="00A23E93">
      <w:pPr>
        <w:pStyle w:val="Heading3"/>
      </w:pPr>
      <w:bookmarkStart w:id="201" w:name="_Toc236802596"/>
      <w:bookmarkStart w:id="202" w:name="_Toc241374334"/>
      <w:bookmarkStart w:id="203" w:name="_Ref272160964"/>
      <w:bookmarkStart w:id="204" w:name="_Toc272414694"/>
      <w:bookmarkStart w:id="205" w:name="_Toc274575494"/>
      <w:bookmarkStart w:id="206" w:name="_Toc348527508"/>
      <w:bookmarkStart w:id="207" w:name="_Toc366439593"/>
      <w:r>
        <w:t>Pr</w:t>
      </w:r>
      <w:r w:rsidR="00715772">
        <w:t>eliminary a</w:t>
      </w:r>
      <w:r>
        <w:t xml:space="preserve">ssessment of </w:t>
      </w:r>
      <w:r w:rsidR="00715772">
        <w:t>r</w:t>
      </w:r>
      <w:r>
        <w:t>isks</w:t>
      </w:r>
      <w:bookmarkEnd w:id="201"/>
      <w:bookmarkEnd w:id="202"/>
      <w:bookmarkEnd w:id="203"/>
      <w:bookmarkEnd w:id="204"/>
      <w:bookmarkEnd w:id="205"/>
      <w:bookmarkEnd w:id="206"/>
      <w:bookmarkEnd w:id="207"/>
    </w:p>
    <w:p w:rsidR="00534BB4" w:rsidRDefault="00A23E93" w:rsidP="00534BB4">
      <w:r>
        <w:t>The evaluator</w:t>
      </w:r>
      <w:r w:rsidR="00534BB4">
        <w:t xml:space="preserve"> believe</w:t>
      </w:r>
      <w:r>
        <w:t>d that</w:t>
      </w:r>
      <w:r w:rsidR="00534BB4">
        <w:t xml:space="preserve"> safety has not been adequately studied (see </w:t>
      </w:r>
      <w:r w:rsidRPr="00A23E93">
        <w:rPr>
          <w:i/>
        </w:rPr>
        <w:t>Evaluator’s Conclusions o</w:t>
      </w:r>
      <w:r>
        <w:rPr>
          <w:i/>
        </w:rPr>
        <w:t>n</w:t>
      </w:r>
      <w:r w:rsidRPr="00A23E93">
        <w:rPr>
          <w:i/>
        </w:rPr>
        <w:t xml:space="preserve"> Clinical</w:t>
      </w:r>
      <w:r w:rsidR="00534BB4">
        <w:t xml:space="preserve"> </w:t>
      </w:r>
      <w:r w:rsidRPr="00A23E93">
        <w:rPr>
          <w:i/>
        </w:rPr>
        <w:t>Safety</w:t>
      </w:r>
      <w:r>
        <w:t xml:space="preserve"> </w:t>
      </w:r>
      <w:r w:rsidR="00534BB4">
        <w:t>above).</w:t>
      </w:r>
    </w:p>
    <w:p w:rsidR="00534BB4" w:rsidRDefault="00715772" w:rsidP="00A23E93">
      <w:pPr>
        <w:pStyle w:val="Heading3"/>
      </w:pPr>
      <w:bookmarkStart w:id="208" w:name="_Toc236802597"/>
      <w:bookmarkStart w:id="209" w:name="_Toc241374335"/>
      <w:bookmarkStart w:id="210" w:name="_Toc272414695"/>
      <w:bookmarkStart w:id="211" w:name="_Toc274575495"/>
      <w:bookmarkStart w:id="212" w:name="_Toc348527509"/>
      <w:bookmarkStart w:id="213" w:name="_Toc366439594"/>
      <w:r>
        <w:t>Preliminary assessment of benefit-risk b</w:t>
      </w:r>
      <w:r w:rsidR="00A23E93">
        <w:t>alance</w:t>
      </w:r>
      <w:bookmarkEnd w:id="208"/>
      <w:bookmarkEnd w:id="209"/>
      <w:bookmarkEnd w:id="210"/>
      <w:bookmarkEnd w:id="211"/>
      <w:bookmarkEnd w:id="212"/>
      <w:bookmarkEnd w:id="213"/>
    </w:p>
    <w:p w:rsidR="00534BB4" w:rsidRDefault="00534BB4" w:rsidP="00534BB4">
      <w:r>
        <w:t xml:space="preserve">In view of </w:t>
      </w:r>
      <w:r w:rsidR="00A23E93">
        <w:t xml:space="preserve">the discussions of </w:t>
      </w:r>
      <w:r w:rsidR="00A23E93" w:rsidRPr="00A23E93">
        <w:rPr>
          <w:i/>
        </w:rPr>
        <w:t>Benefits</w:t>
      </w:r>
      <w:r w:rsidR="00A23E93">
        <w:t xml:space="preserve"> and </w:t>
      </w:r>
      <w:r w:rsidR="00A23E93" w:rsidRPr="00A23E93">
        <w:rPr>
          <w:i/>
        </w:rPr>
        <w:t>Risks</w:t>
      </w:r>
      <w:r w:rsidR="00A23E93">
        <w:t xml:space="preserve"> above</w:t>
      </w:r>
      <w:r>
        <w:t xml:space="preserve">, </w:t>
      </w:r>
      <w:r w:rsidR="00A23E93">
        <w:t>the evaluator</w:t>
      </w:r>
      <w:r>
        <w:t xml:space="preserve"> believe</w:t>
      </w:r>
      <w:r w:rsidR="00A23E93">
        <w:t>d that</w:t>
      </w:r>
      <w:r>
        <w:t xml:space="preserve"> the benefit-risk balance is unfavourable. Also, </w:t>
      </w:r>
      <w:r w:rsidR="00A23E93">
        <w:t>the evaluator</w:t>
      </w:r>
      <w:r>
        <w:t xml:space="preserve"> would observe that proper assessment of the benefit-risk balance requires dose-finding studies, which have not been done.</w:t>
      </w:r>
    </w:p>
    <w:p w:rsidR="00C22678" w:rsidRDefault="00C22678" w:rsidP="00A23E93">
      <w:pPr>
        <w:pStyle w:val="Heading3"/>
      </w:pPr>
      <w:bookmarkStart w:id="214" w:name="_Toc366439595"/>
      <w:r>
        <w:t>First round recommendation regarding authorisation</w:t>
      </w:r>
      <w:bookmarkEnd w:id="214"/>
    </w:p>
    <w:p w:rsidR="00534BB4" w:rsidRDefault="00A23E93" w:rsidP="00A23E93">
      <w:r>
        <w:t>The evaluator</w:t>
      </w:r>
      <w:r w:rsidR="00534BB4">
        <w:t xml:space="preserve"> recommend</w:t>
      </w:r>
      <w:r>
        <w:t>ed</w:t>
      </w:r>
      <w:r w:rsidR="00534BB4">
        <w:t xml:space="preserve"> refusal, on the grounds of</w:t>
      </w:r>
    </w:p>
    <w:p w:rsidR="00534BB4" w:rsidRPr="00850EE2" w:rsidRDefault="00534BB4" w:rsidP="00E67B18">
      <w:pPr>
        <w:pStyle w:val="ListBullet"/>
      </w:pPr>
      <w:r w:rsidRPr="00850EE2">
        <w:t>inadequate evidence of quality; and</w:t>
      </w:r>
    </w:p>
    <w:p w:rsidR="00534BB4" w:rsidRDefault="00534BB4" w:rsidP="00850EE2">
      <w:pPr>
        <w:pStyle w:val="ListBullet"/>
      </w:pPr>
      <w:proofErr w:type="gramStart"/>
      <w:r>
        <w:t>an</w:t>
      </w:r>
      <w:proofErr w:type="gramEnd"/>
      <w:r>
        <w:t xml:space="preserve"> unfavourable benefit-risk balance.</w:t>
      </w:r>
    </w:p>
    <w:p w:rsidR="00C22678" w:rsidRDefault="00C22678" w:rsidP="00324D05">
      <w:pPr>
        <w:pStyle w:val="Heading2"/>
      </w:pPr>
      <w:bookmarkStart w:id="215" w:name="_Toc366439596"/>
      <w:r>
        <w:t>Clinical questions</w:t>
      </w:r>
      <w:bookmarkEnd w:id="215"/>
    </w:p>
    <w:p w:rsidR="00534BB4" w:rsidRDefault="00A23E93" w:rsidP="00534BB4">
      <w:pPr>
        <w:spacing w:after="80"/>
      </w:pPr>
      <w:r>
        <w:t xml:space="preserve">The evaluator </w:t>
      </w:r>
      <w:r w:rsidR="00534BB4">
        <w:t>believe</w:t>
      </w:r>
      <w:r>
        <w:t>d there wa</w:t>
      </w:r>
      <w:r w:rsidR="00534BB4">
        <w:t>s no point in pursuing this application further unless the sponsor can produce an argument which rescues the pivotal studies. If the sponsor does achieve this, then the sponsor might be invited</w:t>
      </w:r>
    </w:p>
    <w:p w:rsidR="00534BB4" w:rsidRDefault="00534BB4" w:rsidP="00E67B18">
      <w:pPr>
        <w:pStyle w:val="ListBullet"/>
      </w:pPr>
      <w:r>
        <w:t xml:space="preserve">to address the problem raised under </w:t>
      </w:r>
      <w:r w:rsidRPr="00A23E93">
        <w:rPr>
          <w:i/>
        </w:rPr>
        <w:t>Modified-release property</w:t>
      </w:r>
      <w:r>
        <w:t>; and</w:t>
      </w:r>
    </w:p>
    <w:p w:rsidR="00534BB4" w:rsidRDefault="00534BB4" w:rsidP="00A23E93">
      <w:pPr>
        <w:pStyle w:val="ListBullet"/>
      </w:pPr>
      <w:proofErr w:type="gramStart"/>
      <w:r>
        <w:t>to</w:t>
      </w:r>
      <w:proofErr w:type="gramEnd"/>
      <w:r>
        <w:t xml:space="preserve"> respond to the question of whether Oracea has meaningful modified-release properties.</w:t>
      </w:r>
    </w:p>
    <w:p w:rsidR="00C618F7" w:rsidRDefault="00C618F7" w:rsidP="00C618F7">
      <w:pPr>
        <w:pStyle w:val="Heading2"/>
      </w:pPr>
      <w:bookmarkStart w:id="216" w:name="_Toc366439597"/>
      <w:r>
        <w:t>References</w:t>
      </w:r>
      <w:bookmarkEnd w:id="216"/>
    </w:p>
    <w:p w:rsidR="00534BB4" w:rsidRDefault="00534BB4" w:rsidP="00A23E93">
      <w:pPr>
        <w:pStyle w:val="Heading3"/>
      </w:pPr>
      <w:bookmarkStart w:id="217" w:name="_Toc348527525"/>
      <w:bookmarkStart w:id="218" w:name="_Toc366439598"/>
      <w:bookmarkEnd w:id="1"/>
      <w:bookmarkEnd w:id="0"/>
      <w:bookmarkEnd w:id="2"/>
      <w:r>
        <w:t>Published papers presented for evaluation</w:t>
      </w:r>
      <w:bookmarkEnd w:id="217"/>
      <w:bookmarkEnd w:id="218"/>
    </w:p>
    <w:p w:rsidR="00534BB4" w:rsidRDefault="00534BB4" w:rsidP="00A23E93">
      <w:pPr>
        <w:ind w:left="284" w:hanging="284"/>
      </w:pPr>
      <w:proofErr w:type="gramStart"/>
      <w:r>
        <w:t xml:space="preserve">Skidmore R, Kovach R, Walker C, Thomas J, Bradshaw M, Leyden J, </w:t>
      </w:r>
      <w:proofErr w:type="spellStart"/>
      <w:r>
        <w:t>Powala</w:t>
      </w:r>
      <w:proofErr w:type="spellEnd"/>
      <w:r>
        <w:t xml:space="preserve"> C and Ashley R. 2003.</w:t>
      </w:r>
      <w:proofErr w:type="gramEnd"/>
      <w:r>
        <w:t xml:space="preserve"> </w:t>
      </w:r>
      <w:proofErr w:type="gramStart"/>
      <w:r>
        <w:t xml:space="preserve">Effects of </w:t>
      </w:r>
      <w:proofErr w:type="spellStart"/>
      <w:r>
        <w:t>submicrobial</w:t>
      </w:r>
      <w:proofErr w:type="spellEnd"/>
      <w:r>
        <w:t xml:space="preserve">-dose </w:t>
      </w:r>
      <w:proofErr w:type="spellStart"/>
      <w:r>
        <w:t>doxycycline</w:t>
      </w:r>
      <w:proofErr w:type="spellEnd"/>
      <w:r>
        <w:t xml:space="preserve"> in the treatment of moderate acne.</w:t>
      </w:r>
      <w:proofErr w:type="gramEnd"/>
      <w:r>
        <w:t xml:space="preserve"> </w:t>
      </w:r>
      <w:r>
        <w:rPr>
          <w:i/>
        </w:rPr>
        <w:t>Arch Dermatol</w:t>
      </w:r>
      <w:r>
        <w:t xml:space="preserve"> 139: 459-464.</w:t>
      </w:r>
    </w:p>
    <w:p w:rsidR="00534BB4" w:rsidRDefault="00534BB4" w:rsidP="00A23E93">
      <w:pPr>
        <w:ind w:left="284" w:hanging="284"/>
      </w:pPr>
      <w:proofErr w:type="gramStart"/>
      <w:r w:rsidRPr="00655CBC">
        <w:t>Thomas</w:t>
      </w:r>
      <w:r>
        <w:t xml:space="preserve"> JG, </w:t>
      </w:r>
      <w:proofErr w:type="spellStart"/>
      <w:r>
        <w:t>Metheny</w:t>
      </w:r>
      <w:proofErr w:type="spellEnd"/>
      <w:r>
        <w:t xml:space="preserve"> RJ, </w:t>
      </w:r>
      <w:proofErr w:type="spellStart"/>
      <w:r>
        <w:t>Karakiozis</w:t>
      </w:r>
      <w:proofErr w:type="spellEnd"/>
      <w:r>
        <w:t xml:space="preserve"> JM, Wetzel JM and </w:t>
      </w:r>
      <w:proofErr w:type="spellStart"/>
      <w:r>
        <w:t>Crout</w:t>
      </w:r>
      <w:proofErr w:type="spellEnd"/>
      <w:r>
        <w:t xml:space="preserve"> RJ.</w:t>
      </w:r>
      <w:proofErr w:type="gramEnd"/>
      <w:r>
        <w:t xml:space="preserve"> 1998. Long-term sub-antimicrobial doxycycline (Periostat) as adjunctive management in adult </w:t>
      </w:r>
      <w:proofErr w:type="spellStart"/>
      <w:r>
        <w:t>periodontitis</w:t>
      </w:r>
      <w:proofErr w:type="spellEnd"/>
      <w:r>
        <w:t xml:space="preserve">: Effects on </w:t>
      </w:r>
      <w:proofErr w:type="spellStart"/>
      <w:r>
        <w:t>subgingival</w:t>
      </w:r>
      <w:proofErr w:type="spellEnd"/>
      <w:r>
        <w:t xml:space="preserve"> bacterial population dynamics. </w:t>
      </w:r>
      <w:r w:rsidRPr="00655CBC">
        <w:rPr>
          <w:i/>
        </w:rPr>
        <w:t>Adv Dent Res</w:t>
      </w:r>
      <w:r w:rsidRPr="00655CBC">
        <w:t xml:space="preserve"> </w:t>
      </w:r>
      <w:r>
        <w:t>12</w:t>
      </w:r>
      <w:r w:rsidRPr="00655CBC">
        <w:t>:</w:t>
      </w:r>
      <w:r>
        <w:t xml:space="preserve"> 32</w:t>
      </w:r>
      <w:r w:rsidRPr="00655CBC">
        <w:t>-</w:t>
      </w:r>
      <w:r>
        <w:t>39</w:t>
      </w:r>
      <w:r w:rsidRPr="00655CBC">
        <w:t>.</w:t>
      </w:r>
    </w:p>
    <w:p w:rsidR="00534BB4" w:rsidRDefault="00534BB4" w:rsidP="00A23E93">
      <w:pPr>
        <w:ind w:left="284" w:hanging="284"/>
      </w:pPr>
      <w:proofErr w:type="gramStart"/>
      <w:r w:rsidRPr="00655CBC">
        <w:t>Thomas</w:t>
      </w:r>
      <w:r>
        <w:t xml:space="preserve"> J, Walker C and Bradshaw M. 2000.</w:t>
      </w:r>
      <w:proofErr w:type="gramEnd"/>
      <w:r>
        <w:t xml:space="preserve"> Long-term use of </w:t>
      </w:r>
      <w:proofErr w:type="spellStart"/>
      <w:r>
        <w:t>subantimicrobial</w:t>
      </w:r>
      <w:proofErr w:type="spellEnd"/>
      <w:r>
        <w:t xml:space="preserve"> dose </w:t>
      </w:r>
      <w:proofErr w:type="spellStart"/>
      <w:r>
        <w:t>doxycycline</w:t>
      </w:r>
      <w:proofErr w:type="spellEnd"/>
      <w:r>
        <w:t xml:space="preserve"> does not lead to changes in antimicrobial susceptibility. </w:t>
      </w:r>
      <w:r>
        <w:rPr>
          <w:i/>
        </w:rPr>
        <w:t xml:space="preserve">J </w:t>
      </w:r>
      <w:proofErr w:type="spellStart"/>
      <w:r>
        <w:rPr>
          <w:i/>
        </w:rPr>
        <w:t>Periodontol</w:t>
      </w:r>
      <w:proofErr w:type="spellEnd"/>
      <w:r w:rsidRPr="00655CBC">
        <w:t xml:space="preserve"> </w:t>
      </w:r>
      <w:r>
        <w:t>71</w:t>
      </w:r>
      <w:r w:rsidRPr="00655CBC">
        <w:t>:</w:t>
      </w:r>
      <w:r>
        <w:t xml:space="preserve"> 1472</w:t>
      </w:r>
      <w:r w:rsidRPr="00655CBC">
        <w:t>-</w:t>
      </w:r>
      <w:r>
        <w:t>1483</w:t>
      </w:r>
      <w:r w:rsidRPr="00655CBC">
        <w:t>.</w:t>
      </w:r>
    </w:p>
    <w:p w:rsidR="00534BB4" w:rsidRDefault="00534BB4" w:rsidP="00A23E93">
      <w:pPr>
        <w:ind w:left="284" w:hanging="284"/>
      </w:pPr>
      <w:proofErr w:type="gramStart"/>
      <w:r>
        <w:t xml:space="preserve">Walker C, Thomas J, </w:t>
      </w:r>
      <w:proofErr w:type="spellStart"/>
      <w:r>
        <w:t>Nango</w:t>
      </w:r>
      <w:proofErr w:type="spellEnd"/>
      <w:r>
        <w:t xml:space="preserve"> S, Lennon J, Wetzel J and </w:t>
      </w:r>
      <w:proofErr w:type="spellStart"/>
      <w:r>
        <w:t>Powala</w:t>
      </w:r>
      <w:proofErr w:type="spellEnd"/>
      <w:r>
        <w:t xml:space="preserve"> C. 2000.</w:t>
      </w:r>
      <w:proofErr w:type="gramEnd"/>
      <w:r>
        <w:t xml:space="preserve"> Long-term treatment with </w:t>
      </w:r>
      <w:proofErr w:type="spellStart"/>
      <w:r>
        <w:t>subantimicrobial</w:t>
      </w:r>
      <w:proofErr w:type="spellEnd"/>
      <w:r>
        <w:t xml:space="preserve"> dose </w:t>
      </w:r>
      <w:proofErr w:type="spellStart"/>
      <w:r>
        <w:t>doxycycline</w:t>
      </w:r>
      <w:proofErr w:type="spellEnd"/>
      <w:r>
        <w:t xml:space="preserve"> exerts no antibacterial effect on the </w:t>
      </w:r>
      <w:proofErr w:type="spellStart"/>
      <w:r>
        <w:t>subgingival</w:t>
      </w:r>
      <w:proofErr w:type="spellEnd"/>
      <w:r>
        <w:t xml:space="preserve"> </w:t>
      </w:r>
      <w:proofErr w:type="spellStart"/>
      <w:r>
        <w:t>microflora</w:t>
      </w:r>
      <w:proofErr w:type="spellEnd"/>
      <w:r>
        <w:t xml:space="preserve"> associated with adult </w:t>
      </w:r>
      <w:proofErr w:type="spellStart"/>
      <w:r>
        <w:t>periodontitis</w:t>
      </w:r>
      <w:proofErr w:type="spellEnd"/>
      <w:r>
        <w:t xml:space="preserve">. </w:t>
      </w:r>
      <w:r>
        <w:rPr>
          <w:i/>
        </w:rPr>
        <w:t xml:space="preserve">J </w:t>
      </w:r>
      <w:proofErr w:type="spellStart"/>
      <w:r>
        <w:rPr>
          <w:i/>
        </w:rPr>
        <w:t>Periodontol</w:t>
      </w:r>
      <w:proofErr w:type="spellEnd"/>
      <w:r w:rsidRPr="00655CBC">
        <w:t xml:space="preserve"> </w:t>
      </w:r>
      <w:r>
        <w:t>71</w:t>
      </w:r>
      <w:r w:rsidRPr="00655CBC">
        <w:t>:</w:t>
      </w:r>
      <w:r>
        <w:t xml:space="preserve"> 1465</w:t>
      </w:r>
      <w:r w:rsidRPr="00655CBC">
        <w:t>-</w:t>
      </w:r>
      <w:r>
        <w:t>1471</w:t>
      </w:r>
      <w:r w:rsidRPr="00655CBC">
        <w:t>.</w:t>
      </w:r>
    </w:p>
    <w:p w:rsidR="00534BB4" w:rsidRDefault="00534BB4" w:rsidP="00A23E93">
      <w:pPr>
        <w:ind w:left="284" w:hanging="284"/>
      </w:pPr>
      <w:proofErr w:type="gramStart"/>
      <w:r>
        <w:t xml:space="preserve">Walker C, </w:t>
      </w:r>
      <w:proofErr w:type="spellStart"/>
      <w:r>
        <w:t>Preshaw</w:t>
      </w:r>
      <w:proofErr w:type="spellEnd"/>
      <w:r>
        <w:t xml:space="preserve"> PM, Novak J, </w:t>
      </w:r>
      <w:proofErr w:type="spellStart"/>
      <w:r>
        <w:t>Hefti</w:t>
      </w:r>
      <w:proofErr w:type="spellEnd"/>
      <w:r>
        <w:t xml:space="preserve"> AF, Bradshaw M and </w:t>
      </w:r>
      <w:proofErr w:type="spellStart"/>
      <w:r>
        <w:t>Powala</w:t>
      </w:r>
      <w:proofErr w:type="spellEnd"/>
      <w:r>
        <w:t xml:space="preserve"> C. 2000.</w:t>
      </w:r>
      <w:proofErr w:type="gramEnd"/>
      <w:r>
        <w:t xml:space="preserve"> Long-</w:t>
      </w:r>
      <w:r w:rsidRPr="00B574B5">
        <w:t>term treatment with sub</w:t>
      </w:r>
      <w:r>
        <w:t>-</w:t>
      </w:r>
      <w:r w:rsidRPr="00B574B5">
        <w:t>antimicrobial dose doxycycline has no antibacterial effect on intestinal flora</w:t>
      </w:r>
      <w:r>
        <w:t xml:space="preserve">. </w:t>
      </w:r>
      <w:r>
        <w:rPr>
          <w:i/>
        </w:rPr>
        <w:t xml:space="preserve">J </w:t>
      </w:r>
      <w:proofErr w:type="spellStart"/>
      <w:r>
        <w:rPr>
          <w:i/>
        </w:rPr>
        <w:t>Clin</w:t>
      </w:r>
      <w:proofErr w:type="spellEnd"/>
      <w:r>
        <w:rPr>
          <w:i/>
        </w:rPr>
        <w:t xml:space="preserve"> </w:t>
      </w:r>
      <w:proofErr w:type="spellStart"/>
      <w:r>
        <w:rPr>
          <w:i/>
        </w:rPr>
        <w:t>Periodontol</w:t>
      </w:r>
      <w:proofErr w:type="spellEnd"/>
      <w:r w:rsidRPr="00655CBC">
        <w:t xml:space="preserve"> </w:t>
      </w:r>
      <w:r>
        <w:t>32</w:t>
      </w:r>
      <w:r w:rsidRPr="00655CBC">
        <w:t>:</w:t>
      </w:r>
      <w:r>
        <w:t xml:space="preserve"> 1163</w:t>
      </w:r>
      <w:r w:rsidRPr="00655CBC">
        <w:t>-</w:t>
      </w:r>
      <w:r>
        <w:t>1169</w:t>
      </w:r>
      <w:r w:rsidRPr="00655CBC">
        <w:t>.</w:t>
      </w:r>
    </w:p>
    <w:p w:rsidR="00534BB4" w:rsidRDefault="00534BB4" w:rsidP="00B62547">
      <w:pPr>
        <w:pStyle w:val="Heading3"/>
      </w:pPr>
      <w:bookmarkStart w:id="219" w:name="_Toc348527526"/>
      <w:bookmarkStart w:id="220" w:name="_Toc366439599"/>
      <w:r>
        <w:lastRenderedPageBreak/>
        <w:t>Other references</w:t>
      </w:r>
      <w:bookmarkEnd w:id="219"/>
      <w:bookmarkEnd w:id="220"/>
    </w:p>
    <w:p w:rsidR="00534BB4" w:rsidRDefault="00534BB4" w:rsidP="00A23E93">
      <w:pPr>
        <w:ind w:left="284" w:hanging="284"/>
      </w:pPr>
      <w:proofErr w:type="gramStart"/>
      <w:r>
        <w:t>European Agency for the Evaluation of Medical Products (EMEA).</w:t>
      </w:r>
      <w:proofErr w:type="gramEnd"/>
      <w:r>
        <w:t xml:space="preserve"> 1999. </w:t>
      </w:r>
      <w:r w:rsidRPr="00055562">
        <w:rPr>
          <w:i/>
        </w:rPr>
        <w:t xml:space="preserve">Note for Guidance on Modified Release Oral and </w:t>
      </w:r>
      <w:proofErr w:type="spellStart"/>
      <w:r w:rsidRPr="00055562">
        <w:rPr>
          <w:i/>
        </w:rPr>
        <w:t>Transdermal</w:t>
      </w:r>
      <w:proofErr w:type="spellEnd"/>
      <w:r w:rsidRPr="00055562">
        <w:rPr>
          <w:i/>
        </w:rPr>
        <w:t xml:space="preserve"> Dosage Forms: Section II (Pharmacokinetic and Clinical Evaluation). </w:t>
      </w:r>
      <w:proofErr w:type="gramStart"/>
      <w:r>
        <w:t>Document</w:t>
      </w:r>
      <w:r w:rsidR="001529F1">
        <w:t xml:space="preserve"> </w:t>
      </w:r>
      <w:r>
        <w:t>CPMP/EWP/280/96.</w:t>
      </w:r>
      <w:proofErr w:type="gramEnd"/>
    </w:p>
    <w:p w:rsidR="00534BB4" w:rsidRDefault="00534BB4" w:rsidP="00A23E93">
      <w:pPr>
        <w:ind w:left="284" w:hanging="284"/>
      </w:pPr>
      <w:proofErr w:type="gramStart"/>
      <w:r>
        <w:t>European Agency for the Evaluation of Medical Products (EMEA).</w:t>
      </w:r>
      <w:proofErr w:type="gramEnd"/>
      <w:r>
        <w:t xml:space="preserve"> 2001. </w:t>
      </w:r>
      <w:r>
        <w:rPr>
          <w:i/>
        </w:rPr>
        <w:t>Note for Guidance on the Investigation of Bioavailability and Bioequivalence.</w:t>
      </w:r>
      <w:r>
        <w:t xml:space="preserve"> </w:t>
      </w:r>
      <w:proofErr w:type="gramStart"/>
      <w:r>
        <w:t>Document CPMP/EWP/QWP/1401/98.</w:t>
      </w:r>
      <w:proofErr w:type="gramEnd"/>
    </w:p>
    <w:p w:rsidR="00534BB4" w:rsidRPr="00461365" w:rsidRDefault="00534BB4" w:rsidP="00A23E93">
      <w:pPr>
        <w:ind w:left="284" w:hanging="284"/>
      </w:pPr>
      <w:r w:rsidRPr="00461365">
        <w:t xml:space="preserve">European Union (EU). 1998. </w:t>
      </w:r>
      <w:r w:rsidRPr="00461365">
        <w:rPr>
          <w:rStyle w:val="eutitle"/>
        </w:rPr>
        <w:t>The extent of population exposure to assess clinical safety for medicines intended for long-term treatment of non-life-threatening conditions.</w:t>
      </w:r>
      <w:r w:rsidRPr="00461365">
        <w:t xml:space="preserve"> </w:t>
      </w:r>
      <w:proofErr w:type="gramStart"/>
      <w:r w:rsidRPr="00461365">
        <w:rPr>
          <w:i/>
        </w:rPr>
        <w:t>Rules</w:t>
      </w:r>
      <w:r w:rsidRPr="00461365">
        <w:t xml:space="preserve"> 3(c) - 3cc5a, pages 121-125.</w:t>
      </w:r>
      <w:proofErr w:type="gramEnd"/>
    </w:p>
    <w:p w:rsidR="00A23E93" w:rsidRDefault="00534BB4" w:rsidP="00A23E93">
      <w:pPr>
        <w:ind w:left="284" w:hanging="284"/>
        <w:rPr>
          <w:i/>
        </w:rPr>
      </w:pPr>
      <w:proofErr w:type="gramStart"/>
      <w:r>
        <w:t>TGA.</w:t>
      </w:r>
      <w:proofErr w:type="gramEnd"/>
      <w:r>
        <w:t xml:space="preserve"> 2003. </w:t>
      </w:r>
      <w:r w:rsidRPr="00E41101">
        <w:rPr>
          <w:i/>
        </w:rPr>
        <w:t xml:space="preserve">Literature-Based Submissions. </w:t>
      </w:r>
      <w:proofErr w:type="gramStart"/>
      <w:r w:rsidRPr="00E41101">
        <w:rPr>
          <w:i/>
        </w:rPr>
        <w:t>Points to Consider.</w:t>
      </w:r>
      <w:proofErr w:type="gramEnd"/>
    </w:p>
    <w:p w:rsidR="00534BB4" w:rsidRPr="00A23E93" w:rsidRDefault="00534BB4" w:rsidP="00A23E93">
      <w:pPr>
        <w:ind w:left="284" w:hanging="284"/>
      </w:pPr>
      <w:proofErr w:type="gramStart"/>
      <w:r>
        <w:t>T</w:t>
      </w:r>
      <w:r w:rsidRPr="00A23E93">
        <w:t>herapeutic Guidelines Limited.</w:t>
      </w:r>
      <w:proofErr w:type="gramEnd"/>
      <w:r w:rsidRPr="00A23E93">
        <w:t xml:space="preserve"> 2010. Therapeutic Guidelines: Antibiotic. 14th </w:t>
      </w:r>
      <w:proofErr w:type="gramStart"/>
      <w:r w:rsidRPr="00A23E93">
        <w:t>ed</w:t>
      </w:r>
      <w:proofErr w:type="gramEnd"/>
    </w:p>
    <w:p w:rsidR="003D1E62" w:rsidRPr="001D043B" w:rsidRDefault="008E7846" w:rsidP="002666AC">
      <w:pPr>
        <w:sectPr w:rsidR="003D1E62" w:rsidRPr="001D043B" w:rsidSect="008D770F">
          <w:headerReference w:type="even" r:id="rId18"/>
          <w:headerReference w:type="default" r:id="rId19"/>
          <w:footerReference w:type="default" r:id="rId20"/>
          <w:headerReference w:type="first" r:id="rId21"/>
          <w:footerReference w:type="first" r:id="rId22"/>
          <w:pgSz w:w="11906" w:h="16838" w:code="9"/>
          <w:pgMar w:top="1440" w:right="1440" w:bottom="1440" w:left="1440" w:header="907" w:footer="216" w:gutter="0"/>
          <w:cols w:space="708"/>
          <w:docGrid w:linePitch="360"/>
        </w:sectPr>
      </w:pPr>
      <w:r>
        <w:br w:type="page"/>
      </w:r>
    </w:p>
    <w:p w:rsidR="00774E1D" w:rsidRPr="008A5E0B" w:rsidRDefault="00774E1D" w:rsidP="008A5E0B"/>
    <w:sectPr w:rsidR="00774E1D" w:rsidRPr="008A5E0B" w:rsidSect="008D770F">
      <w:headerReference w:type="even" r:id="rId23"/>
      <w:headerReference w:type="default" r:id="rId24"/>
      <w:footerReference w:type="default" r:id="rId25"/>
      <w:headerReference w:type="first" r:id="rId26"/>
      <w:footerReference w:type="first" r:id="rId27"/>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F69" w:rsidRDefault="00165F69" w:rsidP="00C40A36">
      <w:pPr>
        <w:spacing w:after="0"/>
      </w:pPr>
      <w:r>
        <w:separator/>
      </w:r>
    </w:p>
  </w:endnote>
  <w:endnote w:type="continuationSeparator" w:id="0">
    <w:p w:rsidR="00165F69" w:rsidRDefault="00165F69"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136782" w:rsidRPr="00487162" w:rsidTr="0053625B">
      <w:trPr>
        <w:trHeight w:val="269"/>
      </w:trPr>
      <w:tc>
        <w:tcPr>
          <w:tcW w:w="7938" w:type="dxa"/>
          <w:tcMar>
            <w:top w:w="142" w:type="dxa"/>
            <w:bottom w:w="0" w:type="dxa"/>
          </w:tcMar>
        </w:tcPr>
        <w:p w:rsidR="00136782" w:rsidRPr="00487162" w:rsidRDefault="00136782" w:rsidP="00586F98">
          <w:pPr>
            <w:pStyle w:val="Footer"/>
          </w:pPr>
          <w:r w:rsidRPr="001529F1">
            <w:t>Submission PM-2010-03584-3-4 Extract from the Clinical Evaluation Report for Oracea</w:t>
          </w:r>
        </w:p>
      </w:tc>
      <w:tc>
        <w:tcPr>
          <w:tcW w:w="923" w:type="dxa"/>
          <w:tcMar>
            <w:top w:w="142" w:type="dxa"/>
            <w:bottom w:w="0" w:type="dxa"/>
          </w:tcMar>
        </w:tcPr>
        <w:p w:rsidR="00136782" w:rsidRPr="00487162" w:rsidRDefault="00136782" w:rsidP="00D855D4">
          <w:pPr>
            <w:pStyle w:val="Footer"/>
            <w:jc w:val="right"/>
          </w:pPr>
          <w:r w:rsidRPr="00487162">
            <w:t xml:space="preserve">Page </w:t>
          </w:r>
          <w:r>
            <w:t>2</w:t>
          </w:r>
          <w:r w:rsidRPr="00487162">
            <w:t xml:space="preserve"> of </w:t>
          </w:r>
          <w:fldSimple w:instr=" NUMPAGES  \* Arabic ">
            <w:r w:rsidR="00324D05">
              <w:rPr>
                <w:noProof/>
              </w:rPr>
              <w:t>37</w:t>
            </w:r>
          </w:fldSimple>
        </w:p>
      </w:tc>
    </w:tr>
  </w:tbl>
  <w:p w:rsidR="00136782" w:rsidRDefault="00136782" w:rsidP="00437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655"/>
      <w:gridCol w:w="1206"/>
    </w:tblGrid>
    <w:tr w:rsidR="00136782" w:rsidRPr="00487162" w:rsidTr="00586F98">
      <w:trPr>
        <w:trHeight w:val="269"/>
      </w:trPr>
      <w:tc>
        <w:tcPr>
          <w:tcW w:w="7655" w:type="dxa"/>
          <w:tcMar>
            <w:top w:w="142" w:type="dxa"/>
            <w:bottom w:w="0" w:type="dxa"/>
          </w:tcMar>
        </w:tcPr>
        <w:p w:rsidR="00136782" w:rsidRPr="00487162" w:rsidRDefault="00136782" w:rsidP="001529F1">
          <w:pPr>
            <w:pStyle w:val="Footer"/>
          </w:pPr>
          <w:r>
            <w:t>Submission</w:t>
          </w:r>
          <w:r w:rsidRPr="00487162">
            <w:t xml:space="preserve"> PM-20</w:t>
          </w:r>
          <w:r>
            <w:t>10</w:t>
          </w:r>
          <w:r w:rsidRPr="00487162">
            <w:t>-</w:t>
          </w:r>
          <w:r>
            <w:t>03584</w:t>
          </w:r>
          <w:r w:rsidRPr="00487162">
            <w:t>-</w:t>
          </w:r>
          <w:r>
            <w:t>3</w:t>
          </w:r>
          <w:r w:rsidRPr="00487162">
            <w:t>-</w:t>
          </w:r>
          <w:r>
            <w:t>4 Extract from the Clinical Evaluation Report for Oracea</w:t>
          </w:r>
        </w:p>
      </w:tc>
      <w:tc>
        <w:tcPr>
          <w:tcW w:w="1206" w:type="dxa"/>
          <w:tcMar>
            <w:top w:w="142" w:type="dxa"/>
            <w:bottom w:w="0" w:type="dxa"/>
          </w:tcMar>
        </w:tcPr>
        <w:p w:rsidR="00136782" w:rsidRPr="00487162" w:rsidRDefault="00136782" w:rsidP="00E45619">
          <w:pPr>
            <w:pStyle w:val="Footer"/>
            <w:jc w:val="right"/>
          </w:pPr>
          <w:r w:rsidRPr="00487162">
            <w:t xml:space="preserve">Page </w:t>
          </w:r>
          <w:fldSimple w:instr="PAGE">
            <w:r w:rsidR="00B62547">
              <w:rPr>
                <w:noProof/>
              </w:rPr>
              <w:t>33</w:t>
            </w:r>
          </w:fldSimple>
          <w:r w:rsidRPr="00487162">
            <w:t xml:space="preserve"> of </w:t>
          </w:r>
          <w:fldSimple w:instr=" NUMPAGES  \* Arabic ">
            <w:r w:rsidR="00B62547">
              <w:rPr>
                <w:noProof/>
              </w:rPr>
              <w:t>37</w:t>
            </w:r>
          </w:fldSimple>
        </w:p>
      </w:tc>
    </w:tr>
  </w:tbl>
  <w:p w:rsidR="00136782" w:rsidRDefault="00136782"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136782" w:rsidRPr="00487162" w:rsidTr="00E45619">
      <w:trPr>
        <w:trHeight w:val="269"/>
      </w:trPr>
      <w:tc>
        <w:tcPr>
          <w:tcW w:w="4519" w:type="dxa"/>
          <w:tcBorders>
            <w:top w:val="single" w:sz="4" w:space="0" w:color="auto"/>
          </w:tcBorders>
          <w:tcMar>
            <w:top w:w="142" w:type="dxa"/>
            <w:bottom w:w="0" w:type="dxa"/>
          </w:tcMar>
        </w:tcPr>
        <w:p w:rsidR="00136782" w:rsidRPr="00487162" w:rsidRDefault="00136782" w:rsidP="00FE1DEE">
          <w:pPr>
            <w:pStyle w:val="Footer"/>
          </w:pPr>
          <w:r w:rsidRPr="00487162">
            <w:t>Document title, Part #, Section # - Section title</w:t>
          </w:r>
        </w:p>
        <w:p w:rsidR="00136782" w:rsidRPr="00487162" w:rsidRDefault="00136782" w:rsidP="00FE1DEE">
          <w:pPr>
            <w:pStyle w:val="Footer"/>
          </w:pPr>
          <w:r w:rsidRPr="00487162">
            <w:t>V1.0 October 2010</w:t>
          </w:r>
        </w:p>
      </w:tc>
      <w:tc>
        <w:tcPr>
          <w:tcW w:w="4342" w:type="dxa"/>
          <w:tcBorders>
            <w:top w:val="single" w:sz="4" w:space="0" w:color="auto"/>
          </w:tcBorders>
          <w:tcMar>
            <w:top w:w="142" w:type="dxa"/>
            <w:bottom w:w="0" w:type="dxa"/>
          </w:tcMar>
        </w:tcPr>
        <w:p w:rsidR="00136782" w:rsidRPr="00487162" w:rsidRDefault="00136782"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37</w:t>
            </w:r>
          </w:fldSimple>
        </w:p>
      </w:tc>
    </w:tr>
  </w:tbl>
  <w:p w:rsidR="00136782" w:rsidRDefault="0013678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EndPr>
      <w:rPr>
        <w:rFonts w:ascii="Cambria" w:hAnsi="Cambria"/>
        <w:sz w:val="18"/>
        <w:szCs w:val="18"/>
      </w:rPr>
    </w:sdtEndPr>
    <w:sdtContent>
      <w:sdt>
        <w:sdtPr>
          <w:rPr>
            <w:b w:val="0"/>
            <w:sz w:val="16"/>
          </w:rPr>
          <w:id w:val="16144364"/>
          <w:docPartObj>
            <w:docPartGallery w:val="Page Numbers (Top of Page)"/>
            <w:docPartUnique/>
          </w:docPartObj>
        </w:sdtPr>
        <w:sdtEndPr>
          <w:rPr>
            <w:rFonts w:ascii="Cambria" w:hAnsi="Cambria"/>
            <w:sz w:val="18"/>
            <w:szCs w:val="18"/>
          </w:rPr>
        </w:sdtEndPr>
        <w:sdtContent>
          <w:tbl>
            <w:tblPr>
              <w:tblW w:w="9175" w:type="dxa"/>
              <w:tblInd w:w="-284" w:type="dxa"/>
              <w:tblLayout w:type="fixed"/>
              <w:tblCellMar>
                <w:left w:w="0" w:type="dxa"/>
                <w:right w:w="0" w:type="dxa"/>
              </w:tblCellMar>
              <w:tblLook w:val="04A0"/>
            </w:tblPr>
            <w:tblGrid>
              <w:gridCol w:w="9175"/>
            </w:tblGrid>
            <w:tr w:rsidR="00136782" w:rsidRPr="00487162" w:rsidTr="008D770F">
              <w:trPr>
                <w:trHeight w:hRule="exact" w:val="564"/>
              </w:trPr>
              <w:tc>
                <w:tcPr>
                  <w:tcW w:w="9175" w:type="dxa"/>
                </w:tcPr>
                <w:p w:rsidR="00136782" w:rsidRPr="00487162" w:rsidRDefault="00136782" w:rsidP="008E7846">
                  <w:pPr>
                    <w:pStyle w:val="TGASignoff"/>
                  </w:pPr>
                  <w:r w:rsidRPr="00487162">
                    <w:t>Therapeutic Goods Administration</w:t>
                  </w:r>
                </w:p>
              </w:tc>
            </w:tr>
            <w:tr w:rsidR="00136782" w:rsidRPr="00487162" w:rsidTr="00E45619">
              <w:trPr>
                <w:trHeight w:val="1221"/>
              </w:trPr>
              <w:tc>
                <w:tcPr>
                  <w:tcW w:w="9175" w:type="dxa"/>
                  <w:tcMar>
                    <w:top w:w="28" w:type="dxa"/>
                  </w:tcMar>
                </w:tcPr>
                <w:p w:rsidR="00136782" w:rsidRPr="00487162" w:rsidRDefault="00136782" w:rsidP="00E45619">
                  <w:pPr>
                    <w:pStyle w:val="Address"/>
                  </w:pPr>
                  <w:r w:rsidRPr="00487162">
                    <w:t>PO Box 100 Woden ACT 2606 Australia</w:t>
                  </w:r>
                </w:p>
                <w:p w:rsidR="00136782" w:rsidRPr="00487162" w:rsidRDefault="00136782" w:rsidP="00E45619">
                  <w:pPr>
                    <w:pStyle w:val="Address"/>
                  </w:pPr>
                  <w:r w:rsidRPr="00487162">
                    <w:t xml:space="preserve">Email: </w:t>
                  </w:r>
                  <w:hyperlink r:id="rId1" w:history="1">
                    <w:r w:rsidRPr="008D770F">
                      <w:rPr>
                        <w:rStyle w:val="Hyperlink"/>
                      </w:rPr>
                      <w:t>info@tga.gov.au</w:t>
                    </w:r>
                  </w:hyperlink>
                  <w:r w:rsidRPr="00487162">
                    <w:t xml:space="preserve">  Phone: 1800 020 653  Fax: 02 6232 8605</w:t>
                  </w:r>
                </w:p>
                <w:p w:rsidR="00136782" w:rsidRPr="008D770F" w:rsidRDefault="006B2E6E" w:rsidP="008D770F">
                  <w:pPr>
                    <w:pStyle w:val="Address"/>
                    <w:spacing w:line="260" w:lineRule="atLeast"/>
                    <w:rPr>
                      <w:b/>
                      <w:color w:val="0000FF"/>
                      <w:u w:val="single"/>
                    </w:rPr>
                  </w:pPr>
                  <w:hyperlink r:id="rId2" w:history="1">
                    <w:r w:rsidR="00136782" w:rsidRPr="007C06C7">
                      <w:rPr>
                        <w:rStyle w:val="Hyperlink"/>
                        <w:b/>
                      </w:rPr>
                      <w:t>http://www.tga.gov.au</w:t>
                    </w:r>
                  </w:hyperlink>
                </w:p>
              </w:tc>
            </w:tr>
          </w:tbl>
          <w:p w:rsidR="00136782" w:rsidRDefault="006B2E6E" w:rsidP="004626E1">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136782" w:rsidTr="0010601F">
      <w:trPr>
        <w:trHeight w:val="108"/>
      </w:trPr>
      <w:tc>
        <w:tcPr>
          <w:tcW w:w="8875" w:type="dxa"/>
          <w:gridSpan w:val="2"/>
          <w:tcBorders>
            <w:bottom w:val="single" w:sz="4" w:space="0" w:color="auto"/>
          </w:tcBorders>
          <w:tcMar>
            <w:right w:w="284" w:type="dxa"/>
          </w:tcMar>
        </w:tcPr>
        <w:p w:rsidR="00136782" w:rsidRDefault="00136782" w:rsidP="006E08B3">
          <w:pPr>
            <w:pStyle w:val="Heading3"/>
          </w:pPr>
          <w:r>
            <w:t>Copyright</w:t>
          </w:r>
        </w:p>
        <w:p w:rsidR="00136782" w:rsidRDefault="00136782" w:rsidP="006E08B3">
          <w:r>
            <w:rPr>
              <w:rFonts w:cs="Arial"/>
            </w:rPr>
            <w:t>©</w:t>
          </w:r>
          <w:r>
            <w:t xml:space="preserve"> Commonwealth of Australia [add year]</w:t>
          </w:r>
        </w:p>
        <w:p w:rsidR="00136782" w:rsidRDefault="00136782" w:rsidP="006E08B3"/>
        <w:p w:rsidR="00136782" w:rsidRDefault="0013678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36782" w:rsidRDefault="00136782" w:rsidP="006E08B3"/>
        <w:p w:rsidR="00136782" w:rsidRDefault="00136782" w:rsidP="006E08B3">
          <w:pPr>
            <w:pStyle w:val="Heading3"/>
          </w:pPr>
          <w:r>
            <w:t>Confidentiality</w:t>
          </w:r>
        </w:p>
        <w:p w:rsidR="00136782" w:rsidRDefault="0013678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36782" w:rsidRDefault="00136782" w:rsidP="006E08B3"/>
        <w:p w:rsidR="00136782" w:rsidRDefault="00136782" w:rsidP="006E08B3">
          <w:r>
            <w:t>For submission made by individuals, all personal details, other than your name, will be removed from your submission before it is published on the TGA’s Internet site.</w:t>
          </w:r>
        </w:p>
        <w:p w:rsidR="00136782" w:rsidRDefault="00136782" w:rsidP="006E08B3"/>
        <w:p w:rsidR="00136782" w:rsidRDefault="00136782" w:rsidP="006E08B3">
          <w:r>
            <w:t>In addition, a list of parties making submissions will be published. If you do not wish to be identified with your submission you must specifically request this in the space provided ib the submission coversheet.</w:t>
          </w:r>
        </w:p>
      </w:tc>
    </w:tr>
    <w:tr w:rsidR="00136782" w:rsidTr="0010601F">
      <w:trPr>
        <w:trHeight w:val="417"/>
      </w:trPr>
      <w:tc>
        <w:tcPr>
          <w:tcW w:w="4519" w:type="dxa"/>
          <w:tcBorders>
            <w:top w:val="single" w:sz="4" w:space="0" w:color="auto"/>
          </w:tcBorders>
          <w:tcMar>
            <w:top w:w="142" w:type="dxa"/>
            <w:bottom w:w="0" w:type="dxa"/>
          </w:tcMar>
        </w:tcPr>
        <w:p w:rsidR="00136782" w:rsidRDefault="00136782" w:rsidP="006E08B3">
          <w:r>
            <w:t>Document title, Part #, Section # - Section title</w:t>
          </w:r>
        </w:p>
        <w:p w:rsidR="00136782" w:rsidRDefault="00136782" w:rsidP="006E08B3">
          <w:r>
            <w:t>V1.0 October 2010</w:t>
          </w:r>
        </w:p>
      </w:tc>
      <w:tc>
        <w:tcPr>
          <w:tcW w:w="4356" w:type="dxa"/>
          <w:tcBorders>
            <w:top w:val="single" w:sz="4" w:space="0" w:color="auto"/>
          </w:tcBorders>
          <w:tcMar>
            <w:top w:w="142" w:type="dxa"/>
            <w:bottom w:w="0" w:type="dxa"/>
          </w:tcMar>
        </w:tcPr>
        <w:p w:rsidR="00136782" w:rsidRDefault="00136782" w:rsidP="006E08B3">
          <w:pPr>
            <w:jc w:val="right"/>
          </w:pPr>
          <w:r>
            <w:t xml:space="preserve">Page </w:t>
          </w:r>
          <w:fldSimple w:instr=" PAGE   \* MERGEFORMAT ">
            <w:r>
              <w:rPr>
                <w:noProof/>
              </w:rPr>
              <w:t>1</w:t>
            </w:r>
          </w:fldSimple>
          <w:r>
            <w:t xml:space="preserve"> of </w:t>
          </w:r>
          <w:fldSimple w:instr=" NUMPAGES  \* Arabic ">
            <w:r>
              <w:rPr>
                <w:noProof/>
              </w:rPr>
              <w:t>37</w:t>
            </w:r>
          </w:fldSimple>
          <w:r>
            <w:t xml:space="preserve">  </w:t>
          </w:r>
        </w:p>
      </w:tc>
    </w:tr>
  </w:tbl>
  <w:p w:rsidR="00136782" w:rsidRDefault="0013678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F69" w:rsidRDefault="00165F69" w:rsidP="00C40A36">
      <w:pPr>
        <w:spacing w:after="0"/>
      </w:pPr>
      <w:r>
        <w:separator/>
      </w:r>
    </w:p>
  </w:footnote>
  <w:footnote w:type="continuationSeparator" w:id="0">
    <w:p w:rsidR="00165F69" w:rsidRDefault="00165F69" w:rsidP="00C40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82" w:rsidRDefault="00136782"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82" w:rsidRDefault="006B2E6E">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136782" w:rsidRDefault="00AA6927" w:rsidP="00593AD1">
    <w:pPr>
      <w:pStyle w:val="HeaderNoLine"/>
    </w:pPr>
    <w:r>
      <w:rPr>
        <w:noProof/>
        <w:lang w:eastAsia="en-AU"/>
      </w:rPr>
      <w:pict>
        <v:shape id="_x0000_i1025" type="#_x0000_t75" alt="Lightblue.jpg" style="width:425.1pt;height:601.4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82" w:rsidRDefault="0013678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82" w:rsidRDefault="00136782">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82" w:rsidRDefault="00136782">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82" w:rsidRDefault="0013678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82" w:rsidRDefault="00136782" w:rsidP="008D770F">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82" w:rsidRDefault="00136782" w:rsidP="006E08B3">
    <w:r>
      <w:t>Therapeutic Goods Administration</w:t>
    </w:r>
  </w:p>
  <w:p w:rsidR="00136782" w:rsidRDefault="00136782"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F14"/>
    <w:multiLevelType w:val="hybridMultilevel"/>
    <w:tmpl w:val="A766806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nsid w:val="07125BC1"/>
    <w:multiLevelType w:val="hybridMultilevel"/>
    <w:tmpl w:val="0DD65002"/>
    <w:lvl w:ilvl="0" w:tplc="8F505154">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nsid w:val="0C4849E2"/>
    <w:multiLevelType w:val="hybridMultilevel"/>
    <w:tmpl w:val="35E2A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C940F96"/>
    <w:multiLevelType w:val="hybridMultilevel"/>
    <w:tmpl w:val="66900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66350B3"/>
    <w:multiLevelType w:val="hybridMultilevel"/>
    <w:tmpl w:val="78C23EDC"/>
    <w:lvl w:ilvl="0" w:tplc="47749C2E">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
    <w:nsid w:val="2C143FC3"/>
    <w:multiLevelType w:val="hybridMultilevel"/>
    <w:tmpl w:val="DC705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66740A"/>
    <w:multiLevelType w:val="hybridMultilevel"/>
    <w:tmpl w:val="4AC4A154"/>
    <w:lvl w:ilvl="0" w:tplc="0C090001">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nsid w:val="37160153"/>
    <w:multiLevelType w:val="hybridMultilevel"/>
    <w:tmpl w:val="D706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724E65"/>
    <w:multiLevelType w:val="hybridMultilevel"/>
    <w:tmpl w:val="7688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02909"/>
    <w:multiLevelType w:val="hybridMultilevel"/>
    <w:tmpl w:val="0BF2B618"/>
    <w:lvl w:ilvl="0" w:tplc="0C090001">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3">
    <w:nsid w:val="49075300"/>
    <w:multiLevelType w:val="hybridMultilevel"/>
    <w:tmpl w:val="F0104E30"/>
    <w:lvl w:ilvl="0" w:tplc="3B7698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BEA1446"/>
    <w:multiLevelType w:val="hybridMultilevel"/>
    <w:tmpl w:val="FF341B5E"/>
    <w:lvl w:ilvl="0" w:tplc="8F5051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71D2954"/>
    <w:multiLevelType w:val="hybridMultilevel"/>
    <w:tmpl w:val="7E4CCD20"/>
    <w:lvl w:ilvl="0" w:tplc="1D1E80C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6">
    <w:nsid w:val="58591481"/>
    <w:multiLevelType w:val="hybridMultilevel"/>
    <w:tmpl w:val="A3F21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A046966"/>
    <w:multiLevelType w:val="multilevel"/>
    <w:tmpl w:val="84C61C6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D0B1B75"/>
    <w:multiLevelType w:val="multilevel"/>
    <w:tmpl w:val="D3FAAFB8"/>
    <w:lvl w:ilvl="0">
      <w:start w:val="1"/>
      <w:numFmt w:val="decimal"/>
      <w:pStyle w:val="Heading2"/>
      <w:lvlText w:val="%1."/>
      <w:lvlJc w:val="left"/>
      <w:pPr>
        <w:tabs>
          <w:tab w:val="num" w:pos="4679"/>
        </w:tabs>
        <w:ind w:left="4679"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9">
    <w:nsid w:val="6D214E8B"/>
    <w:multiLevelType w:val="hybridMultilevel"/>
    <w:tmpl w:val="4426C4F8"/>
    <w:lvl w:ilvl="0" w:tplc="0310CC48">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0">
    <w:nsid w:val="79BB5903"/>
    <w:multiLevelType w:val="hybridMultilevel"/>
    <w:tmpl w:val="0A549CE8"/>
    <w:lvl w:ilvl="0" w:tplc="E8025B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num>
  <w:num w:numId="4">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18"/>
  </w:num>
  <w:num w:numId="6">
    <w:abstractNumId w:val="0"/>
  </w:num>
  <w:num w:numId="7">
    <w:abstractNumId w:val="9"/>
  </w:num>
  <w:num w:numId="8">
    <w:abstractNumId w:val="12"/>
  </w:num>
  <w:num w:numId="9">
    <w:abstractNumId w:val="1"/>
  </w:num>
  <w:num w:numId="10">
    <w:abstractNumId w:val="20"/>
  </w:num>
  <w:num w:numId="11">
    <w:abstractNumId w:val="11"/>
  </w:num>
  <w:num w:numId="12">
    <w:abstractNumId w:val="19"/>
  </w:num>
  <w:num w:numId="13">
    <w:abstractNumId w:val="2"/>
  </w:num>
  <w:num w:numId="14">
    <w:abstractNumId w:val="6"/>
  </w:num>
  <w:num w:numId="15">
    <w:abstractNumId w:val="10"/>
  </w:num>
  <w:num w:numId="16">
    <w:abstractNumId w:val="14"/>
  </w:num>
  <w:num w:numId="17">
    <w:abstractNumId w:val="3"/>
  </w:num>
  <w:num w:numId="18">
    <w:abstractNumId w:val="13"/>
  </w:num>
  <w:num w:numId="19">
    <w:abstractNumId w:val="15"/>
  </w:num>
  <w:num w:numId="20">
    <w:abstractNumId w:val="16"/>
  </w:num>
  <w:num w:numId="21">
    <w:abstractNumId w:val="7"/>
  </w:num>
  <w:num w:numId="22">
    <w:abstractNumId w:val="8"/>
  </w:num>
  <w:num w:numId="23">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displayBackgroundShape/>
  <w:proofState w:spelling="clean" w:grammar="clean"/>
  <w:stylePaneFormatFilter w:val="1008"/>
  <w:stylePaneSortMethod w:val="0000"/>
  <w:defaultTabStop w:val="720"/>
  <w:drawingGridHorizontalSpacing w:val="110"/>
  <w:displayHorizontalDrawingGridEvery w:val="2"/>
  <w:characterSpacingControl w:val="doNotCompress"/>
  <w:hdrShapeDefaults>
    <o:shapedefaults v:ext="edit" spidmax="49154">
      <o:colormenu v:ext="edit" fillcolor="none [3206]"/>
    </o:shapedefaults>
    <o:shapelayout v:ext="edit">
      <o:idmap v:ext="edit" data="46"/>
    </o:shapelayout>
  </w:hdrShapeDefaults>
  <w:footnotePr>
    <w:footnote w:id="-1"/>
    <w:footnote w:id="0"/>
  </w:footnotePr>
  <w:endnotePr>
    <w:endnote w:id="-1"/>
    <w:endnote w:id="0"/>
  </w:endnotePr>
  <w:compat/>
  <w:rsids>
    <w:rsidRoot w:val="00AC25BB"/>
    <w:rsid w:val="00002031"/>
    <w:rsid w:val="00004734"/>
    <w:rsid w:val="00006B22"/>
    <w:rsid w:val="0001276A"/>
    <w:rsid w:val="00016E1B"/>
    <w:rsid w:val="000246AE"/>
    <w:rsid w:val="00025C67"/>
    <w:rsid w:val="00040ACB"/>
    <w:rsid w:val="0005559E"/>
    <w:rsid w:val="00077775"/>
    <w:rsid w:val="00090471"/>
    <w:rsid w:val="000A3AED"/>
    <w:rsid w:val="000A63AF"/>
    <w:rsid w:val="000B3532"/>
    <w:rsid w:val="000B3A75"/>
    <w:rsid w:val="000C690F"/>
    <w:rsid w:val="000D1295"/>
    <w:rsid w:val="000D391B"/>
    <w:rsid w:val="000D3D6D"/>
    <w:rsid w:val="000D4FC7"/>
    <w:rsid w:val="000F02F9"/>
    <w:rsid w:val="000F4869"/>
    <w:rsid w:val="000F5B42"/>
    <w:rsid w:val="000F6E6F"/>
    <w:rsid w:val="0010152A"/>
    <w:rsid w:val="00104613"/>
    <w:rsid w:val="0010601F"/>
    <w:rsid w:val="0010788A"/>
    <w:rsid w:val="00107A31"/>
    <w:rsid w:val="00110EA5"/>
    <w:rsid w:val="00112F56"/>
    <w:rsid w:val="00125318"/>
    <w:rsid w:val="001305A2"/>
    <w:rsid w:val="00133238"/>
    <w:rsid w:val="00136782"/>
    <w:rsid w:val="0014197B"/>
    <w:rsid w:val="001447CD"/>
    <w:rsid w:val="001516B1"/>
    <w:rsid w:val="00152865"/>
    <w:rsid w:val="001529F1"/>
    <w:rsid w:val="00154EBB"/>
    <w:rsid w:val="00156316"/>
    <w:rsid w:val="00165389"/>
    <w:rsid w:val="00165F69"/>
    <w:rsid w:val="0017078F"/>
    <w:rsid w:val="0017693F"/>
    <w:rsid w:val="0018110E"/>
    <w:rsid w:val="00181684"/>
    <w:rsid w:val="001843C6"/>
    <w:rsid w:val="001850E0"/>
    <w:rsid w:val="001A2158"/>
    <w:rsid w:val="001A525F"/>
    <w:rsid w:val="001B09F9"/>
    <w:rsid w:val="001B6448"/>
    <w:rsid w:val="001E07CF"/>
    <w:rsid w:val="001E3897"/>
    <w:rsid w:val="001E59F1"/>
    <w:rsid w:val="001F49EB"/>
    <w:rsid w:val="001F6CBA"/>
    <w:rsid w:val="00201D4E"/>
    <w:rsid w:val="002076C9"/>
    <w:rsid w:val="00220B8A"/>
    <w:rsid w:val="002257F3"/>
    <w:rsid w:val="00233456"/>
    <w:rsid w:val="002339A5"/>
    <w:rsid w:val="00257848"/>
    <w:rsid w:val="002666AC"/>
    <w:rsid w:val="0027084A"/>
    <w:rsid w:val="00286434"/>
    <w:rsid w:val="00286C59"/>
    <w:rsid w:val="00292113"/>
    <w:rsid w:val="002942D1"/>
    <w:rsid w:val="0029501A"/>
    <w:rsid w:val="00295FD4"/>
    <w:rsid w:val="002A418E"/>
    <w:rsid w:val="002B1638"/>
    <w:rsid w:val="002C63ED"/>
    <w:rsid w:val="002D6161"/>
    <w:rsid w:val="002E4C9A"/>
    <w:rsid w:val="002F11F8"/>
    <w:rsid w:val="002F3F56"/>
    <w:rsid w:val="002F44B5"/>
    <w:rsid w:val="00311AC0"/>
    <w:rsid w:val="00324D05"/>
    <w:rsid w:val="0032583B"/>
    <w:rsid w:val="00327883"/>
    <w:rsid w:val="00335504"/>
    <w:rsid w:val="003521E8"/>
    <w:rsid w:val="003728F3"/>
    <w:rsid w:val="0037496E"/>
    <w:rsid w:val="0037623D"/>
    <w:rsid w:val="00386150"/>
    <w:rsid w:val="003874CE"/>
    <w:rsid w:val="00390900"/>
    <w:rsid w:val="003A7F6C"/>
    <w:rsid w:val="003B1113"/>
    <w:rsid w:val="003B4D60"/>
    <w:rsid w:val="003B634F"/>
    <w:rsid w:val="003B7E39"/>
    <w:rsid w:val="003C58DC"/>
    <w:rsid w:val="003D0A3B"/>
    <w:rsid w:val="003D1E62"/>
    <w:rsid w:val="003E2486"/>
    <w:rsid w:val="003E3208"/>
    <w:rsid w:val="003F0B04"/>
    <w:rsid w:val="0040134E"/>
    <w:rsid w:val="00415D59"/>
    <w:rsid w:val="00425E5E"/>
    <w:rsid w:val="0043797D"/>
    <w:rsid w:val="00440A2D"/>
    <w:rsid w:val="004564A7"/>
    <w:rsid w:val="004617BF"/>
    <w:rsid w:val="004626E1"/>
    <w:rsid w:val="00463658"/>
    <w:rsid w:val="004722CC"/>
    <w:rsid w:val="004936E4"/>
    <w:rsid w:val="00494E60"/>
    <w:rsid w:val="00497487"/>
    <w:rsid w:val="004A7E13"/>
    <w:rsid w:val="004B7B76"/>
    <w:rsid w:val="004C2DCA"/>
    <w:rsid w:val="004F0F38"/>
    <w:rsid w:val="004F2943"/>
    <w:rsid w:val="00501921"/>
    <w:rsid w:val="005232BB"/>
    <w:rsid w:val="00530354"/>
    <w:rsid w:val="00534BB4"/>
    <w:rsid w:val="0053625B"/>
    <w:rsid w:val="005434C6"/>
    <w:rsid w:val="00543B39"/>
    <w:rsid w:val="00550096"/>
    <w:rsid w:val="00557FF9"/>
    <w:rsid w:val="00576378"/>
    <w:rsid w:val="00577945"/>
    <w:rsid w:val="00577E38"/>
    <w:rsid w:val="00585322"/>
    <w:rsid w:val="005857C6"/>
    <w:rsid w:val="00586F98"/>
    <w:rsid w:val="00592F6E"/>
    <w:rsid w:val="00593AD1"/>
    <w:rsid w:val="005A4A31"/>
    <w:rsid w:val="005A68B6"/>
    <w:rsid w:val="005C5570"/>
    <w:rsid w:val="005C79A4"/>
    <w:rsid w:val="005D4741"/>
    <w:rsid w:val="005D5442"/>
    <w:rsid w:val="00603F32"/>
    <w:rsid w:val="0061143C"/>
    <w:rsid w:val="00632398"/>
    <w:rsid w:val="00640FC3"/>
    <w:rsid w:val="00642020"/>
    <w:rsid w:val="00646206"/>
    <w:rsid w:val="0065337B"/>
    <w:rsid w:val="0065419D"/>
    <w:rsid w:val="006604D8"/>
    <w:rsid w:val="00664A5B"/>
    <w:rsid w:val="006763D2"/>
    <w:rsid w:val="00680C08"/>
    <w:rsid w:val="006931B1"/>
    <w:rsid w:val="006A15C0"/>
    <w:rsid w:val="006B2E6E"/>
    <w:rsid w:val="006C130C"/>
    <w:rsid w:val="006C3E2A"/>
    <w:rsid w:val="006C642F"/>
    <w:rsid w:val="006D03E5"/>
    <w:rsid w:val="006D5D3E"/>
    <w:rsid w:val="006E08B3"/>
    <w:rsid w:val="006F17AC"/>
    <w:rsid w:val="006F1D37"/>
    <w:rsid w:val="006F2796"/>
    <w:rsid w:val="006F572E"/>
    <w:rsid w:val="007046D6"/>
    <w:rsid w:val="00705DB0"/>
    <w:rsid w:val="0071129C"/>
    <w:rsid w:val="00715772"/>
    <w:rsid w:val="00722B57"/>
    <w:rsid w:val="0074253D"/>
    <w:rsid w:val="0074429B"/>
    <w:rsid w:val="007513B4"/>
    <w:rsid w:val="007615BC"/>
    <w:rsid w:val="00762F05"/>
    <w:rsid w:val="007652FF"/>
    <w:rsid w:val="00770EF1"/>
    <w:rsid w:val="00773EF7"/>
    <w:rsid w:val="00774E1D"/>
    <w:rsid w:val="0077675A"/>
    <w:rsid w:val="00780355"/>
    <w:rsid w:val="00785721"/>
    <w:rsid w:val="00793A59"/>
    <w:rsid w:val="0079497B"/>
    <w:rsid w:val="007B6E9F"/>
    <w:rsid w:val="007C1216"/>
    <w:rsid w:val="007C1AF7"/>
    <w:rsid w:val="007E6E27"/>
    <w:rsid w:val="007F5A62"/>
    <w:rsid w:val="008028EB"/>
    <w:rsid w:val="00805D27"/>
    <w:rsid w:val="00821776"/>
    <w:rsid w:val="008321F5"/>
    <w:rsid w:val="00832369"/>
    <w:rsid w:val="00834660"/>
    <w:rsid w:val="00836BC2"/>
    <w:rsid w:val="008414A0"/>
    <w:rsid w:val="00850EE2"/>
    <w:rsid w:val="0085641B"/>
    <w:rsid w:val="00857136"/>
    <w:rsid w:val="00876647"/>
    <w:rsid w:val="00886D15"/>
    <w:rsid w:val="00887DD8"/>
    <w:rsid w:val="00896018"/>
    <w:rsid w:val="008960DD"/>
    <w:rsid w:val="0089635C"/>
    <w:rsid w:val="008A2B9D"/>
    <w:rsid w:val="008A5E0B"/>
    <w:rsid w:val="008A6D59"/>
    <w:rsid w:val="008B291B"/>
    <w:rsid w:val="008B4B03"/>
    <w:rsid w:val="008B596F"/>
    <w:rsid w:val="008B5A3E"/>
    <w:rsid w:val="008C159F"/>
    <w:rsid w:val="008C1623"/>
    <w:rsid w:val="008C1850"/>
    <w:rsid w:val="008C51A9"/>
    <w:rsid w:val="008D770F"/>
    <w:rsid w:val="008E00F2"/>
    <w:rsid w:val="008E7846"/>
    <w:rsid w:val="008F1CCC"/>
    <w:rsid w:val="008F2967"/>
    <w:rsid w:val="008F6943"/>
    <w:rsid w:val="00902A21"/>
    <w:rsid w:val="00920330"/>
    <w:rsid w:val="009219D7"/>
    <w:rsid w:val="00922D53"/>
    <w:rsid w:val="00923B70"/>
    <w:rsid w:val="00924482"/>
    <w:rsid w:val="00930237"/>
    <w:rsid w:val="00946EA5"/>
    <w:rsid w:val="0095160F"/>
    <w:rsid w:val="00963C08"/>
    <w:rsid w:val="0098585A"/>
    <w:rsid w:val="0098669D"/>
    <w:rsid w:val="009A4CED"/>
    <w:rsid w:val="009A690D"/>
    <w:rsid w:val="009B1D12"/>
    <w:rsid w:val="009B416B"/>
    <w:rsid w:val="009C4BD5"/>
    <w:rsid w:val="009D7B77"/>
    <w:rsid w:val="009E0BB0"/>
    <w:rsid w:val="009E3FBB"/>
    <w:rsid w:val="00A102E4"/>
    <w:rsid w:val="00A12C42"/>
    <w:rsid w:val="00A14DF7"/>
    <w:rsid w:val="00A235D9"/>
    <w:rsid w:val="00A23E93"/>
    <w:rsid w:val="00A3246D"/>
    <w:rsid w:val="00A36FA7"/>
    <w:rsid w:val="00A475B7"/>
    <w:rsid w:val="00A47AF7"/>
    <w:rsid w:val="00A47C3E"/>
    <w:rsid w:val="00A50226"/>
    <w:rsid w:val="00A60BAD"/>
    <w:rsid w:val="00A71154"/>
    <w:rsid w:val="00A964D1"/>
    <w:rsid w:val="00AA0ED0"/>
    <w:rsid w:val="00AA3499"/>
    <w:rsid w:val="00AA6927"/>
    <w:rsid w:val="00AC25BB"/>
    <w:rsid w:val="00AC2B40"/>
    <w:rsid w:val="00AC2BB2"/>
    <w:rsid w:val="00AC2C3C"/>
    <w:rsid w:val="00AC512D"/>
    <w:rsid w:val="00AE01C2"/>
    <w:rsid w:val="00AE65EB"/>
    <w:rsid w:val="00AE67A7"/>
    <w:rsid w:val="00AF1D94"/>
    <w:rsid w:val="00AF60C5"/>
    <w:rsid w:val="00B009C6"/>
    <w:rsid w:val="00B01548"/>
    <w:rsid w:val="00B02208"/>
    <w:rsid w:val="00B047B7"/>
    <w:rsid w:val="00B1425E"/>
    <w:rsid w:val="00B21D29"/>
    <w:rsid w:val="00B25034"/>
    <w:rsid w:val="00B33588"/>
    <w:rsid w:val="00B33863"/>
    <w:rsid w:val="00B37D17"/>
    <w:rsid w:val="00B4175E"/>
    <w:rsid w:val="00B452CE"/>
    <w:rsid w:val="00B54C25"/>
    <w:rsid w:val="00B62547"/>
    <w:rsid w:val="00B76B91"/>
    <w:rsid w:val="00B77EB1"/>
    <w:rsid w:val="00B811C6"/>
    <w:rsid w:val="00B85A87"/>
    <w:rsid w:val="00B92E08"/>
    <w:rsid w:val="00B96EBE"/>
    <w:rsid w:val="00BC622A"/>
    <w:rsid w:val="00BD45E3"/>
    <w:rsid w:val="00BE0A78"/>
    <w:rsid w:val="00BE6252"/>
    <w:rsid w:val="00BE79F0"/>
    <w:rsid w:val="00BF046D"/>
    <w:rsid w:val="00BF1190"/>
    <w:rsid w:val="00BF5D04"/>
    <w:rsid w:val="00C1164D"/>
    <w:rsid w:val="00C16861"/>
    <w:rsid w:val="00C22678"/>
    <w:rsid w:val="00C404A6"/>
    <w:rsid w:val="00C40A36"/>
    <w:rsid w:val="00C44419"/>
    <w:rsid w:val="00C45E7B"/>
    <w:rsid w:val="00C471B1"/>
    <w:rsid w:val="00C618F7"/>
    <w:rsid w:val="00C6316B"/>
    <w:rsid w:val="00C634A9"/>
    <w:rsid w:val="00C64586"/>
    <w:rsid w:val="00C70D53"/>
    <w:rsid w:val="00C73D0B"/>
    <w:rsid w:val="00C772FF"/>
    <w:rsid w:val="00C801AF"/>
    <w:rsid w:val="00C80256"/>
    <w:rsid w:val="00C811C0"/>
    <w:rsid w:val="00CB6BC0"/>
    <w:rsid w:val="00CC1B7C"/>
    <w:rsid w:val="00CC727F"/>
    <w:rsid w:val="00CF15C3"/>
    <w:rsid w:val="00CF2B6F"/>
    <w:rsid w:val="00CF58B6"/>
    <w:rsid w:val="00D017ED"/>
    <w:rsid w:val="00D040D3"/>
    <w:rsid w:val="00D04C65"/>
    <w:rsid w:val="00D224FE"/>
    <w:rsid w:val="00D42840"/>
    <w:rsid w:val="00D53A31"/>
    <w:rsid w:val="00D6493E"/>
    <w:rsid w:val="00D7301E"/>
    <w:rsid w:val="00D83AE1"/>
    <w:rsid w:val="00D855D4"/>
    <w:rsid w:val="00D93466"/>
    <w:rsid w:val="00DA1124"/>
    <w:rsid w:val="00DB75B7"/>
    <w:rsid w:val="00DC6E02"/>
    <w:rsid w:val="00DE02AE"/>
    <w:rsid w:val="00DF1D7F"/>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624A5"/>
    <w:rsid w:val="00E654ED"/>
    <w:rsid w:val="00E67B18"/>
    <w:rsid w:val="00E7344E"/>
    <w:rsid w:val="00E936E3"/>
    <w:rsid w:val="00EA6773"/>
    <w:rsid w:val="00EB0798"/>
    <w:rsid w:val="00EB40AD"/>
    <w:rsid w:val="00EB586E"/>
    <w:rsid w:val="00EB5FC8"/>
    <w:rsid w:val="00EC2C88"/>
    <w:rsid w:val="00ED1990"/>
    <w:rsid w:val="00ED3CAD"/>
    <w:rsid w:val="00ED5A41"/>
    <w:rsid w:val="00EE1DE8"/>
    <w:rsid w:val="00EF1D6C"/>
    <w:rsid w:val="00F033EC"/>
    <w:rsid w:val="00F04F68"/>
    <w:rsid w:val="00F12670"/>
    <w:rsid w:val="00F14B27"/>
    <w:rsid w:val="00F16E69"/>
    <w:rsid w:val="00F2518B"/>
    <w:rsid w:val="00F3148D"/>
    <w:rsid w:val="00F325C5"/>
    <w:rsid w:val="00F32FE0"/>
    <w:rsid w:val="00F35298"/>
    <w:rsid w:val="00F47333"/>
    <w:rsid w:val="00F47E37"/>
    <w:rsid w:val="00F53C07"/>
    <w:rsid w:val="00F54B65"/>
    <w:rsid w:val="00F640B6"/>
    <w:rsid w:val="00F80E40"/>
    <w:rsid w:val="00F848D9"/>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8028EB"/>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152865"/>
    <w:pPr>
      <w:keepNext/>
      <w:keepLines/>
      <w:numPr>
        <w:numId w:val="5"/>
      </w:numPr>
      <w:adjustRightInd w:val="0"/>
      <w:snapToGrid w:val="0"/>
      <w:spacing w:before="480"/>
      <w:ind w:left="567"/>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qFormat/>
    <w:rsid w:val="00534BB4"/>
    <w:pPr>
      <w:keepNext/>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outlineLvl w:val="7"/>
    </w:pPr>
    <w:rPr>
      <w:rFonts w:ascii="Times New Roman" w:eastAsia="Times New Roman" w:hAnsi="Times New Roman"/>
      <w:i/>
      <w:iCs/>
      <w:kern w:val="16"/>
      <w:sz w:val="24"/>
      <w:szCs w:val="24"/>
      <w:u w:val="single"/>
      <w:lang w:eastAsia="en-AU"/>
    </w:rPr>
  </w:style>
  <w:style w:type="paragraph" w:styleId="Heading9">
    <w:name w:val="heading 9"/>
    <w:basedOn w:val="Normal"/>
    <w:next w:val="Normal"/>
    <w:link w:val="Heading9Char"/>
    <w:qFormat/>
    <w:rsid w:val="00534BB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outlineLvl w:val="8"/>
    </w:pPr>
    <w:rPr>
      <w:rFonts w:ascii="Times New Roman" w:eastAsia="Times New Roman" w:hAnsi="Times New Roman" w:cs="Arial"/>
      <w:i/>
      <w:kern w:val="16"/>
      <w:sz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152865"/>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0F02F9"/>
    <w:rPr>
      <w:rFonts w:ascii="Cambria" w:eastAsia="Times New Roman" w:hAnsi="Cambria" w:cs="Times New Roman"/>
      <w:bCs/>
      <w:i/>
      <w:szCs w:val="21"/>
    </w:rPr>
  </w:style>
  <w:style w:type="character" w:customStyle="1" w:styleId="Heading7Char">
    <w:name w:val="Heading 7 Char"/>
    <w:basedOn w:val="DefaultParagraphFont"/>
    <w:link w:val="Heading7"/>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4626E1"/>
    <w:pPr>
      <w:spacing w:before="0" w:after="0" w:line="240" w:lineRule="auto"/>
    </w:pPr>
    <w:rPr>
      <w:sz w:val="18"/>
      <w:szCs w:val="18"/>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Abbreviations">
    <w:name w:val="Abbreviations"/>
    <w:basedOn w:val="Normal"/>
    <w:rsid w:val="00534BB4"/>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4"/>
      <w:szCs w:val="24"/>
      <w:lang w:eastAsia="en-AU"/>
    </w:rPr>
  </w:style>
  <w:style w:type="paragraph" w:customStyle="1" w:styleId="Bullet1">
    <w:name w:val="Bullet 1"/>
    <w:basedOn w:val="Normal"/>
    <w:rsid w:val="00534BB4"/>
    <w:pPr>
      <w:numPr>
        <w:numId w:val="7"/>
      </w:numPr>
      <w:spacing w:after="0" w:line="240" w:lineRule="auto"/>
    </w:pPr>
    <w:rPr>
      <w:rFonts w:ascii="Times New Roman" w:eastAsia="Times New Roman" w:hAnsi="Times New Roman"/>
      <w:kern w:val="24"/>
      <w:sz w:val="24"/>
      <w:szCs w:val="24"/>
      <w:lang w:eastAsia="en-AU"/>
    </w:rPr>
  </w:style>
  <w:style w:type="paragraph" w:customStyle="1" w:styleId="Bullet2">
    <w:name w:val="Bullet 2"/>
    <w:basedOn w:val="Bullet1"/>
    <w:rsid w:val="00534BB4"/>
    <w:pPr>
      <w:numPr>
        <w:numId w:val="8"/>
      </w:numPr>
    </w:pPr>
  </w:style>
  <w:style w:type="paragraph" w:styleId="ListParagraph">
    <w:name w:val="List Paragraph"/>
    <w:basedOn w:val="Normal"/>
    <w:uiPriority w:val="34"/>
    <w:qFormat/>
    <w:rsid w:val="00534B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Heading8Char">
    <w:name w:val="Heading 8 Char"/>
    <w:basedOn w:val="DefaultParagraphFont"/>
    <w:link w:val="Heading8"/>
    <w:rsid w:val="00534BB4"/>
    <w:rPr>
      <w:rFonts w:ascii="Times New Roman" w:eastAsia="Times New Roman" w:hAnsi="Times New Roman" w:cs="Times New Roman"/>
      <w:i/>
      <w:iCs/>
      <w:kern w:val="16"/>
      <w:sz w:val="24"/>
      <w:szCs w:val="24"/>
      <w:u w:val="single"/>
      <w:lang w:eastAsia="en-AU"/>
    </w:rPr>
  </w:style>
  <w:style w:type="character" w:customStyle="1" w:styleId="Heading9Char">
    <w:name w:val="Heading 9 Char"/>
    <w:basedOn w:val="DefaultParagraphFont"/>
    <w:link w:val="Heading9"/>
    <w:rsid w:val="00534BB4"/>
    <w:rPr>
      <w:rFonts w:ascii="Times New Roman" w:eastAsia="Times New Roman" w:hAnsi="Times New Roman" w:cs="Arial"/>
      <w:i/>
      <w:kern w:val="16"/>
      <w:sz w:val="24"/>
      <w:lang w:eastAsia="en-AU"/>
    </w:rPr>
  </w:style>
  <w:style w:type="paragraph" w:customStyle="1" w:styleId="Heading0inTOC">
    <w:name w:val="Heading 0 (in TOC)"/>
    <w:basedOn w:val="Heading1"/>
    <w:next w:val="Normal"/>
    <w:rsid w:val="00534BB4"/>
    <w:pPr>
      <w:keepLines w:val="0"/>
      <w:numPr>
        <w:numId w:val="0"/>
      </w:numPr>
      <w:tabs>
        <w:tab w:val="left" w:pos="567"/>
      </w:tabs>
      <w:adjustRightInd/>
      <w:snapToGrid/>
      <w:spacing w:before="0" w:after="120" w:line="240" w:lineRule="auto"/>
    </w:pPr>
    <w:rPr>
      <w:rFonts w:ascii="Arial" w:hAnsi="Arial" w:cs="Times New Roman"/>
      <w:bCs w:val="0"/>
      <w:kern w:val="16"/>
      <w:sz w:val="28"/>
      <w:szCs w:val="24"/>
      <w:lang w:eastAsia="en-AU"/>
    </w:rPr>
  </w:style>
  <w:style w:type="character" w:styleId="PageNumber">
    <w:name w:val="page number"/>
    <w:basedOn w:val="DefaultParagraphFont"/>
    <w:rsid w:val="00534BB4"/>
    <w:rPr>
      <w:sz w:val="20"/>
    </w:rPr>
  </w:style>
  <w:style w:type="paragraph" w:customStyle="1" w:styleId="TableBullet">
    <w:name w:val="Table Bullet"/>
    <w:basedOn w:val="Normal"/>
    <w:rsid w:val="00534BB4"/>
    <w:pPr>
      <w:numPr>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4"/>
      <w:lang w:eastAsia="en-AU"/>
    </w:rPr>
  </w:style>
  <w:style w:type="paragraph" w:styleId="TOC4">
    <w:name w:val="toc 4"/>
    <w:basedOn w:val="Normal"/>
    <w:next w:val="Normal"/>
    <w:uiPriority w:val="39"/>
    <w:rsid w:val="00534BB4"/>
    <w:pPr>
      <w:tabs>
        <w:tab w:val="left" w:pos="1247"/>
        <w:tab w:val="right" w:leader="dot" w:pos="9356"/>
      </w:tabs>
      <w:spacing w:before="0" w:after="0" w:line="240" w:lineRule="auto"/>
      <w:ind w:left="1247" w:hanging="907"/>
    </w:pPr>
    <w:rPr>
      <w:rFonts w:ascii="Times New Roman" w:eastAsia="Times New Roman" w:hAnsi="Times New Roman"/>
      <w:kern w:val="16"/>
      <w:sz w:val="20"/>
      <w:szCs w:val="24"/>
      <w:lang w:eastAsia="en-AU"/>
    </w:rPr>
  </w:style>
  <w:style w:type="paragraph" w:styleId="TOC5">
    <w:name w:val="toc 5"/>
    <w:basedOn w:val="Normal"/>
    <w:next w:val="Normal"/>
    <w:uiPriority w:val="39"/>
    <w:rsid w:val="00534BB4"/>
    <w:pPr>
      <w:spacing w:before="0" w:after="0" w:line="240" w:lineRule="auto"/>
      <w:ind w:left="960"/>
    </w:pPr>
    <w:rPr>
      <w:rFonts w:ascii="Times New Roman" w:eastAsia="Times New Roman" w:hAnsi="Times New Roman"/>
      <w:kern w:val="16"/>
      <w:sz w:val="20"/>
      <w:szCs w:val="24"/>
      <w:lang w:eastAsia="en-AU"/>
    </w:rPr>
  </w:style>
  <w:style w:type="paragraph" w:styleId="TOC6">
    <w:name w:val="toc 6"/>
    <w:basedOn w:val="Normal"/>
    <w:next w:val="Normal"/>
    <w:uiPriority w:val="39"/>
    <w:rsid w:val="00534BB4"/>
    <w:pPr>
      <w:spacing w:before="0" w:after="0" w:line="240" w:lineRule="auto"/>
      <w:ind w:left="1200"/>
    </w:pPr>
    <w:rPr>
      <w:rFonts w:ascii="Times New Roman" w:eastAsia="Times New Roman" w:hAnsi="Times New Roman"/>
      <w:kern w:val="16"/>
      <w:sz w:val="20"/>
      <w:szCs w:val="24"/>
      <w:lang w:eastAsia="en-AU"/>
    </w:rPr>
  </w:style>
  <w:style w:type="paragraph" w:styleId="TOC7">
    <w:name w:val="toc 7"/>
    <w:basedOn w:val="Normal"/>
    <w:next w:val="Normal"/>
    <w:uiPriority w:val="39"/>
    <w:rsid w:val="00534BB4"/>
    <w:pPr>
      <w:spacing w:before="0" w:after="0" w:line="240" w:lineRule="auto"/>
      <w:ind w:left="1440"/>
    </w:pPr>
    <w:rPr>
      <w:rFonts w:ascii="Times New Roman" w:eastAsia="Times New Roman" w:hAnsi="Times New Roman"/>
      <w:kern w:val="16"/>
      <w:sz w:val="20"/>
      <w:szCs w:val="24"/>
      <w:lang w:eastAsia="en-AU"/>
    </w:rPr>
  </w:style>
  <w:style w:type="paragraph" w:styleId="TOC8">
    <w:name w:val="toc 8"/>
    <w:basedOn w:val="Normal"/>
    <w:next w:val="Normal"/>
    <w:uiPriority w:val="39"/>
    <w:rsid w:val="00534BB4"/>
    <w:pPr>
      <w:spacing w:before="0" w:after="0" w:line="240" w:lineRule="auto"/>
      <w:ind w:left="1680"/>
    </w:pPr>
    <w:rPr>
      <w:rFonts w:ascii="Times New Roman" w:eastAsia="Times New Roman" w:hAnsi="Times New Roman"/>
      <w:kern w:val="16"/>
      <w:sz w:val="20"/>
      <w:szCs w:val="24"/>
      <w:lang w:eastAsia="en-AU"/>
    </w:rPr>
  </w:style>
  <w:style w:type="paragraph" w:styleId="TOC9">
    <w:name w:val="toc 9"/>
    <w:basedOn w:val="Normal"/>
    <w:next w:val="Normal"/>
    <w:uiPriority w:val="39"/>
    <w:rsid w:val="00534BB4"/>
    <w:pPr>
      <w:spacing w:before="0" w:after="0" w:line="240" w:lineRule="auto"/>
      <w:ind w:left="1920"/>
    </w:pPr>
    <w:rPr>
      <w:rFonts w:ascii="Times New Roman" w:eastAsia="Times New Roman" w:hAnsi="Times New Roman"/>
      <w:kern w:val="16"/>
      <w:sz w:val="20"/>
      <w:szCs w:val="24"/>
      <w:lang w:eastAsia="en-AU"/>
    </w:rPr>
  </w:style>
  <w:style w:type="paragraph" w:styleId="EndnoteText">
    <w:name w:val="endnote text"/>
    <w:basedOn w:val="Normal"/>
    <w:link w:val="EndnoteTextChar"/>
    <w:semiHidden/>
    <w:rsid w:val="00534B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EndnoteTextChar">
    <w:name w:val="Endnote Text Char"/>
    <w:basedOn w:val="DefaultParagraphFont"/>
    <w:link w:val="EndnoteText"/>
    <w:semiHidden/>
    <w:rsid w:val="00534BB4"/>
    <w:rPr>
      <w:rFonts w:ascii="Times New Roman" w:eastAsia="Times New Roman" w:hAnsi="Times New Roman" w:cs="Times New Roman"/>
      <w:kern w:val="16"/>
      <w:sz w:val="20"/>
      <w:szCs w:val="20"/>
      <w:lang w:eastAsia="en-AU"/>
    </w:rPr>
  </w:style>
  <w:style w:type="character" w:styleId="EndnoteReference">
    <w:name w:val="endnote reference"/>
    <w:basedOn w:val="DefaultParagraphFont"/>
    <w:semiHidden/>
    <w:rsid w:val="00534BB4"/>
    <w:rPr>
      <w:dstrike w:val="0"/>
      <w:vertAlign w:val="baseline"/>
    </w:rPr>
  </w:style>
  <w:style w:type="paragraph" w:styleId="FootnoteText">
    <w:name w:val="footnote text"/>
    <w:basedOn w:val="Normal"/>
    <w:link w:val="FootnoteTextChar"/>
    <w:semiHidden/>
    <w:rsid w:val="00534B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FootnoteTextChar">
    <w:name w:val="Footnote Text Char"/>
    <w:basedOn w:val="DefaultParagraphFont"/>
    <w:link w:val="FootnoteText"/>
    <w:semiHidden/>
    <w:rsid w:val="00534BB4"/>
    <w:rPr>
      <w:rFonts w:ascii="Times New Roman" w:eastAsia="Times New Roman" w:hAnsi="Times New Roman" w:cs="Times New Roman"/>
      <w:kern w:val="16"/>
      <w:sz w:val="20"/>
      <w:szCs w:val="20"/>
      <w:lang w:eastAsia="en-AU"/>
    </w:rPr>
  </w:style>
  <w:style w:type="character" w:styleId="FootnoteReference">
    <w:name w:val="footnote reference"/>
    <w:basedOn w:val="DefaultParagraphFont"/>
    <w:semiHidden/>
    <w:rsid w:val="00534BB4"/>
    <w:rPr>
      <w:vertAlign w:val="superscript"/>
    </w:rPr>
  </w:style>
  <w:style w:type="paragraph" w:styleId="TableofFigures">
    <w:name w:val="table of figures"/>
    <w:basedOn w:val="Normal"/>
    <w:next w:val="Normal"/>
    <w:uiPriority w:val="99"/>
    <w:rsid w:val="00534BB4"/>
    <w:pPr>
      <w:spacing w:before="0" w:after="0" w:line="240" w:lineRule="auto"/>
      <w:ind w:left="480" w:hanging="480"/>
    </w:pPr>
    <w:rPr>
      <w:rFonts w:asciiTheme="minorHAnsi" w:eastAsia="Times New Roman" w:hAnsiTheme="minorHAnsi" w:cstheme="minorHAnsi"/>
      <w:b/>
      <w:bCs/>
      <w:kern w:val="16"/>
      <w:sz w:val="20"/>
      <w:szCs w:val="20"/>
      <w:lang w:eastAsia="en-AU"/>
    </w:rPr>
  </w:style>
  <w:style w:type="paragraph" w:customStyle="1" w:styleId="Comment2">
    <w:name w:val="Comment 2"/>
    <w:basedOn w:val="Normal"/>
    <w:qFormat/>
    <w:rsid w:val="00534BB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Arial" w:eastAsia="Times New Roman" w:hAnsi="Arial" w:cs="Arial"/>
      <w:kern w:val="16"/>
      <w:sz w:val="20"/>
      <w:lang w:eastAsia="en-AU"/>
    </w:rPr>
  </w:style>
  <w:style w:type="paragraph" w:customStyle="1" w:styleId="Comment1">
    <w:name w:val="Comment 1"/>
    <w:basedOn w:val="Normal"/>
    <w:next w:val="Comment2"/>
    <w:qFormat/>
    <w:rsid w:val="00534BB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Arial" w:eastAsia="Times New Roman" w:hAnsi="Arial" w:cs="Arial"/>
      <w:kern w:val="16"/>
      <w:sz w:val="20"/>
      <w:szCs w:val="20"/>
      <w:lang w:eastAsia="en-AU"/>
    </w:rPr>
  </w:style>
  <w:style w:type="paragraph" w:customStyle="1" w:styleId="CommentDot">
    <w:name w:val="Comment Dot"/>
    <w:basedOn w:val="Comment2"/>
    <w:qFormat/>
    <w:rsid w:val="00534BB4"/>
    <w:pPr>
      <w:numPr>
        <w:numId w:val="13"/>
      </w:numPr>
      <w:ind w:left="1134" w:firstLine="0"/>
    </w:pPr>
  </w:style>
  <w:style w:type="paragraph" w:customStyle="1" w:styleId="Default">
    <w:name w:val="Default"/>
    <w:rsid w:val="00534B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Instructions2">
    <w:name w:val="Instructions 2"/>
    <w:basedOn w:val="Normal"/>
    <w:qFormat/>
    <w:rsid w:val="00534BB4"/>
    <w:p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styleId="Index1">
    <w:name w:val="index 1"/>
    <w:basedOn w:val="Normal"/>
    <w:next w:val="Normal"/>
    <w:autoRedefine/>
    <w:uiPriority w:val="99"/>
    <w:rsid w:val="00534BB4"/>
    <w:pPr>
      <w:tabs>
        <w:tab w:val="right" w:leader="dot" w:pos="9322"/>
      </w:tabs>
      <w:spacing w:before="0" w:after="0" w:line="240" w:lineRule="auto"/>
      <w:ind w:left="240" w:hanging="240"/>
      <w:jc w:val="center"/>
    </w:pPr>
    <w:rPr>
      <w:rFonts w:ascii="Times New Roman" w:eastAsia="Times New Roman" w:hAnsi="Times New Roman"/>
      <w:noProof/>
      <w:kern w:val="16"/>
      <w:sz w:val="20"/>
      <w:szCs w:val="20"/>
      <w:lang w:eastAsia="en-AU"/>
    </w:rPr>
  </w:style>
  <w:style w:type="character" w:customStyle="1" w:styleId="eutitle">
    <w:name w:val="eutitle"/>
    <w:basedOn w:val="DefaultParagraphFont"/>
    <w:rsid w:val="00534BB4"/>
  </w:style>
  <w:style w:type="character" w:styleId="CommentReference">
    <w:name w:val="annotation reference"/>
    <w:basedOn w:val="DefaultParagraphFont"/>
    <w:rsid w:val="00534BB4"/>
    <w:rPr>
      <w:sz w:val="16"/>
      <w:szCs w:val="16"/>
    </w:rPr>
  </w:style>
  <w:style w:type="paragraph" w:styleId="CommentText">
    <w:name w:val="annotation text"/>
    <w:basedOn w:val="Normal"/>
    <w:link w:val="CommentTextChar"/>
    <w:rsid w:val="00534B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CommentTextChar">
    <w:name w:val="Comment Text Char"/>
    <w:basedOn w:val="DefaultParagraphFont"/>
    <w:link w:val="CommentText"/>
    <w:rsid w:val="00534BB4"/>
    <w:rPr>
      <w:rFonts w:ascii="Times New Roman" w:eastAsia="Times New Roman" w:hAnsi="Times New Roman" w:cs="Times New Roman"/>
      <w:kern w:val="16"/>
      <w:sz w:val="20"/>
      <w:szCs w:val="20"/>
      <w:lang w:eastAsia="en-AU"/>
    </w:rPr>
  </w:style>
  <w:style w:type="paragraph" w:styleId="CommentSubject">
    <w:name w:val="annotation subject"/>
    <w:basedOn w:val="CommentText"/>
    <w:next w:val="CommentText"/>
    <w:link w:val="CommentSubjectChar"/>
    <w:rsid w:val="00534BB4"/>
    <w:rPr>
      <w:b/>
      <w:bCs/>
    </w:rPr>
  </w:style>
  <w:style w:type="character" w:customStyle="1" w:styleId="CommentSubjectChar">
    <w:name w:val="Comment Subject Char"/>
    <w:basedOn w:val="CommentTextChar"/>
    <w:link w:val="CommentSubject"/>
    <w:rsid w:val="00534BB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tga.gov.au/hp/information-medicines-pi.htm" TargetMode="External"/><Relationship Id="rId14" Type="http://schemas.openxmlformats.org/officeDocument/2006/relationships/image" Target="media/image3.emf"/><Relationship Id="rId22" Type="http://schemas.openxmlformats.org/officeDocument/2006/relationships/footer" Target="footer3.xml"/><Relationship Id="rId27" Type="http://schemas.openxmlformats.org/officeDocument/2006/relationships/footer" Target="footer5.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F6E2-F59D-413E-AFCC-12FE4232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37</Pages>
  <Words>8765</Words>
  <Characters>49353</Characters>
  <Application>Microsoft Office Word</Application>
  <DocSecurity>0</DocSecurity>
  <Lines>1072</Lines>
  <Paragraphs>553</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Doxycycline monohydrate</vt:lpstr>
    </vt:vector>
  </TitlesOfParts>
  <Company>TGA</Company>
  <LinksUpToDate>false</LinksUpToDate>
  <CharactersWithSpaces>57565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Extract from the Clinical Evaluation Report for Doxycycline monohydrate</dc:title>
  <dc:subject>prescription medicine regulation</dc:subject>
  <dc:creator>Therapeutic Goods Administration</dc:creator>
  <cp:keywords>clinical, evaluation, report, medicine, assessment, regulation, australia, doxycycline, monohydrate, oracea</cp:keywords>
  <cp:lastModifiedBy>Sheppard, Fran</cp:lastModifiedBy>
  <cp:revision>22</cp:revision>
  <cp:lastPrinted>2010-12-20T22:59:00Z</cp:lastPrinted>
  <dcterms:created xsi:type="dcterms:W3CDTF">2013-06-06T05:35:00Z</dcterms:created>
  <dcterms:modified xsi:type="dcterms:W3CDTF">2013-09-08T11:58:00Z</dcterms:modified>
</cp:coreProperties>
</file>