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0051AE7" w14:textId="77777777" w:rsidTr="00BF1190">
        <w:trPr>
          <w:trHeight w:val="1863"/>
        </w:trPr>
        <w:tc>
          <w:tcPr>
            <w:tcW w:w="3652" w:type="dxa"/>
            <w:tcBorders>
              <w:top w:val="nil"/>
              <w:left w:val="nil"/>
              <w:bottom w:val="nil"/>
              <w:right w:val="nil"/>
            </w:tcBorders>
          </w:tcPr>
          <w:p w14:paraId="722C7EB0" w14:textId="0E30B7E6" w:rsidR="008E7846" w:rsidRPr="00096AA7" w:rsidRDefault="00943AC8" w:rsidP="00096AA7">
            <w:pPr>
              <w:rPr>
                <w:rFonts w:ascii="Arial" w:hAnsi="Arial" w:cs="Arial"/>
                <w:b/>
                <w:color w:val="002C47"/>
                <w:sz w:val="36"/>
                <w:szCs w:val="36"/>
              </w:rPr>
            </w:pPr>
            <w:r>
              <w:rPr>
                <w:rFonts w:ascii="Arial" w:hAnsi="Arial" w:cs="Arial"/>
                <w:b/>
                <w:color w:val="002C47"/>
                <w:sz w:val="36"/>
                <w:szCs w:val="36"/>
              </w:rPr>
              <w:t xml:space="preserve">March </w:t>
            </w:r>
            <w:r w:rsidR="00371085">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2A4E769" w14:textId="77777777" w:rsidTr="0032583B">
        <w:trPr>
          <w:trHeight w:val="868"/>
        </w:trPr>
        <w:tc>
          <w:tcPr>
            <w:tcW w:w="9079" w:type="dxa"/>
          </w:tcPr>
          <w:p w14:paraId="4EE5D839" w14:textId="6396A389" w:rsidR="0032583B" w:rsidRPr="00A964D1" w:rsidRDefault="0032583B" w:rsidP="00371085">
            <w:pPr>
              <w:pStyle w:val="Title"/>
              <w:rPr>
                <w:color w:val="FFFFFF" w:themeColor="background1"/>
              </w:rPr>
            </w:pPr>
            <w:r w:rsidRPr="00A964D1">
              <w:rPr>
                <w:color w:val="FFFFFF" w:themeColor="background1"/>
              </w:rPr>
              <w:t xml:space="preserve">Australian Public Assessment Report for </w:t>
            </w:r>
            <w:r w:rsidR="00371085" w:rsidRPr="00371085">
              <w:rPr>
                <w:color w:val="FFFFFF" w:themeColor="background1"/>
              </w:rPr>
              <w:t xml:space="preserve">Doravirine and </w:t>
            </w:r>
            <w:r w:rsidR="00720460">
              <w:rPr>
                <w:color w:val="FFFFFF" w:themeColor="background1"/>
              </w:rPr>
              <w:t>d</w:t>
            </w:r>
            <w:r w:rsidR="00720460" w:rsidRPr="00720460">
              <w:rPr>
                <w:color w:val="FFFFFF" w:themeColor="background1"/>
              </w:rPr>
              <w:t>oravirine/lamivudine/tenofovir disoproxil fumarate</w:t>
            </w:r>
          </w:p>
        </w:tc>
      </w:tr>
      <w:tr w:rsidR="0032583B" w:rsidRPr="00B64760" w14:paraId="3E6F0CF1" w14:textId="77777777" w:rsidTr="0032583B">
        <w:tc>
          <w:tcPr>
            <w:tcW w:w="9079" w:type="dxa"/>
          </w:tcPr>
          <w:p w14:paraId="6B4E85C7" w14:textId="77777777" w:rsidR="0032583B" w:rsidRPr="008E7846" w:rsidRDefault="00371085" w:rsidP="00371085">
            <w:pPr>
              <w:pStyle w:val="Subtitle"/>
              <w:rPr>
                <w:color w:val="FFFFFF" w:themeColor="background1"/>
              </w:rPr>
            </w:pPr>
            <w:r>
              <w:rPr>
                <w:color w:val="FFFFFF" w:themeColor="background1"/>
              </w:rPr>
              <w:t xml:space="preserve">Proprietary Product Name: </w:t>
            </w:r>
            <w:r w:rsidRPr="00371085">
              <w:rPr>
                <w:color w:val="FFFFFF" w:themeColor="background1"/>
              </w:rPr>
              <w:t>Pifeltro and Delstrigo</w:t>
            </w:r>
          </w:p>
        </w:tc>
      </w:tr>
      <w:tr w:rsidR="0032583B" w:rsidRPr="00B64760" w14:paraId="36486D3E" w14:textId="77777777" w:rsidTr="0032583B">
        <w:trPr>
          <w:trHeight w:val="486"/>
        </w:trPr>
        <w:tc>
          <w:tcPr>
            <w:tcW w:w="9079" w:type="dxa"/>
          </w:tcPr>
          <w:p w14:paraId="455057E3"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371085" w:rsidRPr="00371085">
              <w:rPr>
                <w:color w:val="FFFFFF" w:themeColor="background1"/>
              </w:rPr>
              <w:t>Merck Sharp &amp; Dohme (Australia) Pty Ltd</w:t>
            </w:r>
          </w:p>
        </w:tc>
      </w:tr>
    </w:tbl>
    <w:p w14:paraId="1393ABD5" w14:textId="77777777" w:rsidR="008E7846" w:rsidRPr="0085156D" w:rsidRDefault="008E7846" w:rsidP="0085156D">
      <w:bookmarkStart w:id="0" w:name="_GoBack"/>
      <w:r w:rsidRPr="0085156D">
        <w:br w:type="page"/>
      </w:r>
    </w:p>
    <w:bookmarkEnd w:id="0"/>
    <w:p w14:paraId="2333C8B9" w14:textId="77777777" w:rsidR="008E7846" w:rsidRPr="001F6CBA" w:rsidRDefault="008E7846" w:rsidP="008E7846">
      <w:pPr>
        <w:pStyle w:val="NonTOCHeading2"/>
      </w:pPr>
      <w:r w:rsidRPr="001F6CBA">
        <w:lastRenderedPageBreak/>
        <w:t>About the Therapeutic Goods Administration (TGA)</w:t>
      </w:r>
    </w:p>
    <w:p w14:paraId="14A8197B"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FE646F9"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03D7648"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0EF67F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B757230"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03AA5908" w14:textId="77777777" w:rsidR="008E7846" w:rsidRDefault="008E7846" w:rsidP="00875A6B">
      <w:pPr>
        <w:pStyle w:val="NonTOCHeading2"/>
      </w:pPr>
      <w:r>
        <w:t>About AusPARs</w:t>
      </w:r>
    </w:p>
    <w:p w14:paraId="39264739"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C871BD8" w14:textId="77777777" w:rsidR="008E7846" w:rsidRDefault="008E7846" w:rsidP="008E7846">
      <w:pPr>
        <w:pStyle w:val="ListBullet"/>
        <w:numPr>
          <w:ilvl w:val="0"/>
          <w:numId w:val="3"/>
        </w:numPr>
        <w:ind w:left="357" w:hanging="357"/>
      </w:pPr>
      <w:r>
        <w:t>AusPARs are prepared and published by the TGA.</w:t>
      </w:r>
    </w:p>
    <w:p w14:paraId="3643E18B"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530748D"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EF42403"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471631F3" w14:textId="77777777" w:rsidR="00924482" w:rsidRPr="00DF1D7F" w:rsidRDefault="00924482" w:rsidP="00F54B65">
      <w:pPr>
        <w:pStyle w:val="LegalSubheading"/>
        <w:spacing w:before="3120"/>
      </w:pPr>
      <w:r w:rsidRPr="00DF1D7F">
        <w:t>Copyright</w:t>
      </w:r>
    </w:p>
    <w:p w14:paraId="39870D39" w14:textId="77777777" w:rsidR="00924482" w:rsidRDefault="00924482" w:rsidP="00924482">
      <w:pPr>
        <w:pStyle w:val="LegalCopy"/>
      </w:pPr>
      <w:r w:rsidRPr="00191B3B">
        <w:rPr>
          <w:rFonts w:cs="Arial"/>
          <w:lang w:val="en-GB"/>
        </w:rPr>
        <w:t>© Comm</w:t>
      </w:r>
      <w:r w:rsidR="00371085">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0D13044C" w14:textId="77777777"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D98A11E" w14:textId="77777777" w:rsidR="0089635C" w:rsidRPr="0089635C" w:rsidRDefault="0089635C" w:rsidP="0010788A">
          <w:pPr>
            <w:pStyle w:val="Contents"/>
          </w:pPr>
          <w:r w:rsidRPr="0010788A">
            <w:t>Contents</w:t>
          </w:r>
        </w:p>
        <w:p w14:paraId="77A073A3" w14:textId="0FFE28EA" w:rsidR="00D8532E"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35259358" w:history="1">
            <w:r w:rsidR="00D8532E" w:rsidRPr="008660BD">
              <w:rPr>
                <w:rStyle w:val="Hyperlink"/>
                <w:noProof/>
              </w:rPr>
              <w:t>Common abbreviations</w:t>
            </w:r>
            <w:r w:rsidR="00D8532E">
              <w:rPr>
                <w:noProof/>
                <w:webHidden/>
              </w:rPr>
              <w:tab/>
            </w:r>
            <w:r w:rsidR="00D8532E">
              <w:rPr>
                <w:noProof/>
                <w:webHidden/>
              </w:rPr>
              <w:fldChar w:fldCharType="begin"/>
            </w:r>
            <w:r w:rsidR="00D8532E">
              <w:rPr>
                <w:noProof/>
                <w:webHidden/>
              </w:rPr>
              <w:instrText xml:space="preserve"> PAGEREF _Toc35259358 \h </w:instrText>
            </w:r>
            <w:r w:rsidR="00D8532E">
              <w:rPr>
                <w:noProof/>
                <w:webHidden/>
              </w:rPr>
            </w:r>
            <w:r w:rsidR="00D8532E">
              <w:rPr>
                <w:noProof/>
                <w:webHidden/>
              </w:rPr>
              <w:fldChar w:fldCharType="separate"/>
            </w:r>
            <w:r w:rsidR="00D8532E">
              <w:rPr>
                <w:noProof/>
                <w:webHidden/>
              </w:rPr>
              <w:t>4</w:t>
            </w:r>
            <w:r w:rsidR="00D8532E">
              <w:rPr>
                <w:noProof/>
                <w:webHidden/>
              </w:rPr>
              <w:fldChar w:fldCharType="end"/>
            </w:r>
          </w:hyperlink>
        </w:p>
        <w:p w14:paraId="618130E5" w14:textId="7D5A09E0" w:rsidR="00D8532E" w:rsidRDefault="001A20FB">
          <w:pPr>
            <w:pStyle w:val="TOC2"/>
            <w:rPr>
              <w:rFonts w:asciiTheme="minorHAnsi" w:eastAsiaTheme="minorEastAsia" w:hAnsiTheme="minorHAnsi" w:cstheme="minorBidi"/>
              <w:b w:val="0"/>
              <w:noProof/>
              <w:sz w:val="22"/>
              <w:lang w:eastAsia="en-AU"/>
            </w:rPr>
          </w:pPr>
          <w:hyperlink w:anchor="_Toc35259359" w:history="1">
            <w:r w:rsidR="00D8532E" w:rsidRPr="008660BD">
              <w:rPr>
                <w:rStyle w:val="Hyperlink"/>
                <w:noProof/>
              </w:rPr>
              <w:t>I. Introduction to product submission</w:t>
            </w:r>
            <w:r w:rsidR="00D8532E">
              <w:rPr>
                <w:noProof/>
                <w:webHidden/>
              </w:rPr>
              <w:tab/>
            </w:r>
            <w:r w:rsidR="00D8532E">
              <w:rPr>
                <w:noProof/>
                <w:webHidden/>
              </w:rPr>
              <w:fldChar w:fldCharType="begin"/>
            </w:r>
            <w:r w:rsidR="00D8532E">
              <w:rPr>
                <w:noProof/>
                <w:webHidden/>
              </w:rPr>
              <w:instrText xml:space="preserve"> PAGEREF _Toc35259359 \h </w:instrText>
            </w:r>
            <w:r w:rsidR="00D8532E">
              <w:rPr>
                <w:noProof/>
                <w:webHidden/>
              </w:rPr>
            </w:r>
            <w:r w:rsidR="00D8532E">
              <w:rPr>
                <w:noProof/>
                <w:webHidden/>
              </w:rPr>
              <w:fldChar w:fldCharType="separate"/>
            </w:r>
            <w:r w:rsidR="00D8532E">
              <w:rPr>
                <w:noProof/>
                <w:webHidden/>
              </w:rPr>
              <w:t>8</w:t>
            </w:r>
            <w:r w:rsidR="00D8532E">
              <w:rPr>
                <w:noProof/>
                <w:webHidden/>
              </w:rPr>
              <w:fldChar w:fldCharType="end"/>
            </w:r>
          </w:hyperlink>
        </w:p>
        <w:p w14:paraId="343DA49F" w14:textId="3B022F5C" w:rsidR="00D8532E" w:rsidRDefault="001A20FB">
          <w:pPr>
            <w:pStyle w:val="TOC3"/>
            <w:rPr>
              <w:rFonts w:asciiTheme="minorHAnsi" w:eastAsiaTheme="minorEastAsia" w:hAnsiTheme="minorHAnsi" w:cstheme="minorBidi"/>
              <w:noProof/>
              <w:lang w:eastAsia="en-AU"/>
            </w:rPr>
          </w:pPr>
          <w:hyperlink w:anchor="_Toc35259360" w:history="1">
            <w:r w:rsidR="00D8532E" w:rsidRPr="008660BD">
              <w:rPr>
                <w:rStyle w:val="Hyperlink"/>
                <w:noProof/>
                <w:lang w:eastAsia="en-AU"/>
              </w:rPr>
              <w:t>Submission details</w:t>
            </w:r>
            <w:r w:rsidR="00D8532E">
              <w:rPr>
                <w:noProof/>
                <w:webHidden/>
              </w:rPr>
              <w:tab/>
            </w:r>
            <w:r w:rsidR="00D8532E">
              <w:rPr>
                <w:noProof/>
                <w:webHidden/>
              </w:rPr>
              <w:fldChar w:fldCharType="begin"/>
            </w:r>
            <w:r w:rsidR="00D8532E">
              <w:rPr>
                <w:noProof/>
                <w:webHidden/>
              </w:rPr>
              <w:instrText xml:space="preserve"> PAGEREF _Toc35259360 \h </w:instrText>
            </w:r>
            <w:r w:rsidR="00D8532E">
              <w:rPr>
                <w:noProof/>
                <w:webHidden/>
              </w:rPr>
            </w:r>
            <w:r w:rsidR="00D8532E">
              <w:rPr>
                <w:noProof/>
                <w:webHidden/>
              </w:rPr>
              <w:fldChar w:fldCharType="separate"/>
            </w:r>
            <w:r w:rsidR="00D8532E">
              <w:rPr>
                <w:noProof/>
                <w:webHidden/>
              </w:rPr>
              <w:t>8</w:t>
            </w:r>
            <w:r w:rsidR="00D8532E">
              <w:rPr>
                <w:noProof/>
                <w:webHidden/>
              </w:rPr>
              <w:fldChar w:fldCharType="end"/>
            </w:r>
          </w:hyperlink>
        </w:p>
        <w:p w14:paraId="3BE14306" w14:textId="3E958211" w:rsidR="00D8532E" w:rsidRDefault="001A20FB">
          <w:pPr>
            <w:pStyle w:val="TOC3"/>
            <w:rPr>
              <w:rFonts w:asciiTheme="minorHAnsi" w:eastAsiaTheme="minorEastAsia" w:hAnsiTheme="minorHAnsi" w:cstheme="minorBidi"/>
              <w:noProof/>
              <w:lang w:eastAsia="en-AU"/>
            </w:rPr>
          </w:pPr>
          <w:hyperlink w:anchor="_Toc35259361" w:history="1">
            <w:r w:rsidR="00D8532E" w:rsidRPr="008660BD">
              <w:rPr>
                <w:rStyle w:val="Hyperlink"/>
                <w:noProof/>
              </w:rPr>
              <w:t>Product background</w:t>
            </w:r>
            <w:r w:rsidR="00D8532E">
              <w:rPr>
                <w:noProof/>
                <w:webHidden/>
              </w:rPr>
              <w:tab/>
            </w:r>
            <w:r w:rsidR="00D8532E">
              <w:rPr>
                <w:noProof/>
                <w:webHidden/>
              </w:rPr>
              <w:fldChar w:fldCharType="begin"/>
            </w:r>
            <w:r w:rsidR="00D8532E">
              <w:rPr>
                <w:noProof/>
                <w:webHidden/>
              </w:rPr>
              <w:instrText xml:space="preserve"> PAGEREF _Toc35259361 \h </w:instrText>
            </w:r>
            <w:r w:rsidR="00D8532E">
              <w:rPr>
                <w:noProof/>
                <w:webHidden/>
              </w:rPr>
            </w:r>
            <w:r w:rsidR="00D8532E">
              <w:rPr>
                <w:noProof/>
                <w:webHidden/>
              </w:rPr>
              <w:fldChar w:fldCharType="separate"/>
            </w:r>
            <w:r w:rsidR="00D8532E">
              <w:rPr>
                <w:noProof/>
                <w:webHidden/>
              </w:rPr>
              <w:t>10</w:t>
            </w:r>
            <w:r w:rsidR="00D8532E">
              <w:rPr>
                <w:noProof/>
                <w:webHidden/>
              </w:rPr>
              <w:fldChar w:fldCharType="end"/>
            </w:r>
          </w:hyperlink>
        </w:p>
        <w:p w14:paraId="4BD52029" w14:textId="65499572" w:rsidR="00D8532E" w:rsidRDefault="001A20FB">
          <w:pPr>
            <w:pStyle w:val="TOC3"/>
            <w:rPr>
              <w:rFonts w:asciiTheme="minorHAnsi" w:eastAsiaTheme="minorEastAsia" w:hAnsiTheme="minorHAnsi" w:cstheme="minorBidi"/>
              <w:noProof/>
              <w:lang w:eastAsia="en-AU"/>
            </w:rPr>
          </w:pPr>
          <w:hyperlink w:anchor="_Toc35259362" w:history="1">
            <w:r w:rsidR="00D8532E" w:rsidRPr="008660BD">
              <w:rPr>
                <w:rStyle w:val="Hyperlink"/>
                <w:noProof/>
              </w:rPr>
              <w:t>Regulatory status</w:t>
            </w:r>
            <w:r w:rsidR="00D8532E">
              <w:rPr>
                <w:noProof/>
                <w:webHidden/>
              </w:rPr>
              <w:tab/>
            </w:r>
            <w:r w:rsidR="00D8532E">
              <w:rPr>
                <w:noProof/>
                <w:webHidden/>
              </w:rPr>
              <w:fldChar w:fldCharType="begin"/>
            </w:r>
            <w:r w:rsidR="00D8532E">
              <w:rPr>
                <w:noProof/>
                <w:webHidden/>
              </w:rPr>
              <w:instrText xml:space="preserve"> PAGEREF _Toc35259362 \h </w:instrText>
            </w:r>
            <w:r w:rsidR="00D8532E">
              <w:rPr>
                <w:noProof/>
                <w:webHidden/>
              </w:rPr>
            </w:r>
            <w:r w:rsidR="00D8532E">
              <w:rPr>
                <w:noProof/>
                <w:webHidden/>
              </w:rPr>
              <w:fldChar w:fldCharType="separate"/>
            </w:r>
            <w:r w:rsidR="00D8532E">
              <w:rPr>
                <w:noProof/>
                <w:webHidden/>
              </w:rPr>
              <w:t>11</w:t>
            </w:r>
            <w:r w:rsidR="00D8532E">
              <w:rPr>
                <w:noProof/>
                <w:webHidden/>
              </w:rPr>
              <w:fldChar w:fldCharType="end"/>
            </w:r>
          </w:hyperlink>
        </w:p>
        <w:p w14:paraId="4A3F9CB6" w14:textId="1F4AD8AA" w:rsidR="00D8532E" w:rsidRDefault="001A20FB">
          <w:pPr>
            <w:pStyle w:val="TOC3"/>
            <w:rPr>
              <w:rFonts w:asciiTheme="minorHAnsi" w:eastAsiaTheme="minorEastAsia" w:hAnsiTheme="minorHAnsi" w:cstheme="minorBidi"/>
              <w:noProof/>
              <w:lang w:eastAsia="en-AU"/>
            </w:rPr>
          </w:pPr>
          <w:hyperlink w:anchor="_Toc35259363" w:history="1">
            <w:r w:rsidR="00D8532E" w:rsidRPr="008660BD">
              <w:rPr>
                <w:rStyle w:val="Hyperlink"/>
                <w:noProof/>
              </w:rPr>
              <w:t>Product Information</w:t>
            </w:r>
            <w:r w:rsidR="00D8532E">
              <w:rPr>
                <w:noProof/>
                <w:webHidden/>
              </w:rPr>
              <w:tab/>
            </w:r>
            <w:r w:rsidR="00D8532E">
              <w:rPr>
                <w:noProof/>
                <w:webHidden/>
              </w:rPr>
              <w:fldChar w:fldCharType="begin"/>
            </w:r>
            <w:r w:rsidR="00D8532E">
              <w:rPr>
                <w:noProof/>
                <w:webHidden/>
              </w:rPr>
              <w:instrText xml:space="preserve"> PAGEREF _Toc35259363 \h </w:instrText>
            </w:r>
            <w:r w:rsidR="00D8532E">
              <w:rPr>
                <w:noProof/>
                <w:webHidden/>
              </w:rPr>
            </w:r>
            <w:r w:rsidR="00D8532E">
              <w:rPr>
                <w:noProof/>
                <w:webHidden/>
              </w:rPr>
              <w:fldChar w:fldCharType="separate"/>
            </w:r>
            <w:r w:rsidR="00D8532E">
              <w:rPr>
                <w:noProof/>
                <w:webHidden/>
              </w:rPr>
              <w:t>13</w:t>
            </w:r>
            <w:r w:rsidR="00D8532E">
              <w:rPr>
                <w:noProof/>
                <w:webHidden/>
              </w:rPr>
              <w:fldChar w:fldCharType="end"/>
            </w:r>
          </w:hyperlink>
        </w:p>
        <w:p w14:paraId="056BC777" w14:textId="367C30CB" w:rsidR="00D8532E" w:rsidRDefault="001A20FB">
          <w:pPr>
            <w:pStyle w:val="TOC2"/>
            <w:rPr>
              <w:rFonts w:asciiTheme="minorHAnsi" w:eastAsiaTheme="minorEastAsia" w:hAnsiTheme="minorHAnsi" w:cstheme="minorBidi"/>
              <w:b w:val="0"/>
              <w:noProof/>
              <w:sz w:val="22"/>
              <w:lang w:eastAsia="en-AU"/>
            </w:rPr>
          </w:pPr>
          <w:hyperlink w:anchor="_Toc35259364" w:history="1">
            <w:r w:rsidR="00D8532E" w:rsidRPr="008660BD">
              <w:rPr>
                <w:rStyle w:val="Hyperlink"/>
                <w:noProof/>
              </w:rPr>
              <w:t>II. Registration timeline</w:t>
            </w:r>
            <w:r w:rsidR="00D8532E">
              <w:rPr>
                <w:noProof/>
                <w:webHidden/>
              </w:rPr>
              <w:tab/>
            </w:r>
            <w:r w:rsidR="00D8532E">
              <w:rPr>
                <w:noProof/>
                <w:webHidden/>
              </w:rPr>
              <w:fldChar w:fldCharType="begin"/>
            </w:r>
            <w:r w:rsidR="00D8532E">
              <w:rPr>
                <w:noProof/>
                <w:webHidden/>
              </w:rPr>
              <w:instrText xml:space="preserve"> PAGEREF _Toc35259364 \h </w:instrText>
            </w:r>
            <w:r w:rsidR="00D8532E">
              <w:rPr>
                <w:noProof/>
                <w:webHidden/>
              </w:rPr>
            </w:r>
            <w:r w:rsidR="00D8532E">
              <w:rPr>
                <w:noProof/>
                <w:webHidden/>
              </w:rPr>
              <w:fldChar w:fldCharType="separate"/>
            </w:r>
            <w:r w:rsidR="00D8532E">
              <w:rPr>
                <w:noProof/>
                <w:webHidden/>
              </w:rPr>
              <w:t>13</w:t>
            </w:r>
            <w:r w:rsidR="00D8532E">
              <w:rPr>
                <w:noProof/>
                <w:webHidden/>
              </w:rPr>
              <w:fldChar w:fldCharType="end"/>
            </w:r>
          </w:hyperlink>
        </w:p>
        <w:p w14:paraId="12CFCF70" w14:textId="130E654E" w:rsidR="00D8532E" w:rsidRDefault="001A20FB">
          <w:pPr>
            <w:pStyle w:val="TOC2"/>
            <w:rPr>
              <w:rFonts w:asciiTheme="minorHAnsi" w:eastAsiaTheme="minorEastAsia" w:hAnsiTheme="minorHAnsi" w:cstheme="minorBidi"/>
              <w:b w:val="0"/>
              <w:noProof/>
              <w:sz w:val="22"/>
              <w:lang w:eastAsia="en-AU"/>
            </w:rPr>
          </w:pPr>
          <w:hyperlink w:anchor="_Toc35259365" w:history="1">
            <w:r w:rsidR="00D8532E" w:rsidRPr="008660BD">
              <w:rPr>
                <w:rStyle w:val="Hyperlink"/>
                <w:noProof/>
              </w:rPr>
              <w:t>III. Submission overview and risk/benefit assessment</w:t>
            </w:r>
            <w:r w:rsidR="00D8532E">
              <w:rPr>
                <w:noProof/>
                <w:webHidden/>
              </w:rPr>
              <w:tab/>
            </w:r>
            <w:r w:rsidR="00D8532E">
              <w:rPr>
                <w:noProof/>
                <w:webHidden/>
              </w:rPr>
              <w:fldChar w:fldCharType="begin"/>
            </w:r>
            <w:r w:rsidR="00D8532E">
              <w:rPr>
                <w:noProof/>
                <w:webHidden/>
              </w:rPr>
              <w:instrText xml:space="preserve"> PAGEREF _Toc35259365 \h </w:instrText>
            </w:r>
            <w:r w:rsidR="00D8532E">
              <w:rPr>
                <w:noProof/>
                <w:webHidden/>
              </w:rPr>
            </w:r>
            <w:r w:rsidR="00D8532E">
              <w:rPr>
                <w:noProof/>
                <w:webHidden/>
              </w:rPr>
              <w:fldChar w:fldCharType="separate"/>
            </w:r>
            <w:r w:rsidR="00D8532E">
              <w:rPr>
                <w:noProof/>
                <w:webHidden/>
              </w:rPr>
              <w:t>14</w:t>
            </w:r>
            <w:r w:rsidR="00D8532E">
              <w:rPr>
                <w:noProof/>
                <w:webHidden/>
              </w:rPr>
              <w:fldChar w:fldCharType="end"/>
            </w:r>
          </w:hyperlink>
        </w:p>
        <w:p w14:paraId="4955BFCC" w14:textId="63D8869B" w:rsidR="00D8532E" w:rsidRDefault="001A20FB">
          <w:pPr>
            <w:pStyle w:val="TOC3"/>
            <w:rPr>
              <w:rFonts w:asciiTheme="minorHAnsi" w:eastAsiaTheme="minorEastAsia" w:hAnsiTheme="minorHAnsi" w:cstheme="minorBidi"/>
              <w:noProof/>
              <w:lang w:eastAsia="en-AU"/>
            </w:rPr>
          </w:pPr>
          <w:hyperlink w:anchor="_Toc35259366" w:history="1">
            <w:r w:rsidR="00D8532E" w:rsidRPr="008660BD">
              <w:rPr>
                <w:rStyle w:val="Hyperlink"/>
                <w:noProof/>
              </w:rPr>
              <w:t>Quality</w:t>
            </w:r>
            <w:r w:rsidR="00D8532E">
              <w:rPr>
                <w:noProof/>
                <w:webHidden/>
              </w:rPr>
              <w:tab/>
            </w:r>
            <w:r w:rsidR="00D8532E">
              <w:rPr>
                <w:noProof/>
                <w:webHidden/>
              </w:rPr>
              <w:fldChar w:fldCharType="begin"/>
            </w:r>
            <w:r w:rsidR="00D8532E">
              <w:rPr>
                <w:noProof/>
                <w:webHidden/>
              </w:rPr>
              <w:instrText xml:space="preserve"> PAGEREF _Toc35259366 \h </w:instrText>
            </w:r>
            <w:r w:rsidR="00D8532E">
              <w:rPr>
                <w:noProof/>
                <w:webHidden/>
              </w:rPr>
            </w:r>
            <w:r w:rsidR="00D8532E">
              <w:rPr>
                <w:noProof/>
                <w:webHidden/>
              </w:rPr>
              <w:fldChar w:fldCharType="separate"/>
            </w:r>
            <w:r w:rsidR="00D8532E">
              <w:rPr>
                <w:noProof/>
                <w:webHidden/>
              </w:rPr>
              <w:t>14</w:t>
            </w:r>
            <w:r w:rsidR="00D8532E">
              <w:rPr>
                <w:noProof/>
                <w:webHidden/>
              </w:rPr>
              <w:fldChar w:fldCharType="end"/>
            </w:r>
          </w:hyperlink>
        </w:p>
        <w:p w14:paraId="79ABD337" w14:textId="0F4436A3" w:rsidR="00D8532E" w:rsidRDefault="001A20FB">
          <w:pPr>
            <w:pStyle w:val="TOC3"/>
            <w:rPr>
              <w:rFonts w:asciiTheme="minorHAnsi" w:eastAsiaTheme="minorEastAsia" w:hAnsiTheme="minorHAnsi" w:cstheme="minorBidi"/>
              <w:noProof/>
              <w:lang w:eastAsia="en-AU"/>
            </w:rPr>
          </w:pPr>
          <w:hyperlink w:anchor="_Toc35259367" w:history="1">
            <w:r w:rsidR="00D8532E" w:rsidRPr="008660BD">
              <w:rPr>
                <w:rStyle w:val="Hyperlink"/>
                <w:noProof/>
              </w:rPr>
              <w:t>Nonclinical</w:t>
            </w:r>
            <w:r w:rsidR="00D8532E">
              <w:rPr>
                <w:noProof/>
                <w:webHidden/>
              </w:rPr>
              <w:tab/>
            </w:r>
            <w:r w:rsidR="00D8532E">
              <w:rPr>
                <w:noProof/>
                <w:webHidden/>
              </w:rPr>
              <w:fldChar w:fldCharType="begin"/>
            </w:r>
            <w:r w:rsidR="00D8532E">
              <w:rPr>
                <w:noProof/>
                <w:webHidden/>
              </w:rPr>
              <w:instrText xml:space="preserve"> PAGEREF _Toc35259367 \h </w:instrText>
            </w:r>
            <w:r w:rsidR="00D8532E">
              <w:rPr>
                <w:noProof/>
                <w:webHidden/>
              </w:rPr>
            </w:r>
            <w:r w:rsidR="00D8532E">
              <w:rPr>
                <w:noProof/>
                <w:webHidden/>
              </w:rPr>
              <w:fldChar w:fldCharType="separate"/>
            </w:r>
            <w:r w:rsidR="00D8532E">
              <w:rPr>
                <w:noProof/>
                <w:webHidden/>
              </w:rPr>
              <w:t>15</w:t>
            </w:r>
            <w:r w:rsidR="00D8532E">
              <w:rPr>
                <w:noProof/>
                <w:webHidden/>
              </w:rPr>
              <w:fldChar w:fldCharType="end"/>
            </w:r>
          </w:hyperlink>
        </w:p>
        <w:p w14:paraId="4FD2EA94" w14:textId="0101BDCF" w:rsidR="00D8532E" w:rsidRDefault="001A20FB">
          <w:pPr>
            <w:pStyle w:val="TOC3"/>
            <w:rPr>
              <w:rFonts w:asciiTheme="minorHAnsi" w:eastAsiaTheme="minorEastAsia" w:hAnsiTheme="minorHAnsi" w:cstheme="minorBidi"/>
              <w:noProof/>
              <w:lang w:eastAsia="en-AU"/>
            </w:rPr>
          </w:pPr>
          <w:hyperlink w:anchor="_Toc35259368" w:history="1">
            <w:r w:rsidR="00D8532E" w:rsidRPr="008660BD">
              <w:rPr>
                <w:rStyle w:val="Hyperlink"/>
                <w:noProof/>
              </w:rPr>
              <w:t>Clinical</w:t>
            </w:r>
            <w:r w:rsidR="00D8532E">
              <w:rPr>
                <w:noProof/>
                <w:webHidden/>
              </w:rPr>
              <w:tab/>
            </w:r>
            <w:r w:rsidR="00D8532E">
              <w:rPr>
                <w:noProof/>
                <w:webHidden/>
              </w:rPr>
              <w:fldChar w:fldCharType="begin"/>
            </w:r>
            <w:r w:rsidR="00D8532E">
              <w:rPr>
                <w:noProof/>
                <w:webHidden/>
              </w:rPr>
              <w:instrText xml:space="preserve"> PAGEREF _Toc35259368 \h </w:instrText>
            </w:r>
            <w:r w:rsidR="00D8532E">
              <w:rPr>
                <w:noProof/>
                <w:webHidden/>
              </w:rPr>
            </w:r>
            <w:r w:rsidR="00D8532E">
              <w:rPr>
                <w:noProof/>
                <w:webHidden/>
              </w:rPr>
              <w:fldChar w:fldCharType="separate"/>
            </w:r>
            <w:r w:rsidR="00D8532E">
              <w:rPr>
                <w:noProof/>
                <w:webHidden/>
              </w:rPr>
              <w:t>16</w:t>
            </w:r>
            <w:r w:rsidR="00D8532E">
              <w:rPr>
                <w:noProof/>
                <w:webHidden/>
              </w:rPr>
              <w:fldChar w:fldCharType="end"/>
            </w:r>
          </w:hyperlink>
        </w:p>
        <w:p w14:paraId="697E0482" w14:textId="6D0A3E4E" w:rsidR="00D8532E" w:rsidRDefault="001A20FB">
          <w:pPr>
            <w:pStyle w:val="TOC3"/>
            <w:rPr>
              <w:rFonts w:asciiTheme="minorHAnsi" w:eastAsiaTheme="minorEastAsia" w:hAnsiTheme="minorHAnsi" w:cstheme="minorBidi"/>
              <w:noProof/>
              <w:lang w:eastAsia="en-AU"/>
            </w:rPr>
          </w:pPr>
          <w:hyperlink w:anchor="_Toc35259369" w:history="1">
            <w:r w:rsidR="00D8532E" w:rsidRPr="008660BD">
              <w:rPr>
                <w:rStyle w:val="Hyperlink"/>
                <w:noProof/>
                <w:lang w:eastAsia="en-AU"/>
              </w:rPr>
              <w:t>Risk management plan</w:t>
            </w:r>
            <w:r w:rsidR="00D8532E">
              <w:rPr>
                <w:noProof/>
                <w:webHidden/>
              </w:rPr>
              <w:tab/>
            </w:r>
            <w:r w:rsidR="00D8532E">
              <w:rPr>
                <w:noProof/>
                <w:webHidden/>
              </w:rPr>
              <w:fldChar w:fldCharType="begin"/>
            </w:r>
            <w:r w:rsidR="00D8532E">
              <w:rPr>
                <w:noProof/>
                <w:webHidden/>
              </w:rPr>
              <w:instrText xml:space="preserve"> PAGEREF _Toc35259369 \h </w:instrText>
            </w:r>
            <w:r w:rsidR="00D8532E">
              <w:rPr>
                <w:noProof/>
                <w:webHidden/>
              </w:rPr>
            </w:r>
            <w:r w:rsidR="00D8532E">
              <w:rPr>
                <w:noProof/>
                <w:webHidden/>
              </w:rPr>
              <w:fldChar w:fldCharType="separate"/>
            </w:r>
            <w:r w:rsidR="00D8532E">
              <w:rPr>
                <w:noProof/>
                <w:webHidden/>
              </w:rPr>
              <w:t>36</w:t>
            </w:r>
            <w:r w:rsidR="00D8532E">
              <w:rPr>
                <w:noProof/>
                <w:webHidden/>
              </w:rPr>
              <w:fldChar w:fldCharType="end"/>
            </w:r>
          </w:hyperlink>
        </w:p>
        <w:p w14:paraId="227FD9C7" w14:textId="60493CD3" w:rsidR="00D8532E" w:rsidRDefault="001A20FB">
          <w:pPr>
            <w:pStyle w:val="TOC3"/>
            <w:rPr>
              <w:rFonts w:asciiTheme="minorHAnsi" w:eastAsiaTheme="minorEastAsia" w:hAnsiTheme="minorHAnsi" w:cstheme="minorBidi"/>
              <w:noProof/>
              <w:lang w:eastAsia="en-AU"/>
            </w:rPr>
          </w:pPr>
          <w:hyperlink w:anchor="_Toc35259370" w:history="1">
            <w:r w:rsidR="00D8532E" w:rsidRPr="008660BD">
              <w:rPr>
                <w:rStyle w:val="Hyperlink"/>
                <w:noProof/>
              </w:rPr>
              <w:t>Risk-benefit analysis</w:t>
            </w:r>
            <w:r w:rsidR="00D8532E">
              <w:rPr>
                <w:noProof/>
                <w:webHidden/>
              </w:rPr>
              <w:tab/>
            </w:r>
            <w:r w:rsidR="00D8532E">
              <w:rPr>
                <w:noProof/>
                <w:webHidden/>
              </w:rPr>
              <w:fldChar w:fldCharType="begin"/>
            </w:r>
            <w:r w:rsidR="00D8532E">
              <w:rPr>
                <w:noProof/>
                <w:webHidden/>
              </w:rPr>
              <w:instrText xml:space="preserve"> PAGEREF _Toc35259370 \h </w:instrText>
            </w:r>
            <w:r w:rsidR="00D8532E">
              <w:rPr>
                <w:noProof/>
                <w:webHidden/>
              </w:rPr>
            </w:r>
            <w:r w:rsidR="00D8532E">
              <w:rPr>
                <w:noProof/>
                <w:webHidden/>
              </w:rPr>
              <w:fldChar w:fldCharType="separate"/>
            </w:r>
            <w:r w:rsidR="00D8532E">
              <w:rPr>
                <w:noProof/>
                <w:webHidden/>
              </w:rPr>
              <w:t>38</w:t>
            </w:r>
            <w:r w:rsidR="00D8532E">
              <w:rPr>
                <w:noProof/>
                <w:webHidden/>
              </w:rPr>
              <w:fldChar w:fldCharType="end"/>
            </w:r>
          </w:hyperlink>
        </w:p>
        <w:p w14:paraId="1DD26603" w14:textId="23324EAB" w:rsidR="00D8532E" w:rsidRDefault="001A20FB">
          <w:pPr>
            <w:pStyle w:val="TOC3"/>
            <w:rPr>
              <w:rFonts w:asciiTheme="minorHAnsi" w:eastAsiaTheme="minorEastAsia" w:hAnsiTheme="minorHAnsi" w:cstheme="minorBidi"/>
              <w:noProof/>
              <w:lang w:eastAsia="en-AU"/>
            </w:rPr>
          </w:pPr>
          <w:hyperlink w:anchor="_Toc35259371" w:history="1">
            <w:r w:rsidR="00D8532E" w:rsidRPr="008660BD">
              <w:rPr>
                <w:rStyle w:val="Hyperlink"/>
                <w:noProof/>
              </w:rPr>
              <w:t>Outcome</w:t>
            </w:r>
            <w:r w:rsidR="00D8532E">
              <w:rPr>
                <w:noProof/>
                <w:webHidden/>
              </w:rPr>
              <w:tab/>
            </w:r>
            <w:r w:rsidR="00D8532E">
              <w:rPr>
                <w:noProof/>
                <w:webHidden/>
              </w:rPr>
              <w:fldChar w:fldCharType="begin"/>
            </w:r>
            <w:r w:rsidR="00D8532E">
              <w:rPr>
                <w:noProof/>
                <w:webHidden/>
              </w:rPr>
              <w:instrText xml:space="preserve"> PAGEREF _Toc35259371 \h </w:instrText>
            </w:r>
            <w:r w:rsidR="00D8532E">
              <w:rPr>
                <w:noProof/>
                <w:webHidden/>
              </w:rPr>
            </w:r>
            <w:r w:rsidR="00D8532E">
              <w:rPr>
                <w:noProof/>
                <w:webHidden/>
              </w:rPr>
              <w:fldChar w:fldCharType="separate"/>
            </w:r>
            <w:r w:rsidR="00D8532E">
              <w:rPr>
                <w:noProof/>
                <w:webHidden/>
              </w:rPr>
              <w:t>42</w:t>
            </w:r>
            <w:r w:rsidR="00D8532E">
              <w:rPr>
                <w:noProof/>
                <w:webHidden/>
              </w:rPr>
              <w:fldChar w:fldCharType="end"/>
            </w:r>
          </w:hyperlink>
        </w:p>
        <w:p w14:paraId="2BA035D7" w14:textId="5952C369" w:rsidR="00D8532E" w:rsidRDefault="001A20FB">
          <w:pPr>
            <w:pStyle w:val="TOC2"/>
            <w:rPr>
              <w:rFonts w:asciiTheme="minorHAnsi" w:eastAsiaTheme="minorEastAsia" w:hAnsiTheme="minorHAnsi" w:cstheme="minorBidi"/>
              <w:b w:val="0"/>
              <w:noProof/>
              <w:sz w:val="22"/>
              <w:lang w:eastAsia="en-AU"/>
            </w:rPr>
          </w:pPr>
          <w:hyperlink w:anchor="_Toc35259372" w:history="1">
            <w:r w:rsidR="00D8532E" w:rsidRPr="008660BD">
              <w:rPr>
                <w:rStyle w:val="Hyperlink"/>
                <w:noProof/>
              </w:rPr>
              <w:t>Attachments 1 and 2. Product Information</w:t>
            </w:r>
            <w:r w:rsidR="00D8532E">
              <w:rPr>
                <w:noProof/>
                <w:webHidden/>
              </w:rPr>
              <w:tab/>
            </w:r>
            <w:r w:rsidR="00D8532E">
              <w:rPr>
                <w:noProof/>
                <w:webHidden/>
              </w:rPr>
              <w:fldChar w:fldCharType="begin"/>
            </w:r>
            <w:r w:rsidR="00D8532E">
              <w:rPr>
                <w:noProof/>
                <w:webHidden/>
              </w:rPr>
              <w:instrText xml:space="preserve"> PAGEREF _Toc35259372 \h </w:instrText>
            </w:r>
            <w:r w:rsidR="00D8532E">
              <w:rPr>
                <w:noProof/>
                <w:webHidden/>
              </w:rPr>
            </w:r>
            <w:r w:rsidR="00D8532E">
              <w:rPr>
                <w:noProof/>
                <w:webHidden/>
              </w:rPr>
              <w:fldChar w:fldCharType="separate"/>
            </w:r>
            <w:r w:rsidR="00D8532E">
              <w:rPr>
                <w:noProof/>
                <w:webHidden/>
              </w:rPr>
              <w:t>43</w:t>
            </w:r>
            <w:r w:rsidR="00D8532E">
              <w:rPr>
                <w:noProof/>
                <w:webHidden/>
              </w:rPr>
              <w:fldChar w:fldCharType="end"/>
            </w:r>
          </w:hyperlink>
        </w:p>
        <w:p w14:paraId="70B0B793" w14:textId="2D5D8412" w:rsidR="003A7F6C" w:rsidRPr="00B811C6" w:rsidRDefault="00960520" w:rsidP="00B811C6">
          <w:pPr>
            <w:pStyle w:val="TOC2"/>
          </w:pPr>
          <w:r>
            <w:fldChar w:fldCharType="end"/>
          </w:r>
        </w:p>
      </w:sdtContent>
    </w:sdt>
    <w:bookmarkStart w:id="3" w:name="_Toc314842482" w:displacedByCustomXml="prev"/>
    <w:p w14:paraId="467F65D5" w14:textId="77777777" w:rsidR="00FD119B" w:rsidRDefault="00FD119B">
      <w:pPr>
        <w:spacing w:before="0" w:after="200" w:line="0" w:lineRule="auto"/>
      </w:pPr>
      <w:r>
        <w:br w:type="page"/>
      </w:r>
    </w:p>
    <w:p w14:paraId="6267916D" w14:textId="3A7D490B" w:rsidR="00C52E24" w:rsidRPr="00C52E24" w:rsidRDefault="00441C3F" w:rsidP="002E5F71">
      <w:pPr>
        <w:pStyle w:val="Heading2"/>
      </w:pPr>
      <w:bookmarkStart w:id="4" w:name="_Toc351716269"/>
      <w:bookmarkStart w:id="5" w:name="_Toc351718881"/>
      <w:bookmarkStart w:id="6" w:name="_Toc355338616"/>
      <w:bookmarkStart w:id="7" w:name="_Toc356306144"/>
      <w:bookmarkStart w:id="8" w:name="_Toc3525935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CC0A3D" w:rsidRPr="00FD119B" w14:paraId="71010624" w14:textId="77777777" w:rsidTr="0056396C">
        <w:trPr>
          <w:cnfStyle w:val="100000000000" w:firstRow="1" w:lastRow="0" w:firstColumn="0" w:lastColumn="0" w:oddVBand="0" w:evenVBand="0" w:oddHBand="0" w:evenHBand="0" w:firstRowFirstColumn="0" w:firstRowLastColumn="0" w:lastRowFirstColumn="0" w:lastRowLastColumn="0"/>
        </w:trPr>
        <w:tc>
          <w:tcPr>
            <w:tcW w:w="1890" w:type="dxa"/>
          </w:tcPr>
          <w:p w14:paraId="51615A35" w14:textId="77777777" w:rsidR="00CC0A3D" w:rsidRPr="00FD119B" w:rsidRDefault="00CC0A3D" w:rsidP="002E5F71">
            <w:pPr>
              <w:rPr>
                <w:lang w:eastAsia="en-US"/>
              </w:rPr>
            </w:pPr>
            <w:r w:rsidRPr="00FD119B">
              <w:rPr>
                <w:lang w:eastAsia="en-US"/>
              </w:rPr>
              <w:t>Abbreviation</w:t>
            </w:r>
          </w:p>
        </w:tc>
        <w:tc>
          <w:tcPr>
            <w:tcW w:w="6830" w:type="dxa"/>
          </w:tcPr>
          <w:p w14:paraId="1ECE723B" w14:textId="77777777" w:rsidR="00CC0A3D" w:rsidRPr="00FD119B" w:rsidRDefault="00CC0A3D" w:rsidP="002E5F71">
            <w:pPr>
              <w:rPr>
                <w:lang w:eastAsia="en-US"/>
              </w:rPr>
            </w:pPr>
            <w:r w:rsidRPr="00FD119B">
              <w:rPr>
                <w:lang w:eastAsia="en-US"/>
              </w:rPr>
              <w:t>Meaning</w:t>
            </w:r>
          </w:p>
        </w:tc>
      </w:tr>
      <w:tr w:rsidR="00CC0A3D" w:rsidRPr="00FD119B" w14:paraId="09231ACA" w14:textId="77777777" w:rsidTr="0056396C">
        <w:tc>
          <w:tcPr>
            <w:tcW w:w="1890" w:type="dxa"/>
          </w:tcPr>
          <w:p w14:paraId="4F558292" w14:textId="77777777" w:rsidR="00CC0A3D" w:rsidRPr="00FD119B" w:rsidRDefault="00CC0A3D" w:rsidP="002E5F71">
            <w:pPr>
              <w:rPr>
                <w:color w:val="auto"/>
                <w:lang w:eastAsia="en-US"/>
              </w:rPr>
            </w:pPr>
            <w:r>
              <w:t>3TC</w:t>
            </w:r>
          </w:p>
        </w:tc>
        <w:tc>
          <w:tcPr>
            <w:tcW w:w="6830" w:type="dxa"/>
          </w:tcPr>
          <w:p w14:paraId="1E7EFFAC" w14:textId="77777777" w:rsidR="00CC0A3D" w:rsidRPr="00FD119B" w:rsidRDefault="00CC0A3D" w:rsidP="002E5F71">
            <w:pPr>
              <w:rPr>
                <w:color w:val="auto"/>
                <w:lang w:eastAsia="en-US"/>
              </w:rPr>
            </w:pPr>
            <w:r>
              <w:t>Lamivudine</w:t>
            </w:r>
          </w:p>
        </w:tc>
      </w:tr>
      <w:tr w:rsidR="00CC0A3D" w:rsidRPr="00FD119B" w14:paraId="7999E685" w14:textId="77777777" w:rsidTr="0056396C">
        <w:tc>
          <w:tcPr>
            <w:tcW w:w="1890" w:type="dxa"/>
          </w:tcPr>
          <w:p w14:paraId="22C77ECB" w14:textId="77777777" w:rsidR="00CC0A3D" w:rsidRPr="00FD119B" w:rsidRDefault="00CC0A3D" w:rsidP="002E5F71">
            <w:pPr>
              <w:rPr>
                <w:color w:val="auto"/>
                <w:lang w:eastAsia="en-US"/>
              </w:rPr>
            </w:pPr>
            <w:r>
              <w:t>ABC</w:t>
            </w:r>
          </w:p>
        </w:tc>
        <w:tc>
          <w:tcPr>
            <w:tcW w:w="6830" w:type="dxa"/>
          </w:tcPr>
          <w:p w14:paraId="5A57E931" w14:textId="77777777" w:rsidR="00CC0A3D" w:rsidRPr="00FD119B" w:rsidRDefault="00CC0A3D" w:rsidP="002E5F71">
            <w:pPr>
              <w:rPr>
                <w:color w:val="auto"/>
                <w:lang w:eastAsia="en-US"/>
              </w:rPr>
            </w:pPr>
            <w:r>
              <w:t>Abacavir</w:t>
            </w:r>
          </w:p>
        </w:tc>
      </w:tr>
      <w:tr w:rsidR="00CA6B59" w:rsidRPr="00FD119B" w14:paraId="7E5BCA36" w14:textId="77777777" w:rsidTr="0056396C">
        <w:tc>
          <w:tcPr>
            <w:tcW w:w="1890" w:type="dxa"/>
          </w:tcPr>
          <w:p w14:paraId="5578A3C2" w14:textId="6881FE9D" w:rsidR="00CA6B59" w:rsidRDefault="00CA6B59" w:rsidP="002E5F71">
            <w:r>
              <w:t>ACM</w:t>
            </w:r>
          </w:p>
        </w:tc>
        <w:tc>
          <w:tcPr>
            <w:tcW w:w="6830" w:type="dxa"/>
          </w:tcPr>
          <w:p w14:paraId="102F36F3" w14:textId="09FB4666" w:rsidR="00CA6B59" w:rsidRDefault="00CA6B59" w:rsidP="00CA6B59">
            <w:r w:rsidRPr="00456765">
              <w:rPr>
                <w:bCs/>
              </w:rPr>
              <w:t>Advisory Committee on Me</w:t>
            </w:r>
            <w:r>
              <w:rPr>
                <w:bCs/>
              </w:rPr>
              <w:t>dicines</w:t>
            </w:r>
          </w:p>
        </w:tc>
      </w:tr>
      <w:tr w:rsidR="00CC0A3D" w:rsidRPr="00FD119B" w14:paraId="37E30DBF" w14:textId="77777777" w:rsidTr="0056396C">
        <w:tc>
          <w:tcPr>
            <w:tcW w:w="1890" w:type="dxa"/>
          </w:tcPr>
          <w:p w14:paraId="2C87B499" w14:textId="77777777" w:rsidR="00CC0A3D" w:rsidRDefault="00CC0A3D" w:rsidP="002E5F71">
            <w:r>
              <w:t>AE</w:t>
            </w:r>
          </w:p>
        </w:tc>
        <w:tc>
          <w:tcPr>
            <w:tcW w:w="6830" w:type="dxa"/>
          </w:tcPr>
          <w:p w14:paraId="6D282367" w14:textId="77777777" w:rsidR="00CC0A3D" w:rsidRDefault="00CC0A3D" w:rsidP="002E5F71">
            <w:r>
              <w:t>Adverse event</w:t>
            </w:r>
          </w:p>
        </w:tc>
      </w:tr>
      <w:tr w:rsidR="00CC0A3D" w:rsidRPr="00FD119B" w14:paraId="54249B47" w14:textId="77777777" w:rsidTr="0056396C">
        <w:tc>
          <w:tcPr>
            <w:tcW w:w="1890" w:type="dxa"/>
          </w:tcPr>
          <w:p w14:paraId="1C931E72" w14:textId="77777777" w:rsidR="00CC0A3D" w:rsidRDefault="00CC0A3D" w:rsidP="002E5F71">
            <w:r>
              <w:t>AIDS</w:t>
            </w:r>
          </w:p>
        </w:tc>
        <w:tc>
          <w:tcPr>
            <w:tcW w:w="6830" w:type="dxa"/>
          </w:tcPr>
          <w:p w14:paraId="5303CEE2" w14:textId="77777777" w:rsidR="00CC0A3D" w:rsidRDefault="00CC0A3D" w:rsidP="002E5F71">
            <w:r>
              <w:t>Acquired immune deficiency syndrome</w:t>
            </w:r>
          </w:p>
        </w:tc>
      </w:tr>
      <w:tr w:rsidR="00CC0A3D" w:rsidRPr="00FD119B" w14:paraId="1E7B0D67" w14:textId="77777777" w:rsidTr="0056396C">
        <w:tc>
          <w:tcPr>
            <w:tcW w:w="1890" w:type="dxa"/>
          </w:tcPr>
          <w:p w14:paraId="1B65D135" w14:textId="77777777" w:rsidR="00CC0A3D" w:rsidRDefault="00CC0A3D" w:rsidP="002E5F71">
            <w:r>
              <w:t>ALT</w:t>
            </w:r>
          </w:p>
        </w:tc>
        <w:tc>
          <w:tcPr>
            <w:tcW w:w="6830" w:type="dxa"/>
          </w:tcPr>
          <w:p w14:paraId="2C178CA3" w14:textId="77777777" w:rsidR="00CC0A3D" w:rsidRDefault="00CC0A3D" w:rsidP="002E5F71">
            <w:r>
              <w:t>Alanine aminotransferase</w:t>
            </w:r>
          </w:p>
        </w:tc>
      </w:tr>
      <w:tr w:rsidR="00CC0A3D" w:rsidRPr="00FD119B" w14:paraId="755B5045" w14:textId="77777777" w:rsidTr="0056396C">
        <w:tc>
          <w:tcPr>
            <w:tcW w:w="1890" w:type="dxa"/>
          </w:tcPr>
          <w:p w14:paraId="71BDE721" w14:textId="77777777" w:rsidR="00CC0A3D" w:rsidRDefault="00CC0A3D" w:rsidP="002E5F71">
            <w:r>
              <w:t>ART</w:t>
            </w:r>
          </w:p>
        </w:tc>
        <w:tc>
          <w:tcPr>
            <w:tcW w:w="6830" w:type="dxa"/>
          </w:tcPr>
          <w:p w14:paraId="1D58DE78" w14:textId="77777777" w:rsidR="00CC0A3D" w:rsidRDefault="00CC0A3D" w:rsidP="002E5F71">
            <w:r>
              <w:t>Antiretroviral therapy</w:t>
            </w:r>
          </w:p>
        </w:tc>
      </w:tr>
      <w:tr w:rsidR="00943AC8" w:rsidRPr="00FD119B" w14:paraId="1B9FC9C1" w14:textId="77777777" w:rsidTr="0056396C">
        <w:tc>
          <w:tcPr>
            <w:tcW w:w="1890" w:type="dxa"/>
          </w:tcPr>
          <w:p w14:paraId="0D25C71B" w14:textId="5C0BBBF7" w:rsidR="00943AC8" w:rsidRDefault="00943AC8" w:rsidP="002E5F71">
            <w:r>
              <w:t>ARTG</w:t>
            </w:r>
          </w:p>
        </w:tc>
        <w:tc>
          <w:tcPr>
            <w:tcW w:w="6830" w:type="dxa"/>
          </w:tcPr>
          <w:p w14:paraId="7D54070F" w14:textId="4936DE2D" w:rsidR="00943AC8" w:rsidRDefault="00943AC8" w:rsidP="002E5F71">
            <w:r>
              <w:t>Australian Register of Therapeutic Goods</w:t>
            </w:r>
          </w:p>
        </w:tc>
      </w:tr>
      <w:tr w:rsidR="00CC0A3D" w:rsidRPr="00FD119B" w14:paraId="1E33A7B8" w14:textId="77777777" w:rsidTr="0056396C">
        <w:tc>
          <w:tcPr>
            <w:tcW w:w="1890" w:type="dxa"/>
          </w:tcPr>
          <w:p w14:paraId="4B236D7D" w14:textId="77777777" w:rsidR="00CC0A3D" w:rsidRDefault="00CC0A3D" w:rsidP="002E5F71">
            <w:r w:rsidRPr="00F33F46">
              <w:t>ASA</w:t>
            </w:r>
          </w:p>
        </w:tc>
        <w:tc>
          <w:tcPr>
            <w:tcW w:w="6830" w:type="dxa"/>
          </w:tcPr>
          <w:p w14:paraId="292C2928" w14:textId="77777777" w:rsidR="00CC0A3D" w:rsidRDefault="00CC0A3D" w:rsidP="008E48BE">
            <w:r>
              <w:t>Australian Specific Annex</w:t>
            </w:r>
          </w:p>
        </w:tc>
      </w:tr>
      <w:tr w:rsidR="00CC0A3D" w:rsidRPr="00FD119B" w14:paraId="29489BDC" w14:textId="77777777" w:rsidTr="0056396C">
        <w:tc>
          <w:tcPr>
            <w:tcW w:w="1890" w:type="dxa"/>
          </w:tcPr>
          <w:p w14:paraId="3EB5FC8F" w14:textId="77777777" w:rsidR="00CC0A3D" w:rsidRDefault="00CC0A3D" w:rsidP="002E5F71">
            <w:r>
              <w:t>AST</w:t>
            </w:r>
          </w:p>
        </w:tc>
        <w:tc>
          <w:tcPr>
            <w:tcW w:w="6830" w:type="dxa"/>
          </w:tcPr>
          <w:p w14:paraId="66A6D50F" w14:textId="77777777" w:rsidR="00CC0A3D" w:rsidRDefault="00CC0A3D" w:rsidP="002E5F71">
            <w:r>
              <w:t>Aspartate aminotransferase</w:t>
            </w:r>
          </w:p>
        </w:tc>
      </w:tr>
      <w:tr w:rsidR="00CC0A3D" w:rsidRPr="00FD119B" w14:paraId="4CABC9E2" w14:textId="77777777" w:rsidTr="0056396C">
        <w:tc>
          <w:tcPr>
            <w:tcW w:w="1890" w:type="dxa"/>
          </w:tcPr>
          <w:p w14:paraId="6190009D" w14:textId="77777777" w:rsidR="00CC0A3D" w:rsidRDefault="00CC0A3D" w:rsidP="002E5F71">
            <w:r>
              <w:t>AUC</w:t>
            </w:r>
          </w:p>
        </w:tc>
        <w:tc>
          <w:tcPr>
            <w:tcW w:w="6830" w:type="dxa"/>
          </w:tcPr>
          <w:p w14:paraId="6C7481FD" w14:textId="77777777" w:rsidR="00CC0A3D" w:rsidRDefault="00CC0A3D" w:rsidP="002E5F71">
            <w:r>
              <w:t>Area under to concentration time curve</w:t>
            </w:r>
          </w:p>
        </w:tc>
      </w:tr>
      <w:tr w:rsidR="00CC0A3D" w:rsidRPr="00FD119B" w14:paraId="7C055ED1" w14:textId="77777777" w:rsidTr="0056396C">
        <w:tc>
          <w:tcPr>
            <w:tcW w:w="1890" w:type="dxa"/>
          </w:tcPr>
          <w:p w14:paraId="756CD06B" w14:textId="77777777" w:rsidR="00CC0A3D" w:rsidRDefault="00CC0A3D" w:rsidP="002E5F71">
            <w:r>
              <w:t>BCRP</w:t>
            </w:r>
          </w:p>
        </w:tc>
        <w:tc>
          <w:tcPr>
            <w:tcW w:w="6830" w:type="dxa"/>
          </w:tcPr>
          <w:p w14:paraId="6A849998" w14:textId="77777777" w:rsidR="00CC0A3D" w:rsidRDefault="00CC0A3D" w:rsidP="00461938">
            <w:r>
              <w:t>B</w:t>
            </w:r>
            <w:r w:rsidRPr="00461938">
              <w:t>reast cancer resistanc</w:t>
            </w:r>
            <w:r>
              <w:t>e protein</w:t>
            </w:r>
          </w:p>
        </w:tc>
      </w:tr>
      <w:tr w:rsidR="003B1757" w:rsidRPr="00FD119B" w14:paraId="0D441204" w14:textId="77777777" w:rsidTr="0056396C">
        <w:tc>
          <w:tcPr>
            <w:tcW w:w="1890" w:type="dxa"/>
          </w:tcPr>
          <w:p w14:paraId="381C2FBF" w14:textId="0FEEC4D1" w:rsidR="003B1757" w:rsidRDefault="003B1757" w:rsidP="002E5F71">
            <w:r>
              <w:t>BE</w:t>
            </w:r>
          </w:p>
        </w:tc>
        <w:tc>
          <w:tcPr>
            <w:tcW w:w="6830" w:type="dxa"/>
          </w:tcPr>
          <w:p w14:paraId="2C608110" w14:textId="6299E8BC" w:rsidR="003B1757" w:rsidRDefault="003B1757" w:rsidP="00461938">
            <w:r>
              <w:t>Bioequivalence</w:t>
            </w:r>
          </w:p>
        </w:tc>
      </w:tr>
      <w:tr w:rsidR="006F3FD1" w:rsidRPr="00FD119B" w14:paraId="74584387" w14:textId="77777777" w:rsidTr="0056396C">
        <w:tc>
          <w:tcPr>
            <w:tcW w:w="1890" w:type="dxa"/>
          </w:tcPr>
          <w:p w14:paraId="151822AD" w14:textId="478AC025" w:rsidR="006F3FD1" w:rsidRDefault="006F3FD1" w:rsidP="002E5F71">
            <w:r w:rsidRPr="006F3FD1">
              <w:t>BMD</w:t>
            </w:r>
          </w:p>
        </w:tc>
        <w:tc>
          <w:tcPr>
            <w:tcW w:w="6830" w:type="dxa"/>
          </w:tcPr>
          <w:p w14:paraId="59F703C3" w14:textId="51B20CE6" w:rsidR="006F3FD1" w:rsidRDefault="006F3FD1" w:rsidP="006F3FD1">
            <w:r>
              <w:t>Bone mineral density</w:t>
            </w:r>
          </w:p>
        </w:tc>
      </w:tr>
      <w:tr w:rsidR="00CC0A3D" w:rsidRPr="00FD119B" w14:paraId="2AB2D2AD" w14:textId="77777777" w:rsidTr="0056396C">
        <w:tc>
          <w:tcPr>
            <w:tcW w:w="1890" w:type="dxa"/>
          </w:tcPr>
          <w:p w14:paraId="1D0ED655" w14:textId="77777777" w:rsidR="00CC0A3D" w:rsidRDefault="00CC0A3D" w:rsidP="002E5F71">
            <w:r>
              <w:t>C</w:t>
            </w:r>
            <w:r w:rsidRPr="00103946">
              <w:rPr>
                <w:vertAlign w:val="subscript"/>
              </w:rPr>
              <w:t>24</w:t>
            </w:r>
          </w:p>
        </w:tc>
        <w:tc>
          <w:tcPr>
            <w:tcW w:w="6830" w:type="dxa"/>
          </w:tcPr>
          <w:p w14:paraId="5D413C4A" w14:textId="77777777" w:rsidR="00CC0A3D" w:rsidRDefault="00CC0A3D" w:rsidP="002E5F71">
            <w:r>
              <w:t>Plasma concentration at 24 hours</w:t>
            </w:r>
          </w:p>
        </w:tc>
      </w:tr>
      <w:tr w:rsidR="00CC0A3D" w:rsidRPr="00FD119B" w14:paraId="4DEE3EA0" w14:textId="77777777" w:rsidTr="0056396C">
        <w:tc>
          <w:tcPr>
            <w:tcW w:w="1890" w:type="dxa"/>
          </w:tcPr>
          <w:p w14:paraId="294910FD" w14:textId="77777777" w:rsidR="00CC0A3D" w:rsidRDefault="00CC0A3D" w:rsidP="002E5F71">
            <w:r>
              <w:t>cART</w:t>
            </w:r>
          </w:p>
        </w:tc>
        <w:tc>
          <w:tcPr>
            <w:tcW w:w="6830" w:type="dxa"/>
          </w:tcPr>
          <w:p w14:paraId="731D8117" w14:textId="77777777" w:rsidR="00CC0A3D" w:rsidRDefault="00CC0A3D" w:rsidP="0056396C">
            <w:r>
              <w:t>Combination antiretroviral therapy</w:t>
            </w:r>
          </w:p>
        </w:tc>
      </w:tr>
      <w:tr w:rsidR="00ED3E05" w:rsidRPr="00FD119B" w14:paraId="3D2B6F2F" w14:textId="77777777" w:rsidTr="0056396C">
        <w:tc>
          <w:tcPr>
            <w:tcW w:w="1890" w:type="dxa"/>
          </w:tcPr>
          <w:p w14:paraId="42383FAD" w14:textId="6CA484E9" w:rsidR="00ED3E05" w:rsidRDefault="00ED3E05" w:rsidP="002E5F71">
            <w:r w:rsidRPr="00ED3E05">
              <w:t>CHMP</w:t>
            </w:r>
          </w:p>
        </w:tc>
        <w:tc>
          <w:tcPr>
            <w:tcW w:w="6830" w:type="dxa"/>
          </w:tcPr>
          <w:p w14:paraId="02EF9B74" w14:textId="58F65051" w:rsidR="00ED3E05" w:rsidRDefault="00ED3E05" w:rsidP="00ED3E05">
            <w:r>
              <w:t xml:space="preserve">Committee for </w:t>
            </w:r>
            <w:r w:rsidRPr="00ED3E05">
              <w:t>Me</w:t>
            </w:r>
            <w:r>
              <w:t>dicinal Products for Human Use</w:t>
            </w:r>
            <w:r w:rsidR="00943AC8">
              <w:t xml:space="preserve"> (EU)</w:t>
            </w:r>
          </w:p>
        </w:tc>
      </w:tr>
      <w:tr w:rsidR="00CC0A3D" w:rsidRPr="00FD119B" w14:paraId="521C9D49" w14:textId="77777777" w:rsidTr="0056396C">
        <w:tc>
          <w:tcPr>
            <w:tcW w:w="1890" w:type="dxa"/>
          </w:tcPr>
          <w:p w14:paraId="6C93FA40" w14:textId="77777777" w:rsidR="00CC0A3D" w:rsidRDefault="00CC0A3D" w:rsidP="002E5F71">
            <w:r>
              <w:t>CI</w:t>
            </w:r>
          </w:p>
        </w:tc>
        <w:tc>
          <w:tcPr>
            <w:tcW w:w="6830" w:type="dxa"/>
          </w:tcPr>
          <w:p w14:paraId="03F466E9" w14:textId="77777777" w:rsidR="00CC0A3D" w:rsidRDefault="00CC0A3D" w:rsidP="002E5F71">
            <w:r>
              <w:t>Confidence interval</w:t>
            </w:r>
          </w:p>
        </w:tc>
      </w:tr>
      <w:tr w:rsidR="00CC0A3D" w:rsidRPr="00FD119B" w14:paraId="1BBBC80F" w14:textId="77777777" w:rsidTr="0056396C">
        <w:tc>
          <w:tcPr>
            <w:tcW w:w="1890" w:type="dxa"/>
          </w:tcPr>
          <w:p w14:paraId="2ECACC8B" w14:textId="77777777" w:rsidR="00CC0A3D" w:rsidRDefault="00CC0A3D" w:rsidP="002E5F71">
            <w:r>
              <w:t>C</w:t>
            </w:r>
            <w:r w:rsidRPr="00103946">
              <w:rPr>
                <w:vertAlign w:val="subscript"/>
              </w:rPr>
              <w:t>max</w:t>
            </w:r>
          </w:p>
        </w:tc>
        <w:tc>
          <w:tcPr>
            <w:tcW w:w="6830" w:type="dxa"/>
          </w:tcPr>
          <w:p w14:paraId="3515ADDD" w14:textId="77777777" w:rsidR="00CC0A3D" w:rsidRDefault="00CC0A3D" w:rsidP="002E5F71">
            <w:r>
              <w:t>Maximum plasma concentration</w:t>
            </w:r>
          </w:p>
        </w:tc>
      </w:tr>
      <w:tr w:rsidR="00CC0A3D" w:rsidRPr="00FD119B" w14:paraId="6A8768B0" w14:textId="77777777" w:rsidTr="0056396C">
        <w:tc>
          <w:tcPr>
            <w:tcW w:w="1890" w:type="dxa"/>
          </w:tcPr>
          <w:p w14:paraId="0DF6B9F3" w14:textId="77777777" w:rsidR="00CC0A3D" w:rsidRDefault="00CC0A3D" w:rsidP="002E5F71">
            <w:r w:rsidRPr="003077CB">
              <w:rPr>
                <w:bCs/>
              </w:rPr>
              <w:t>CMI</w:t>
            </w:r>
          </w:p>
        </w:tc>
        <w:tc>
          <w:tcPr>
            <w:tcW w:w="6830" w:type="dxa"/>
          </w:tcPr>
          <w:p w14:paraId="4D48523A" w14:textId="4257E9FF" w:rsidR="00CC0A3D" w:rsidRDefault="00CC0A3D" w:rsidP="00420CB8">
            <w:r w:rsidRPr="003077CB">
              <w:rPr>
                <w:bCs/>
              </w:rPr>
              <w:t>Consumer M</w:t>
            </w:r>
            <w:r>
              <w:rPr>
                <w:bCs/>
              </w:rPr>
              <w:t xml:space="preserve">edicine </w:t>
            </w:r>
            <w:r w:rsidR="00943AC8">
              <w:rPr>
                <w:bCs/>
              </w:rPr>
              <w:t>I</w:t>
            </w:r>
            <w:r>
              <w:rPr>
                <w:bCs/>
              </w:rPr>
              <w:t>nformation</w:t>
            </w:r>
          </w:p>
        </w:tc>
      </w:tr>
      <w:tr w:rsidR="00CC0A3D" w:rsidRPr="00FD119B" w14:paraId="41ED4413" w14:textId="77777777" w:rsidTr="0056396C">
        <w:tc>
          <w:tcPr>
            <w:tcW w:w="1890" w:type="dxa"/>
          </w:tcPr>
          <w:p w14:paraId="4B787956" w14:textId="77777777" w:rsidR="00CC0A3D" w:rsidRDefault="00CC0A3D" w:rsidP="002E5F71">
            <w:r>
              <w:t>CYP</w:t>
            </w:r>
          </w:p>
        </w:tc>
        <w:tc>
          <w:tcPr>
            <w:tcW w:w="6830" w:type="dxa"/>
          </w:tcPr>
          <w:p w14:paraId="67D3C303" w14:textId="77777777" w:rsidR="00CC0A3D" w:rsidRDefault="00CC0A3D" w:rsidP="002E5F71">
            <w:r>
              <w:t>Cytochrome P450</w:t>
            </w:r>
          </w:p>
        </w:tc>
      </w:tr>
      <w:tr w:rsidR="00CC0A3D" w:rsidRPr="00FD119B" w14:paraId="2FED463D" w14:textId="77777777" w:rsidTr="0056396C">
        <w:tc>
          <w:tcPr>
            <w:tcW w:w="1890" w:type="dxa"/>
          </w:tcPr>
          <w:p w14:paraId="46595BA7" w14:textId="77777777" w:rsidR="00CC0A3D" w:rsidRDefault="00CC0A3D" w:rsidP="002E5F71">
            <w:r>
              <w:t>DDI</w:t>
            </w:r>
          </w:p>
        </w:tc>
        <w:tc>
          <w:tcPr>
            <w:tcW w:w="6830" w:type="dxa"/>
          </w:tcPr>
          <w:p w14:paraId="6D1DEBD5" w14:textId="34FF6DB1" w:rsidR="00CC0A3D" w:rsidRDefault="003B1757" w:rsidP="006248F3">
            <w:r>
              <w:t xml:space="preserve">Drug </w:t>
            </w:r>
            <w:r w:rsidR="00CC0A3D">
              <w:t>drug interaction</w:t>
            </w:r>
          </w:p>
        </w:tc>
      </w:tr>
      <w:tr w:rsidR="00CC0A3D" w:rsidRPr="00FD119B" w14:paraId="4BDF56A4" w14:textId="77777777" w:rsidTr="0056396C">
        <w:tc>
          <w:tcPr>
            <w:tcW w:w="1890" w:type="dxa"/>
          </w:tcPr>
          <w:p w14:paraId="3CAC4F61" w14:textId="77777777" w:rsidR="00CC0A3D" w:rsidRDefault="00CC0A3D" w:rsidP="002E5F71">
            <w:r>
              <w:t>DHHS</w:t>
            </w:r>
          </w:p>
        </w:tc>
        <w:tc>
          <w:tcPr>
            <w:tcW w:w="6830" w:type="dxa"/>
          </w:tcPr>
          <w:p w14:paraId="396DFF13" w14:textId="77777777" w:rsidR="00CC0A3D" w:rsidRDefault="00CC0A3D" w:rsidP="00420CB8">
            <w:r w:rsidRPr="00420CB8">
              <w:t>Departme</w:t>
            </w:r>
            <w:r>
              <w:t>nt of Health and Human Services (USA)</w:t>
            </w:r>
          </w:p>
        </w:tc>
      </w:tr>
      <w:tr w:rsidR="00CC0A3D" w:rsidRPr="00FD119B" w14:paraId="07B41ABF" w14:textId="77777777" w:rsidTr="0056396C">
        <w:tc>
          <w:tcPr>
            <w:tcW w:w="1890" w:type="dxa"/>
          </w:tcPr>
          <w:p w14:paraId="520BAA25" w14:textId="77777777" w:rsidR="00CC0A3D" w:rsidRDefault="00CC0A3D" w:rsidP="002E5F71">
            <w:r>
              <w:t>DILI</w:t>
            </w:r>
          </w:p>
        </w:tc>
        <w:tc>
          <w:tcPr>
            <w:tcW w:w="6830" w:type="dxa"/>
          </w:tcPr>
          <w:p w14:paraId="248B1BBE" w14:textId="77777777" w:rsidR="00CC0A3D" w:rsidRDefault="00CC0A3D" w:rsidP="00942974">
            <w:r>
              <w:t>Drug-induced liver injury</w:t>
            </w:r>
          </w:p>
        </w:tc>
      </w:tr>
      <w:tr w:rsidR="00CC0A3D" w:rsidRPr="00FD119B" w14:paraId="42FBC9A7" w14:textId="77777777" w:rsidTr="0056396C">
        <w:tc>
          <w:tcPr>
            <w:tcW w:w="1890" w:type="dxa"/>
          </w:tcPr>
          <w:p w14:paraId="2372D93F" w14:textId="77777777" w:rsidR="00CC0A3D" w:rsidRDefault="00CC0A3D" w:rsidP="002E5F71">
            <w:r w:rsidRPr="00F33F46">
              <w:t>DLP</w:t>
            </w:r>
          </w:p>
        </w:tc>
        <w:tc>
          <w:tcPr>
            <w:tcW w:w="6830" w:type="dxa"/>
          </w:tcPr>
          <w:p w14:paraId="080500C9" w14:textId="77777777" w:rsidR="00CC0A3D" w:rsidRDefault="00CC0A3D" w:rsidP="008E48BE">
            <w:r>
              <w:t>Data lock point</w:t>
            </w:r>
          </w:p>
        </w:tc>
      </w:tr>
      <w:tr w:rsidR="00CC0A3D" w:rsidRPr="00FD119B" w14:paraId="4F0B9827" w14:textId="77777777" w:rsidTr="0056396C">
        <w:tc>
          <w:tcPr>
            <w:tcW w:w="1890" w:type="dxa"/>
          </w:tcPr>
          <w:p w14:paraId="5073F311" w14:textId="77777777" w:rsidR="00CC0A3D" w:rsidRDefault="00CC0A3D" w:rsidP="002E5F71">
            <w:r>
              <w:lastRenderedPageBreak/>
              <w:t>DOR</w:t>
            </w:r>
          </w:p>
        </w:tc>
        <w:tc>
          <w:tcPr>
            <w:tcW w:w="6830" w:type="dxa"/>
          </w:tcPr>
          <w:p w14:paraId="0B40C67E" w14:textId="77777777" w:rsidR="00CC0A3D" w:rsidRDefault="00CC0A3D" w:rsidP="002E5F71">
            <w:r>
              <w:t>Doravirine (drug development name; MK-1439)</w:t>
            </w:r>
          </w:p>
        </w:tc>
      </w:tr>
      <w:tr w:rsidR="00CC0A3D" w:rsidRPr="00FD119B" w14:paraId="25DC346D" w14:textId="77777777" w:rsidTr="0056396C">
        <w:tc>
          <w:tcPr>
            <w:tcW w:w="1890" w:type="dxa"/>
          </w:tcPr>
          <w:p w14:paraId="0AD8FBD8" w14:textId="77777777" w:rsidR="00CC0A3D" w:rsidRDefault="00CC0A3D" w:rsidP="002E5F71">
            <w:r>
              <w:t>DRV</w:t>
            </w:r>
          </w:p>
        </w:tc>
        <w:tc>
          <w:tcPr>
            <w:tcW w:w="6830" w:type="dxa"/>
          </w:tcPr>
          <w:p w14:paraId="4142419E" w14:textId="77777777" w:rsidR="00CC0A3D" w:rsidRDefault="00CC0A3D" w:rsidP="002E5F71">
            <w:r>
              <w:t>Darunavir</w:t>
            </w:r>
          </w:p>
        </w:tc>
      </w:tr>
      <w:tr w:rsidR="00CC0A3D" w:rsidRPr="00FD119B" w14:paraId="12744498" w14:textId="77777777" w:rsidTr="0056396C">
        <w:tc>
          <w:tcPr>
            <w:tcW w:w="1890" w:type="dxa"/>
          </w:tcPr>
          <w:p w14:paraId="0BD3EDE7" w14:textId="77777777" w:rsidR="00CC0A3D" w:rsidRDefault="00CC0A3D" w:rsidP="002E5F71">
            <w:r>
              <w:t>DRV/r</w:t>
            </w:r>
          </w:p>
        </w:tc>
        <w:tc>
          <w:tcPr>
            <w:tcW w:w="6830" w:type="dxa"/>
          </w:tcPr>
          <w:p w14:paraId="5C5A6226" w14:textId="77777777" w:rsidR="00CC0A3D" w:rsidRDefault="00CC0A3D" w:rsidP="002E5F71">
            <w:r>
              <w:t>Darunavir boosted with ritonavir</w:t>
            </w:r>
          </w:p>
        </w:tc>
      </w:tr>
      <w:tr w:rsidR="00CC0A3D" w:rsidRPr="00FD119B" w14:paraId="04F74392" w14:textId="77777777" w:rsidTr="0056396C">
        <w:tc>
          <w:tcPr>
            <w:tcW w:w="1890" w:type="dxa"/>
          </w:tcPr>
          <w:p w14:paraId="11782734" w14:textId="77777777" w:rsidR="00CC0A3D" w:rsidRDefault="00CC0A3D" w:rsidP="002E5F71">
            <w:r>
              <w:t>EC</w:t>
            </w:r>
            <w:r w:rsidRPr="00AB1875">
              <w:rPr>
                <w:vertAlign w:val="subscript"/>
              </w:rPr>
              <w:t>50</w:t>
            </w:r>
          </w:p>
        </w:tc>
        <w:tc>
          <w:tcPr>
            <w:tcW w:w="6830" w:type="dxa"/>
          </w:tcPr>
          <w:p w14:paraId="4984C145" w14:textId="77777777" w:rsidR="00CC0A3D" w:rsidRDefault="00CC0A3D" w:rsidP="00AB1875">
            <w:r>
              <w:t>Half maximal effective concentration</w:t>
            </w:r>
          </w:p>
        </w:tc>
      </w:tr>
      <w:tr w:rsidR="00B2445E" w:rsidRPr="00FD119B" w14:paraId="1FB6F493" w14:textId="77777777" w:rsidTr="0056396C">
        <w:tc>
          <w:tcPr>
            <w:tcW w:w="1890" w:type="dxa"/>
          </w:tcPr>
          <w:p w14:paraId="3F1F21A1" w14:textId="625243A8" w:rsidR="00B2445E" w:rsidRDefault="00B2445E" w:rsidP="002E5F71">
            <w:r>
              <w:t>EE</w:t>
            </w:r>
          </w:p>
        </w:tc>
        <w:tc>
          <w:tcPr>
            <w:tcW w:w="6830" w:type="dxa"/>
          </w:tcPr>
          <w:p w14:paraId="2859FFCC" w14:textId="54B55A65" w:rsidR="00B2445E" w:rsidRDefault="00B2445E" w:rsidP="002E5F71">
            <w:r>
              <w:t>Ethinylestradiol</w:t>
            </w:r>
          </w:p>
        </w:tc>
      </w:tr>
      <w:tr w:rsidR="00CC0A3D" w:rsidRPr="00FD119B" w14:paraId="123DBCB9" w14:textId="77777777" w:rsidTr="0056396C">
        <w:tc>
          <w:tcPr>
            <w:tcW w:w="1890" w:type="dxa"/>
          </w:tcPr>
          <w:p w14:paraId="27175BF1" w14:textId="77777777" w:rsidR="00CC0A3D" w:rsidRDefault="00CC0A3D" w:rsidP="002E5F71">
            <w:r>
              <w:t>EFV</w:t>
            </w:r>
          </w:p>
        </w:tc>
        <w:tc>
          <w:tcPr>
            <w:tcW w:w="6830" w:type="dxa"/>
          </w:tcPr>
          <w:p w14:paraId="462EF36F" w14:textId="77777777" w:rsidR="00CC0A3D" w:rsidRDefault="00CC0A3D" w:rsidP="002E5F71">
            <w:r>
              <w:t>Efavirenz</w:t>
            </w:r>
          </w:p>
        </w:tc>
      </w:tr>
      <w:tr w:rsidR="00CC0A3D" w:rsidRPr="00FD119B" w14:paraId="29D5E9FC" w14:textId="77777777" w:rsidTr="0056396C">
        <w:tc>
          <w:tcPr>
            <w:tcW w:w="1890" w:type="dxa"/>
          </w:tcPr>
          <w:p w14:paraId="657DBF0D" w14:textId="77777777" w:rsidR="00CC0A3D" w:rsidRDefault="00CC0A3D" w:rsidP="002E5F71">
            <w:r w:rsidRPr="003077CB">
              <w:t>eGFR</w:t>
            </w:r>
          </w:p>
        </w:tc>
        <w:tc>
          <w:tcPr>
            <w:tcW w:w="6830" w:type="dxa"/>
          </w:tcPr>
          <w:p w14:paraId="24173841" w14:textId="77777777" w:rsidR="00CC0A3D" w:rsidRDefault="00CC0A3D" w:rsidP="00420CB8">
            <w:r>
              <w:t>E</w:t>
            </w:r>
            <w:r w:rsidRPr="00420CB8">
              <w:t>stim</w:t>
            </w:r>
            <w:r>
              <w:t>ated glomerular filtration rate</w:t>
            </w:r>
          </w:p>
        </w:tc>
      </w:tr>
      <w:tr w:rsidR="00B2445E" w:rsidRPr="00FD119B" w14:paraId="7FDCFEA1" w14:textId="77777777" w:rsidTr="0056396C">
        <w:tc>
          <w:tcPr>
            <w:tcW w:w="1890" w:type="dxa"/>
          </w:tcPr>
          <w:p w14:paraId="1AC98F76" w14:textId="3D75FD59" w:rsidR="00B2445E" w:rsidRPr="003077CB" w:rsidRDefault="00B2445E" w:rsidP="002E5F71">
            <w:r>
              <w:t>ELB</w:t>
            </w:r>
          </w:p>
        </w:tc>
        <w:tc>
          <w:tcPr>
            <w:tcW w:w="6830" w:type="dxa"/>
          </w:tcPr>
          <w:p w14:paraId="419157AA" w14:textId="4F3DEBFD" w:rsidR="00B2445E" w:rsidRDefault="00B2445E" w:rsidP="00420CB8">
            <w:r>
              <w:t>Elbasvir</w:t>
            </w:r>
          </w:p>
        </w:tc>
      </w:tr>
      <w:tr w:rsidR="00ED3E05" w:rsidRPr="00FD119B" w14:paraId="32BD897A" w14:textId="77777777" w:rsidTr="0056396C">
        <w:tc>
          <w:tcPr>
            <w:tcW w:w="1890" w:type="dxa"/>
          </w:tcPr>
          <w:p w14:paraId="59A16A79" w14:textId="09C4F4CC" w:rsidR="00ED3E05" w:rsidRPr="003077CB" w:rsidRDefault="00ED3E05" w:rsidP="002E5F71">
            <w:r>
              <w:t>EMA</w:t>
            </w:r>
          </w:p>
        </w:tc>
        <w:tc>
          <w:tcPr>
            <w:tcW w:w="6830" w:type="dxa"/>
          </w:tcPr>
          <w:p w14:paraId="207E9241" w14:textId="0F74EA1B" w:rsidR="00ED3E05" w:rsidRDefault="00ED3E05" w:rsidP="00420CB8">
            <w:r>
              <w:t>European Medicines Agency</w:t>
            </w:r>
            <w:r w:rsidR="00943AC8">
              <w:t xml:space="preserve"> (EU)</w:t>
            </w:r>
          </w:p>
        </w:tc>
      </w:tr>
      <w:tr w:rsidR="00CC0A3D" w:rsidRPr="00FD119B" w14:paraId="2646AA11" w14:textId="77777777" w:rsidTr="0056396C">
        <w:tc>
          <w:tcPr>
            <w:tcW w:w="1890" w:type="dxa"/>
          </w:tcPr>
          <w:p w14:paraId="0E7E3042" w14:textId="77777777" w:rsidR="00CC0A3D" w:rsidRDefault="00CC0A3D" w:rsidP="002E5F71">
            <w:r>
              <w:t>E-R</w:t>
            </w:r>
          </w:p>
        </w:tc>
        <w:tc>
          <w:tcPr>
            <w:tcW w:w="6830" w:type="dxa"/>
          </w:tcPr>
          <w:p w14:paraId="1A0E00F0" w14:textId="77777777" w:rsidR="00CC0A3D" w:rsidRDefault="00CC0A3D" w:rsidP="00D36E97">
            <w:r>
              <w:t>Exposure-Response</w:t>
            </w:r>
          </w:p>
        </w:tc>
      </w:tr>
      <w:tr w:rsidR="00CC0A3D" w:rsidRPr="00FD119B" w14:paraId="529EDF5F" w14:textId="77777777" w:rsidTr="0056396C">
        <w:tc>
          <w:tcPr>
            <w:tcW w:w="1890" w:type="dxa"/>
          </w:tcPr>
          <w:p w14:paraId="7FF70E76" w14:textId="77777777" w:rsidR="00CC0A3D" w:rsidRDefault="00CC0A3D" w:rsidP="002E5F71">
            <w:r>
              <w:t>ESRD</w:t>
            </w:r>
          </w:p>
        </w:tc>
        <w:tc>
          <w:tcPr>
            <w:tcW w:w="6830" w:type="dxa"/>
          </w:tcPr>
          <w:p w14:paraId="43F2BF3A" w14:textId="77777777" w:rsidR="00CC0A3D" w:rsidRDefault="00CC0A3D" w:rsidP="006248F3">
            <w:r>
              <w:t>End stage renal disease</w:t>
            </w:r>
          </w:p>
        </w:tc>
      </w:tr>
      <w:tr w:rsidR="00943AC8" w:rsidRPr="00FD119B" w14:paraId="66C945F9" w14:textId="77777777" w:rsidTr="0056396C">
        <w:tc>
          <w:tcPr>
            <w:tcW w:w="1890" w:type="dxa"/>
          </w:tcPr>
          <w:p w14:paraId="629070B1" w14:textId="528E487C" w:rsidR="00943AC8" w:rsidRDefault="00943AC8" w:rsidP="002E5F71">
            <w:r>
              <w:t>EU</w:t>
            </w:r>
          </w:p>
        </w:tc>
        <w:tc>
          <w:tcPr>
            <w:tcW w:w="6830" w:type="dxa"/>
          </w:tcPr>
          <w:p w14:paraId="5A401097" w14:textId="377F8D85" w:rsidR="00943AC8" w:rsidRDefault="00943AC8" w:rsidP="006248F3">
            <w:r>
              <w:t>European Union</w:t>
            </w:r>
          </w:p>
        </w:tc>
      </w:tr>
      <w:tr w:rsidR="00CC0A3D" w:rsidRPr="00FD119B" w14:paraId="205C21D1" w14:textId="77777777" w:rsidTr="0056396C">
        <w:tc>
          <w:tcPr>
            <w:tcW w:w="1890" w:type="dxa"/>
          </w:tcPr>
          <w:p w14:paraId="33EC2E68" w14:textId="77777777" w:rsidR="00CC0A3D" w:rsidRDefault="00CC0A3D" w:rsidP="002E5F71">
            <w:r w:rsidRPr="00F33F46">
              <w:t>EU-RMP</w:t>
            </w:r>
          </w:p>
        </w:tc>
        <w:tc>
          <w:tcPr>
            <w:tcW w:w="6830" w:type="dxa"/>
          </w:tcPr>
          <w:p w14:paraId="06BD1F08" w14:textId="4417BA58" w:rsidR="00CC0A3D" w:rsidRDefault="00D768C3" w:rsidP="008E48BE">
            <w:r>
              <w:t>European Union-r</w:t>
            </w:r>
            <w:r w:rsidR="00CC0A3D">
              <w:t xml:space="preserve">isk </w:t>
            </w:r>
            <w:r w:rsidR="00943AC8">
              <w:t>m</w:t>
            </w:r>
            <w:r w:rsidR="00CC0A3D">
              <w:t xml:space="preserve">anagement </w:t>
            </w:r>
            <w:r w:rsidR="00943AC8">
              <w:t>p</w:t>
            </w:r>
            <w:r w:rsidR="00CC0A3D">
              <w:t>lan</w:t>
            </w:r>
          </w:p>
        </w:tc>
      </w:tr>
      <w:tr w:rsidR="00B2445E" w:rsidRPr="00FD119B" w14:paraId="2B812BE5" w14:textId="77777777" w:rsidTr="0056396C">
        <w:tc>
          <w:tcPr>
            <w:tcW w:w="1890" w:type="dxa"/>
          </w:tcPr>
          <w:p w14:paraId="61871CFA" w14:textId="17506328" w:rsidR="00B2445E" w:rsidRPr="00F33F46" w:rsidRDefault="00B2445E" w:rsidP="002E5F71">
            <w:r>
              <w:t>EVR</w:t>
            </w:r>
          </w:p>
        </w:tc>
        <w:tc>
          <w:tcPr>
            <w:tcW w:w="6830" w:type="dxa"/>
          </w:tcPr>
          <w:p w14:paraId="176F7FA9" w14:textId="17C367DD" w:rsidR="00B2445E" w:rsidRDefault="00B2445E" w:rsidP="008E48BE">
            <w:r>
              <w:t>Efavirenz</w:t>
            </w:r>
          </w:p>
        </w:tc>
      </w:tr>
      <w:tr w:rsidR="00CC0A3D" w:rsidRPr="00FD119B" w14:paraId="3F2CE337" w14:textId="77777777" w:rsidTr="0056396C">
        <w:tc>
          <w:tcPr>
            <w:tcW w:w="1890" w:type="dxa"/>
          </w:tcPr>
          <w:p w14:paraId="10038D71" w14:textId="77777777" w:rsidR="00CC0A3D" w:rsidRDefault="00CC0A3D" w:rsidP="002E5F71">
            <w:r>
              <w:t>FDA</w:t>
            </w:r>
          </w:p>
        </w:tc>
        <w:tc>
          <w:tcPr>
            <w:tcW w:w="6830" w:type="dxa"/>
          </w:tcPr>
          <w:p w14:paraId="7355D72E" w14:textId="7E625CAF" w:rsidR="00CC0A3D" w:rsidRDefault="00CC0A3D" w:rsidP="002E5F71">
            <w:r>
              <w:t>Food and Drug Administration</w:t>
            </w:r>
            <w:r w:rsidR="00943AC8">
              <w:t xml:space="preserve"> (USA)</w:t>
            </w:r>
          </w:p>
        </w:tc>
      </w:tr>
      <w:tr w:rsidR="00CC0A3D" w:rsidRPr="00FD119B" w14:paraId="30AF0D83" w14:textId="77777777" w:rsidTr="0056396C">
        <w:tc>
          <w:tcPr>
            <w:tcW w:w="1890" w:type="dxa"/>
          </w:tcPr>
          <w:p w14:paraId="38159736" w14:textId="77777777" w:rsidR="00CC0A3D" w:rsidRDefault="00CC0A3D" w:rsidP="002E5F71">
            <w:r>
              <w:t>FDC</w:t>
            </w:r>
          </w:p>
        </w:tc>
        <w:tc>
          <w:tcPr>
            <w:tcW w:w="6830" w:type="dxa"/>
          </w:tcPr>
          <w:p w14:paraId="2F56D17A" w14:textId="77777777" w:rsidR="00CC0A3D" w:rsidRDefault="00CC0A3D" w:rsidP="002E5F71">
            <w:r>
              <w:t>Fixed dose combination</w:t>
            </w:r>
          </w:p>
        </w:tc>
      </w:tr>
      <w:tr w:rsidR="00CC0A3D" w:rsidRPr="00FD119B" w14:paraId="2FACAAF1" w14:textId="77777777" w:rsidTr="0056396C">
        <w:tc>
          <w:tcPr>
            <w:tcW w:w="1890" w:type="dxa"/>
          </w:tcPr>
          <w:p w14:paraId="46A62C69" w14:textId="77777777" w:rsidR="00CC0A3D" w:rsidRDefault="00CC0A3D" w:rsidP="002E5F71">
            <w:r w:rsidRPr="00910CDC">
              <w:t>FMI</w:t>
            </w:r>
          </w:p>
        </w:tc>
        <w:tc>
          <w:tcPr>
            <w:tcW w:w="6830" w:type="dxa"/>
          </w:tcPr>
          <w:p w14:paraId="70029F78" w14:textId="77777777" w:rsidR="00CC0A3D" w:rsidRDefault="00CC0A3D" w:rsidP="002E5F71">
            <w:r>
              <w:t>Final market image</w:t>
            </w:r>
          </w:p>
        </w:tc>
      </w:tr>
      <w:tr w:rsidR="00CC0A3D" w:rsidRPr="00FD119B" w14:paraId="7E4E23A1" w14:textId="77777777" w:rsidTr="0056396C">
        <w:tc>
          <w:tcPr>
            <w:tcW w:w="1890" w:type="dxa"/>
          </w:tcPr>
          <w:p w14:paraId="0E26AC35" w14:textId="77777777" w:rsidR="00CC0A3D" w:rsidRDefault="00CC0A3D" w:rsidP="002E5F71">
            <w:r>
              <w:t>FTC</w:t>
            </w:r>
          </w:p>
        </w:tc>
        <w:tc>
          <w:tcPr>
            <w:tcW w:w="6830" w:type="dxa"/>
          </w:tcPr>
          <w:p w14:paraId="7CA919C2" w14:textId="77777777" w:rsidR="00CC0A3D" w:rsidRDefault="00CC0A3D" w:rsidP="002E5F71">
            <w:r>
              <w:t>Emtricitabine</w:t>
            </w:r>
          </w:p>
        </w:tc>
      </w:tr>
      <w:tr w:rsidR="00CC0A3D" w:rsidRPr="00FD119B" w14:paraId="754E50CF" w14:textId="77777777" w:rsidTr="0056396C">
        <w:tc>
          <w:tcPr>
            <w:tcW w:w="1890" w:type="dxa"/>
          </w:tcPr>
          <w:p w14:paraId="16B9D6F2" w14:textId="77777777" w:rsidR="00CC0A3D" w:rsidRDefault="00CC0A3D" w:rsidP="002E5F71">
            <w:r>
              <w:t>GM</w:t>
            </w:r>
          </w:p>
        </w:tc>
        <w:tc>
          <w:tcPr>
            <w:tcW w:w="6830" w:type="dxa"/>
          </w:tcPr>
          <w:p w14:paraId="7277B457" w14:textId="77777777" w:rsidR="00CC0A3D" w:rsidRDefault="00CC0A3D" w:rsidP="00461938">
            <w:r>
              <w:t>Geometric mean</w:t>
            </w:r>
          </w:p>
        </w:tc>
      </w:tr>
      <w:tr w:rsidR="00CC0A3D" w:rsidRPr="00FD119B" w14:paraId="1FC1BA0C" w14:textId="77777777" w:rsidTr="0056396C">
        <w:tc>
          <w:tcPr>
            <w:tcW w:w="1890" w:type="dxa"/>
          </w:tcPr>
          <w:p w14:paraId="587F01EB" w14:textId="77777777" w:rsidR="00CC0A3D" w:rsidRDefault="00CC0A3D" w:rsidP="002E5F71">
            <w:r>
              <w:t>GMP</w:t>
            </w:r>
          </w:p>
        </w:tc>
        <w:tc>
          <w:tcPr>
            <w:tcW w:w="6830" w:type="dxa"/>
          </w:tcPr>
          <w:p w14:paraId="1B7983CB" w14:textId="77777777" w:rsidR="00CC0A3D" w:rsidRDefault="00CC0A3D" w:rsidP="00461938">
            <w:r>
              <w:t>Good Manufacturing Practice</w:t>
            </w:r>
          </w:p>
        </w:tc>
      </w:tr>
      <w:tr w:rsidR="00CC0A3D" w:rsidRPr="00FD119B" w14:paraId="50814D0E" w14:textId="77777777" w:rsidTr="0056396C">
        <w:tc>
          <w:tcPr>
            <w:tcW w:w="1890" w:type="dxa"/>
          </w:tcPr>
          <w:p w14:paraId="660B13C8" w14:textId="77777777" w:rsidR="00CC0A3D" w:rsidRDefault="00CC0A3D" w:rsidP="002E5F71">
            <w:r>
              <w:t>GMR</w:t>
            </w:r>
          </w:p>
        </w:tc>
        <w:tc>
          <w:tcPr>
            <w:tcW w:w="6830" w:type="dxa"/>
          </w:tcPr>
          <w:p w14:paraId="5202CD0D" w14:textId="77777777" w:rsidR="00CC0A3D" w:rsidRDefault="00CC0A3D" w:rsidP="00461938">
            <w:r>
              <w:t>Geometric mean ratio</w:t>
            </w:r>
          </w:p>
        </w:tc>
      </w:tr>
      <w:tr w:rsidR="00B2445E" w:rsidRPr="00FD119B" w14:paraId="2C4A47E9" w14:textId="77777777" w:rsidTr="0056396C">
        <w:tc>
          <w:tcPr>
            <w:tcW w:w="1890" w:type="dxa"/>
          </w:tcPr>
          <w:p w14:paraId="6C0A70A6" w14:textId="7FE5D6CD" w:rsidR="00B2445E" w:rsidRDefault="00B2445E" w:rsidP="002E5F71">
            <w:r>
              <w:t>GRZ</w:t>
            </w:r>
          </w:p>
        </w:tc>
        <w:tc>
          <w:tcPr>
            <w:tcW w:w="6830" w:type="dxa"/>
          </w:tcPr>
          <w:p w14:paraId="679077A1" w14:textId="06B65311" w:rsidR="00B2445E" w:rsidRDefault="00B2445E" w:rsidP="00461938">
            <w:r>
              <w:t>Grazoprevir</w:t>
            </w:r>
          </w:p>
        </w:tc>
      </w:tr>
      <w:tr w:rsidR="00CC0A3D" w:rsidRPr="00FD119B" w14:paraId="468B6BB0" w14:textId="77777777" w:rsidTr="0056396C">
        <w:tc>
          <w:tcPr>
            <w:tcW w:w="1890" w:type="dxa"/>
          </w:tcPr>
          <w:p w14:paraId="0B75EA0E" w14:textId="77777777" w:rsidR="00CC0A3D" w:rsidRDefault="00CC0A3D" w:rsidP="002E5F71">
            <w:r>
              <w:t>GVP</w:t>
            </w:r>
          </w:p>
        </w:tc>
        <w:tc>
          <w:tcPr>
            <w:tcW w:w="6830" w:type="dxa"/>
          </w:tcPr>
          <w:p w14:paraId="45A0D801" w14:textId="77777777" w:rsidR="00CC0A3D" w:rsidRDefault="00CC0A3D" w:rsidP="00420CB8">
            <w:r>
              <w:t>Good Pharmacovigilance Practices</w:t>
            </w:r>
          </w:p>
        </w:tc>
      </w:tr>
      <w:tr w:rsidR="00CC0A3D" w:rsidRPr="00FD119B" w14:paraId="08E2E2E8" w14:textId="77777777" w:rsidTr="0056396C">
        <w:tc>
          <w:tcPr>
            <w:tcW w:w="1890" w:type="dxa"/>
          </w:tcPr>
          <w:p w14:paraId="6DAF2A28" w14:textId="77777777" w:rsidR="00CC0A3D" w:rsidRDefault="00CC0A3D" w:rsidP="002E5F71">
            <w:r>
              <w:t>HDL-C</w:t>
            </w:r>
          </w:p>
        </w:tc>
        <w:tc>
          <w:tcPr>
            <w:tcW w:w="6830" w:type="dxa"/>
          </w:tcPr>
          <w:p w14:paraId="73F13DF5" w14:textId="77777777" w:rsidR="00CC0A3D" w:rsidRDefault="00CC0A3D" w:rsidP="002E5F71">
            <w:r>
              <w:t>High-density lipoprotein cholesterol</w:t>
            </w:r>
          </w:p>
        </w:tc>
      </w:tr>
      <w:tr w:rsidR="00CC0A3D" w:rsidRPr="00FD119B" w14:paraId="6E75B5D3" w14:textId="77777777" w:rsidTr="0056396C">
        <w:tc>
          <w:tcPr>
            <w:tcW w:w="1890" w:type="dxa"/>
          </w:tcPr>
          <w:p w14:paraId="03279E59" w14:textId="77777777" w:rsidR="00CC0A3D" w:rsidRDefault="00CC0A3D" w:rsidP="002E5F71">
            <w:r>
              <w:t>HIV</w:t>
            </w:r>
          </w:p>
        </w:tc>
        <w:tc>
          <w:tcPr>
            <w:tcW w:w="6830" w:type="dxa"/>
          </w:tcPr>
          <w:p w14:paraId="21F27B6C" w14:textId="77777777" w:rsidR="00CC0A3D" w:rsidRDefault="00CC0A3D" w:rsidP="002E5F71">
            <w:r>
              <w:t>Human immunodeficiency virus</w:t>
            </w:r>
          </w:p>
        </w:tc>
      </w:tr>
      <w:tr w:rsidR="00CC0A3D" w:rsidRPr="00FD119B" w14:paraId="6D742231" w14:textId="77777777" w:rsidTr="0056396C">
        <w:tc>
          <w:tcPr>
            <w:tcW w:w="1890" w:type="dxa"/>
          </w:tcPr>
          <w:p w14:paraId="34CD5D75" w14:textId="77777777" w:rsidR="00CC0A3D" w:rsidRDefault="00CC0A3D" w:rsidP="002E5F71">
            <w:r>
              <w:t>HIV-1</w:t>
            </w:r>
          </w:p>
        </w:tc>
        <w:tc>
          <w:tcPr>
            <w:tcW w:w="6830" w:type="dxa"/>
          </w:tcPr>
          <w:p w14:paraId="45872A72" w14:textId="77777777" w:rsidR="00CC0A3D" w:rsidRDefault="00CC0A3D" w:rsidP="002E5F71">
            <w:r>
              <w:t>Human immunodeficiency virus type 1</w:t>
            </w:r>
          </w:p>
        </w:tc>
      </w:tr>
      <w:tr w:rsidR="00CC0A3D" w:rsidRPr="00FD119B" w14:paraId="4D97E0FC" w14:textId="77777777" w:rsidTr="0056396C">
        <w:tc>
          <w:tcPr>
            <w:tcW w:w="1890" w:type="dxa"/>
          </w:tcPr>
          <w:p w14:paraId="1B509648" w14:textId="77777777" w:rsidR="00CC0A3D" w:rsidRDefault="00CC0A3D" w:rsidP="002E5F71">
            <w:r>
              <w:lastRenderedPageBreak/>
              <w:t>IC</w:t>
            </w:r>
            <w:r w:rsidRPr="00461938">
              <w:rPr>
                <w:vertAlign w:val="subscript"/>
              </w:rPr>
              <w:t>50</w:t>
            </w:r>
          </w:p>
        </w:tc>
        <w:tc>
          <w:tcPr>
            <w:tcW w:w="6830" w:type="dxa"/>
          </w:tcPr>
          <w:p w14:paraId="7DA211F5" w14:textId="77777777" w:rsidR="00CC0A3D" w:rsidRDefault="00CC0A3D" w:rsidP="00461938">
            <w:r>
              <w:t>Half maximal inhibitory concentration</w:t>
            </w:r>
          </w:p>
        </w:tc>
      </w:tr>
      <w:tr w:rsidR="003B1757" w:rsidRPr="00FD119B" w14:paraId="6471B8BF" w14:textId="77777777" w:rsidTr="0056396C">
        <w:tc>
          <w:tcPr>
            <w:tcW w:w="1890" w:type="dxa"/>
          </w:tcPr>
          <w:p w14:paraId="5FD231E2" w14:textId="76608E19" w:rsidR="003B1757" w:rsidRDefault="003B1757" w:rsidP="002E5F71">
            <w:r>
              <w:t>IM</w:t>
            </w:r>
          </w:p>
        </w:tc>
        <w:tc>
          <w:tcPr>
            <w:tcW w:w="6830" w:type="dxa"/>
          </w:tcPr>
          <w:p w14:paraId="1DD08B03" w14:textId="544D9E50" w:rsidR="003B1757" w:rsidRDefault="003B1757" w:rsidP="002E5F71">
            <w:r>
              <w:t>Intramuscular</w:t>
            </w:r>
          </w:p>
        </w:tc>
      </w:tr>
      <w:tr w:rsidR="00CC0A3D" w:rsidRPr="00FD119B" w14:paraId="7DE3E21C" w14:textId="77777777" w:rsidTr="0056396C">
        <w:tc>
          <w:tcPr>
            <w:tcW w:w="1890" w:type="dxa"/>
          </w:tcPr>
          <w:p w14:paraId="12B03510" w14:textId="77777777" w:rsidR="00CC0A3D" w:rsidRDefault="00CC0A3D" w:rsidP="002E5F71">
            <w:r>
              <w:t>INSTI</w:t>
            </w:r>
          </w:p>
        </w:tc>
        <w:tc>
          <w:tcPr>
            <w:tcW w:w="6830" w:type="dxa"/>
          </w:tcPr>
          <w:p w14:paraId="0CF06874" w14:textId="77777777" w:rsidR="00CC0A3D" w:rsidRDefault="00CC0A3D" w:rsidP="002E5F71">
            <w:r>
              <w:t>I</w:t>
            </w:r>
            <w:r w:rsidRPr="0056396C">
              <w:t>ntegrase strand transfer inhibitors</w:t>
            </w:r>
          </w:p>
        </w:tc>
      </w:tr>
      <w:tr w:rsidR="00CC0A3D" w:rsidRPr="00FD119B" w14:paraId="482B0B16" w14:textId="77777777" w:rsidTr="0056396C">
        <w:tc>
          <w:tcPr>
            <w:tcW w:w="1890" w:type="dxa"/>
          </w:tcPr>
          <w:p w14:paraId="447E2AA4" w14:textId="77777777" w:rsidR="00CC0A3D" w:rsidRDefault="00CC0A3D" w:rsidP="002E5F71">
            <w:r>
              <w:t>IV</w:t>
            </w:r>
          </w:p>
        </w:tc>
        <w:tc>
          <w:tcPr>
            <w:tcW w:w="6830" w:type="dxa"/>
          </w:tcPr>
          <w:p w14:paraId="3736B0D7" w14:textId="77777777" w:rsidR="00CC0A3D" w:rsidRDefault="00CC0A3D" w:rsidP="00815213">
            <w:r>
              <w:t>Intravenous</w:t>
            </w:r>
          </w:p>
        </w:tc>
      </w:tr>
      <w:tr w:rsidR="00CC0A3D" w:rsidRPr="00FD119B" w14:paraId="08C53F82" w14:textId="77777777" w:rsidTr="0056396C">
        <w:tc>
          <w:tcPr>
            <w:tcW w:w="1890" w:type="dxa"/>
          </w:tcPr>
          <w:p w14:paraId="691FE66F" w14:textId="77777777" w:rsidR="00CC0A3D" w:rsidRDefault="00CC0A3D" w:rsidP="002E5F71">
            <w:r>
              <w:t>LDL-C</w:t>
            </w:r>
          </w:p>
        </w:tc>
        <w:tc>
          <w:tcPr>
            <w:tcW w:w="6830" w:type="dxa"/>
          </w:tcPr>
          <w:p w14:paraId="07D81C60" w14:textId="77777777" w:rsidR="00CC0A3D" w:rsidRDefault="00CC0A3D" w:rsidP="002E5F71">
            <w:r>
              <w:t>Low-density lipoprotein cholesterol</w:t>
            </w:r>
          </w:p>
        </w:tc>
      </w:tr>
      <w:tr w:rsidR="00B2445E" w:rsidRPr="00FD119B" w14:paraId="71AE8710" w14:textId="77777777" w:rsidTr="0056396C">
        <w:tc>
          <w:tcPr>
            <w:tcW w:w="1890" w:type="dxa"/>
          </w:tcPr>
          <w:p w14:paraId="759D7657" w14:textId="762C6391" w:rsidR="00B2445E" w:rsidRDefault="00B2445E" w:rsidP="002E5F71">
            <w:r>
              <w:t>LDP</w:t>
            </w:r>
          </w:p>
        </w:tc>
        <w:tc>
          <w:tcPr>
            <w:tcW w:w="6830" w:type="dxa"/>
          </w:tcPr>
          <w:p w14:paraId="34D1DA40" w14:textId="2E3E429A" w:rsidR="00B2445E" w:rsidRDefault="00B2445E" w:rsidP="002E5F71">
            <w:r>
              <w:t>L</w:t>
            </w:r>
            <w:r w:rsidRPr="003B1757">
              <w:t>edipasvir</w:t>
            </w:r>
          </w:p>
        </w:tc>
      </w:tr>
      <w:tr w:rsidR="00B2445E" w:rsidRPr="00FD119B" w14:paraId="755A8508" w14:textId="77777777" w:rsidTr="0056396C">
        <w:tc>
          <w:tcPr>
            <w:tcW w:w="1890" w:type="dxa"/>
          </w:tcPr>
          <w:p w14:paraId="3C5EE2E1" w14:textId="0B545354" w:rsidR="00B2445E" w:rsidRDefault="00B2445E" w:rsidP="002E5F71">
            <w:r>
              <w:t>LNG</w:t>
            </w:r>
          </w:p>
        </w:tc>
        <w:tc>
          <w:tcPr>
            <w:tcW w:w="6830" w:type="dxa"/>
          </w:tcPr>
          <w:p w14:paraId="1F32A7C2" w14:textId="1B17B831" w:rsidR="00B2445E" w:rsidRDefault="00B2445E" w:rsidP="002E5F71">
            <w:r>
              <w:t>Levonorgestrel</w:t>
            </w:r>
          </w:p>
        </w:tc>
      </w:tr>
      <w:tr w:rsidR="00CC0A3D" w:rsidRPr="00FD119B" w14:paraId="08B7EFA8" w14:textId="77777777" w:rsidTr="0056396C">
        <w:tc>
          <w:tcPr>
            <w:tcW w:w="1890" w:type="dxa"/>
          </w:tcPr>
          <w:p w14:paraId="12220D49" w14:textId="77777777" w:rsidR="00CC0A3D" w:rsidRDefault="00CC0A3D" w:rsidP="002E5F71">
            <w:r>
              <w:t>M9</w:t>
            </w:r>
          </w:p>
        </w:tc>
        <w:tc>
          <w:tcPr>
            <w:tcW w:w="6830" w:type="dxa"/>
          </w:tcPr>
          <w:p w14:paraId="3F645FB1" w14:textId="77777777" w:rsidR="00CC0A3D" w:rsidRDefault="00CC0A3D" w:rsidP="00461938">
            <w:r>
              <w:t>Doravirine metabolite 9</w:t>
            </w:r>
          </w:p>
        </w:tc>
      </w:tr>
      <w:tr w:rsidR="00CC0A3D" w:rsidRPr="00FD119B" w14:paraId="38AD1D2B" w14:textId="77777777" w:rsidTr="0056396C">
        <w:tc>
          <w:tcPr>
            <w:tcW w:w="1890" w:type="dxa"/>
          </w:tcPr>
          <w:p w14:paraId="1371B828" w14:textId="77777777" w:rsidR="00CC0A3D" w:rsidRDefault="00CC0A3D" w:rsidP="002E5F71">
            <w:r>
              <w:t>MK-1439</w:t>
            </w:r>
          </w:p>
        </w:tc>
        <w:tc>
          <w:tcPr>
            <w:tcW w:w="6830" w:type="dxa"/>
          </w:tcPr>
          <w:p w14:paraId="0CB28BE2" w14:textId="341CC7C5" w:rsidR="00CC0A3D" w:rsidRDefault="00CC0A3D" w:rsidP="002E5F71">
            <w:r>
              <w:t>Doravirine drug development name</w:t>
            </w:r>
          </w:p>
        </w:tc>
      </w:tr>
      <w:tr w:rsidR="00CC0A3D" w:rsidRPr="00FD119B" w14:paraId="24B400A6" w14:textId="77777777" w:rsidTr="0056396C">
        <w:tc>
          <w:tcPr>
            <w:tcW w:w="1890" w:type="dxa"/>
          </w:tcPr>
          <w:p w14:paraId="1D57B985" w14:textId="77777777" w:rsidR="00CC0A3D" w:rsidRDefault="00CC0A3D" w:rsidP="002E5F71">
            <w:r>
              <w:t>MSP</w:t>
            </w:r>
          </w:p>
        </w:tc>
        <w:tc>
          <w:tcPr>
            <w:tcW w:w="6830" w:type="dxa"/>
          </w:tcPr>
          <w:p w14:paraId="4974E64D" w14:textId="77777777" w:rsidR="00CC0A3D" w:rsidRDefault="00CC0A3D" w:rsidP="000538BD">
            <w:r>
              <w:t>Main Safety Pool</w:t>
            </w:r>
          </w:p>
        </w:tc>
      </w:tr>
      <w:tr w:rsidR="006F3FD1" w:rsidRPr="00FD119B" w14:paraId="6298178D" w14:textId="77777777" w:rsidTr="0056396C">
        <w:tc>
          <w:tcPr>
            <w:tcW w:w="1890" w:type="dxa"/>
          </w:tcPr>
          <w:p w14:paraId="0BE29C2E" w14:textId="771DDCF2" w:rsidR="006F3FD1" w:rsidRDefault="006F3FD1" w:rsidP="002E5F71">
            <w:r>
              <w:t>N/A</w:t>
            </w:r>
          </w:p>
        </w:tc>
        <w:tc>
          <w:tcPr>
            <w:tcW w:w="6830" w:type="dxa"/>
          </w:tcPr>
          <w:p w14:paraId="0F8E5679" w14:textId="02867709" w:rsidR="006F3FD1" w:rsidRDefault="006F3FD1" w:rsidP="002E5F71">
            <w:r>
              <w:t>Not applicable</w:t>
            </w:r>
          </w:p>
        </w:tc>
      </w:tr>
      <w:tr w:rsidR="00CC0A3D" w:rsidRPr="00FD119B" w14:paraId="3E117CD0" w14:textId="77777777" w:rsidTr="0056396C">
        <w:tc>
          <w:tcPr>
            <w:tcW w:w="1890" w:type="dxa"/>
          </w:tcPr>
          <w:p w14:paraId="2889B0A1" w14:textId="77777777" w:rsidR="00CC0A3D" w:rsidRDefault="00CC0A3D" w:rsidP="002E5F71">
            <w:r>
              <w:t>NNRTI</w:t>
            </w:r>
          </w:p>
        </w:tc>
        <w:tc>
          <w:tcPr>
            <w:tcW w:w="6830" w:type="dxa"/>
          </w:tcPr>
          <w:p w14:paraId="4549DF8A" w14:textId="77777777" w:rsidR="00CC0A3D" w:rsidRDefault="00CC0A3D" w:rsidP="002E5F71">
            <w:r>
              <w:t>Non-nucleoside reverse transcriptase inhibitor</w:t>
            </w:r>
          </w:p>
        </w:tc>
      </w:tr>
      <w:tr w:rsidR="00CC0A3D" w:rsidRPr="00FD119B" w14:paraId="08FB4425" w14:textId="77777777" w:rsidTr="0056396C">
        <w:tc>
          <w:tcPr>
            <w:tcW w:w="1890" w:type="dxa"/>
          </w:tcPr>
          <w:p w14:paraId="3FEDFC92" w14:textId="77777777" w:rsidR="00CC0A3D" w:rsidRDefault="00CC0A3D" w:rsidP="002E5F71">
            <w:r>
              <w:t>NRTI</w:t>
            </w:r>
          </w:p>
        </w:tc>
        <w:tc>
          <w:tcPr>
            <w:tcW w:w="6830" w:type="dxa"/>
          </w:tcPr>
          <w:p w14:paraId="27FF520B" w14:textId="77777777" w:rsidR="00CC0A3D" w:rsidRDefault="00CC0A3D" w:rsidP="002E5F71">
            <w:r>
              <w:t>Nucleoside reverse transcriptase inhibitor</w:t>
            </w:r>
          </w:p>
        </w:tc>
      </w:tr>
      <w:tr w:rsidR="00CC0A3D" w:rsidRPr="00FD119B" w14:paraId="3D7F0D5F" w14:textId="77777777" w:rsidTr="0056396C">
        <w:tc>
          <w:tcPr>
            <w:tcW w:w="1890" w:type="dxa"/>
          </w:tcPr>
          <w:p w14:paraId="2A71F23F" w14:textId="77777777" w:rsidR="00CC0A3D" w:rsidRDefault="00CC0A3D" w:rsidP="002E5F71">
            <w:r>
              <w:t>OAT3</w:t>
            </w:r>
          </w:p>
        </w:tc>
        <w:tc>
          <w:tcPr>
            <w:tcW w:w="6830" w:type="dxa"/>
          </w:tcPr>
          <w:p w14:paraId="70671434" w14:textId="77777777" w:rsidR="00CC0A3D" w:rsidRDefault="00CC0A3D" w:rsidP="00461938">
            <w:r>
              <w:t>Organic anion transporter 3</w:t>
            </w:r>
          </w:p>
        </w:tc>
      </w:tr>
      <w:tr w:rsidR="00CC0A3D" w:rsidRPr="00FD119B" w14:paraId="12601269" w14:textId="77777777" w:rsidTr="0056396C">
        <w:tc>
          <w:tcPr>
            <w:tcW w:w="1890" w:type="dxa"/>
          </w:tcPr>
          <w:p w14:paraId="4E30C05D" w14:textId="77777777" w:rsidR="00CC0A3D" w:rsidRDefault="00CC0A3D" w:rsidP="002E5F71">
            <w:r>
              <w:t>OATP</w:t>
            </w:r>
          </w:p>
        </w:tc>
        <w:tc>
          <w:tcPr>
            <w:tcW w:w="6830" w:type="dxa"/>
          </w:tcPr>
          <w:p w14:paraId="3F509B3C" w14:textId="77777777" w:rsidR="00CC0A3D" w:rsidRDefault="00CC0A3D" w:rsidP="002E5F71">
            <w:r>
              <w:t>O</w:t>
            </w:r>
            <w:r w:rsidRPr="00461938">
              <w:t>rganic-anion-transporting polypeptide</w:t>
            </w:r>
          </w:p>
        </w:tc>
      </w:tr>
      <w:tr w:rsidR="00CC0A3D" w:rsidRPr="00FD119B" w14:paraId="5219BE09" w14:textId="77777777" w:rsidTr="0056396C">
        <w:tc>
          <w:tcPr>
            <w:tcW w:w="1890" w:type="dxa"/>
          </w:tcPr>
          <w:p w14:paraId="0AAEEFCF" w14:textId="77777777" w:rsidR="00CC0A3D" w:rsidRDefault="00CC0A3D" w:rsidP="002E5F71">
            <w:r>
              <w:t>OF</w:t>
            </w:r>
          </w:p>
        </w:tc>
        <w:tc>
          <w:tcPr>
            <w:tcW w:w="6830" w:type="dxa"/>
          </w:tcPr>
          <w:p w14:paraId="74328B5F" w14:textId="77777777" w:rsidR="00CC0A3D" w:rsidRDefault="00CC0A3D" w:rsidP="00E57FFC">
            <w:r>
              <w:t>Observed failure</w:t>
            </w:r>
          </w:p>
        </w:tc>
      </w:tr>
      <w:tr w:rsidR="00CC0A3D" w:rsidRPr="00FD119B" w14:paraId="19F4683E" w14:textId="77777777" w:rsidTr="0056396C">
        <w:tc>
          <w:tcPr>
            <w:tcW w:w="1890" w:type="dxa"/>
          </w:tcPr>
          <w:p w14:paraId="409C494B" w14:textId="77777777" w:rsidR="00CC0A3D" w:rsidRDefault="00CC0A3D" w:rsidP="002E5F71">
            <w:r w:rsidRPr="00382533">
              <w:t>PD</w:t>
            </w:r>
          </w:p>
        </w:tc>
        <w:tc>
          <w:tcPr>
            <w:tcW w:w="6830" w:type="dxa"/>
          </w:tcPr>
          <w:p w14:paraId="46B49CE9" w14:textId="77777777" w:rsidR="00CC0A3D" w:rsidRDefault="00CC0A3D" w:rsidP="00A363CB">
            <w:r>
              <w:t>Pharmacodynamic</w:t>
            </w:r>
          </w:p>
        </w:tc>
      </w:tr>
      <w:tr w:rsidR="00CC0A3D" w:rsidRPr="00FD119B" w14:paraId="6B3DD7B7" w14:textId="77777777" w:rsidTr="0056396C">
        <w:tc>
          <w:tcPr>
            <w:tcW w:w="1890" w:type="dxa"/>
          </w:tcPr>
          <w:p w14:paraId="504FE4F2" w14:textId="77777777" w:rsidR="00CC0A3D" w:rsidRPr="00382533" w:rsidRDefault="00CC0A3D" w:rsidP="002E5F71">
            <w:r>
              <w:t>PDVF</w:t>
            </w:r>
          </w:p>
        </w:tc>
        <w:tc>
          <w:tcPr>
            <w:tcW w:w="6830" w:type="dxa"/>
          </w:tcPr>
          <w:p w14:paraId="240EEA43" w14:textId="77777777" w:rsidR="00CC0A3D" w:rsidRDefault="00CC0A3D" w:rsidP="00E57FFC">
            <w:r>
              <w:t>Protocol defined virologic failure</w:t>
            </w:r>
          </w:p>
        </w:tc>
      </w:tr>
      <w:tr w:rsidR="00CC0A3D" w:rsidRPr="00FD119B" w14:paraId="2D9B133D" w14:textId="77777777" w:rsidTr="0056396C">
        <w:tc>
          <w:tcPr>
            <w:tcW w:w="1890" w:type="dxa"/>
          </w:tcPr>
          <w:p w14:paraId="3E897D58" w14:textId="77777777" w:rsidR="00CC0A3D" w:rsidRDefault="00CC0A3D" w:rsidP="002E5F71">
            <w:r>
              <w:t>PI</w:t>
            </w:r>
          </w:p>
        </w:tc>
        <w:tc>
          <w:tcPr>
            <w:tcW w:w="6830" w:type="dxa"/>
          </w:tcPr>
          <w:p w14:paraId="3B9A682B" w14:textId="44F9CC69" w:rsidR="00CC0A3D" w:rsidRDefault="00CC0A3D" w:rsidP="002E5F71">
            <w:r>
              <w:t xml:space="preserve">Product </w:t>
            </w:r>
            <w:r w:rsidR="00943AC8">
              <w:t>I</w:t>
            </w:r>
            <w:r>
              <w:t>nformation</w:t>
            </w:r>
          </w:p>
        </w:tc>
      </w:tr>
      <w:tr w:rsidR="00CC0A3D" w:rsidRPr="00FD119B" w14:paraId="69C5DC4B" w14:textId="77777777" w:rsidTr="0056396C">
        <w:tc>
          <w:tcPr>
            <w:tcW w:w="1890" w:type="dxa"/>
          </w:tcPr>
          <w:p w14:paraId="313DC7EE" w14:textId="77777777" w:rsidR="00CC0A3D" w:rsidRDefault="00CC0A3D" w:rsidP="002E5F71">
            <w:r>
              <w:t>PK</w:t>
            </w:r>
          </w:p>
        </w:tc>
        <w:tc>
          <w:tcPr>
            <w:tcW w:w="6830" w:type="dxa"/>
          </w:tcPr>
          <w:p w14:paraId="2A2BB4DA" w14:textId="77777777" w:rsidR="00CC0A3D" w:rsidRDefault="00CC0A3D" w:rsidP="002E5F71">
            <w:r>
              <w:t>Pharmacokinetic</w:t>
            </w:r>
          </w:p>
        </w:tc>
      </w:tr>
      <w:tr w:rsidR="00CC0A3D" w:rsidRPr="00FD119B" w14:paraId="4F637FDE" w14:textId="77777777" w:rsidTr="0056396C">
        <w:tc>
          <w:tcPr>
            <w:tcW w:w="1890" w:type="dxa"/>
          </w:tcPr>
          <w:p w14:paraId="327B2951" w14:textId="77777777" w:rsidR="00CC0A3D" w:rsidRDefault="00CC0A3D" w:rsidP="002E5F71">
            <w:r>
              <w:t>PSUR</w:t>
            </w:r>
          </w:p>
        </w:tc>
        <w:tc>
          <w:tcPr>
            <w:tcW w:w="6830" w:type="dxa"/>
          </w:tcPr>
          <w:p w14:paraId="39ECE03E" w14:textId="6C215D21" w:rsidR="00CC0A3D" w:rsidRDefault="00CC0A3D" w:rsidP="00420CB8">
            <w:r>
              <w:t xml:space="preserve">Periodic </w:t>
            </w:r>
            <w:r w:rsidR="00943AC8">
              <w:t>safety update report</w:t>
            </w:r>
          </w:p>
        </w:tc>
      </w:tr>
      <w:tr w:rsidR="00CC0A3D" w:rsidRPr="00FD119B" w14:paraId="514BAD40" w14:textId="77777777" w:rsidTr="0056396C">
        <w:tc>
          <w:tcPr>
            <w:tcW w:w="1890" w:type="dxa"/>
          </w:tcPr>
          <w:p w14:paraId="372D3D38" w14:textId="77777777" w:rsidR="00CC0A3D" w:rsidRDefault="00CC0A3D" w:rsidP="002E5F71">
            <w:r>
              <w:t>QD</w:t>
            </w:r>
          </w:p>
        </w:tc>
        <w:tc>
          <w:tcPr>
            <w:tcW w:w="6830" w:type="dxa"/>
          </w:tcPr>
          <w:p w14:paraId="5D925174" w14:textId="6822B4A1" w:rsidR="00CC0A3D" w:rsidRDefault="00CC0A3D" w:rsidP="002E5F71">
            <w:r>
              <w:t>Once daily</w:t>
            </w:r>
            <w:r w:rsidR="00943AC8">
              <w:t xml:space="preserve"> (</w:t>
            </w:r>
            <w:r>
              <w:t xml:space="preserve">Latin: </w:t>
            </w:r>
            <w:r w:rsidRPr="00F87654">
              <w:rPr>
                <w:i/>
              </w:rPr>
              <w:t>quaque die</w:t>
            </w:r>
            <w:r w:rsidR="00943AC8" w:rsidRPr="00D768C3">
              <w:t>)</w:t>
            </w:r>
          </w:p>
        </w:tc>
      </w:tr>
      <w:tr w:rsidR="00CC0A3D" w:rsidRPr="00FD119B" w14:paraId="4F8A7C0F" w14:textId="77777777" w:rsidTr="0056396C">
        <w:tc>
          <w:tcPr>
            <w:tcW w:w="1890" w:type="dxa"/>
          </w:tcPr>
          <w:p w14:paraId="5F424F7B" w14:textId="77777777" w:rsidR="00CC0A3D" w:rsidRDefault="00CC0A3D" w:rsidP="002E5F71">
            <w:r>
              <w:t>RMP</w:t>
            </w:r>
          </w:p>
        </w:tc>
        <w:tc>
          <w:tcPr>
            <w:tcW w:w="6830" w:type="dxa"/>
          </w:tcPr>
          <w:p w14:paraId="0DF01CB8" w14:textId="4F13B7BC" w:rsidR="00CC0A3D" w:rsidRDefault="00CC0A3D" w:rsidP="00462EE2">
            <w:r>
              <w:t xml:space="preserve">Risk </w:t>
            </w:r>
            <w:r w:rsidR="00943AC8">
              <w:t>m</w:t>
            </w:r>
            <w:r>
              <w:t xml:space="preserve">anagement </w:t>
            </w:r>
            <w:r w:rsidR="00943AC8">
              <w:t>p</w:t>
            </w:r>
            <w:r>
              <w:t>lan</w:t>
            </w:r>
          </w:p>
        </w:tc>
      </w:tr>
      <w:tr w:rsidR="00CC0A3D" w:rsidRPr="00FD119B" w14:paraId="4B884190" w14:textId="77777777" w:rsidTr="0056396C">
        <w:tc>
          <w:tcPr>
            <w:tcW w:w="1890" w:type="dxa"/>
          </w:tcPr>
          <w:p w14:paraId="0EC634A7" w14:textId="77777777" w:rsidR="00CC0A3D" w:rsidRPr="00AD0A53" w:rsidRDefault="00CC0A3D" w:rsidP="002E5F71">
            <w:r>
              <w:t>rMSE</w:t>
            </w:r>
          </w:p>
        </w:tc>
        <w:tc>
          <w:tcPr>
            <w:tcW w:w="6830" w:type="dxa"/>
          </w:tcPr>
          <w:p w14:paraId="64DE9F0A" w14:textId="77777777" w:rsidR="00CC0A3D" w:rsidRDefault="00CC0A3D" w:rsidP="00815213">
            <w:r>
              <w:t>Root mean square error</w:t>
            </w:r>
          </w:p>
        </w:tc>
      </w:tr>
      <w:tr w:rsidR="00CC0A3D" w:rsidRPr="00FD119B" w14:paraId="2A5E6656" w14:textId="77777777" w:rsidTr="0056396C">
        <w:tc>
          <w:tcPr>
            <w:tcW w:w="1890" w:type="dxa"/>
          </w:tcPr>
          <w:p w14:paraId="4547FF9D" w14:textId="77777777" w:rsidR="00CC0A3D" w:rsidRDefault="00CC0A3D" w:rsidP="002E5F71">
            <w:r>
              <w:t>RNA</w:t>
            </w:r>
          </w:p>
        </w:tc>
        <w:tc>
          <w:tcPr>
            <w:tcW w:w="6830" w:type="dxa"/>
          </w:tcPr>
          <w:p w14:paraId="7625FCC1" w14:textId="77777777" w:rsidR="00CC0A3D" w:rsidRDefault="00CC0A3D" w:rsidP="0056396C">
            <w:r>
              <w:t>Ribonucleic acid</w:t>
            </w:r>
          </w:p>
        </w:tc>
      </w:tr>
      <w:tr w:rsidR="00CC0A3D" w:rsidRPr="00FD119B" w14:paraId="45831669" w14:textId="77777777" w:rsidTr="0056396C">
        <w:tc>
          <w:tcPr>
            <w:tcW w:w="1890" w:type="dxa"/>
          </w:tcPr>
          <w:p w14:paraId="0288AC37" w14:textId="77777777" w:rsidR="00CC0A3D" w:rsidRDefault="00CC0A3D" w:rsidP="002E5F71">
            <w:r>
              <w:t>SAE</w:t>
            </w:r>
          </w:p>
        </w:tc>
        <w:tc>
          <w:tcPr>
            <w:tcW w:w="6830" w:type="dxa"/>
          </w:tcPr>
          <w:p w14:paraId="50436B95" w14:textId="77777777" w:rsidR="00CC0A3D" w:rsidRDefault="00CC0A3D" w:rsidP="002E5F71">
            <w:r>
              <w:t>Serious adverse event</w:t>
            </w:r>
          </w:p>
        </w:tc>
      </w:tr>
      <w:tr w:rsidR="00CC0A3D" w:rsidRPr="00FD119B" w14:paraId="4246B26D" w14:textId="77777777" w:rsidTr="0056396C">
        <w:tc>
          <w:tcPr>
            <w:tcW w:w="1890" w:type="dxa"/>
          </w:tcPr>
          <w:p w14:paraId="50FF9E79" w14:textId="77777777" w:rsidR="00CC0A3D" w:rsidRDefault="00CC0A3D" w:rsidP="002E5F71">
            <w:r>
              <w:lastRenderedPageBreak/>
              <w:t>SAP</w:t>
            </w:r>
          </w:p>
        </w:tc>
        <w:tc>
          <w:tcPr>
            <w:tcW w:w="6830" w:type="dxa"/>
          </w:tcPr>
          <w:p w14:paraId="796F6A1C" w14:textId="77777777" w:rsidR="00CC0A3D" w:rsidRDefault="00CC0A3D" w:rsidP="002E5F71">
            <w:r>
              <w:t>Statistical analysis plan</w:t>
            </w:r>
          </w:p>
        </w:tc>
      </w:tr>
      <w:tr w:rsidR="00CC0A3D" w:rsidRPr="00FD119B" w14:paraId="22200619" w14:textId="77777777" w:rsidTr="0056396C">
        <w:tc>
          <w:tcPr>
            <w:tcW w:w="1890" w:type="dxa"/>
          </w:tcPr>
          <w:p w14:paraId="2D37DBFC" w14:textId="77777777" w:rsidR="00CC0A3D" w:rsidRDefault="00CC0A3D" w:rsidP="002E5F71">
            <w:r>
              <w:t>SSP</w:t>
            </w:r>
          </w:p>
        </w:tc>
        <w:tc>
          <w:tcPr>
            <w:tcW w:w="6830" w:type="dxa"/>
          </w:tcPr>
          <w:p w14:paraId="52FF2AF6" w14:textId="77777777" w:rsidR="00CC0A3D" w:rsidRDefault="00CC0A3D" w:rsidP="00676723">
            <w:r>
              <w:t>Special Safety Pool</w:t>
            </w:r>
          </w:p>
        </w:tc>
      </w:tr>
      <w:tr w:rsidR="00CC0A3D" w:rsidRPr="00FD119B" w14:paraId="15736484" w14:textId="77777777" w:rsidTr="0056396C">
        <w:tc>
          <w:tcPr>
            <w:tcW w:w="1890" w:type="dxa"/>
          </w:tcPr>
          <w:p w14:paraId="4196A1AF" w14:textId="77777777" w:rsidR="00CC0A3D" w:rsidRDefault="00CC0A3D" w:rsidP="002E5F71">
            <w:r>
              <w:t>t</w:t>
            </w:r>
            <w:r w:rsidRPr="00142F06">
              <w:rPr>
                <w:vertAlign w:val="subscript"/>
              </w:rPr>
              <w:t>1/2</w:t>
            </w:r>
          </w:p>
        </w:tc>
        <w:tc>
          <w:tcPr>
            <w:tcW w:w="6830" w:type="dxa"/>
          </w:tcPr>
          <w:p w14:paraId="4AC57DAE" w14:textId="77777777" w:rsidR="00CC0A3D" w:rsidRDefault="00CC0A3D" w:rsidP="0056396C">
            <w:r>
              <w:t>Biological half life</w:t>
            </w:r>
          </w:p>
        </w:tc>
      </w:tr>
      <w:tr w:rsidR="00CC0A3D" w:rsidRPr="00FD119B" w14:paraId="61E788FC" w14:textId="77777777" w:rsidTr="0056396C">
        <w:tc>
          <w:tcPr>
            <w:tcW w:w="1890" w:type="dxa"/>
          </w:tcPr>
          <w:p w14:paraId="06E3C970" w14:textId="77777777" w:rsidR="00CC0A3D" w:rsidRDefault="00CC0A3D" w:rsidP="002E5F71">
            <w:r>
              <w:t>TDF</w:t>
            </w:r>
          </w:p>
        </w:tc>
        <w:tc>
          <w:tcPr>
            <w:tcW w:w="6830" w:type="dxa"/>
          </w:tcPr>
          <w:p w14:paraId="6BB38AFA" w14:textId="77777777" w:rsidR="00CC0A3D" w:rsidRDefault="00CC0A3D" w:rsidP="0056396C">
            <w:r>
              <w:t>Tenofovir disoproxil fumarate</w:t>
            </w:r>
          </w:p>
        </w:tc>
      </w:tr>
      <w:tr w:rsidR="00CC0A3D" w:rsidRPr="00FD119B" w14:paraId="14F17BB0" w14:textId="77777777" w:rsidTr="0056396C">
        <w:tc>
          <w:tcPr>
            <w:tcW w:w="1890" w:type="dxa"/>
          </w:tcPr>
          <w:p w14:paraId="6991EDD5" w14:textId="77777777" w:rsidR="00CC0A3D" w:rsidRDefault="00CC0A3D" w:rsidP="002E5F71">
            <w:r w:rsidRPr="00AD0A53">
              <w:t>T</w:t>
            </w:r>
            <w:r w:rsidRPr="00815213">
              <w:rPr>
                <w:vertAlign w:val="subscript"/>
              </w:rPr>
              <w:t>max</w:t>
            </w:r>
          </w:p>
        </w:tc>
        <w:tc>
          <w:tcPr>
            <w:tcW w:w="6830" w:type="dxa"/>
          </w:tcPr>
          <w:p w14:paraId="1E5DF0F4" w14:textId="77777777" w:rsidR="00CC0A3D" w:rsidRDefault="00CC0A3D" w:rsidP="00815213">
            <w:r>
              <w:t>Time of maximum plasma concentration</w:t>
            </w:r>
          </w:p>
        </w:tc>
      </w:tr>
      <w:tr w:rsidR="00CC0A3D" w:rsidRPr="00FD119B" w14:paraId="4B7194AA" w14:textId="77777777" w:rsidTr="0056396C">
        <w:tc>
          <w:tcPr>
            <w:tcW w:w="1890" w:type="dxa"/>
          </w:tcPr>
          <w:p w14:paraId="0F22C783" w14:textId="77777777" w:rsidR="00CC0A3D" w:rsidRDefault="00CC0A3D" w:rsidP="002E5F71">
            <w:r>
              <w:t>ULN</w:t>
            </w:r>
          </w:p>
        </w:tc>
        <w:tc>
          <w:tcPr>
            <w:tcW w:w="6830" w:type="dxa"/>
          </w:tcPr>
          <w:p w14:paraId="444CA563" w14:textId="77777777" w:rsidR="00CC0A3D" w:rsidRDefault="00CC0A3D" w:rsidP="002E5F71">
            <w:r>
              <w:t>Upper limit of normal</w:t>
            </w:r>
          </w:p>
        </w:tc>
      </w:tr>
      <w:tr w:rsidR="00ED3E05" w:rsidRPr="00FD119B" w14:paraId="0F4563F1" w14:textId="77777777" w:rsidTr="0056396C">
        <w:tc>
          <w:tcPr>
            <w:tcW w:w="1890" w:type="dxa"/>
          </w:tcPr>
          <w:p w14:paraId="508D6537" w14:textId="50CE8320" w:rsidR="00ED3E05" w:rsidRDefault="00ED3E05" w:rsidP="002E5F71">
            <w:r>
              <w:t>US(A)</w:t>
            </w:r>
          </w:p>
        </w:tc>
        <w:tc>
          <w:tcPr>
            <w:tcW w:w="6830" w:type="dxa"/>
          </w:tcPr>
          <w:p w14:paraId="5B70BE67" w14:textId="1BE17E54" w:rsidR="00ED3E05" w:rsidRDefault="00ED3E05" w:rsidP="002E5F71">
            <w:r>
              <w:t>United States (of America)</w:t>
            </w:r>
          </w:p>
        </w:tc>
      </w:tr>
      <w:tr w:rsidR="00CC0A3D" w:rsidRPr="00FD119B" w14:paraId="30858EC7" w14:textId="77777777" w:rsidTr="0056396C">
        <w:tc>
          <w:tcPr>
            <w:tcW w:w="1890" w:type="dxa"/>
          </w:tcPr>
          <w:p w14:paraId="5F612575" w14:textId="77777777" w:rsidR="00CC0A3D" w:rsidRDefault="00CC0A3D" w:rsidP="002E5F71">
            <w:r>
              <w:t>Vz/F</w:t>
            </w:r>
          </w:p>
        </w:tc>
        <w:tc>
          <w:tcPr>
            <w:tcW w:w="6830" w:type="dxa"/>
          </w:tcPr>
          <w:p w14:paraId="2CE6E254" w14:textId="77777777" w:rsidR="00CC0A3D" w:rsidRDefault="00CC0A3D" w:rsidP="002E5F71">
            <w:r>
              <w:t>Terminal elimination</w:t>
            </w:r>
          </w:p>
        </w:tc>
      </w:tr>
      <w:tr w:rsidR="00CC0A3D" w:rsidRPr="00FD119B" w14:paraId="2C778358" w14:textId="77777777" w:rsidTr="0056396C">
        <w:tc>
          <w:tcPr>
            <w:tcW w:w="1890" w:type="dxa"/>
          </w:tcPr>
          <w:p w14:paraId="0EC32F1B" w14:textId="77777777" w:rsidR="00CC0A3D" w:rsidRDefault="00CC0A3D" w:rsidP="002E5F71">
            <w:r>
              <w:t>WT</w:t>
            </w:r>
          </w:p>
        </w:tc>
        <w:tc>
          <w:tcPr>
            <w:tcW w:w="6830" w:type="dxa"/>
          </w:tcPr>
          <w:p w14:paraId="70F2C4DF" w14:textId="7827545F" w:rsidR="00CC0A3D" w:rsidRDefault="005806AC" w:rsidP="00461938">
            <w:r>
              <w:t xml:space="preserve">Wild </w:t>
            </w:r>
            <w:r w:rsidR="00CC0A3D">
              <w:t>type</w:t>
            </w:r>
          </w:p>
        </w:tc>
      </w:tr>
    </w:tbl>
    <w:p w14:paraId="4BA7EBDD" w14:textId="77777777" w:rsidR="00FD119B" w:rsidRDefault="00FD119B" w:rsidP="00FD119B"/>
    <w:p w14:paraId="0410654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40A7FDC" w14:textId="77777777" w:rsidR="008E7846" w:rsidRDefault="00F53C07" w:rsidP="008E7846">
      <w:pPr>
        <w:pStyle w:val="Heading2"/>
      </w:pPr>
      <w:bookmarkStart w:id="9" w:name="_Toc35259359"/>
      <w:r>
        <w:lastRenderedPageBreak/>
        <w:t>I.</w:t>
      </w:r>
      <w:r w:rsidR="008E7846">
        <w:t xml:space="preserve"> Introduction to product submission</w:t>
      </w:r>
      <w:bookmarkEnd w:id="9"/>
      <w:bookmarkEnd w:id="3"/>
      <w:bookmarkEnd w:id="1"/>
    </w:p>
    <w:p w14:paraId="21D7C256" w14:textId="77777777" w:rsidR="008E7846" w:rsidRDefault="008E7846" w:rsidP="008E7846">
      <w:pPr>
        <w:pStyle w:val="Heading3"/>
        <w:rPr>
          <w:lang w:eastAsia="en-AU"/>
        </w:rPr>
      </w:pPr>
      <w:bookmarkStart w:id="10" w:name="_Toc247691502"/>
      <w:bookmarkStart w:id="11" w:name="_Toc314842483"/>
      <w:bookmarkStart w:id="12" w:name="_Toc35259360"/>
      <w:r>
        <w:rPr>
          <w:lang w:eastAsia="en-AU"/>
        </w:rPr>
        <w:t>Submission details</w:t>
      </w:r>
      <w:bookmarkEnd w:id="10"/>
      <w:bookmarkEnd w:id="11"/>
      <w:bookmarkEnd w:id="12"/>
    </w:p>
    <w:p w14:paraId="6D47258C" w14:textId="3718B402" w:rsidR="00371085" w:rsidRPr="00371085" w:rsidRDefault="00371085" w:rsidP="00371085">
      <w:pPr>
        <w:pStyle w:val="Heading4"/>
        <w:rPr>
          <w:lang w:eastAsia="en-AU"/>
        </w:rPr>
      </w:pPr>
      <w:r>
        <w:rPr>
          <w:lang w:eastAsia="en-AU"/>
        </w:rPr>
        <w:t>Pifeltro</w:t>
      </w:r>
      <w:r w:rsidR="00720460">
        <w:rPr>
          <w:lang w:eastAsia="en-AU"/>
        </w:rPr>
        <w:t xml:space="preserve"> </w:t>
      </w:r>
      <w:r w:rsidR="00943AC8">
        <w:rPr>
          <w:lang w:eastAsia="en-AU"/>
        </w:rPr>
        <w:t>(Submission</w:t>
      </w:r>
      <w:r w:rsidR="00720460">
        <w:rPr>
          <w:rFonts w:eastAsiaTheme="minorHAnsi" w:cs="Cambria"/>
        </w:rPr>
        <w:t>PM-2017-04580-1-2</w:t>
      </w:r>
      <w:r w:rsidR="00943AC8">
        <w:rPr>
          <w:rFonts w:eastAsiaTheme="minorHAnsi" w:cs="Cambria"/>
        </w:rPr>
        <w:t>)</w:t>
      </w:r>
    </w:p>
    <w:tbl>
      <w:tblPr>
        <w:tblW w:w="9214" w:type="dxa"/>
        <w:tblInd w:w="108" w:type="dxa"/>
        <w:tblLook w:val="01E0" w:firstRow="1" w:lastRow="1" w:firstColumn="1" w:lastColumn="1" w:noHBand="0" w:noVBand="0"/>
      </w:tblPr>
      <w:tblGrid>
        <w:gridCol w:w="2907"/>
        <w:gridCol w:w="6307"/>
      </w:tblGrid>
      <w:tr w:rsidR="008E7846" w:rsidRPr="003D1E62" w14:paraId="7A27678F" w14:textId="77777777" w:rsidTr="003735BC">
        <w:tc>
          <w:tcPr>
            <w:tcW w:w="2907" w:type="dxa"/>
          </w:tcPr>
          <w:p w14:paraId="5D785090"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BB782F2" w14:textId="77777777" w:rsidR="008E7846" w:rsidRPr="003D1E62" w:rsidRDefault="008E7846" w:rsidP="00371085">
            <w:r w:rsidRPr="003D1E62">
              <w:t xml:space="preserve">New </w:t>
            </w:r>
            <w:r w:rsidR="001B5C90">
              <w:t>c</w:t>
            </w:r>
            <w:r w:rsidRPr="003D1E62">
              <w:t xml:space="preserve">hemical </w:t>
            </w:r>
            <w:r w:rsidR="001B5C90">
              <w:t>e</w:t>
            </w:r>
            <w:r w:rsidR="00371085">
              <w:t>ntity</w:t>
            </w:r>
          </w:p>
        </w:tc>
      </w:tr>
      <w:tr w:rsidR="008E7846" w:rsidRPr="003D1E62" w14:paraId="6A0988CE" w14:textId="77777777" w:rsidTr="003735BC">
        <w:tc>
          <w:tcPr>
            <w:tcW w:w="2907" w:type="dxa"/>
          </w:tcPr>
          <w:p w14:paraId="54BCDDA5" w14:textId="77777777" w:rsidR="008E7846" w:rsidRPr="003D1E62" w:rsidRDefault="008E7846" w:rsidP="003D1E62">
            <w:r w:rsidRPr="003D1E62">
              <w:rPr>
                <w:i/>
              </w:rPr>
              <w:t>Decision</w:t>
            </w:r>
            <w:r w:rsidRPr="003D1E62">
              <w:t>:</w:t>
            </w:r>
          </w:p>
        </w:tc>
        <w:tc>
          <w:tcPr>
            <w:tcW w:w="6307" w:type="dxa"/>
          </w:tcPr>
          <w:p w14:paraId="6C8FF727" w14:textId="77777777" w:rsidR="008E7846" w:rsidRPr="003D1E62" w:rsidRDefault="00371085" w:rsidP="00371085">
            <w:r>
              <w:t>Approved</w:t>
            </w:r>
          </w:p>
        </w:tc>
      </w:tr>
      <w:tr w:rsidR="008E7846" w:rsidRPr="003D1E62" w14:paraId="5A50FBA5" w14:textId="77777777" w:rsidTr="003735BC">
        <w:tc>
          <w:tcPr>
            <w:tcW w:w="2907" w:type="dxa"/>
          </w:tcPr>
          <w:p w14:paraId="0AD2279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B44D29F" w14:textId="45D297D2" w:rsidR="008E7846" w:rsidRPr="003D1E62" w:rsidRDefault="00974524" w:rsidP="001B5C90">
            <w:r>
              <w:t>18 January 2019</w:t>
            </w:r>
          </w:p>
        </w:tc>
      </w:tr>
      <w:tr w:rsidR="00ED2922" w:rsidRPr="003D1E62" w14:paraId="59394CA2" w14:textId="77777777" w:rsidTr="003735BC">
        <w:tc>
          <w:tcPr>
            <w:tcW w:w="2907" w:type="dxa"/>
          </w:tcPr>
          <w:p w14:paraId="6FD2D9A2" w14:textId="77777777" w:rsidR="00ED2922" w:rsidRPr="00441C3F" w:rsidRDefault="00ED2922" w:rsidP="001B5C90">
            <w:pPr>
              <w:rPr>
                <w:i/>
              </w:rPr>
            </w:pPr>
            <w:r w:rsidRPr="00441C3F">
              <w:rPr>
                <w:i/>
              </w:rPr>
              <w:t>Date of entry onto ARTG</w:t>
            </w:r>
            <w:r w:rsidR="00500337">
              <w:rPr>
                <w:i/>
              </w:rPr>
              <w:t>:</w:t>
            </w:r>
          </w:p>
        </w:tc>
        <w:tc>
          <w:tcPr>
            <w:tcW w:w="6307" w:type="dxa"/>
          </w:tcPr>
          <w:p w14:paraId="06F3FCE3" w14:textId="4DD034F8" w:rsidR="00ED2922" w:rsidRPr="00441C3F" w:rsidRDefault="00720460" w:rsidP="00D153D8">
            <w:pPr>
              <w:rPr>
                <w:i/>
              </w:rPr>
            </w:pPr>
            <w:r>
              <w:t>4 February 2019</w:t>
            </w:r>
          </w:p>
        </w:tc>
      </w:tr>
      <w:tr w:rsidR="00500337" w:rsidRPr="003D1E62" w14:paraId="1B972ED5" w14:textId="77777777" w:rsidTr="003735BC">
        <w:tc>
          <w:tcPr>
            <w:tcW w:w="2907" w:type="dxa"/>
          </w:tcPr>
          <w:p w14:paraId="063DB73A" w14:textId="0B91DF78" w:rsidR="00500337" w:rsidRPr="00441C3F" w:rsidRDefault="00720460" w:rsidP="001B5C90">
            <w:pPr>
              <w:rPr>
                <w:i/>
              </w:rPr>
            </w:pPr>
            <w:r>
              <w:rPr>
                <w:i/>
              </w:rPr>
              <w:t>ARTG number</w:t>
            </w:r>
            <w:r w:rsidR="00500337">
              <w:rPr>
                <w:i/>
              </w:rPr>
              <w:t>:</w:t>
            </w:r>
          </w:p>
        </w:tc>
        <w:tc>
          <w:tcPr>
            <w:tcW w:w="6307" w:type="dxa"/>
          </w:tcPr>
          <w:p w14:paraId="08AACD6B" w14:textId="77DEB7C2" w:rsidR="00500337" w:rsidRPr="00441C3F" w:rsidRDefault="000B0E75" w:rsidP="00EC463D">
            <w:r w:rsidRPr="000B0E75">
              <w:t>297701</w:t>
            </w:r>
          </w:p>
        </w:tc>
      </w:tr>
      <w:tr w:rsidR="003735BC" w:rsidRPr="003D1E62" w14:paraId="081F4094" w14:textId="77777777" w:rsidTr="003735BC">
        <w:tc>
          <w:tcPr>
            <w:tcW w:w="2907" w:type="dxa"/>
          </w:tcPr>
          <w:p w14:paraId="11EC5442"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32692844" w14:textId="135B1D09" w:rsidR="003735BC" w:rsidRDefault="00720460" w:rsidP="003735BC">
            <w:r>
              <w:t>Yes</w:t>
            </w:r>
          </w:p>
          <w:p w14:paraId="3442F78A" w14:textId="03DD5453" w:rsidR="003735BC" w:rsidRPr="00487162" w:rsidRDefault="003735BC" w:rsidP="003735BC">
            <w:r>
              <w:t xml:space="preserve">This product will remain in the scheme for 5 years, starting on the date the product is first supplied in </w:t>
            </w:r>
            <w:r w:rsidR="00720460">
              <w:t>Australia.</w:t>
            </w:r>
          </w:p>
        </w:tc>
      </w:tr>
      <w:tr w:rsidR="008E7846" w:rsidRPr="00487162" w14:paraId="35513F2D" w14:textId="77777777" w:rsidTr="00BF1190">
        <w:tc>
          <w:tcPr>
            <w:tcW w:w="2907" w:type="dxa"/>
          </w:tcPr>
          <w:p w14:paraId="56CBBAE0" w14:textId="5622177C" w:rsidR="008E7846" w:rsidRPr="00487162" w:rsidRDefault="00720460" w:rsidP="00E45619">
            <w:pPr>
              <w:rPr>
                <w:i/>
              </w:rPr>
            </w:pPr>
            <w:r>
              <w:rPr>
                <w:i/>
              </w:rPr>
              <w:t>Active ingredient</w:t>
            </w:r>
            <w:r w:rsidR="001B5C90">
              <w:rPr>
                <w:i/>
              </w:rPr>
              <w:t>:</w:t>
            </w:r>
          </w:p>
        </w:tc>
        <w:tc>
          <w:tcPr>
            <w:tcW w:w="6307" w:type="dxa"/>
          </w:tcPr>
          <w:p w14:paraId="60CD0BF9" w14:textId="77777777" w:rsidR="008E7846" w:rsidRPr="00487162" w:rsidRDefault="00457F50" w:rsidP="00E55CB0">
            <w:r>
              <w:rPr>
                <w:rFonts w:eastAsiaTheme="minorHAnsi" w:cs="Cambria"/>
              </w:rPr>
              <w:t>Doravirine</w:t>
            </w:r>
          </w:p>
        </w:tc>
      </w:tr>
      <w:tr w:rsidR="008E7846" w:rsidRPr="00487162" w14:paraId="25B5E54B" w14:textId="77777777" w:rsidTr="00BF1190">
        <w:tc>
          <w:tcPr>
            <w:tcW w:w="2907" w:type="dxa"/>
          </w:tcPr>
          <w:p w14:paraId="08F17486" w14:textId="32AC004B" w:rsidR="008E7846" w:rsidRPr="00487162" w:rsidRDefault="008E7846" w:rsidP="001B5C90">
            <w:pPr>
              <w:rPr>
                <w:i/>
              </w:rPr>
            </w:pPr>
            <w:r w:rsidRPr="00487162">
              <w:rPr>
                <w:i/>
              </w:rPr>
              <w:t>Product</w:t>
            </w:r>
            <w:r w:rsidR="00720460">
              <w:rPr>
                <w:i/>
              </w:rPr>
              <w:t xml:space="preserve"> name</w:t>
            </w:r>
            <w:r w:rsidR="001B5C90">
              <w:rPr>
                <w:i/>
              </w:rPr>
              <w:t>:</w:t>
            </w:r>
          </w:p>
        </w:tc>
        <w:tc>
          <w:tcPr>
            <w:tcW w:w="6307" w:type="dxa"/>
          </w:tcPr>
          <w:p w14:paraId="320FDD9F" w14:textId="5FD53907" w:rsidR="008E7846" w:rsidRPr="00487162" w:rsidRDefault="00974524" w:rsidP="00E45619">
            <w:r>
              <w:t>Pifeltro</w:t>
            </w:r>
          </w:p>
        </w:tc>
      </w:tr>
      <w:tr w:rsidR="008E7846" w:rsidRPr="00487162" w14:paraId="3A74FDC5" w14:textId="77777777" w:rsidTr="00BF1190">
        <w:tc>
          <w:tcPr>
            <w:tcW w:w="2907" w:type="dxa"/>
          </w:tcPr>
          <w:p w14:paraId="4E2A417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A790DFB" w14:textId="77777777" w:rsidR="00974524" w:rsidRDefault="00974524" w:rsidP="00974524">
            <w:r>
              <w:t>Merck Sharp &amp; Dohme (Australia) Pty Limited</w:t>
            </w:r>
          </w:p>
          <w:p w14:paraId="411A45AD" w14:textId="0FAC4193" w:rsidR="00974524" w:rsidRDefault="00974524" w:rsidP="00974524">
            <w:r>
              <w:t>Level 1, Building A, 26 Talavera Road,</w:t>
            </w:r>
          </w:p>
          <w:p w14:paraId="461F510B" w14:textId="10A79CC7" w:rsidR="008E7846" w:rsidRPr="00487162" w:rsidRDefault="00974524" w:rsidP="00974524">
            <w:r>
              <w:t>Macquarie Park NSW 2113</w:t>
            </w:r>
          </w:p>
        </w:tc>
      </w:tr>
      <w:tr w:rsidR="008E7846" w:rsidRPr="00487162" w14:paraId="793DD99A" w14:textId="77777777" w:rsidTr="00BF1190">
        <w:tc>
          <w:tcPr>
            <w:tcW w:w="2907" w:type="dxa"/>
          </w:tcPr>
          <w:p w14:paraId="35384230" w14:textId="3CC13C02" w:rsidR="008E7846" w:rsidRPr="00487162" w:rsidRDefault="00720460" w:rsidP="00E45619">
            <w:pPr>
              <w:rPr>
                <w:i/>
              </w:rPr>
            </w:pPr>
            <w:r>
              <w:rPr>
                <w:i/>
              </w:rPr>
              <w:t>Dose form</w:t>
            </w:r>
            <w:r w:rsidR="001B5C90">
              <w:rPr>
                <w:i/>
              </w:rPr>
              <w:t>:</w:t>
            </w:r>
          </w:p>
        </w:tc>
        <w:tc>
          <w:tcPr>
            <w:tcW w:w="6307" w:type="dxa"/>
          </w:tcPr>
          <w:p w14:paraId="4A4FFA30" w14:textId="610E2212" w:rsidR="008E7846" w:rsidRPr="00487162" w:rsidRDefault="00974524" w:rsidP="00974524">
            <w:r>
              <w:t>Film coated tablet</w:t>
            </w:r>
          </w:p>
        </w:tc>
      </w:tr>
      <w:tr w:rsidR="008E7846" w:rsidRPr="00487162" w14:paraId="1D2E8BED" w14:textId="77777777" w:rsidTr="00BF1190">
        <w:tc>
          <w:tcPr>
            <w:tcW w:w="2907" w:type="dxa"/>
          </w:tcPr>
          <w:p w14:paraId="54D1E4CD" w14:textId="6BF758F6" w:rsidR="008E7846" w:rsidRPr="00487162" w:rsidRDefault="00720460" w:rsidP="00E45619">
            <w:pPr>
              <w:rPr>
                <w:i/>
              </w:rPr>
            </w:pPr>
            <w:r>
              <w:rPr>
                <w:i/>
              </w:rPr>
              <w:t>Strength</w:t>
            </w:r>
            <w:r w:rsidR="008E7846" w:rsidRPr="00487162">
              <w:rPr>
                <w:i/>
              </w:rPr>
              <w:t xml:space="preserve">: </w:t>
            </w:r>
          </w:p>
        </w:tc>
        <w:tc>
          <w:tcPr>
            <w:tcW w:w="6307" w:type="dxa"/>
          </w:tcPr>
          <w:p w14:paraId="1343700E" w14:textId="2E31DEB0" w:rsidR="008E7846" w:rsidRPr="00487162" w:rsidRDefault="00974524" w:rsidP="00E45619">
            <w:r>
              <w:t>100 mg</w:t>
            </w:r>
          </w:p>
        </w:tc>
      </w:tr>
      <w:tr w:rsidR="008E7846" w:rsidRPr="00487162" w14:paraId="483263FB" w14:textId="77777777" w:rsidTr="00BF1190">
        <w:tc>
          <w:tcPr>
            <w:tcW w:w="2907" w:type="dxa"/>
          </w:tcPr>
          <w:p w14:paraId="1DBAB77A" w14:textId="4CAD926A" w:rsidR="008E7846" w:rsidRPr="00487162" w:rsidRDefault="00720460" w:rsidP="00E45619">
            <w:pPr>
              <w:rPr>
                <w:i/>
              </w:rPr>
            </w:pPr>
            <w:r>
              <w:rPr>
                <w:i/>
              </w:rPr>
              <w:t>Container</w:t>
            </w:r>
            <w:r w:rsidR="008E7846" w:rsidRPr="00487162">
              <w:rPr>
                <w:i/>
              </w:rPr>
              <w:t>:</w:t>
            </w:r>
          </w:p>
        </w:tc>
        <w:tc>
          <w:tcPr>
            <w:tcW w:w="6307" w:type="dxa"/>
          </w:tcPr>
          <w:p w14:paraId="1F1D7586" w14:textId="365E37C3" w:rsidR="008E7846" w:rsidRPr="00487162" w:rsidRDefault="00974524" w:rsidP="00E45619">
            <w:r>
              <w:t>Bottle</w:t>
            </w:r>
          </w:p>
        </w:tc>
      </w:tr>
      <w:tr w:rsidR="008E7846" w:rsidRPr="00487162" w14:paraId="510011F9" w14:textId="77777777" w:rsidTr="00BF1190">
        <w:tc>
          <w:tcPr>
            <w:tcW w:w="2907" w:type="dxa"/>
          </w:tcPr>
          <w:p w14:paraId="503266E7" w14:textId="1E49D3A5" w:rsidR="008E7846" w:rsidRPr="00487162" w:rsidRDefault="00720460" w:rsidP="00E45619">
            <w:pPr>
              <w:rPr>
                <w:i/>
              </w:rPr>
            </w:pPr>
            <w:r>
              <w:rPr>
                <w:i/>
              </w:rPr>
              <w:t>Pack size</w:t>
            </w:r>
            <w:r w:rsidR="008E7846" w:rsidRPr="00487162">
              <w:rPr>
                <w:i/>
              </w:rPr>
              <w:t>:</w:t>
            </w:r>
          </w:p>
        </w:tc>
        <w:tc>
          <w:tcPr>
            <w:tcW w:w="6307" w:type="dxa"/>
          </w:tcPr>
          <w:p w14:paraId="38A29A23" w14:textId="4C521DB7" w:rsidR="008E7846" w:rsidRPr="00487162" w:rsidRDefault="00720460" w:rsidP="00E45619">
            <w:r>
              <w:t>30</w:t>
            </w:r>
          </w:p>
        </w:tc>
      </w:tr>
      <w:tr w:rsidR="008E7846" w:rsidRPr="00487162" w14:paraId="14F96473" w14:textId="77777777" w:rsidTr="00BF1190">
        <w:tc>
          <w:tcPr>
            <w:tcW w:w="2907" w:type="dxa"/>
          </w:tcPr>
          <w:p w14:paraId="0ABE4E75"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1D49F8B" w14:textId="215207C8" w:rsidR="008E7846" w:rsidRPr="00720460" w:rsidRDefault="000B0E75" w:rsidP="000B0E75">
            <w:pPr>
              <w:rPr>
                <w:i/>
              </w:rPr>
            </w:pPr>
            <w:r w:rsidRPr="00720460">
              <w:rPr>
                <w:i/>
              </w:rPr>
              <w:t>Pifeltro is indicated, in combination with other antiretroviral medicinal products, for the treatment of HIV-1 infection in adults who are antiretroviral therapy (ART) naïve with no known substitutions associated with resistance to doravirine.</w:t>
            </w:r>
          </w:p>
        </w:tc>
      </w:tr>
      <w:tr w:rsidR="008E7846" w:rsidRPr="00487162" w14:paraId="5A33BF67" w14:textId="77777777" w:rsidTr="00BF1190">
        <w:tc>
          <w:tcPr>
            <w:tcW w:w="2907" w:type="dxa"/>
          </w:tcPr>
          <w:p w14:paraId="3E8F5829" w14:textId="72CB5710" w:rsidR="008E7846" w:rsidRPr="00487162" w:rsidRDefault="00720460" w:rsidP="00E45619">
            <w:pPr>
              <w:rPr>
                <w:i/>
              </w:rPr>
            </w:pPr>
            <w:r>
              <w:rPr>
                <w:i/>
              </w:rPr>
              <w:t>Route</w:t>
            </w:r>
            <w:r w:rsidR="008E7846" w:rsidRPr="00487162">
              <w:rPr>
                <w:i/>
              </w:rPr>
              <w:t xml:space="preserve"> of administration:</w:t>
            </w:r>
          </w:p>
        </w:tc>
        <w:tc>
          <w:tcPr>
            <w:tcW w:w="6307" w:type="dxa"/>
          </w:tcPr>
          <w:p w14:paraId="1C35E235" w14:textId="55B9ACAE" w:rsidR="008E7846" w:rsidRPr="00487162" w:rsidRDefault="00720460" w:rsidP="00E45619">
            <w:r>
              <w:t>Oral</w:t>
            </w:r>
          </w:p>
        </w:tc>
      </w:tr>
      <w:tr w:rsidR="008E7846" w:rsidRPr="00487162" w14:paraId="1C01DF14" w14:textId="77777777" w:rsidTr="00BF1190">
        <w:tc>
          <w:tcPr>
            <w:tcW w:w="2907" w:type="dxa"/>
          </w:tcPr>
          <w:p w14:paraId="0E42BC72" w14:textId="77777777" w:rsidR="008E7846" w:rsidRPr="00487162" w:rsidRDefault="008E7846" w:rsidP="00E45619">
            <w:pPr>
              <w:rPr>
                <w:i/>
              </w:rPr>
            </w:pPr>
            <w:r w:rsidRPr="00487162">
              <w:rPr>
                <w:i/>
              </w:rPr>
              <w:t>Dosage:</w:t>
            </w:r>
          </w:p>
        </w:tc>
        <w:tc>
          <w:tcPr>
            <w:tcW w:w="6307" w:type="dxa"/>
          </w:tcPr>
          <w:p w14:paraId="55186243" w14:textId="74E330EA" w:rsidR="00720460" w:rsidRDefault="00720460" w:rsidP="00720460">
            <w:r>
              <w:t>Adult patients</w:t>
            </w:r>
          </w:p>
          <w:p w14:paraId="20393A78" w14:textId="77777777" w:rsidR="008E7846" w:rsidRDefault="00720460" w:rsidP="00720460">
            <w:r>
              <w:t>The recommended dosage regimen of Pifeltro in adults is one 100 mg tablet taken orally once daily with or without food.</w:t>
            </w:r>
          </w:p>
          <w:p w14:paraId="314415B7" w14:textId="270E6B26" w:rsidR="00ED3E05" w:rsidRPr="00487162" w:rsidRDefault="00ED3E05" w:rsidP="00720460">
            <w:r>
              <w:t>For further information refer to the Product Information.</w:t>
            </w:r>
          </w:p>
        </w:tc>
      </w:tr>
    </w:tbl>
    <w:p w14:paraId="0ED7D4B1" w14:textId="55EADDE9" w:rsidR="00371085" w:rsidRDefault="00371085" w:rsidP="00CB798F">
      <w:pPr>
        <w:pStyle w:val="Heading4"/>
        <w:pageBreakBefore/>
      </w:pPr>
      <w:bookmarkStart w:id="13" w:name="_Toc247691503"/>
      <w:bookmarkStart w:id="14" w:name="_Toc314842484"/>
      <w:r>
        <w:lastRenderedPageBreak/>
        <w:t>Delstrigo</w:t>
      </w:r>
      <w:r w:rsidR="00720460">
        <w:t xml:space="preserve"> </w:t>
      </w:r>
      <w:r w:rsidR="00943AC8">
        <w:t xml:space="preserve">(Submission </w:t>
      </w:r>
      <w:r w:rsidR="00720460">
        <w:rPr>
          <w:rFonts w:eastAsiaTheme="minorHAnsi" w:cs="Cambria"/>
        </w:rPr>
        <w:t>PM-2017-04581-1-2</w:t>
      </w:r>
      <w:r w:rsidR="00943AC8">
        <w:rPr>
          <w:rFonts w:eastAsiaTheme="minorHAnsi" w:cs="Cambria"/>
        </w:rPr>
        <w:t>)</w:t>
      </w:r>
    </w:p>
    <w:tbl>
      <w:tblPr>
        <w:tblW w:w="9214" w:type="dxa"/>
        <w:tblInd w:w="108" w:type="dxa"/>
        <w:tblLook w:val="01E0" w:firstRow="1" w:lastRow="1" w:firstColumn="1" w:lastColumn="1" w:noHBand="0" w:noVBand="0"/>
      </w:tblPr>
      <w:tblGrid>
        <w:gridCol w:w="2907"/>
        <w:gridCol w:w="6307"/>
      </w:tblGrid>
      <w:tr w:rsidR="00371085" w:rsidRPr="003D1E62" w14:paraId="2C179C0E" w14:textId="77777777" w:rsidTr="00371085">
        <w:tc>
          <w:tcPr>
            <w:tcW w:w="2907" w:type="dxa"/>
          </w:tcPr>
          <w:p w14:paraId="0907364A" w14:textId="77777777" w:rsidR="00371085" w:rsidRPr="003D1E62" w:rsidRDefault="00371085" w:rsidP="00371085">
            <w:pPr>
              <w:rPr>
                <w:i/>
              </w:rPr>
            </w:pPr>
            <w:r>
              <w:rPr>
                <w:i/>
              </w:rPr>
              <w:t>Type of s</w:t>
            </w:r>
            <w:r w:rsidRPr="003D1E62">
              <w:rPr>
                <w:i/>
              </w:rPr>
              <w:t>ubmission</w:t>
            </w:r>
            <w:r>
              <w:rPr>
                <w:i/>
              </w:rPr>
              <w:t>:</w:t>
            </w:r>
          </w:p>
        </w:tc>
        <w:tc>
          <w:tcPr>
            <w:tcW w:w="6307" w:type="dxa"/>
          </w:tcPr>
          <w:p w14:paraId="74BA59E5" w14:textId="66EBF69F" w:rsidR="00371085" w:rsidRPr="003D1E62" w:rsidRDefault="00720460" w:rsidP="00371085">
            <w:r>
              <w:t>New fixed dose combination</w:t>
            </w:r>
          </w:p>
        </w:tc>
      </w:tr>
      <w:tr w:rsidR="00371085" w:rsidRPr="003D1E62" w14:paraId="3504917C" w14:textId="77777777" w:rsidTr="00371085">
        <w:tc>
          <w:tcPr>
            <w:tcW w:w="2907" w:type="dxa"/>
          </w:tcPr>
          <w:p w14:paraId="20CA944A" w14:textId="77777777" w:rsidR="00371085" w:rsidRPr="003D1E62" w:rsidRDefault="00371085" w:rsidP="00371085">
            <w:r w:rsidRPr="003D1E62">
              <w:rPr>
                <w:i/>
              </w:rPr>
              <w:t>Decision</w:t>
            </w:r>
            <w:r w:rsidRPr="003D1E62">
              <w:t>:</w:t>
            </w:r>
          </w:p>
        </w:tc>
        <w:tc>
          <w:tcPr>
            <w:tcW w:w="6307" w:type="dxa"/>
          </w:tcPr>
          <w:p w14:paraId="16A78E23" w14:textId="6392D22A" w:rsidR="00371085" w:rsidRPr="003D1E62" w:rsidRDefault="00720460" w:rsidP="00720460">
            <w:r>
              <w:t>Approved</w:t>
            </w:r>
          </w:p>
        </w:tc>
      </w:tr>
      <w:tr w:rsidR="00371085" w:rsidRPr="003D1E62" w14:paraId="0F0405B4" w14:textId="77777777" w:rsidTr="00371085">
        <w:tc>
          <w:tcPr>
            <w:tcW w:w="2907" w:type="dxa"/>
          </w:tcPr>
          <w:p w14:paraId="0B4E0171" w14:textId="77777777" w:rsidR="00371085" w:rsidRPr="003D1E62" w:rsidRDefault="00371085" w:rsidP="00371085">
            <w:pPr>
              <w:rPr>
                <w:i/>
              </w:rPr>
            </w:pPr>
            <w:r w:rsidRPr="003D1E62">
              <w:rPr>
                <w:i/>
              </w:rPr>
              <w:t xml:space="preserve">Date of </w:t>
            </w:r>
            <w:r>
              <w:rPr>
                <w:i/>
              </w:rPr>
              <w:t>d</w:t>
            </w:r>
            <w:r w:rsidRPr="003D1E62">
              <w:rPr>
                <w:i/>
              </w:rPr>
              <w:t>ecision:</w:t>
            </w:r>
          </w:p>
        </w:tc>
        <w:tc>
          <w:tcPr>
            <w:tcW w:w="6307" w:type="dxa"/>
          </w:tcPr>
          <w:p w14:paraId="4A99F2CA" w14:textId="0E28AF6C" w:rsidR="00371085" w:rsidRPr="003D1E62" w:rsidRDefault="00720460" w:rsidP="00371085">
            <w:r>
              <w:t>18 January 2019</w:t>
            </w:r>
          </w:p>
        </w:tc>
      </w:tr>
      <w:tr w:rsidR="00371085" w:rsidRPr="003D1E62" w14:paraId="736E382E" w14:textId="77777777" w:rsidTr="00371085">
        <w:tc>
          <w:tcPr>
            <w:tcW w:w="2907" w:type="dxa"/>
          </w:tcPr>
          <w:p w14:paraId="285B8775" w14:textId="77777777" w:rsidR="00371085" w:rsidRPr="00441C3F" w:rsidRDefault="00371085" w:rsidP="00371085">
            <w:pPr>
              <w:rPr>
                <w:i/>
              </w:rPr>
            </w:pPr>
            <w:r w:rsidRPr="00441C3F">
              <w:rPr>
                <w:i/>
              </w:rPr>
              <w:t>Date of entry onto ARTG</w:t>
            </w:r>
            <w:r>
              <w:rPr>
                <w:i/>
              </w:rPr>
              <w:t>:</w:t>
            </w:r>
          </w:p>
        </w:tc>
        <w:tc>
          <w:tcPr>
            <w:tcW w:w="6307" w:type="dxa"/>
          </w:tcPr>
          <w:p w14:paraId="5A686EC4" w14:textId="233E37EC" w:rsidR="00371085" w:rsidRPr="00441C3F" w:rsidRDefault="00405D4F" w:rsidP="00371085">
            <w:pPr>
              <w:rPr>
                <w:i/>
              </w:rPr>
            </w:pPr>
            <w:r>
              <w:t>4 February 2019</w:t>
            </w:r>
          </w:p>
        </w:tc>
      </w:tr>
      <w:tr w:rsidR="00371085" w:rsidRPr="003D1E62" w14:paraId="0883F78E" w14:textId="77777777" w:rsidTr="00371085">
        <w:tc>
          <w:tcPr>
            <w:tcW w:w="2907" w:type="dxa"/>
          </w:tcPr>
          <w:p w14:paraId="666E3AE3" w14:textId="409FC13F" w:rsidR="00371085" w:rsidRPr="00441C3F" w:rsidRDefault="00405D4F" w:rsidP="00371085">
            <w:pPr>
              <w:rPr>
                <w:i/>
              </w:rPr>
            </w:pPr>
            <w:r>
              <w:rPr>
                <w:i/>
              </w:rPr>
              <w:t>ARTG number</w:t>
            </w:r>
            <w:r w:rsidR="00371085">
              <w:rPr>
                <w:i/>
              </w:rPr>
              <w:t>:</w:t>
            </w:r>
          </w:p>
        </w:tc>
        <w:tc>
          <w:tcPr>
            <w:tcW w:w="6307" w:type="dxa"/>
          </w:tcPr>
          <w:p w14:paraId="2DD6122C" w14:textId="298DCCA7" w:rsidR="00371085" w:rsidRPr="00441C3F" w:rsidRDefault="00405D4F" w:rsidP="00371085">
            <w:r w:rsidRPr="00405D4F">
              <w:t>297702</w:t>
            </w:r>
          </w:p>
        </w:tc>
      </w:tr>
      <w:tr w:rsidR="00371085" w:rsidRPr="003D1E62" w14:paraId="4E52470C" w14:textId="77777777" w:rsidTr="00371085">
        <w:tc>
          <w:tcPr>
            <w:tcW w:w="2907" w:type="dxa"/>
          </w:tcPr>
          <w:p w14:paraId="49BCC6B2" w14:textId="77777777" w:rsidR="00371085" w:rsidRDefault="00371085" w:rsidP="00371085">
            <w:pPr>
              <w:rPr>
                <w:i/>
              </w:rPr>
            </w:pPr>
            <w:r>
              <w:rPr>
                <w:rFonts w:ascii="Wingdings 3" w:hAnsi="Wingdings 3"/>
                <w:sz w:val="34"/>
                <w:szCs w:val="34"/>
                <w:lang w:eastAsia="en-AU"/>
              </w:rPr>
              <w:t></w:t>
            </w:r>
            <w:r w:rsidRPr="003735BC">
              <w:rPr>
                <w:i/>
              </w:rPr>
              <w:t>Black Triangle Scheme</w:t>
            </w:r>
          </w:p>
        </w:tc>
        <w:tc>
          <w:tcPr>
            <w:tcW w:w="6307" w:type="dxa"/>
          </w:tcPr>
          <w:p w14:paraId="6A1F78C6" w14:textId="24AD31C5" w:rsidR="00371085" w:rsidRDefault="00405D4F" w:rsidP="00371085">
            <w:r>
              <w:t>Yes</w:t>
            </w:r>
          </w:p>
          <w:p w14:paraId="4A2025AD" w14:textId="3A310EBF" w:rsidR="00371085" w:rsidRPr="00487162" w:rsidRDefault="00371085" w:rsidP="00371085">
            <w:r>
              <w:t xml:space="preserve">This product will remain in the scheme for 5 years, starting on the date the product is first supplied in </w:t>
            </w:r>
            <w:r w:rsidR="00405D4F">
              <w:t>Australia.</w:t>
            </w:r>
          </w:p>
        </w:tc>
      </w:tr>
      <w:tr w:rsidR="00371085" w:rsidRPr="00487162" w14:paraId="42A80C08" w14:textId="77777777" w:rsidTr="00371085">
        <w:tc>
          <w:tcPr>
            <w:tcW w:w="2907" w:type="dxa"/>
          </w:tcPr>
          <w:p w14:paraId="523201A6" w14:textId="047A76A6" w:rsidR="00371085" w:rsidRPr="00487162" w:rsidRDefault="00371085" w:rsidP="00371085">
            <w:pPr>
              <w:rPr>
                <w:i/>
              </w:rPr>
            </w:pPr>
            <w:r>
              <w:rPr>
                <w:i/>
              </w:rPr>
              <w:t>Active ingred</w:t>
            </w:r>
            <w:r w:rsidR="00405D4F">
              <w:rPr>
                <w:i/>
              </w:rPr>
              <w:t>ients</w:t>
            </w:r>
            <w:r>
              <w:rPr>
                <w:i/>
              </w:rPr>
              <w:t>:</w:t>
            </w:r>
          </w:p>
        </w:tc>
        <w:tc>
          <w:tcPr>
            <w:tcW w:w="6307" w:type="dxa"/>
          </w:tcPr>
          <w:p w14:paraId="63760B9A" w14:textId="491DFE56" w:rsidR="00371085" w:rsidRPr="00487162" w:rsidRDefault="00720460" w:rsidP="00371085">
            <w:r>
              <w:t>D</w:t>
            </w:r>
            <w:r w:rsidRPr="00720460">
              <w:t>oravirine/lamivudine/tenofovir disoproxil fumarate</w:t>
            </w:r>
          </w:p>
        </w:tc>
      </w:tr>
      <w:tr w:rsidR="00371085" w:rsidRPr="00487162" w14:paraId="496B8814" w14:textId="77777777" w:rsidTr="00371085">
        <w:tc>
          <w:tcPr>
            <w:tcW w:w="2907" w:type="dxa"/>
          </w:tcPr>
          <w:p w14:paraId="43E256C3" w14:textId="47B26215" w:rsidR="00371085" w:rsidRPr="00487162" w:rsidRDefault="00371085" w:rsidP="00371085">
            <w:pPr>
              <w:rPr>
                <w:i/>
              </w:rPr>
            </w:pPr>
            <w:r w:rsidRPr="00487162">
              <w:rPr>
                <w:i/>
              </w:rPr>
              <w:t>Product</w:t>
            </w:r>
            <w:r w:rsidR="00405D4F">
              <w:rPr>
                <w:i/>
              </w:rPr>
              <w:t xml:space="preserve"> name</w:t>
            </w:r>
            <w:r>
              <w:rPr>
                <w:i/>
              </w:rPr>
              <w:t>:</w:t>
            </w:r>
          </w:p>
        </w:tc>
        <w:tc>
          <w:tcPr>
            <w:tcW w:w="6307" w:type="dxa"/>
          </w:tcPr>
          <w:p w14:paraId="5D275818" w14:textId="00569D16" w:rsidR="00371085" w:rsidRPr="00487162" w:rsidRDefault="00405D4F" w:rsidP="00371085">
            <w:r w:rsidRPr="00405D4F">
              <w:t>Delstrigo</w:t>
            </w:r>
          </w:p>
        </w:tc>
      </w:tr>
      <w:tr w:rsidR="00371085" w:rsidRPr="00487162" w14:paraId="4BD67848" w14:textId="77777777" w:rsidTr="00371085">
        <w:tc>
          <w:tcPr>
            <w:tcW w:w="2907" w:type="dxa"/>
          </w:tcPr>
          <w:p w14:paraId="3D504EAB" w14:textId="77777777" w:rsidR="00371085" w:rsidRPr="00487162" w:rsidRDefault="00371085" w:rsidP="00371085">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1806675B" w14:textId="77777777" w:rsidR="00405D4F" w:rsidRDefault="00405D4F" w:rsidP="00405D4F">
            <w:r>
              <w:t>Merck Sharp &amp; Dohme (Australia) Pty Limited</w:t>
            </w:r>
          </w:p>
          <w:p w14:paraId="48B7D3AB" w14:textId="77777777" w:rsidR="00405D4F" w:rsidRDefault="00405D4F" w:rsidP="00405D4F">
            <w:r>
              <w:t>Level 1, Building A, 26 Talavera Road,</w:t>
            </w:r>
          </w:p>
          <w:p w14:paraId="4CE6C312" w14:textId="4F401725" w:rsidR="00371085" w:rsidRPr="00487162" w:rsidRDefault="00405D4F" w:rsidP="00405D4F">
            <w:r>
              <w:t>Macquarie Park NSW 2113</w:t>
            </w:r>
          </w:p>
        </w:tc>
      </w:tr>
      <w:tr w:rsidR="00371085" w:rsidRPr="00487162" w14:paraId="5C1F5D11" w14:textId="77777777" w:rsidTr="00371085">
        <w:tc>
          <w:tcPr>
            <w:tcW w:w="2907" w:type="dxa"/>
          </w:tcPr>
          <w:p w14:paraId="7DD14DD3" w14:textId="6DC0C491" w:rsidR="00371085" w:rsidRPr="00487162" w:rsidRDefault="00405D4F" w:rsidP="00371085">
            <w:pPr>
              <w:rPr>
                <w:i/>
              </w:rPr>
            </w:pPr>
            <w:r>
              <w:rPr>
                <w:i/>
              </w:rPr>
              <w:t>Dose form</w:t>
            </w:r>
            <w:r w:rsidR="00371085">
              <w:rPr>
                <w:i/>
              </w:rPr>
              <w:t>:</w:t>
            </w:r>
          </w:p>
        </w:tc>
        <w:tc>
          <w:tcPr>
            <w:tcW w:w="6307" w:type="dxa"/>
          </w:tcPr>
          <w:p w14:paraId="61A39887" w14:textId="5F7836C7" w:rsidR="00371085" w:rsidRPr="00487162" w:rsidRDefault="00405D4F" w:rsidP="00371085">
            <w:r>
              <w:t>Film coated tablet</w:t>
            </w:r>
          </w:p>
        </w:tc>
      </w:tr>
      <w:tr w:rsidR="00371085" w:rsidRPr="00487162" w14:paraId="5583F7D0" w14:textId="77777777" w:rsidTr="00371085">
        <w:tc>
          <w:tcPr>
            <w:tcW w:w="2907" w:type="dxa"/>
          </w:tcPr>
          <w:p w14:paraId="3A422FD7" w14:textId="02E8AF39" w:rsidR="00371085" w:rsidRPr="00487162" w:rsidRDefault="00405D4F" w:rsidP="00371085">
            <w:pPr>
              <w:rPr>
                <w:i/>
              </w:rPr>
            </w:pPr>
            <w:r>
              <w:rPr>
                <w:i/>
              </w:rPr>
              <w:t>Strengths</w:t>
            </w:r>
            <w:r w:rsidR="00371085" w:rsidRPr="00487162">
              <w:rPr>
                <w:i/>
              </w:rPr>
              <w:t xml:space="preserve">: </w:t>
            </w:r>
          </w:p>
        </w:tc>
        <w:tc>
          <w:tcPr>
            <w:tcW w:w="6307" w:type="dxa"/>
          </w:tcPr>
          <w:p w14:paraId="18321CB5" w14:textId="7756A589" w:rsidR="00371085" w:rsidRPr="00487162" w:rsidRDefault="00405D4F" w:rsidP="00371085">
            <w:r>
              <w:t xml:space="preserve">Fixed dose combination </w:t>
            </w:r>
            <w:r w:rsidRPr="00405D4F">
              <w:t>doravirine 100 mg</w:t>
            </w:r>
            <w:r>
              <w:t>,</w:t>
            </w:r>
            <w:r w:rsidRPr="00405D4F">
              <w:t xml:space="preserve"> lamivudine 300 mg</w:t>
            </w:r>
            <w:r>
              <w:t xml:space="preserve"> and</w:t>
            </w:r>
            <w:r w:rsidRPr="00405D4F">
              <w:t xml:space="preserve"> tenofovir disoproxil fumarate 300 mg</w:t>
            </w:r>
          </w:p>
        </w:tc>
      </w:tr>
      <w:tr w:rsidR="00371085" w:rsidRPr="00487162" w14:paraId="7C454BAD" w14:textId="77777777" w:rsidTr="00371085">
        <w:tc>
          <w:tcPr>
            <w:tcW w:w="2907" w:type="dxa"/>
          </w:tcPr>
          <w:p w14:paraId="42C6B8E9" w14:textId="249C6D21" w:rsidR="00371085" w:rsidRPr="00487162" w:rsidRDefault="00405D4F" w:rsidP="00371085">
            <w:pPr>
              <w:rPr>
                <w:i/>
              </w:rPr>
            </w:pPr>
            <w:r>
              <w:rPr>
                <w:i/>
              </w:rPr>
              <w:t>Container</w:t>
            </w:r>
            <w:r w:rsidR="00371085" w:rsidRPr="00487162">
              <w:rPr>
                <w:i/>
              </w:rPr>
              <w:t>:</w:t>
            </w:r>
          </w:p>
        </w:tc>
        <w:tc>
          <w:tcPr>
            <w:tcW w:w="6307" w:type="dxa"/>
          </w:tcPr>
          <w:p w14:paraId="5CB08E05" w14:textId="34261925" w:rsidR="00371085" w:rsidRPr="00487162" w:rsidRDefault="00405D4F" w:rsidP="00371085">
            <w:r>
              <w:t>Bottle</w:t>
            </w:r>
          </w:p>
        </w:tc>
      </w:tr>
      <w:tr w:rsidR="00371085" w:rsidRPr="00487162" w14:paraId="49B795B7" w14:textId="77777777" w:rsidTr="00371085">
        <w:tc>
          <w:tcPr>
            <w:tcW w:w="2907" w:type="dxa"/>
          </w:tcPr>
          <w:p w14:paraId="09752157" w14:textId="372E5236" w:rsidR="00371085" w:rsidRPr="00487162" w:rsidRDefault="00405D4F" w:rsidP="00371085">
            <w:pPr>
              <w:rPr>
                <w:i/>
              </w:rPr>
            </w:pPr>
            <w:r>
              <w:rPr>
                <w:i/>
              </w:rPr>
              <w:t>Pack size</w:t>
            </w:r>
            <w:r w:rsidR="00371085" w:rsidRPr="00487162">
              <w:rPr>
                <w:i/>
              </w:rPr>
              <w:t>:</w:t>
            </w:r>
          </w:p>
        </w:tc>
        <w:tc>
          <w:tcPr>
            <w:tcW w:w="6307" w:type="dxa"/>
          </w:tcPr>
          <w:p w14:paraId="6D8CB2E3" w14:textId="55A90F00" w:rsidR="00371085" w:rsidRPr="00487162" w:rsidRDefault="00405D4F" w:rsidP="00371085">
            <w:r>
              <w:t>30</w:t>
            </w:r>
          </w:p>
        </w:tc>
      </w:tr>
      <w:tr w:rsidR="00371085" w:rsidRPr="00487162" w14:paraId="5472BD33" w14:textId="77777777" w:rsidTr="00371085">
        <w:tc>
          <w:tcPr>
            <w:tcW w:w="2907" w:type="dxa"/>
          </w:tcPr>
          <w:p w14:paraId="22F77303" w14:textId="77777777" w:rsidR="00371085" w:rsidRPr="00487162" w:rsidRDefault="00371085" w:rsidP="00371085">
            <w:pPr>
              <w:rPr>
                <w:i/>
              </w:rPr>
            </w:pPr>
            <w:r w:rsidRPr="00487162">
              <w:rPr>
                <w:i/>
              </w:rPr>
              <w:t xml:space="preserve">Approved </w:t>
            </w:r>
            <w:r>
              <w:rPr>
                <w:i/>
              </w:rPr>
              <w:t>t</w:t>
            </w:r>
            <w:r w:rsidRPr="00487162">
              <w:rPr>
                <w:i/>
              </w:rPr>
              <w:t>herapeutic use:</w:t>
            </w:r>
          </w:p>
        </w:tc>
        <w:tc>
          <w:tcPr>
            <w:tcW w:w="6307" w:type="dxa"/>
          </w:tcPr>
          <w:p w14:paraId="0A03F24A" w14:textId="3DA70369" w:rsidR="00371085" w:rsidRPr="00405D4F" w:rsidRDefault="00405D4F" w:rsidP="00405D4F">
            <w:pPr>
              <w:rPr>
                <w:i/>
              </w:rPr>
            </w:pPr>
            <w:r w:rsidRPr="00405D4F">
              <w:rPr>
                <w:i/>
              </w:rPr>
              <w:t>Delstrigo is indicated for the treatment of HIV-1 infection in adults who are antiretroviral therapy (ART)-naïve with no known substitutions associated with resistance to doravirine, lamivudine, or tenofovir.</w:t>
            </w:r>
          </w:p>
        </w:tc>
      </w:tr>
      <w:tr w:rsidR="00371085" w:rsidRPr="00487162" w14:paraId="16539954" w14:textId="77777777" w:rsidTr="00371085">
        <w:tc>
          <w:tcPr>
            <w:tcW w:w="2907" w:type="dxa"/>
          </w:tcPr>
          <w:p w14:paraId="50D12FD5" w14:textId="6260153E" w:rsidR="00371085" w:rsidRPr="00487162" w:rsidRDefault="00405D4F" w:rsidP="00371085">
            <w:pPr>
              <w:rPr>
                <w:i/>
              </w:rPr>
            </w:pPr>
            <w:r>
              <w:rPr>
                <w:i/>
              </w:rPr>
              <w:t>Route</w:t>
            </w:r>
            <w:r w:rsidR="00371085" w:rsidRPr="00487162">
              <w:rPr>
                <w:i/>
              </w:rPr>
              <w:t xml:space="preserve"> of administration:</w:t>
            </w:r>
          </w:p>
        </w:tc>
        <w:tc>
          <w:tcPr>
            <w:tcW w:w="6307" w:type="dxa"/>
          </w:tcPr>
          <w:p w14:paraId="0424E436" w14:textId="754F0686" w:rsidR="00371085" w:rsidRPr="00487162" w:rsidRDefault="00405D4F" w:rsidP="00371085">
            <w:r>
              <w:t>Oral</w:t>
            </w:r>
          </w:p>
        </w:tc>
      </w:tr>
      <w:tr w:rsidR="00371085" w:rsidRPr="00487162" w14:paraId="5CEDF774" w14:textId="77777777" w:rsidTr="00371085">
        <w:tc>
          <w:tcPr>
            <w:tcW w:w="2907" w:type="dxa"/>
          </w:tcPr>
          <w:p w14:paraId="202DD75A" w14:textId="77777777" w:rsidR="00371085" w:rsidRPr="00487162" w:rsidRDefault="00371085" w:rsidP="00371085">
            <w:pPr>
              <w:rPr>
                <w:i/>
              </w:rPr>
            </w:pPr>
            <w:r w:rsidRPr="00487162">
              <w:rPr>
                <w:i/>
              </w:rPr>
              <w:t>Dosage:</w:t>
            </w:r>
          </w:p>
        </w:tc>
        <w:tc>
          <w:tcPr>
            <w:tcW w:w="6307" w:type="dxa"/>
          </w:tcPr>
          <w:p w14:paraId="1FCD99D4" w14:textId="55B1A881" w:rsidR="00405D4F" w:rsidRDefault="00405D4F" w:rsidP="00405D4F">
            <w:r>
              <w:t>Adult patients</w:t>
            </w:r>
          </w:p>
          <w:p w14:paraId="04633CDD" w14:textId="77777777" w:rsidR="00371085" w:rsidRDefault="00405D4F" w:rsidP="00405D4F">
            <w:r>
              <w:t>The recommended dosage regimen of Delstrigo in adults is one tablet taken orally once daily with or without food.</w:t>
            </w:r>
          </w:p>
          <w:p w14:paraId="19AB5524" w14:textId="0A56F309" w:rsidR="00ED3E05" w:rsidRPr="00487162" w:rsidRDefault="00ED3E05" w:rsidP="00405D4F">
            <w:r>
              <w:t>For further information refer to the Product Information.</w:t>
            </w:r>
          </w:p>
        </w:tc>
      </w:tr>
    </w:tbl>
    <w:p w14:paraId="6529BE6D" w14:textId="732A800B" w:rsidR="008E7846" w:rsidRDefault="008E7846" w:rsidP="00ED3E05">
      <w:pPr>
        <w:pStyle w:val="Heading3"/>
      </w:pPr>
      <w:bookmarkStart w:id="15" w:name="_Toc35259361"/>
      <w:r>
        <w:lastRenderedPageBreak/>
        <w:t>Product background</w:t>
      </w:r>
      <w:bookmarkEnd w:id="13"/>
      <w:bookmarkEnd w:id="14"/>
      <w:bookmarkEnd w:id="15"/>
    </w:p>
    <w:p w14:paraId="0D7B45B3" w14:textId="38B42E0B" w:rsidR="008E7846" w:rsidRDefault="00940A89" w:rsidP="00ED3E05">
      <w:pPr>
        <w:keepNext/>
      </w:pPr>
      <w:r w:rsidRPr="00940A89">
        <w:t xml:space="preserve">This AusPAR describes the application by </w:t>
      </w:r>
      <w:r w:rsidR="00FD2F83" w:rsidRPr="00FD2F83">
        <w:t xml:space="preserve">Merck Sharp &amp; Dohme (Australia) Pty Ltd </w:t>
      </w:r>
      <w:r w:rsidR="00FD2F83">
        <w:t>(</w:t>
      </w:r>
      <w:r w:rsidRPr="00940A89">
        <w:t>the sponsor</w:t>
      </w:r>
      <w:r w:rsidR="00FD2F83">
        <w:t>)</w:t>
      </w:r>
      <w:r w:rsidRPr="00940A89">
        <w:t xml:space="preserve"> to register </w:t>
      </w:r>
      <w:r w:rsidR="00FD2F83">
        <w:t>the new chemical entity Pifeltro (doravirine)</w:t>
      </w:r>
      <w:r w:rsidR="00044546">
        <w:t xml:space="preserve"> </w:t>
      </w:r>
      <w:r w:rsidR="00CA6B59">
        <w:t xml:space="preserve">100 mg </w:t>
      </w:r>
      <w:r w:rsidR="00044546">
        <w:t>film coated tablets</w:t>
      </w:r>
      <w:r w:rsidRPr="00940A89">
        <w:t xml:space="preserve"> f</w:t>
      </w:r>
      <w:r w:rsidR="00044546">
        <w:t>or the following proposed indication:</w:t>
      </w:r>
    </w:p>
    <w:p w14:paraId="6A44F415" w14:textId="447F2675" w:rsidR="00ED2922" w:rsidRPr="00FD2F83" w:rsidRDefault="00FD2F83" w:rsidP="00ED3E05">
      <w:pPr>
        <w:keepNext/>
        <w:ind w:left="720"/>
        <w:rPr>
          <w:i/>
        </w:rPr>
      </w:pPr>
      <w:r w:rsidRPr="00FD2F83">
        <w:rPr>
          <w:i/>
        </w:rPr>
        <w:t>Pifeltro is indicated, in combination with other antiretroviral medicinal products, for the treatment of adults infected with HIV-1 without past or present evidence of viral resistance to doravirine.</w:t>
      </w:r>
    </w:p>
    <w:p w14:paraId="5CF32CE5" w14:textId="5F7EECAA" w:rsidR="00FD2F83" w:rsidRDefault="00044546" w:rsidP="00FD2F83">
      <w:r>
        <w:t>The sponsor also sought</w:t>
      </w:r>
      <w:r w:rsidR="00FD2F83">
        <w:t xml:space="preserve"> to register </w:t>
      </w:r>
      <w:r>
        <w:t>Delstrigo (doravirine/lamivudine/</w:t>
      </w:r>
      <w:r w:rsidRPr="00FD2F83">
        <w:t>tenofovir disoproxil fumarate</w:t>
      </w:r>
      <w:r>
        <w:t>)</w:t>
      </w:r>
      <w:r w:rsidRPr="00FD2F83">
        <w:t xml:space="preserve"> </w:t>
      </w:r>
      <w:r w:rsidR="00CA6B59">
        <w:t xml:space="preserve">100/300/300 mg </w:t>
      </w:r>
      <w:r w:rsidR="00FD2F83" w:rsidRPr="00FD2F83">
        <w:t xml:space="preserve">fixed </w:t>
      </w:r>
      <w:r w:rsidR="00FD2F83">
        <w:t xml:space="preserve">dose combination </w:t>
      </w:r>
      <w:r w:rsidR="00854C4B">
        <w:t xml:space="preserve">(FDC) </w:t>
      </w:r>
      <w:r>
        <w:t>film coated tablets</w:t>
      </w:r>
      <w:r w:rsidR="00FD2F83">
        <w:t xml:space="preserve"> for the following </w:t>
      </w:r>
      <w:r>
        <w:t xml:space="preserve">proposed </w:t>
      </w:r>
      <w:r w:rsidR="00FD2F83">
        <w:t>indication:</w:t>
      </w:r>
    </w:p>
    <w:p w14:paraId="11E1913D" w14:textId="3EF9E11A" w:rsidR="00FD2F83" w:rsidRPr="00FD2F83" w:rsidRDefault="00FD2F83" w:rsidP="00FD2F83">
      <w:pPr>
        <w:ind w:left="720"/>
        <w:rPr>
          <w:i/>
        </w:rPr>
      </w:pPr>
      <w:r w:rsidRPr="00FD2F83">
        <w:rPr>
          <w:i/>
        </w:rPr>
        <w:t>Delstrigo is indicated for the treatment of adults infected with HIV-1 without past or present evidence of viral resistance to doravirine, lamivudine, or tenofovir.</w:t>
      </w:r>
    </w:p>
    <w:p w14:paraId="7254C2C9" w14:textId="1002A97F" w:rsidR="00940A89" w:rsidRDefault="00044546" w:rsidP="00044546">
      <w:r>
        <w:t xml:space="preserve">In 2016, an estimated 26,444 people were living with </w:t>
      </w:r>
      <w:r w:rsidR="00DE27C8">
        <w:t>human immunodeficiency virus (</w:t>
      </w:r>
      <w:r>
        <w:t>HIV</w:t>
      </w:r>
      <w:r w:rsidR="00DE27C8">
        <w:t>)</w:t>
      </w:r>
      <w:r>
        <w:t xml:space="preserve"> in Australia, with the number of new HIV diagnoses in Australia remaining stable over the past five years.</w:t>
      </w:r>
      <w:r w:rsidR="00DE27C8">
        <w:rPr>
          <w:rStyle w:val="FootnoteReference"/>
        </w:rPr>
        <w:footnoteReference w:id="1"/>
      </w:r>
      <w:r>
        <w:t xml:space="preserve"> There were 1013 new di</w:t>
      </w:r>
      <w:r w:rsidR="00381ECD">
        <w:t>agnoses in 2016. HIV prevalence</w:t>
      </w:r>
      <w:r>
        <w:t xml:space="preserve"> </w:t>
      </w:r>
      <w:r w:rsidR="00381ECD">
        <w:t>was 0.13% in Australia in 2016</w:t>
      </w:r>
      <w:r w:rsidR="00E60196">
        <w:t xml:space="preserve">. </w:t>
      </w:r>
      <w:r>
        <w:t>HIV infection is predominately concentrated among gay a</w:t>
      </w:r>
      <w:r w:rsidR="00E60196">
        <w:t>nd bisexual men.</w:t>
      </w:r>
    </w:p>
    <w:p w14:paraId="5000C69A" w14:textId="3D4F73D8" w:rsidR="00044546" w:rsidRDefault="00044546" w:rsidP="00044546">
      <w:r>
        <w:t xml:space="preserve">The prevention of HIV in Australia is primarily focused on a ‘test, treat and prevent’ model. Transmission in people who inject drugs, sex workers and from mother-to-child has already been virtually eliminated. Central features of this strategy include ensuring people with newly diagnosed HIV are treated within 6 weeks of diagnosis and that the treatment of all people with HIV infection is sustained. The </w:t>
      </w:r>
      <w:r w:rsidR="00943AC8">
        <w:t xml:space="preserve">New South Wales </w:t>
      </w:r>
      <w:r>
        <w:t>HIV strategy 201</w:t>
      </w:r>
      <w:r w:rsidR="00DE27C8">
        <w:t xml:space="preserve">6 to </w:t>
      </w:r>
      <w:r>
        <w:t>2020 has set a target to have 95% of those diagnosed with HIV taking an</w:t>
      </w:r>
      <w:r w:rsidR="00E60196">
        <w:t>tiretroviral treatment by 2020.</w:t>
      </w:r>
      <w:bookmarkStart w:id="16" w:name="_Ref34656893"/>
      <w:r w:rsidR="00DE27C8">
        <w:rPr>
          <w:rStyle w:val="FootnoteReference"/>
        </w:rPr>
        <w:footnoteReference w:id="2"/>
      </w:r>
      <w:bookmarkEnd w:id="16"/>
    </w:p>
    <w:p w14:paraId="6ADA61A8" w14:textId="4F65672F" w:rsidR="00044546" w:rsidRDefault="00044546" w:rsidP="00044546">
      <w:r>
        <w:t xml:space="preserve">If HIV is left untreated, the continuing damage to the immune system can result in a symptomatic chronic phase or </w:t>
      </w:r>
      <w:r w:rsidR="00DE27C8">
        <w:t>a</w:t>
      </w:r>
      <w:r w:rsidR="00DE27C8" w:rsidRPr="00DE27C8">
        <w:t xml:space="preserve">cquired immune deficiency syndrome </w:t>
      </w:r>
      <w:r w:rsidR="00DE27C8">
        <w:t>(</w:t>
      </w:r>
      <w:r>
        <w:t>AIDS</w:t>
      </w:r>
      <w:r w:rsidR="00DE27C8">
        <w:t>)</w:t>
      </w:r>
      <w:r>
        <w:t xml:space="preserve">, and opportunistic infections occur. AIDS is severe and life-threatening. Due to advances in treatment, HIV infection in Australia is a manageable, chronic condition and there are very few AIDS-related deaths in Australia. While HIV may be controlled with </w:t>
      </w:r>
      <w:r w:rsidR="0056396C">
        <w:t>antiretroviral</w:t>
      </w:r>
      <w:r>
        <w:t xml:space="preserve"> treatmen</w:t>
      </w:r>
      <w:r w:rsidR="0056396C">
        <w:t>t (ART)</w:t>
      </w:r>
      <w:r>
        <w:t xml:space="preserve">, studies have shown that people are at a higher risk of non-AIDS </w:t>
      </w:r>
      <w:r w:rsidR="00943AC8">
        <w:t xml:space="preserve">related </w:t>
      </w:r>
      <w:r>
        <w:t>illnesses.</w:t>
      </w:r>
    </w:p>
    <w:p w14:paraId="3BCB0823" w14:textId="6C9922FA" w:rsidR="00044546" w:rsidRDefault="00044546" w:rsidP="00044546">
      <w:r>
        <w:t>Global</w:t>
      </w:r>
      <w:r w:rsidR="00ED3E05">
        <w:t>ly, there are more than 30 anti</w:t>
      </w:r>
      <w:r>
        <w:t xml:space="preserve">retroviral drugs currently available for the treatment of </w:t>
      </w:r>
      <w:r w:rsidR="0056396C">
        <w:t>human immunodeficiency virus type 1(</w:t>
      </w:r>
      <w:r>
        <w:t>HIV-1</w:t>
      </w:r>
      <w:r w:rsidR="0056396C">
        <w:t>)</w:t>
      </w:r>
      <w:r>
        <w:t xml:space="preserve"> infection for use in combination antiretroviral therapy (cART). Treatment with cART, generally consisting of a combination of 3 antiretroviral drugs, has been shown to be effective in both reducing plasma HIV-1 ribonucleic acid (RNA) below the level of detection and restoring immune system function. The mechanism of action of these drugs involves the inhibition of specific stages of the HIV-1 lifecycle and they are characteri</w:t>
      </w:r>
      <w:r w:rsidR="0056396C">
        <w:t>sed into six classes: nucleos</w:t>
      </w:r>
      <w:r>
        <w:t>ide reverse transcriptase inhibitors (NRTIs), non-nucleoside reverse transcriptase inhibitors (NN</w:t>
      </w:r>
      <w:r w:rsidR="0056396C">
        <w:t>RTIs), protease inhibitors</w:t>
      </w:r>
      <w:r>
        <w:t>, integrase stran</w:t>
      </w:r>
      <w:r w:rsidR="0056396C">
        <w:t>d-transfer inhibitors (IN</w:t>
      </w:r>
      <w:r>
        <w:t>STIs), fusion inhibitors, and co-receptor antagonists.</w:t>
      </w:r>
    </w:p>
    <w:p w14:paraId="75B8081D" w14:textId="72FBA964" w:rsidR="00044546" w:rsidRDefault="00044546" w:rsidP="00044546">
      <w:r>
        <w:t xml:space="preserve">For antiretroviral-naïve patients, treatment generally consists of two </w:t>
      </w:r>
      <w:r w:rsidR="00854C4B">
        <w:t>NRTIs</w:t>
      </w:r>
      <w:r>
        <w:t xml:space="preserve"> and a third antiretroviral drug from either of the following </w:t>
      </w:r>
      <w:r w:rsidR="00854C4B">
        <w:t>classes: IN</w:t>
      </w:r>
      <w:r>
        <w:t xml:space="preserve">STI, NNRTI or a </w:t>
      </w:r>
      <w:r w:rsidR="00854C4B">
        <w:t>protease inhibitor</w:t>
      </w:r>
      <w:r>
        <w:t xml:space="preserve"> (with pharmacokinetic booster). The </w:t>
      </w:r>
      <w:r w:rsidR="00ED3E05">
        <w:t>United States (</w:t>
      </w:r>
      <w:r>
        <w:t>US</w:t>
      </w:r>
      <w:r w:rsidR="00ED3E05">
        <w:t>)</w:t>
      </w:r>
      <w:r>
        <w:t xml:space="preserve"> </w:t>
      </w:r>
      <w:r w:rsidR="00420CB8" w:rsidRPr="00420CB8">
        <w:t xml:space="preserve">Department of Health </w:t>
      </w:r>
      <w:r w:rsidR="00420CB8" w:rsidRPr="00420CB8">
        <w:lastRenderedPageBreak/>
        <w:t xml:space="preserve">and Human Services </w:t>
      </w:r>
      <w:r w:rsidR="00420CB8">
        <w:t>(</w:t>
      </w:r>
      <w:r>
        <w:t>DHHS</w:t>
      </w:r>
      <w:r w:rsidR="00420CB8">
        <w:t>)</w:t>
      </w:r>
      <w:r>
        <w:t xml:space="preserve"> Guidelin</w:t>
      </w:r>
      <w:r w:rsidR="00854C4B">
        <w:t>es, with Australian commentary;</w:t>
      </w:r>
      <w:r w:rsidR="00854C4B">
        <w:rPr>
          <w:rStyle w:val="FootnoteReference"/>
        </w:rPr>
        <w:footnoteReference w:id="3"/>
      </w:r>
      <w:r w:rsidR="00854C4B">
        <w:t xml:space="preserve"> </w:t>
      </w:r>
      <w:r>
        <w:t>is intended to guide antiretroviral treatment in Australia. The recommended regimens for antiretroviral-naïve patients, which are currently re</w:t>
      </w:r>
      <w:r w:rsidR="00854C4B">
        <w:t>imbursed in Australia, are INSTI or b</w:t>
      </w:r>
      <w:r>
        <w:t xml:space="preserve">oosted </w:t>
      </w:r>
      <w:r w:rsidR="00854C4B">
        <w:t>protease inhibitor</w:t>
      </w:r>
      <w:r>
        <w:t xml:space="preserve"> based regimens. For non antiretroviral-naïve patients, the Guidelines have a large section on what drugs not to use. Single, double or triple NNRTIs</w:t>
      </w:r>
      <w:r w:rsidR="00943AC8">
        <w:t>,</w:t>
      </w:r>
      <w:r>
        <w:t xml:space="preserve"> with exceptions</w:t>
      </w:r>
      <w:r w:rsidR="00943AC8">
        <w:t>,</w:t>
      </w:r>
      <w:r>
        <w:t xml:space="preserve"> are specifically mentioned. Overall</w:t>
      </w:r>
      <w:r w:rsidR="00854C4B">
        <w:t>,</w:t>
      </w:r>
      <w:r>
        <w:t xml:space="preserve"> it suggests selection should consider virologic efficacy, toxicity, pill burden, dosing frequency, drug-drug interaction potential, resistance testing results</w:t>
      </w:r>
      <w:r w:rsidR="00854C4B">
        <w:t>, comorbid conditions and cost.</w:t>
      </w:r>
    </w:p>
    <w:p w14:paraId="2EEBA025" w14:textId="6415073C" w:rsidR="00044546" w:rsidRDefault="00854C4B" w:rsidP="00044546">
      <w:r>
        <w:t xml:space="preserve">Submission </w:t>
      </w:r>
      <w:r w:rsidR="00044546">
        <w:t xml:space="preserve">PM-2017-04580-1-2 </w:t>
      </w:r>
      <w:r>
        <w:t>was</w:t>
      </w:r>
      <w:r w:rsidR="00044546">
        <w:t xml:space="preserve"> seeking marketing approval for </w:t>
      </w:r>
      <w:r>
        <w:t xml:space="preserve">new chemical entity </w:t>
      </w:r>
      <w:r w:rsidR="00044546">
        <w:t xml:space="preserve">doravirine. </w:t>
      </w:r>
      <w:r>
        <w:t xml:space="preserve">Doravirine </w:t>
      </w:r>
      <w:r w:rsidR="00044546">
        <w:t xml:space="preserve">is a (non-competitive) </w:t>
      </w:r>
      <w:r>
        <w:t>NNRTI of HIV-1. Doravirine</w:t>
      </w:r>
      <w:r w:rsidR="00044546">
        <w:t xml:space="preserve"> will be supplied as a single agent tablet (100</w:t>
      </w:r>
      <w:r>
        <w:t xml:space="preserve"> </w:t>
      </w:r>
      <w:r w:rsidR="00044546">
        <w:t>mg) for use in combination with other antiretroviral agents.</w:t>
      </w:r>
    </w:p>
    <w:p w14:paraId="206B74B9" w14:textId="1381FA77" w:rsidR="00044546" w:rsidRDefault="00854C4B" w:rsidP="00044546">
      <w:r>
        <w:t xml:space="preserve">Submission </w:t>
      </w:r>
      <w:r w:rsidR="00044546">
        <w:t xml:space="preserve">PM-2017-04581-1-2 </w:t>
      </w:r>
      <w:r>
        <w:t>was</w:t>
      </w:r>
      <w:r w:rsidR="00044546">
        <w:t xml:space="preserve"> seeking marketing approval for </w:t>
      </w:r>
      <w:r w:rsidR="002E5F71">
        <w:t>doravirine</w:t>
      </w:r>
      <w:r w:rsidR="00044546">
        <w:t xml:space="preserve"> in </w:t>
      </w:r>
      <w:r>
        <w:t>FDC</w:t>
      </w:r>
      <w:r w:rsidR="00044546">
        <w:t xml:space="preserve"> with </w:t>
      </w:r>
      <w:r w:rsidR="00ED3E05">
        <w:t xml:space="preserve">a </w:t>
      </w:r>
      <w:r w:rsidR="00044546">
        <w:t xml:space="preserve">(competitive) </w:t>
      </w:r>
      <w:r>
        <w:t>NRTI backbone comprising lamivudine</w:t>
      </w:r>
      <w:r w:rsidR="00044546">
        <w:t xml:space="preserve"> and tenofovir disoproxil fumarate.</w:t>
      </w:r>
    </w:p>
    <w:p w14:paraId="2D3445A1" w14:textId="30F5964B" w:rsidR="00044546" w:rsidRDefault="00044546" w:rsidP="00044546">
      <w:r>
        <w:t>Both submissions have common data and are considered together in this AusPAR.</w:t>
      </w:r>
    </w:p>
    <w:p w14:paraId="38C18E35" w14:textId="77777777" w:rsidR="008E7846" w:rsidRPr="003F31A2" w:rsidRDefault="00386150" w:rsidP="008E7846">
      <w:pPr>
        <w:pStyle w:val="Heading3"/>
      </w:pPr>
      <w:bookmarkStart w:id="17" w:name="_Toc314842485"/>
      <w:bookmarkStart w:id="18" w:name="_Toc247691504"/>
      <w:bookmarkStart w:id="19" w:name="_Toc35259362"/>
      <w:r>
        <w:t>Regulatory s</w:t>
      </w:r>
      <w:r w:rsidR="008E7846">
        <w:t>tatus</w:t>
      </w:r>
      <w:bookmarkEnd w:id="17"/>
      <w:bookmarkEnd w:id="18"/>
      <w:bookmarkEnd w:id="19"/>
    </w:p>
    <w:p w14:paraId="74796463" w14:textId="5CBF73AE" w:rsidR="00940A89" w:rsidRDefault="005513BE" w:rsidP="00940A89">
      <w:bookmarkStart w:id="20" w:name="_Toc247691505"/>
      <w:bookmarkStart w:id="21" w:name="_Toc314842486"/>
      <w:r>
        <w:t>Pifeltro (doravirine) is considered a new chemical entity for Australian regulatory purposes.</w:t>
      </w:r>
    </w:p>
    <w:p w14:paraId="37C5CAE7" w14:textId="7A8DA2CB" w:rsidR="005513BE" w:rsidRDefault="005513BE" w:rsidP="00940A89">
      <w:r w:rsidRPr="00940A89">
        <w:t xml:space="preserve">At </w:t>
      </w:r>
      <w:r w:rsidR="00854C4B">
        <w:t>the time the TGA considered the Pifeltro</w:t>
      </w:r>
      <w:r w:rsidRPr="00940A89">
        <w:t xml:space="preserve"> application, a similar application had been approved </w:t>
      </w:r>
      <w:r>
        <w:t>the United States of America (USA) and Canada and was under consideration in the European Union (EU; positive opinion received 20 September 2018</w:t>
      </w:r>
      <w:r w:rsidR="00854C4B">
        <w:t xml:space="preserve">) and Switzerland, see </w:t>
      </w:r>
      <w:r w:rsidR="00854C4B">
        <w:fldChar w:fldCharType="begin"/>
      </w:r>
      <w:r w:rsidR="00854C4B">
        <w:instrText xml:space="preserve"> REF _Ref31705740 \h </w:instrText>
      </w:r>
      <w:r w:rsidR="00854C4B">
        <w:fldChar w:fldCharType="separate"/>
      </w:r>
      <w:r w:rsidR="00854C4B">
        <w:t xml:space="preserve">Table </w:t>
      </w:r>
      <w:r w:rsidR="00854C4B">
        <w:rPr>
          <w:noProof/>
        </w:rPr>
        <w:t>1</w:t>
      </w:r>
      <w:r w:rsidR="00854C4B">
        <w:fldChar w:fldCharType="end"/>
      </w:r>
      <w:r>
        <w:t>.</w:t>
      </w:r>
    </w:p>
    <w:p w14:paraId="03C08657" w14:textId="3F306EEB" w:rsidR="00AE1259" w:rsidRDefault="00AE1259" w:rsidP="00AE1259">
      <w:pPr>
        <w:pStyle w:val="TableTitle"/>
      </w:pPr>
      <w:bookmarkStart w:id="22" w:name="_Ref31705740"/>
      <w:r>
        <w:t xml:space="preserve">Table </w:t>
      </w:r>
      <w:fldSimple w:instr=" SEQ Table \* ARABIC ">
        <w:r w:rsidR="000644BB">
          <w:rPr>
            <w:noProof/>
          </w:rPr>
          <w:t>1</w:t>
        </w:r>
      </w:fldSimple>
      <w:bookmarkEnd w:id="22"/>
      <w:r>
        <w:t>: International regulatory status of Pifeltro as of November 2018</w:t>
      </w:r>
    </w:p>
    <w:tbl>
      <w:tblPr>
        <w:tblStyle w:val="TableTGAblue"/>
        <w:tblW w:w="0" w:type="auto"/>
        <w:tblLayout w:type="fixed"/>
        <w:tblLook w:val="04A0" w:firstRow="1" w:lastRow="0" w:firstColumn="1" w:lastColumn="0" w:noHBand="0" w:noVBand="1"/>
      </w:tblPr>
      <w:tblGrid>
        <w:gridCol w:w="1668"/>
        <w:gridCol w:w="1984"/>
        <w:gridCol w:w="1985"/>
        <w:gridCol w:w="3083"/>
      </w:tblGrid>
      <w:tr w:rsidR="00AE1259" w:rsidRPr="00AE1259" w14:paraId="2A031E3C" w14:textId="77777777" w:rsidTr="00D768C3">
        <w:trPr>
          <w:cnfStyle w:val="100000000000" w:firstRow="1" w:lastRow="0" w:firstColumn="0" w:lastColumn="0" w:oddVBand="0" w:evenVBand="0" w:oddHBand="0" w:evenHBand="0" w:firstRowFirstColumn="0" w:firstRowLastColumn="0" w:lastRowFirstColumn="0" w:lastRowLastColumn="0"/>
        </w:trPr>
        <w:tc>
          <w:tcPr>
            <w:tcW w:w="1668" w:type="dxa"/>
          </w:tcPr>
          <w:p w14:paraId="7A465A34" w14:textId="602E3E4B" w:rsidR="00AE1259" w:rsidRPr="00AE1259" w:rsidRDefault="00AE1259" w:rsidP="00AE1259">
            <w:pPr>
              <w:ind w:left="0" w:right="0"/>
              <w:rPr>
                <w:sz w:val="20"/>
                <w:szCs w:val="20"/>
              </w:rPr>
            </w:pPr>
            <w:r w:rsidRPr="00AE1259">
              <w:rPr>
                <w:sz w:val="20"/>
                <w:szCs w:val="20"/>
              </w:rPr>
              <w:t>Region</w:t>
            </w:r>
          </w:p>
        </w:tc>
        <w:tc>
          <w:tcPr>
            <w:tcW w:w="1984" w:type="dxa"/>
          </w:tcPr>
          <w:p w14:paraId="77FF6A6F" w14:textId="0FC658CC" w:rsidR="00AE1259" w:rsidRPr="00AE1259" w:rsidRDefault="00AE1259" w:rsidP="00AE1259">
            <w:pPr>
              <w:ind w:left="0" w:right="0"/>
              <w:rPr>
                <w:sz w:val="20"/>
                <w:szCs w:val="20"/>
              </w:rPr>
            </w:pPr>
            <w:r w:rsidRPr="00AE1259">
              <w:rPr>
                <w:sz w:val="20"/>
                <w:szCs w:val="20"/>
              </w:rPr>
              <w:t>Submission date</w:t>
            </w:r>
          </w:p>
        </w:tc>
        <w:tc>
          <w:tcPr>
            <w:tcW w:w="1985" w:type="dxa"/>
          </w:tcPr>
          <w:p w14:paraId="1CA313BF" w14:textId="486B50B7" w:rsidR="00AE1259" w:rsidRPr="00AE1259" w:rsidRDefault="00AE1259" w:rsidP="00AE1259">
            <w:pPr>
              <w:ind w:left="0" w:right="0"/>
              <w:rPr>
                <w:sz w:val="20"/>
                <w:szCs w:val="20"/>
              </w:rPr>
            </w:pPr>
            <w:r w:rsidRPr="00AE1259">
              <w:rPr>
                <w:sz w:val="20"/>
                <w:szCs w:val="20"/>
              </w:rPr>
              <w:t>Status</w:t>
            </w:r>
          </w:p>
        </w:tc>
        <w:tc>
          <w:tcPr>
            <w:tcW w:w="3083" w:type="dxa"/>
          </w:tcPr>
          <w:p w14:paraId="37393DC2" w14:textId="74F5E24A" w:rsidR="00AE1259" w:rsidRPr="00AE1259" w:rsidRDefault="00AE1259" w:rsidP="00AE1259">
            <w:pPr>
              <w:ind w:left="0" w:right="0"/>
              <w:rPr>
                <w:sz w:val="20"/>
                <w:szCs w:val="20"/>
              </w:rPr>
            </w:pPr>
            <w:r w:rsidRPr="00AE1259">
              <w:rPr>
                <w:sz w:val="20"/>
                <w:szCs w:val="20"/>
              </w:rPr>
              <w:t>Approved indications</w:t>
            </w:r>
          </w:p>
        </w:tc>
      </w:tr>
      <w:tr w:rsidR="00AE1259" w:rsidRPr="00AE1259" w14:paraId="3B754703" w14:textId="77777777" w:rsidTr="00D768C3">
        <w:tc>
          <w:tcPr>
            <w:tcW w:w="1668" w:type="dxa"/>
          </w:tcPr>
          <w:p w14:paraId="54ABA6B5" w14:textId="71CF6755" w:rsidR="00AE1259" w:rsidRPr="00AE1259" w:rsidRDefault="00AE1259" w:rsidP="00AE1259">
            <w:pPr>
              <w:ind w:left="0" w:right="0"/>
              <w:rPr>
                <w:sz w:val="20"/>
                <w:szCs w:val="20"/>
              </w:rPr>
            </w:pPr>
            <w:r>
              <w:rPr>
                <w:sz w:val="20"/>
                <w:szCs w:val="20"/>
              </w:rPr>
              <w:t>USA</w:t>
            </w:r>
            <w:r w:rsidR="00821B84">
              <w:rPr>
                <w:sz w:val="20"/>
                <w:szCs w:val="20"/>
              </w:rPr>
              <w:t xml:space="preserve"> (FDA)</w:t>
            </w:r>
          </w:p>
        </w:tc>
        <w:tc>
          <w:tcPr>
            <w:tcW w:w="1984" w:type="dxa"/>
          </w:tcPr>
          <w:p w14:paraId="58274F76" w14:textId="61A864E9" w:rsidR="00AE1259" w:rsidRPr="00AE1259" w:rsidRDefault="00AE1259" w:rsidP="00AE1259">
            <w:pPr>
              <w:ind w:left="0" w:right="0"/>
              <w:rPr>
                <w:sz w:val="20"/>
                <w:szCs w:val="20"/>
              </w:rPr>
            </w:pPr>
            <w:r>
              <w:rPr>
                <w:sz w:val="20"/>
                <w:szCs w:val="20"/>
              </w:rPr>
              <w:t>23 October 2017</w:t>
            </w:r>
          </w:p>
        </w:tc>
        <w:tc>
          <w:tcPr>
            <w:tcW w:w="1985" w:type="dxa"/>
          </w:tcPr>
          <w:p w14:paraId="7720364F" w14:textId="2579F2BF" w:rsidR="00AE1259" w:rsidRPr="00AE1259" w:rsidRDefault="00AE1259" w:rsidP="00AE1259">
            <w:pPr>
              <w:ind w:left="0" w:right="0"/>
              <w:rPr>
                <w:sz w:val="20"/>
                <w:szCs w:val="20"/>
              </w:rPr>
            </w:pPr>
            <w:r>
              <w:rPr>
                <w:sz w:val="20"/>
                <w:szCs w:val="20"/>
              </w:rPr>
              <w:t>Approved 30</w:t>
            </w:r>
            <w:r w:rsidR="00943AC8">
              <w:rPr>
                <w:sz w:val="20"/>
                <w:szCs w:val="20"/>
              </w:rPr>
              <w:t> </w:t>
            </w:r>
            <w:r>
              <w:rPr>
                <w:sz w:val="20"/>
                <w:szCs w:val="20"/>
              </w:rPr>
              <w:t>August</w:t>
            </w:r>
            <w:r w:rsidR="00943AC8">
              <w:rPr>
                <w:sz w:val="20"/>
                <w:szCs w:val="20"/>
              </w:rPr>
              <w:t> </w:t>
            </w:r>
            <w:r>
              <w:rPr>
                <w:sz w:val="20"/>
                <w:szCs w:val="20"/>
              </w:rPr>
              <w:t>2018</w:t>
            </w:r>
          </w:p>
        </w:tc>
        <w:tc>
          <w:tcPr>
            <w:tcW w:w="3083" w:type="dxa"/>
          </w:tcPr>
          <w:p w14:paraId="29D069BD" w14:textId="1B232A04" w:rsidR="00AE1259" w:rsidRPr="00AE1259" w:rsidRDefault="00AE1259" w:rsidP="00AE1259">
            <w:pPr>
              <w:ind w:left="0" w:right="0"/>
              <w:rPr>
                <w:i/>
                <w:sz w:val="20"/>
                <w:szCs w:val="20"/>
              </w:rPr>
            </w:pPr>
            <w:r w:rsidRPr="00AE1259">
              <w:rPr>
                <w:i/>
                <w:sz w:val="20"/>
                <w:szCs w:val="20"/>
              </w:rPr>
              <w:t>Pifeltro, a non-nucleoside reverse transcriptase inhibitor (NNRTI), is indicated in combination with other antiretroviral agents for the treatment of HIV-1 infection in adult patients with no prior antiretroviral treatment history.</w:t>
            </w:r>
          </w:p>
        </w:tc>
      </w:tr>
      <w:tr w:rsidR="00AE1259" w:rsidRPr="00AE1259" w14:paraId="5DE5D19A" w14:textId="77777777" w:rsidTr="00D768C3">
        <w:tc>
          <w:tcPr>
            <w:tcW w:w="1668" w:type="dxa"/>
          </w:tcPr>
          <w:p w14:paraId="1D31FF48" w14:textId="3CBC1F64" w:rsidR="00AE1259" w:rsidRPr="00AE1259" w:rsidRDefault="00AE1259" w:rsidP="00AE1259">
            <w:pPr>
              <w:ind w:left="0" w:right="0"/>
              <w:rPr>
                <w:sz w:val="20"/>
                <w:szCs w:val="20"/>
              </w:rPr>
            </w:pPr>
            <w:r>
              <w:rPr>
                <w:sz w:val="20"/>
                <w:szCs w:val="20"/>
              </w:rPr>
              <w:t>Canada</w:t>
            </w:r>
            <w:r w:rsidR="00821B84">
              <w:rPr>
                <w:sz w:val="20"/>
                <w:szCs w:val="20"/>
              </w:rPr>
              <w:t xml:space="preserve"> (Health Canada)</w:t>
            </w:r>
          </w:p>
        </w:tc>
        <w:tc>
          <w:tcPr>
            <w:tcW w:w="1984" w:type="dxa"/>
          </w:tcPr>
          <w:p w14:paraId="221B21AF" w14:textId="71E10248" w:rsidR="00AE1259" w:rsidRPr="00AE1259" w:rsidRDefault="00AE1259" w:rsidP="00AE1259">
            <w:pPr>
              <w:ind w:left="0" w:right="0"/>
              <w:rPr>
                <w:sz w:val="20"/>
                <w:szCs w:val="20"/>
              </w:rPr>
            </w:pPr>
            <w:r>
              <w:rPr>
                <w:sz w:val="20"/>
                <w:szCs w:val="20"/>
              </w:rPr>
              <w:t>15</w:t>
            </w:r>
            <w:r w:rsidR="00943AC8">
              <w:rPr>
                <w:sz w:val="20"/>
                <w:szCs w:val="20"/>
              </w:rPr>
              <w:t> </w:t>
            </w:r>
            <w:r>
              <w:rPr>
                <w:sz w:val="20"/>
                <w:szCs w:val="20"/>
              </w:rPr>
              <w:t>November</w:t>
            </w:r>
            <w:r w:rsidR="00943AC8">
              <w:rPr>
                <w:sz w:val="20"/>
                <w:szCs w:val="20"/>
              </w:rPr>
              <w:t> </w:t>
            </w:r>
            <w:r>
              <w:rPr>
                <w:sz w:val="20"/>
                <w:szCs w:val="20"/>
              </w:rPr>
              <w:t>2017</w:t>
            </w:r>
          </w:p>
        </w:tc>
        <w:tc>
          <w:tcPr>
            <w:tcW w:w="1985" w:type="dxa"/>
          </w:tcPr>
          <w:p w14:paraId="05E7F6B7" w14:textId="29661CF6" w:rsidR="00AE1259" w:rsidRPr="00AE1259" w:rsidRDefault="00AE1259" w:rsidP="00AE1259">
            <w:pPr>
              <w:ind w:left="0" w:right="0"/>
              <w:rPr>
                <w:sz w:val="20"/>
                <w:szCs w:val="20"/>
              </w:rPr>
            </w:pPr>
            <w:r>
              <w:rPr>
                <w:sz w:val="20"/>
                <w:szCs w:val="20"/>
              </w:rPr>
              <w:t>Approved 11</w:t>
            </w:r>
            <w:r w:rsidR="00943AC8">
              <w:rPr>
                <w:sz w:val="20"/>
                <w:szCs w:val="20"/>
              </w:rPr>
              <w:t> </w:t>
            </w:r>
            <w:r>
              <w:rPr>
                <w:sz w:val="20"/>
                <w:szCs w:val="20"/>
              </w:rPr>
              <w:t>October</w:t>
            </w:r>
            <w:r w:rsidR="00943AC8">
              <w:rPr>
                <w:sz w:val="20"/>
                <w:szCs w:val="20"/>
              </w:rPr>
              <w:t> </w:t>
            </w:r>
            <w:r>
              <w:rPr>
                <w:sz w:val="20"/>
                <w:szCs w:val="20"/>
              </w:rPr>
              <w:t>2018</w:t>
            </w:r>
          </w:p>
        </w:tc>
        <w:tc>
          <w:tcPr>
            <w:tcW w:w="3083" w:type="dxa"/>
          </w:tcPr>
          <w:p w14:paraId="2EF0908A" w14:textId="3F2BE652" w:rsidR="00AE1259" w:rsidRPr="00AE1259" w:rsidRDefault="00AE1259" w:rsidP="00AE1259">
            <w:pPr>
              <w:ind w:left="0" w:right="0"/>
              <w:rPr>
                <w:i/>
                <w:sz w:val="20"/>
                <w:szCs w:val="20"/>
              </w:rPr>
            </w:pPr>
            <w:r w:rsidRPr="00AE1259">
              <w:rPr>
                <w:i/>
                <w:sz w:val="20"/>
                <w:szCs w:val="20"/>
              </w:rPr>
              <w:t>Pifeltro (doravirine) is indicated, in combination with other antiretroviral medicinal products, for the treatment of adults infected with HIV-1 without past or present evidence of viral resistance to doravirine.</w:t>
            </w:r>
          </w:p>
        </w:tc>
      </w:tr>
      <w:tr w:rsidR="00AE1259" w:rsidRPr="00AE1259" w14:paraId="10098B7B" w14:textId="77777777" w:rsidTr="00D768C3">
        <w:trPr>
          <w:cantSplit/>
        </w:trPr>
        <w:tc>
          <w:tcPr>
            <w:tcW w:w="1668" w:type="dxa"/>
          </w:tcPr>
          <w:p w14:paraId="54A6E81F" w14:textId="0103FA0A" w:rsidR="00AE1259" w:rsidRPr="00AE1259" w:rsidRDefault="00AE1259" w:rsidP="00AE1259">
            <w:pPr>
              <w:ind w:left="0" w:right="0"/>
              <w:rPr>
                <w:sz w:val="20"/>
                <w:szCs w:val="20"/>
              </w:rPr>
            </w:pPr>
            <w:r>
              <w:rPr>
                <w:sz w:val="20"/>
                <w:szCs w:val="20"/>
              </w:rPr>
              <w:lastRenderedPageBreak/>
              <w:t>EU (</w:t>
            </w:r>
            <w:r w:rsidR="00821B84">
              <w:rPr>
                <w:sz w:val="20"/>
                <w:szCs w:val="20"/>
              </w:rPr>
              <w:t xml:space="preserve">EMA; </w:t>
            </w:r>
            <w:r>
              <w:rPr>
                <w:sz w:val="20"/>
                <w:szCs w:val="20"/>
              </w:rPr>
              <w:t>Centralised Procedure)</w:t>
            </w:r>
            <w:r w:rsidR="00821B84">
              <w:rPr>
                <w:sz w:val="20"/>
                <w:szCs w:val="20"/>
              </w:rPr>
              <w:t xml:space="preserve"> </w:t>
            </w:r>
            <w:r w:rsidRPr="00AE1259">
              <w:rPr>
                <w:sz w:val="20"/>
                <w:szCs w:val="20"/>
              </w:rPr>
              <w:t>Rapporteur: Sweden</w:t>
            </w:r>
            <w:r w:rsidR="00821B84">
              <w:rPr>
                <w:sz w:val="20"/>
                <w:szCs w:val="20"/>
              </w:rPr>
              <w:t xml:space="preserve">; </w:t>
            </w:r>
            <w:r>
              <w:rPr>
                <w:sz w:val="20"/>
                <w:szCs w:val="20"/>
              </w:rPr>
              <w:t>Co</w:t>
            </w:r>
            <w:r w:rsidR="00821B84">
              <w:rPr>
                <w:sz w:val="20"/>
                <w:szCs w:val="20"/>
              </w:rPr>
              <w:noBreakHyphen/>
            </w:r>
            <w:r>
              <w:rPr>
                <w:sz w:val="20"/>
                <w:szCs w:val="20"/>
              </w:rPr>
              <w:t xml:space="preserve">Rapporteur: </w:t>
            </w:r>
            <w:r w:rsidRPr="00AE1259">
              <w:rPr>
                <w:sz w:val="20"/>
                <w:szCs w:val="20"/>
              </w:rPr>
              <w:t>Netherlands</w:t>
            </w:r>
          </w:p>
        </w:tc>
        <w:tc>
          <w:tcPr>
            <w:tcW w:w="1984" w:type="dxa"/>
          </w:tcPr>
          <w:p w14:paraId="2223CBAC" w14:textId="47E5105E" w:rsidR="00AE1259" w:rsidRPr="00AE1259" w:rsidRDefault="00AE1259" w:rsidP="00AE1259">
            <w:pPr>
              <w:ind w:left="0" w:right="0"/>
              <w:rPr>
                <w:sz w:val="20"/>
                <w:szCs w:val="20"/>
              </w:rPr>
            </w:pPr>
            <w:r>
              <w:rPr>
                <w:sz w:val="20"/>
                <w:szCs w:val="20"/>
              </w:rPr>
              <w:t>3 November 2017</w:t>
            </w:r>
          </w:p>
        </w:tc>
        <w:tc>
          <w:tcPr>
            <w:tcW w:w="1985" w:type="dxa"/>
          </w:tcPr>
          <w:p w14:paraId="52495A3A" w14:textId="0C40E146" w:rsidR="00AE1259" w:rsidRPr="00AE1259" w:rsidRDefault="00AE1259" w:rsidP="00943AC8">
            <w:pPr>
              <w:ind w:left="0" w:right="0"/>
              <w:rPr>
                <w:sz w:val="20"/>
                <w:szCs w:val="20"/>
              </w:rPr>
            </w:pPr>
            <w:r>
              <w:rPr>
                <w:sz w:val="20"/>
                <w:szCs w:val="20"/>
              </w:rPr>
              <w:t>Under consideration. Positive CHMP opinion received 20</w:t>
            </w:r>
            <w:r w:rsidR="00821B84">
              <w:rPr>
                <w:sz w:val="20"/>
                <w:szCs w:val="20"/>
              </w:rPr>
              <w:t> </w:t>
            </w:r>
            <w:r>
              <w:rPr>
                <w:sz w:val="20"/>
                <w:szCs w:val="20"/>
              </w:rPr>
              <w:t>September 2018</w:t>
            </w:r>
          </w:p>
        </w:tc>
        <w:tc>
          <w:tcPr>
            <w:tcW w:w="3083" w:type="dxa"/>
          </w:tcPr>
          <w:p w14:paraId="63174D9E" w14:textId="450D491A" w:rsidR="00AE1259" w:rsidRPr="00AE1259" w:rsidRDefault="00AE1259" w:rsidP="00AE1259">
            <w:pPr>
              <w:ind w:left="0" w:right="0"/>
              <w:rPr>
                <w:sz w:val="20"/>
                <w:szCs w:val="20"/>
              </w:rPr>
            </w:pPr>
            <w:r>
              <w:rPr>
                <w:sz w:val="20"/>
                <w:szCs w:val="20"/>
              </w:rPr>
              <w:t>Under consideration</w:t>
            </w:r>
          </w:p>
        </w:tc>
      </w:tr>
      <w:tr w:rsidR="00AE1259" w:rsidRPr="00AE1259" w14:paraId="42BB6D2F" w14:textId="77777777" w:rsidTr="00D768C3">
        <w:tc>
          <w:tcPr>
            <w:tcW w:w="1668" w:type="dxa"/>
          </w:tcPr>
          <w:p w14:paraId="5938A26F" w14:textId="0BBCA7E7" w:rsidR="00AE1259" w:rsidRPr="00AE1259" w:rsidRDefault="00AE1259" w:rsidP="00AE1259">
            <w:pPr>
              <w:ind w:left="0" w:right="0"/>
              <w:rPr>
                <w:sz w:val="20"/>
                <w:szCs w:val="20"/>
              </w:rPr>
            </w:pPr>
            <w:r>
              <w:rPr>
                <w:sz w:val="20"/>
                <w:szCs w:val="20"/>
              </w:rPr>
              <w:t>Switzerland</w:t>
            </w:r>
            <w:r w:rsidR="00821B84">
              <w:rPr>
                <w:sz w:val="20"/>
                <w:szCs w:val="20"/>
              </w:rPr>
              <w:t xml:space="preserve"> (Swissmedic)</w:t>
            </w:r>
          </w:p>
        </w:tc>
        <w:tc>
          <w:tcPr>
            <w:tcW w:w="1984" w:type="dxa"/>
          </w:tcPr>
          <w:p w14:paraId="6CBC515E" w14:textId="048AB6F2" w:rsidR="00AE1259" w:rsidRPr="00AE1259" w:rsidRDefault="00AE1259" w:rsidP="00AE1259">
            <w:pPr>
              <w:ind w:left="0" w:right="0"/>
              <w:rPr>
                <w:sz w:val="20"/>
                <w:szCs w:val="20"/>
              </w:rPr>
            </w:pPr>
            <w:r>
              <w:rPr>
                <w:sz w:val="20"/>
                <w:szCs w:val="20"/>
              </w:rPr>
              <w:t>1 March 2018</w:t>
            </w:r>
          </w:p>
        </w:tc>
        <w:tc>
          <w:tcPr>
            <w:tcW w:w="1985" w:type="dxa"/>
          </w:tcPr>
          <w:p w14:paraId="0F8A6336" w14:textId="3102747A" w:rsidR="00AE1259" w:rsidRPr="00AE1259" w:rsidRDefault="00AE1259" w:rsidP="00AE1259">
            <w:pPr>
              <w:ind w:left="0" w:right="0"/>
              <w:rPr>
                <w:sz w:val="20"/>
                <w:szCs w:val="20"/>
              </w:rPr>
            </w:pPr>
            <w:r>
              <w:rPr>
                <w:sz w:val="20"/>
                <w:szCs w:val="20"/>
              </w:rPr>
              <w:t>Under consideration</w:t>
            </w:r>
          </w:p>
        </w:tc>
        <w:tc>
          <w:tcPr>
            <w:tcW w:w="3083" w:type="dxa"/>
          </w:tcPr>
          <w:p w14:paraId="4B0CBCFF" w14:textId="38DFE570" w:rsidR="00AE1259" w:rsidRPr="00AE1259" w:rsidRDefault="00AE1259" w:rsidP="00AE1259">
            <w:pPr>
              <w:ind w:left="0" w:right="0"/>
              <w:rPr>
                <w:sz w:val="20"/>
                <w:szCs w:val="20"/>
              </w:rPr>
            </w:pPr>
            <w:r>
              <w:rPr>
                <w:sz w:val="20"/>
                <w:szCs w:val="20"/>
              </w:rPr>
              <w:t>Under consideration</w:t>
            </w:r>
          </w:p>
        </w:tc>
      </w:tr>
    </w:tbl>
    <w:p w14:paraId="0D87D07B" w14:textId="453B3713" w:rsidR="00821B84" w:rsidRDefault="00821B84" w:rsidP="00D768C3">
      <w:pPr>
        <w:pStyle w:val="TableDescription"/>
      </w:pPr>
      <w:r>
        <w:t xml:space="preserve">USA = United States of America; FDA = Food And Drug Administation; EU = European Union; EMA = European Medicines Agency; CHMP = </w:t>
      </w:r>
      <w:r w:rsidRPr="00ED3E05">
        <w:t>Committee for Medicinal Products for Human Use</w:t>
      </w:r>
    </w:p>
    <w:p w14:paraId="4961F8ED" w14:textId="0707CBD9" w:rsidR="005513BE" w:rsidRDefault="005513BE" w:rsidP="00940A89">
      <w:r>
        <w:t>Delstrigo (doravirine/lamivudine/</w:t>
      </w:r>
      <w:r w:rsidRPr="00FD2F83">
        <w:t>tenofovir disoproxil fumarate</w:t>
      </w:r>
      <w:r>
        <w:t>)</w:t>
      </w:r>
      <w:r w:rsidRPr="00FD2F83">
        <w:t xml:space="preserve"> </w:t>
      </w:r>
      <w:r>
        <w:t xml:space="preserve">is considered a new </w:t>
      </w:r>
      <w:r w:rsidRPr="00FD2F83">
        <w:t xml:space="preserve">fixed </w:t>
      </w:r>
      <w:r>
        <w:t>dose combination for Australian regulatory purposes.</w:t>
      </w:r>
    </w:p>
    <w:p w14:paraId="42D2B40F" w14:textId="13AF68DB" w:rsidR="00940A89" w:rsidRDefault="00854C4B" w:rsidP="00940A89">
      <w:r w:rsidRPr="00940A89">
        <w:t xml:space="preserve">At </w:t>
      </w:r>
      <w:r>
        <w:t>the time the TGA considered the Delstrigo</w:t>
      </w:r>
      <w:r w:rsidRPr="00940A89">
        <w:t xml:space="preserve"> application, a similar application had been approved </w:t>
      </w:r>
      <w:r>
        <w:t xml:space="preserve">the </w:t>
      </w:r>
      <w:r w:rsidR="005806AC">
        <w:t>USA</w:t>
      </w:r>
      <w:r>
        <w:t xml:space="preserve"> and Canada and was under consideration in the </w:t>
      </w:r>
      <w:r w:rsidR="005806AC">
        <w:t>EU (</w:t>
      </w:r>
      <w:r>
        <w:t xml:space="preserve">positive opinion received 20 September 2018) and Switzerland, see </w:t>
      </w:r>
      <w:r>
        <w:fldChar w:fldCharType="begin"/>
      </w:r>
      <w:r>
        <w:instrText xml:space="preserve"> REF _Ref31705796 \h </w:instrText>
      </w:r>
      <w:r>
        <w:fldChar w:fldCharType="separate"/>
      </w:r>
      <w:r>
        <w:t xml:space="preserve">Table </w:t>
      </w:r>
      <w:r>
        <w:rPr>
          <w:noProof/>
        </w:rPr>
        <w:t>2</w:t>
      </w:r>
      <w:r>
        <w:fldChar w:fldCharType="end"/>
      </w:r>
      <w:r w:rsidR="00940A89">
        <w:t>.</w:t>
      </w:r>
    </w:p>
    <w:p w14:paraId="59F5C8CB" w14:textId="75121F15" w:rsidR="00AE1259" w:rsidRDefault="00AE1259" w:rsidP="00AE1259">
      <w:pPr>
        <w:pStyle w:val="TableTitle"/>
      </w:pPr>
      <w:bookmarkStart w:id="23" w:name="_Ref31705796"/>
      <w:r>
        <w:t xml:space="preserve">Table </w:t>
      </w:r>
      <w:fldSimple w:instr=" SEQ Table \* ARABIC ">
        <w:r w:rsidR="000644BB">
          <w:rPr>
            <w:noProof/>
          </w:rPr>
          <w:t>2</w:t>
        </w:r>
      </w:fldSimple>
      <w:bookmarkEnd w:id="23"/>
      <w:r>
        <w:t>: International regulatory status of Delstrigo as of November 2018</w:t>
      </w:r>
    </w:p>
    <w:tbl>
      <w:tblPr>
        <w:tblStyle w:val="TableTGAblue"/>
        <w:tblW w:w="0" w:type="auto"/>
        <w:tblLayout w:type="fixed"/>
        <w:tblLook w:val="04A0" w:firstRow="1" w:lastRow="0" w:firstColumn="1" w:lastColumn="0" w:noHBand="0" w:noVBand="1"/>
      </w:tblPr>
      <w:tblGrid>
        <w:gridCol w:w="1668"/>
        <w:gridCol w:w="1984"/>
        <w:gridCol w:w="1985"/>
        <w:gridCol w:w="3083"/>
      </w:tblGrid>
      <w:tr w:rsidR="00AE1259" w:rsidRPr="00AE1259" w14:paraId="7CAA5F3C" w14:textId="77777777" w:rsidTr="00821B84">
        <w:trPr>
          <w:cnfStyle w:val="100000000000" w:firstRow="1" w:lastRow="0" w:firstColumn="0" w:lastColumn="0" w:oddVBand="0" w:evenVBand="0" w:oddHBand="0" w:evenHBand="0" w:firstRowFirstColumn="0" w:firstRowLastColumn="0" w:lastRowFirstColumn="0" w:lastRowLastColumn="0"/>
        </w:trPr>
        <w:tc>
          <w:tcPr>
            <w:tcW w:w="1668" w:type="dxa"/>
          </w:tcPr>
          <w:p w14:paraId="176716C2" w14:textId="77777777" w:rsidR="00AE1259" w:rsidRPr="00AE1259" w:rsidRDefault="00AE1259" w:rsidP="00EE2A6A">
            <w:pPr>
              <w:ind w:left="0" w:right="0"/>
              <w:rPr>
                <w:sz w:val="20"/>
                <w:szCs w:val="20"/>
              </w:rPr>
            </w:pPr>
            <w:r w:rsidRPr="00AE1259">
              <w:rPr>
                <w:sz w:val="20"/>
                <w:szCs w:val="20"/>
              </w:rPr>
              <w:t>Region</w:t>
            </w:r>
          </w:p>
        </w:tc>
        <w:tc>
          <w:tcPr>
            <w:tcW w:w="1984" w:type="dxa"/>
          </w:tcPr>
          <w:p w14:paraId="68E0DB8D" w14:textId="77777777" w:rsidR="00AE1259" w:rsidRPr="00AE1259" w:rsidRDefault="00AE1259" w:rsidP="00EE2A6A">
            <w:pPr>
              <w:ind w:left="0" w:right="0"/>
              <w:rPr>
                <w:sz w:val="20"/>
                <w:szCs w:val="20"/>
              </w:rPr>
            </w:pPr>
            <w:r w:rsidRPr="00AE1259">
              <w:rPr>
                <w:sz w:val="20"/>
                <w:szCs w:val="20"/>
              </w:rPr>
              <w:t>Submission date</w:t>
            </w:r>
          </w:p>
        </w:tc>
        <w:tc>
          <w:tcPr>
            <w:tcW w:w="1985" w:type="dxa"/>
          </w:tcPr>
          <w:p w14:paraId="1553B094" w14:textId="77777777" w:rsidR="00AE1259" w:rsidRPr="00AE1259" w:rsidRDefault="00AE1259" w:rsidP="00EE2A6A">
            <w:pPr>
              <w:ind w:left="0" w:right="0"/>
              <w:rPr>
                <w:sz w:val="20"/>
                <w:szCs w:val="20"/>
              </w:rPr>
            </w:pPr>
            <w:r w:rsidRPr="00AE1259">
              <w:rPr>
                <w:sz w:val="20"/>
                <w:szCs w:val="20"/>
              </w:rPr>
              <w:t>Status</w:t>
            </w:r>
          </w:p>
        </w:tc>
        <w:tc>
          <w:tcPr>
            <w:tcW w:w="3083" w:type="dxa"/>
          </w:tcPr>
          <w:p w14:paraId="46A9D703" w14:textId="77777777" w:rsidR="00AE1259" w:rsidRPr="00AE1259" w:rsidRDefault="00AE1259" w:rsidP="00EE2A6A">
            <w:pPr>
              <w:ind w:left="0" w:right="0"/>
              <w:rPr>
                <w:sz w:val="20"/>
                <w:szCs w:val="20"/>
              </w:rPr>
            </w:pPr>
            <w:r w:rsidRPr="00AE1259">
              <w:rPr>
                <w:sz w:val="20"/>
                <w:szCs w:val="20"/>
              </w:rPr>
              <w:t>Approved indications</w:t>
            </w:r>
          </w:p>
        </w:tc>
      </w:tr>
      <w:tr w:rsidR="00EE2A6A" w:rsidRPr="00AE1259" w14:paraId="3577439A" w14:textId="77777777" w:rsidTr="00821B84">
        <w:tc>
          <w:tcPr>
            <w:tcW w:w="1668" w:type="dxa"/>
          </w:tcPr>
          <w:p w14:paraId="2F147623" w14:textId="5F81EDC8" w:rsidR="00AE1259" w:rsidRPr="00AE1259" w:rsidRDefault="00AE1259" w:rsidP="00EE2A6A">
            <w:pPr>
              <w:ind w:left="0" w:right="0"/>
              <w:rPr>
                <w:sz w:val="20"/>
                <w:szCs w:val="20"/>
              </w:rPr>
            </w:pPr>
            <w:r>
              <w:rPr>
                <w:sz w:val="20"/>
                <w:szCs w:val="20"/>
              </w:rPr>
              <w:t>USA</w:t>
            </w:r>
            <w:r w:rsidR="00821B84">
              <w:rPr>
                <w:sz w:val="20"/>
                <w:szCs w:val="20"/>
              </w:rPr>
              <w:t xml:space="preserve"> (FDA)</w:t>
            </w:r>
          </w:p>
        </w:tc>
        <w:tc>
          <w:tcPr>
            <w:tcW w:w="1984" w:type="dxa"/>
          </w:tcPr>
          <w:p w14:paraId="3F04E193" w14:textId="7073915E" w:rsidR="00AE1259" w:rsidRPr="00AE1259" w:rsidRDefault="00AE1259" w:rsidP="00EE2A6A">
            <w:pPr>
              <w:ind w:left="0" w:right="0"/>
              <w:rPr>
                <w:sz w:val="20"/>
                <w:szCs w:val="20"/>
              </w:rPr>
            </w:pPr>
            <w:r>
              <w:rPr>
                <w:sz w:val="20"/>
                <w:szCs w:val="20"/>
              </w:rPr>
              <w:t>23 October 2017</w:t>
            </w:r>
          </w:p>
        </w:tc>
        <w:tc>
          <w:tcPr>
            <w:tcW w:w="1985" w:type="dxa"/>
          </w:tcPr>
          <w:p w14:paraId="394E9B78" w14:textId="09BDA208" w:rsidR="00AE1259" w:rsidRPr="00AE1259" w:rsidRDefault="00AE1259" w:rsidP="00EE2A6A">
            <w:pPr>
              <w:ind w:left="0" w:right="0"/>
              <w:rPr>
                <w:sz w:val="20"/>
                <w:szCs w:val="20"/>
              </w:rPr>
            </w:pPr>
            <w:r>
              <w:rPr>
                <w:sz w:val="20"/>
                <w:szCs w:val="20"/>
              </w:rPr>
              <w:t>Approved 30</w:t>
            </w:r>
            <w:r w:rsidR="00821B84">
              <w:rPr>
                <w:sz w:val="20"/>
                <w:szCs w:val="20"/>
              </w:rPr>
              <w:t> </w:t>
            </w:r>
            <w:r>
              <w:rPr>
                <w:sz w:val="20"/>
                <w:szCs w:val="20"/>
              </w:rPr>
              <w:t>August 2018</w:t>
            </w:r>
          </w:p>
        </w:tc>
        <w:tc>
          <w:tcPr>
            <w:tcW w:w="3083" w:type="dxa"/>
          </w:tcPr>
          <w:p w14:paraId="17AF26FC" w14:textId="6750FF2B" w:rsidR="00AE1259" w:rsidRPr="005806AC" w:rsidRDefault="00AE1259" w:rsidP="00EE2A6A">
            <w:pPr>
              <w:ind w:left="0" w:right="0"/>
              <w:rPr>
                <w:i/>
                <w:sz w:val="20"/>
                <w:szCs w:val="20"/>
              </w:rPr>
            </w:pPr>
            <w:r w:rsidRPr="005806AC">
              <w:rPr>
                <w:i/>
                <w:sz w:val="20"/>
                <w:szCs w:val="20"/>
              </w:rPr>
              <w:t>Delstrigo is a three-drug combination of doravirine (a nonnucleoside reverse transcriptase inh</w:t>
            </w:r>
            <w:r w:rsidR="005806AC" w:rsidRPr="005806AC">
              <w:rPr>
                <w:i/>
                <w:sz w:val="20"/>
                <w:szCs w:val="20"/>
              </w:rPr>
              <w:t>ibitor (NNRTI)</w:t>
            </w:r>
            <w:r w:rsidRPr="005806AC">
              <w:rPr>
                <w:i/>
                <w:sz w:val="20"/>
                <w:szCs w:val="20"/>
              </w:rPr>
              <w:t>), lamivudine, and tenofovir disoproxil fumarate (both nucleoside analogue reverse transcriptase inhibitors) and is indicated as a complete regimen for the treatment of HIV-1 infection in adult patients with no antiretroviral treatment history.</w:t>
            </w:r>
          </w:p>
        </w:tc>
      </w:tr>
      <w:tr w:rsidR="00EE2A6A" w:rsidRPr="00AE1259" w14:paraId="03F44C57" w14:textId="77777777" w:rsidTr="00821B84">
        <w:tc>
          <w:tcPr>
            <w:tcW w:w="1668" w:type="dxa"/>
          </w:tcPr>
          <w:p w14:paraId="3B692B4F" w14:textId="5A4F9134" w:rsidR="00AE1259" w:rsidRPr="00AE1259" w:rsidRDefault="00AE1259" w:rsidP="00EE2A6A">
            <w:pPr>
              <w:ind w:left="0" w:right="0"/>
              <w:rPr>
                <w:sz w:val="20"/>
                <w:szCs w:val="20"/>
              </w:rPr>
            </w:pPr>
            <w:r>
              <w:rPr>
                <w:sz w:val="20"/>
                <w:szCs w:val="20"/>
              </w:rPr>
              <w:t>Canada</w:t>
            </w:r>
            <w:r w:rsidR="00821B84">
              <w:rPr>
                <w:sz w:val="20"/>
                <w:szCs w:val="20"/>
              </w:rPr>
              <w:t xml:space="preserve"> (Health Canada)</w:t>
            </w:r>
          </w:p>
        </w:tc>
        <w:tc>
          <w:tcPr>
            <w:tcW w:w="1984" w:type="dxa"/>
          </w:tcPr>
          <w:p w14:paraId="4CAF50A9" w14:textId="568539B6" w:rsidR="00AE1259" w:rsidRPr="00AE1259" w:rsidRDefault="00AE1259" w:rsidP="00EE2A6A">
            <w:pPr>
              <w:ind w:left="0" w:right="0"/>
              <w:rPr>
                <w:sz w:val="20"/>
                <w:szCs w:val="20"/>
              </w:rPr>
            </w:pPr>
            <w:r>
              <w:rPr>
                <w:sz w:val="20"/>
                <w:szCs w:val="20"/>
              </w:rPr>
              <w:t>29 November 2017</w:t>
            </w:r>
          </w:p>
        </w:tc>
        <w:tc>
          <w:tcPr>
            <w:tcW w:w="1985" w:type="dxa"/>
          </w:tcPr>
          <w:p w14:paraId="7CB650DD" w14:textId="1A085767" w:rsidR="00AE1259" w:rsidRPr="00AE1259" w:rsidRDefault="00AE1259" w:rsidP="00EE2A6A">
            <w:pPr>
              <w:ind w:left="0" w:right="0"/>
              <w:rPr>
                <w:sz w:val="20"/>
                <w:szCs w:val="20"/>
              </w:rPr>
            </w:pPr>
            <w:r>
              <w:rPr>
                <w:sz w:val="20"/>
                <w:szCs w:val="20"/>
              </w:rPr>
              <w:t>Approved 9</w:t>
            </w:r>
            <w:r w:rsidR="00821B84">
              <w:rPr>
                <w:sz w:val="20"/>
                <w:szCs w:val="20"/>
              </w:rPr>
              <w:t> </w:t>
            </w:r>
            <w:r>
              <w:rPr>
                <w:sz w:val="20"/>
                <w:szCs w:val="20"/>
              </w:rPr>
              <w:t>November</w:t>
            </w:r>
            <w:r w:rsidR="00821B84">
              <w:rPr>
                <w:sz w:val="20"/>
                <w:szCs w:val="20"/>
              </w:rPr>
              <w:t> </w:t>
            </w:r>
            <w:r>
              <w:rPr>
                <w:sz w:val="20"/>
                <w:szCs w:val="20"/>
              </w:rPr>
              <w:t>2018</w:t>
            </w:r>
          </w:p>
        </w:tc>
        <w:tc>
          <w:tcPr>
            <w:tcW w:w="3083" w:type="dxa"/>
          </w:tcPr>
          <w:p w14:paraId="79491695" w14:textId="654B33B3" w:rsidR="00AE1259" w:rsidRPr="005806AC" w:rsidRDefault="00AE1259" w:rsidP="00EE2A6A">
            <w:pPr>
              <w:ind w:left="0" w:right="0"/>
              <w:rPr>
                <w:i/>
                <w:sz w:val="20"/>
                <w:szCs w:val="20"/>
              </w:rPr>
            </w:pPr>
            <w:r w:rsidRPr="005806AC">
              <w:rPr>
                <w:i/>
                <w:sz w:val="20"/>
                <w:szCs w:val="20"/>
              </w:rPr>
              <w:t>Delstrigo (doravirine/lamivudine/tenofovir disoproxil fumarate) is indicated as a complete regimen for the treatment of human immunodeficiency virus-1 (HIV-1) infection in adults without past or present evidence of viral resistance to doravirine, lamivudine, or tenofovir.</w:t>
            </w:r>
          </w:p>
        </w:tc>
      </w:tr>
      <w:tr w:rsidR="00EE2A6A" w:rsidRPr="00AE1259" w14:paraId="6477686B" w14:textId="77777777" w:rsidTr="00821B84">
        <w:tc>
          <w:tcPr>
            <w:tcW w:w="1668" w:type="dxa"/>
          </w:tcPr>
          <w:p w14:paraId="4E2162F9" w14:textId="05243D47" w:rsidR="00AE1259" w:rsidRPr="00AE1259" w:rsidRDefault="00AE1259" w:rsidP="00821B84">
            <w:pPr>
              <w:ind w:left="0" w:right="0"/>
              <w:rPr>
                <w:sz w:val="20"/>
                <w:szCs w:val="20"/>
              </w:rPr>
            </w:pPr>
            <w:r>
              <w:rPr>
                <w:sz w:val="20"/>
                <w:szCs w:val="20"/>
              </w:rPr>
              <w:t>EU (</w:t>
            </w:r>
            <w:r w:rsidR="00821B84">
              <w:rPr>
                <w:sz w:val="20"/>
                <w:szCs w:val="20"/>
              </w:rPr>
              <w:t xml:space="preserve">EMA, </w:t>
            </w:r>
            <w:r>
              <w:rPr>
                <w:sz w:val="20"/>
                <w:szCs w:val="20"/>
              </w:rPr>
              <w:t>Centralised Procedure)</w:t>
            </w:r>
            <w:r w:rsidR="00821B84">
              <w:rPr>
                <w:sz w:val="20"/>
                <w:szCs w:val="20"/>
              </w:rPr>
              <w:t xml:space="preserve">; </w:t>
            </w:r>
            <w:r w:rsidRPr="00AE1259">
              <w:rPr>
                <w:sz w:val="20"/>
                <w:szCs w:val="20"/>
              </w:rPr>
              <w:t>Rapporteur: Sweden</w:t>
            </w:r>
            <w:r w:rsidR="00821B84">
              <w:rPr>
                <w:sz w:val="20"/>
                <w:szCs w:val="20"/>
              </w:rPr>
              <w:t xml:space="preserve">; </w:t>
            </w:r>
            <w:r>
              <w:rPr>
                <w:sz w:val="20"/>
                <w:szCs w:val="20"/>
              </w:rPr>
              <w:t>Co</w:t>
            </w:r>
            <w:r w:rsidR="00821B84">
              <w:rPr>
                <w:sz w:val="20"/>
                <w:szCs w:val="20"/>
              </w:rPr>
              <w:noBreakHyphen/>
            </w:r>
            <w:r>
              <w:rPr>
                <w:sz w:val="20"/>
                <w:szCs w:val="20"/>
              </w:rPr>
              <w:t xml:space="preserve">Rapporteur: </w:t>
            </w:r>
            <w:r w:rsidRPr="00AE1259">
              <w:rPr>
                <w:sz w:val="20"/>
                <w:szCs w:val="20"/>
              </w:rPr>
              <w:t>Netherlands</w:t>
            </w:r>
          </w:p>
        </w:tc>
        <w:tc>
          <w:tcPr>
            <w:tcW w:w="1984" w:type="dxa"/>
          </w:tcPr>
          <w:p w14:paraId="71DEBB3A" w14:textId="5CDFBD09" w:rsidR="00AE1259" w:rsidRPr="00AE1259" w:rsidRDefault="00AE1259" w:rsidP="00EE2A6A">
            <w:pPr>
              <w:ind w:left="0" w:right="0"/>
              <w:rPr>
                <w:sz w:val="20"/>
                <w:szCs w:val="20"/>
              </w:rPr>
            </w:pPr>
            <w:r>
              <w:rPr>
                <w:sz w:val="20"/>
                <w:szCs w:val="20"/>
              </w:rPr>
              <w:t>3 November 2017</w:t>
            </w:r>
          </w:p>
        </w:tc>
        <w:tc>
          <w:tcPr>
            <w:tcW w:w="1985" w:type="dxa"/>
          </w:tcPr>
          <w:p w14:paraId="08C198EF" w14:textId="16F241B2" w:rsidR="00AE1259" w:rsidRPr="00AE1259" w:rsidRDefault="00AE1259" w:rsidP="00EE2A6A">
            <w:pPr>
              <w:ind w:left="0" w:right="0"/>
              <w:rPr>
                <w:sz w:val="20"/>
                <w:szCs w:val="20"/>
              </w:rPr>
            </w:pPr>
            <w:r>
              <w:rPr>
                <w:sz w:val="20"/>
                <w:szCs w:val="20"/>
              </w:rPr>
              <w:t>Under consideration. Positive CHMP opinion received 20</w:t>
            </w:r>
            <w:r w:rsidR="00821B84">
              <w:rPr>
                <w:sz w:val="20"/>
                <w:szCs w:val="20"/>
              </w:rPr>
              <w:t> </w:t>
            </w:r>
            <w:r>
              <w:rPr>
                <w:sz w:val="20"/>
                <w:szCs w:val="20"/>
              </w:rPr>
              <w:t>September 2018.</w:t>
            </w:r>
          </w:p>
        </w:tc>
        <w:tc>
          <w:tcPr>
            <w:tcW w:w="3083" w:type="dxa"/>
          </w:tcPr>
          <w:p w14:paraId="0614BBDB" w14:textId="0A7383A4" w:rsidR="00AE1259" w:rsidRPr="00AE1259" w:rsidRDefault="00AE1259" w:rsidP="00EE2A6A">
            <w:pPr>
              <w:ind w:left="0" w:right="0"/>
              <w:rPr>
                <w:sz w:val="20"/>
                <w:szCs w:val="20"/>
              </w:rPr>
            </w:pPr>
            <w:r>
              <w:rPr>
                <w:sz w:val="20"/>
                <w:szCs w:val="20"/>
              </w:rPr>
              <w:t>Under consideration</w:t>
            </w:r>
          </w:p>
        </w:tc>
      </w:tr>
      <w:tr w:rsidR="00EE2A6A" w:rsidRPr="00AE1259" w14:paraId="6A5C7AD6" w14:textId="77777777" w:rsidTr="00821B84">
        <w:tc>
          <w:tcPr>
            <w:tcW w:w="1668" w:type="dxa"/>
          </w:tcPr>
          <w:p w14:paraId="53EDC2FC" w14:textId="39824B83" w:rsidR="00AE1259" w:rsidRPr="00AE1259" w:rsidRDefault="00EE2A6A" w:rsidP="00EE2A6A">
            <w:pPr>
              <w:ind w:left="0" w:right="0"/>
              <w:rPr>
                <w:sz w:val="20"/>
                <w:szCs w:val="20"/>
              </w:rPr>
            </w:pPr>
            <w:r>
              <w:rPr>
                <w:sz w:val="20"/>
                <w:szCs w:val="20"/>
              </w:rPr>
              <w:lastRenderedPageBreak/>
              <w:t>Switzerland</w:t>
            </w:r>
            <w:r w:rsidR="00821B84">
              <w:rPr>
                <w:sz w:val="20"/>
                <w:szCs w:val="20"/>
              </w:rPr>
              <w:t xml:space="preserve"> (Swissmedic)</w:t>
            </w:r>
          </w:p>
        </w:tc>
        <w:tc>
          <w:tcPr>
            <w:tcW w:w="1984" w:type="dxa"/>
          </w:tcPr>
          <w:p w14:paraId="635E2FE3" w14:textId="55F7F259" w:rsidR="00AE1259" w:rsidRPr="00AE1259" w:rsidRDefault="00EE2A6A" w:rsidP="00EE2A6A">
            <w:pPr>
              <w:ind w:left="0" w:right="0"/>
              <w:rPr>
                <w:sz w:val="20"/>
                <w:szCs w:val="20"/>
              </w:rPr>
            </w:pPr>
            <w:r>
              <w:rPr>
                <w:sz w:val="20"/>
                <w:szCs w:val="20"/>
              </w:rPr>
              <w:t>28 February 2018</w:t>
            </w:r>
          </w:p>
        </w:tc>
        <w:tc>
          <w:tcPr>
            <w:tcW w:w="1985" w:type="dxa"/>
          </w:tcPr>
          <w:p w14:paraId="2F5FF859" w14:textId="1ABC38E5" w:rsidR="00AE1259" w:rsidRPr="00AE1259" w:rsidRDefault="00EE2A6A" w:rsidP="00EE2A6A">
            <w:pPr>
              <w:ind w:left="0" w:right="0"/>
              <w:rPr>
                <w:sz w:val="20"/>
                <w:szCs w:val="20"/>
              </w:rPr>
            </w:pPr>
            <w:r>
              <w:rPr>
                <w:sz w:val="20"/>
                <w:szCs w:val="20"/>
              </w:rPr>
              <w:t>Under consideration</w:t>
            </w:r>
          </w:p>
        </w:tc>
        <w:tc>
          <w:tcPr>
            <w:tcW w:w="3083" w:type="dxa"/>
          </w:tcPr>
          <w:p w14:paraId="0FC742DB" w14:textId="6C87E835" w:rsidR="00AE1259" w:rsidRPr="00AE1259" w:rsidRDefault="00EE2A6A" w:rsidP="00EE2A6A">
            <w:pPr>
              <w:ind w:left="0" w:right="0"/>
              <w:rPr>
                <w:sz w:val="20"/>
                <w:szCs w:val="20"/>
              </w:rPr>
            </w:pPr>
            <w:r>
              <w:rPr>
                <w:sz w:val="20"/>
                <w:szCs w:val="20"/>
              </w:rPr>
              <w:t>Under consideration</w:t>
            </w:r>
          </w:p>
        </w:tc>
      </w:tr>
    </w:tbl>
    <w:p w14:paraId="54F5EB6C" w14:textId="5DF941E4" w:rsidR="00821B84" w:rsidRDefault="00821B84" w:rsidP="00D768C3">
      <w:pPr>
        <w:pStyle w:val="TableDescription"/>
      </w:pPr>
      <w:r>
        <w:t xml:space="preserve">USA = United States of America; FDA = Food And Drug Administation; EU = European Union; EMA = European Medicines Agency; CHMP = </w:t>
      </w:r>
      <w:r w:rsidRPr="00ED3E05">
        <w:t>Committee for Medicinal Products for Human Use</w:t>
      </w:r>
    </w:p>
    <w:p w14:paraId="7CB1F32D" w14:textId="52267D58" w:rsidR="008E7846" w:rsidRDefault="008E7846" w:rsidP="00940A89">
      <w:pPr>
        <w:pStyle w:val="Heading3"/>
      </w:pPr>
      <w:bookmarkStart w:id="24" w:name="_Toc35259363"/>
      <w:r>
        <w:t>Product Information</w:t>
      </w:r>
      <w:bookmarkEnd w:id="20"/>
      <w:bookmarkEnd w:id="21"/>
      <w:bookmarkEnd w:id="24"/>
    </w:p>
    <w:p w14:paraId="51CB0267" w14:textId="5664987C" w:rsidR="00940A89" w:rsidRDefault="006136D7" w:rsidP="00940A89">
      <w:bookmarkStart w:id="25" w:name="_Toc247691506"/>
      <w:bookmarkStart w:id="26" w:name="_Toc314842487"/>
      <w:r w:rsidRPr="00940A89">
        <w:t xml:space="preserve">The Product Information (PI) </w:t>
      </w:r>
      <w:r w:rsidR="009A17DA">
        <w:t xml:space="preserve">documents </w:t>
      </w:r>
      <w:r>
        <w:t>approved with the submission</w:t>
      </w:r>
      <w:r w:rsidR="00EE2A6A">
        <w:t>s</w:t>
      </w:r>
      <w:r>
        <w:t xml:space="preserve"> described in </w:t>
      </w:r>
      <w:r w:rsidRPr="00940A89">
        <w:t>this AusPAR can be found as Attachment</w:t>
      </w:r>
      <w:r w:rsidR="00EE2A6A">
        <w:t>s</w:t>
      </w:r>
      <w:r w:rsidRPr="00940A89">
        <w:t xml:space="preserve"> 1</w:t>
      </w:r>
      <w:r w:rsidR="009A17DA">
        <w:t xml:space="preserve"> and 2</w:t>
      </w:r>
      <w:r w:rsidRPr="00940A89">
        <w:t xml:space="preserve">. For the most recent </w:t>
      </w:r>
      <w:r>
        <w:t>PI</w:t>
      </w:r>
      <w:r w:rsidR="00BA5B1E">
        <w:t xml:space="preserve"> documents</w:t>
      </w:r>
      <w:r>
        <w:t>,</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74280966" w14:textId="74ACA905" w:rsidR="00500337" w:rsidRDefault="009A17DA" w:rsidP="00500337">
      <w:pPr>
        <w:pStyle w:val="Heading2"/>
      </w:pPr>
      <w:bookmarkStart w:id="27" w:name="_Toc504480011"/>
      <w:bookmarkStart w:id="28" w:name="_Toc35259364"/>
      <w:r>
        <w:t>II. Registration time</w:t>
      </w:r>
      <w:r w:rsidR="00500337">
        <w:t>line</w:t>
      </w:r>
      <w:bookmarkEnd w:id="27"/>
      <w:bookmarkEnd w:id="28"/>
    </w:p>
    <w:p w14:paraId="3EFD820B" w14:textId="4981EFAE" w:rsidR="00500337" w:rsidRDefault="00500337" w:rsidP="00500337">
      <w:r>
        <w:t>The following table</w:t>
      </w:r>
      <w:r w:rsidR="00EE2A6A">
        <w:t>s capture</w:t>
      </w:r>
      <w:r>
        <w:t xml:space="preserve"> </w:t>
      </w:r>
      <w:r w:rsidR="00EE2A6A">
        <w:t>the key steps and dates for the</w:t>
      </w:r>
      <w:r>
        <w:t xml:space="preserve"> application</w:t>
      </w:r>
      <w:r w:rsidR="00EE2A6A">
        <w:t>s</w:t>
      </w:r>
      <w:r>
        <w:t xml:space="preserve"> and which are detailed and discussed in this AusPAR.</w:t>
      </w:r>
    </w:p>
    <w:p w14:paraId="671381D6" w14:textId="216638E3" w:rsidR="00500337" w:rsidRPr="00377BD4" w:rsidRDefault="00EE2A6A" w:rsidP="00EE2A6A">
      <w:pPr>
        <w:pStyle w:val="TableTitle"/>
      </w:pPr>
      <w:r>
        <w:t xml:space="preserve">Table </w:t>
      </w:r>
      <w:fldSimple w:instr=" SEQ Table \* ARABIC ">
        <w:r w:rsidR="000644BB">
          <w:rPr>
            <w:noProof/>
          </w:rPr>
          <w:t>3</w:t>
        </w:r>
      </w:fldSimple>
      <w:r>
        <w:t xml:space="preserve">: </w:t>
      </w:r>
      <w:r w:rsidR="006A58A8" w:rsidRPr="006A58A8">
        <w:t xml:space="preserve">Timeline for Submission </w:t>
      </w:r>
      <w:r w:rsidRPr="00371085">
        <w:t>PM-2017-04580-1-2</w:t>
      </w:r>
      <w:r w:rsidR="00BA5B1E">
        <w:t xml:space="preserve"> (Pifeltro)</w:t>
      </w:r>
    </w:p>
    <w:tbl>
      <w:tblPr>
        <w:tblStyle w:val="TableTGAblue"/>
        <w:tblW w:w="0" w:type="auto"/>
        <w:tblLook w:val="04A0" w:firstRow="1" w:lastRow="0" w:firstColumn="1" w:lastColumn="0" w:noHBand="0" w:noVBand="1"/>
      </w:tblPr>
      <w:tblGrid>
        <w:gridCol w:w="4360"/>
        <w:gridCol w:w="4360"/>
      </w:tblGrid>
      <w:tr w:rsidR="00500337" w14:paraId="783F3396"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7268DF6E" w14:textId="77777777" w:rsidR="00500337" w:rsidRDefault="00500337" w:rsidP="00500337">
            <w:pPr>
              <w:ind w:left="0" w:right="0"/>
            </w:pPr>
            <w:r>
              <w:t>Description</w:t>
            </w:r>
          </w:p>
        </w:tc>
        <w:tc>
          <w:tcPr>
            <w:tcW w:w="4360" w:type="dxa"/>
          </w:tcPr>
          <w:p w14:paraId="3C50865B" w14:textId="77777777" w:rsidR="00500337" w:rsidRDefault="00500337" w:rsidP="00500337">
            <w:pPr>
              <w:ind w:left="0" w:right="0"/>
            </w:pPr>
            <w:r>
              <w:t>Date</w:t>
            </w:r>
          </w:p>
        </w:tc>
      </w:tr>
      <w:tr w:rsidR="00500337" w14:paraId="2B18D95B" w14:textId="77777777" w:rsidTr="00500337">
        <w:tc>
          <w:tcPr>
            <w:tcW w:w="4360" w:type="dxa"/>
          </w:tcPr>
          <w:p w14:paraId="2BAAFC3A" w14:textId="77777777" w:rsidR="00500337" w:rsidRDefault="00500337" w:rsidP="00500337">
            <w:pPr>
              <w:ind w:left="0" w:right="0"/>
            </w:pPr>
            <w:r>
              <w:t>Submission dossier accepted and first round evaluation commenced</w:t>
            </w:r>
          </w:p>
        </w:tc>
        <w:tc>
          <w:tcPr>
            <w:tcW w:w="4360" w:type="dxa"/>
          </w:tcPr>
          <w:p w14:paraId="599B04ED" w14:textId="58045A27" w:rsidR="00500337" w:rsidRDefault="00D45C44" w:rsidP="00500337">
            <w:pPr>
              <w:ind w:left="0" w:right="0"/>
            </w:pPr>
            <w:r>
              <w:t>31 January 2018</w:t>
            </w:r>
          </w:p>
        </w:tc>
      </w:tr>
      <w:tr w:rsidR="00500337" w14:paraId="20FFD95D" w14:textId="77777777" w:rsidTr="00500337">
        <w:tc>
          <w:tcPr>
            <w:tcW w:w="4360" w:type="dxa"/>
          </w:tcPr>
          <w:p w14:paraId="7357490E" w14:textId="77777777" w:rsidR="00500337" w:rsidRDefault="00500337" w:rsidP="00500337">
            <w:pPr>
              <w:ind w:left="0" w:right="0"/>
            </w:pPr>
            <w:r>
              <w:t>First round evaluation completed</w:t>
            </w:r>
          </w:p>
        </w:tc>
        <w:tc>
          <w:tcPr>
            <w:tcW w:w="4360" w:type="dxa"/>
          </w:tcPr>
          <w:p w14:paraId="769A857C" w14:textId="5103395E" w:rsidR="00500337" w:rsidRDefault="00D45C44" w:rsidP="00500337">
            <w:pPr>
              <w:ind w:left="0" w:right="0"/>
            </w:pPr>
            <w:r>
              <w:t>15 August 2018</w:t>
            </w:r>
          </w:p>
        </w:tc>
      </w:tr>
      <w:tr w:rsidR="00500337" w14:paraId="64CF41DD" w14:textId="77777777" w:rsidTr="00500337">
        <w:tc>
          <w:tcPr>
            <w:tcW w:w="4360" w:type="dxa"/>
          </w:tcPr>
          <w:p w14:paraId="12428D3E" w14:textId="77777777" w:rsidR="00500337" w:rsidRDefault="00500337" w:rsidP="00500337">
            <w:pPr>
              <w:ind w:left="0" w:right="0"/>
            </w:pPr>
            <w:r>
              <w:t>Sponsor provides responses on questions raised in first round evaluation</w:t>
            </w:r>
          </w:p>
        </w:tc>
        <w:tc>
          <w:tcPr>
            <w:tcW w:w="4360" w:type="dxa"/>
          </w:tcPr>
          <w:p w14:paraId="1E314FCE" w14:textId="0275ACFF" w:rsidR="00500337" w:rsidRDefault="00D45C44" w:rsidP="00500337">
            <w:pPr>
              <w:ind w:left="0" w:right="0"/>
            </w:pPr>
            <w:r>
              <w:t>17 October 2018</w:t>
            </w:r>
          </w:p>
        </w:tc>
      </w:tr>
      <w:tr w:rsidR="00500337" w14:paraId="0599ACEA" w14:textId="77777777" w:rsidTr="00500337">
        <w:tc>
          <w:tcPr>
            <w:tcW w:w="4360" w:type="dxa"/>
          </w:tcPr>
          <w:p w14:paraId="7E1EA5AE" w14:textId="77777777" w:rsidR="00500337" w:rsidRDefault="00500337" w:rsidP="00500337">
            <w:pPr>
              <w:ind w:left="0" w:right="0"/>
            </w:pPr>
            <w:r>
              <w:t>Second round evaluation completed</w:t>
            </w:r>
          </w:p>
        </w:tc>
        <w:tc>
          <w:tcPr>
            <w:tcW w:w="4360" w:type="dxa"/>
          </w:tcPr>
          <w:p w14:paraId="78C701B6" w14:textId="3DF5A3F0" w:rsidR="00500337" w:rsidRDefault="00D45C44" w:rsidP="00500337">
            <w:pPr>
              <w:ind w:left="0" w:right="0"/>
            </w:pPr>
            <w:r>
              <w:t>31 October 2018</w:t>
            </w:r>
          </w:p>
        </w:tc>
      </w:tr>
      <w:tr w:rsidR="00500337" w14:paraId="02CA0033" w14:textId="77777777" w:rsidTr="00500337">
        <w:tc>
          <w:tcPr>
            <w:tcW w:w="4360" w:type="dxa"/>
          </w:tcPr>
          <w:p w14:paraId="738B41FB" w14:textId="77777777" w:rsidR="00500337" w:rsidRDefault="00500337" w:rsidP="00500337">
            <w:pPr>
              <w:ind w:left="0" w:right="0"/>
            </w:pPr>
            <w:r>
              <w:t>Delegate’s Overall benefit-risk assessment and request for Advisory Committee advice</w:t>
            </w:r>
          </w:p>
        </w:tc>
        <w:tc>
          <w:tcPr>
            <w:tcW w:w="4360" w:type="dxa"/>
          </w:tcPr>
          <w:p w14:paraId="406F2422" w14:textId="0FB06EB6" w:rsidR="00500337" w:rsidRDefault="00D45C44" w:rsidP="00500337">
            <w:pPr>
              <w:ind w:left="0" w:right="0"/>
            </w:pPr>
            <w:r>
              <w:t>6 November 2018</w:t>
            </w:r>
          </w:p>
        </w:tc>
      </w:tr>
      <w:tr w:rsidR="00500337" w14:paraId="177FA957" w14:textId="77777777" w:rsidTr="00500337">
        <w:tc>
          <w:tcPr>
            <w:tcW w:w="4360" w:type="dxa"/>
          </w:tcPr>
          <w:p w14:paraId="1A7661D2" w14:textId="77777777" w:rsidR="00500337" w:rsidRDefault="00500337" w:rsidP="00500337">
            <w:pPr>
              <w:ind w:left="0" w:right="0"/>
            </w:pPr>
            <w:r>
              <w:t>Sponsor’s pre-Advisory Committee response</w:t>
            </w:r>
          </w:p>
        </w:tc>
        <w:tc>
          <w:tcPr>
            <w:tcW w:w="4360" w:type="dxa"/>
          </w:tcPr>
          <w:p w14:paraId="4A937F18" w14:textId="4A0F22C9" w:rsidR="00500337" w:rsidRDefault="00D45C44" w:rsidP="00500337">
            <w:pPr>
              <w:ind w:left="0" w:right="0"/>
            </w:pPr>
            <w:r>
              <w:t>22 October 2018</w:t>
            </w:r>
          </w:p>
        </w:tc>
      </w:tr>
      <w:tr w:rsidR="00500337" w14:paraId="581294EC" w14:textId="77777777" w:rsidTr="00500337">
        <w:tc>
          <w:tcPr>
            <w:tcW w:w="4360" w:type="dxa"/>
          </w:tcPr>
          <w:p w14:paraId="17903E7B" w14:textId="77777777" w:rsidR="00500337" w:rsidRDefault="00500337" w:rsidP="00500337">
            <w:pPr>
              <w:ind w:left="0" w:right="0"/>
            </w:pPr>
            <w:r>
              <w:t>Advisory Committee meeting</w:t>
            </w:r>
          </w:p>
        </w:tc>
        <w:tc>
          <w:tcPr>
            <w:tcW w:w="4360" w:type="dxa"/>
          </w:tcPr>
          <w:p w14:paraId="13B9C04A" w14:textId="7013C245" w:rsidR="00500337" w:rsidRDefault="00D45C44" w:rsidP="00500337">
            <w:pPr>
              <w:ind w:left="0" w:right="0"/>
            </w:pPr>
            <w:r>
              <w:t>6 December 2018</w:t>
            </w:r>
          </w:p>
        </w:tc>
      </w:tr>
      <w:tr w:rsidR="00500337" w14:paraId="357DFBFD" w14:textId="77777777" w:rsidTr="00500337">
        <w:tc>
          <w:tcPr>
            <w:tcW w:w="4360" w:type="dxa"/>
          </w:tcPr>
          <w:p w14:paraId="5BE80ADB" w14:textId="77777777" w:rsidR="00500337" w:rsidRDefault="00500337" w:rsidP="00500337">
            <w:pPr>
              <w:ind w:left="0" w:right="0"/>
            </w:pPr>
            <w:r>
              <w:t>Registration decision (Outcome)</w:t>
            </w:r>
          </w:p>
        </w:tc>
        <w:tc>
          <w:tcPr>
            <w:tcW w:w="4360" w:type="dxa"/>
          </w:tcPr>
          <w:p w14:paraId="6FF56DB0" w14:textId="4EC9FC3C" w:rsidR="00500337" w:rsidRDefault="00EE2A6A" w:rsidP="00500337">
            <w:pPr>
              <w:ind w:left="0" w:right="0"/>
            </w:pPr>
            <w:r>
              <w:t>18 January 2019</w:t>
            </w:r>
          </w:p>
        </w:tc>
      </w:tr>
      <w:tr w:rsidR="00500337" w14:paraId="408D8AE6" w14:textId="77777777" w:rsidTr="00500337">
        <w:tc>
          <w:tcPr>
            <w:tcW w:w="4360" w:type="dxa"/>
          </w:tcPr>
          <w:p w14:paraId="3D38E6E9" w14:textId="5FE68719" w:rsidR="00500337" w:rsidRDefault="00500337" w:rsidP="00500337">
            <w:pPr>
              <w:ind w:left="0" w:right="0"/>
            </w:pPr>
            <w:r>
              <w:t xml:space="preserve">Completion of administrative activities and registration on </w:t>
            </w:r>
            <w:r w:rsidR="00BA5B1E">
              <w:t xml:space="preserve">the </w:t>
            </w:r>
            <w:r>
              <w:t>ARTG</w:t>
            </w:r>
          </w:p>
        </w:tc>
        <w:tc>
          <w:tcPr>
            <w:tcW w:w="4360" w:type="dxa"/>
          </w:tcPr>
          <w:p w14:paraId="4AFF55DB" w14:textId="7DD71A6C" w:rsidR="00500337" w:rsidRDefault="00EE2A6A" w:rsidP="00500337">
            <w:pPr>
              <w:ind w:left="0" w:right="0"/>
            </w:pPr>
            <w:r>
              <w:t>4 February 2019</w:t>
            </w:r>
          </w:p>
        </w:tc>
      </w:tr>
      <w:tr w:rsidR="00500337" w14:paraId="6CBC6589" w14:textId="77777777" w:rsidTr="00500337">
        <w:tc>
          <w:tcPr>
            <w:tcW w:w="4360" w:type="dxa"/>
          </w:tcPr>
          <w:p w14:paraId="11167951" w14:textId="77777777" w:rsidR="00500337" w:rsidRDefault="00500337" w:rsidP="00500337">
            <w:pPr>
              <w:ind w:left="0" w:right="0"/>
            </w:pPr>
            <w:r>
              <w:t>Number of working days from submission dossier acceptance to registration decision*</w:t>
            </w:r>
          </w:p>
        </w:tc>
        <w:tc>
          <w:tcPr>
            <w:tcW w:w="4360" w:type="dxa"/>
          </w:tcPr>
          <w:p w14:paraId="2638D126" w14:textId="31A875C7" w:rsidR="00500337" w:rsidRDefault="00D45C44" w:rsidP="00500337">
            <w:pPr>
              <w:ind w:left="0" w:right="0"/>
            </w:pPr>
            <w:r>
              <w:t>198</w:t>
            </w:r>
          </w:p>
        </w:tc>
      </w:tr>
    </w:tbl>
    <w:p w14:paraId="12902498" w14:textId="3491CC7E"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157DE39A" w14:textId="69A116AF" w:rsidR="00EE2A6A" w:rsidRPr="00377BD4" w:rsidRDefault="00EE2A6A" w:rsidP="00EE2A6A">
      <w:pPr>
        <w:pStyle w:val="TableTitle"/>
      </w:pPr>
      <w:r>
        <w:lastRenderedPageBreak/>
        <w:t xml:space="preserve">Table </w:t>
      </w:r>
      <w:fldSimple w:instr=" SEQ Table \* ARABIC ">
        <w:r w:rsidR="000644BB">
          <w:rPr>
            <w:noProof/>
          </w:rPr>
          <w:t>4</w:t>
        </w:r>
      </w:fldSimple>
      <w:r>
        <w:t xml:space="preserve">: </w:t>
      </w:r>
      <w:r w:rsidRPr="006A58A8">
        <w:t xml:space="preserve">Timeline for Submission </w:t>
      </w:r>
      <w:r w:rsidRPr="00371085">
        <w:t>PM-2017-04581-1-2</w:t>
      </w:r>
      <w:r w:rsidR="00BA5B1E">
        <w:t xml:space="preserve"> (Delstrigo)</w:t>
      </w:r>
    </w:p>
    <w:tbl>
      <w:tblPr>
        <w:tblStyle w:val="TableTGAblue"/>
        <w:tblW w:w="0" w:type="auto"/>
        <w:tblLook w:val="04A0" w:firstRow="1" w:lastRow="0" w:firstColumn="1" w:lastColumn="0" w:noHBand="0" w:noVBand="1"/>
      </w:tblPr>
      <w:tblGrid>
        <w:gridCol w:w="4360"/>
        <w:gridCol w:w="4360"/>
      </w:tblGrid>
      <w:tr w:rsidR="00EE2A6A" w14:paraId="135CA099" w14:textId="77777777" w:rsidTr="00D45C44">
        <w:trPr>
          <w:cnfStyle w:val="100000000000" w:firstRow="1" w:lastRow="0" w:firstColumn="0" w:lastColumn="0" w:oddVBand="0" w:evenVBand="0" w:oddHBand="0" w:evenHBand="0" w:firstRowFirstColumn="0" w:firstRowLastColumn="0" w:lastRowFirstColumn="0" w:lastRowLastColumn="0"/>
          <w:cantSplit/>
        </w:trPr>
        <w:tc>
          <w:tcPr>
            <w:tcW w:w="4360" w:type="dxa"/>
          </w:tcPr>
          <w:p w14:paraId="199144A5" w14:textId="77777777" w:rsidR="00EE2A6A" w:rsidRDefault="00EE2A6A" w:rsidP="00D45C44">
            <w:pPr>
              <w:ind w:left="0" w:right="0"/>
            </w:pPr>
            <w:r>
              <w:t>Description</w:t>
            </w:r>
          </w:p>
        </w:tc>
        <w:tc>
          <w:tcPr>
            <w:tcW w:w="4360" w:type="dxa"/>
          </w:tcPr>
          <w:p w14:paraId="75031C2B" w14:textId="77777777" w:rsidR="00EE2A6A" w:rsidRDefault="00EE2A6A" w:rsidP="00D45C44">
            <w:pPr>
              <w:ind w:left="0" w:right="0"/>
            </w:pPr>
            <w:r>
              <w:t>Date</w:t>
            </w:r>
          </w:p>
        </w:tc>
      </w:tr>
      <w:tr w:rsidR="00EE2A6A" w14:paraId="0539C03A" w14:textId="77777777" w:rsidTr="00D45C44">
        <w:tc>
          <w:tcPr>
            <w:tcW w:w="4360" w:type="dxa"/>
          </w:tcPr>
          <w:p w14:paraId="6389D48A" w14:textId="77777777" w:rsidR="00EE2A6A" w:rsidRDefault="00EE2A6A" w:rsidP="00D45C44">
            <w:pPr>
              <w:ind w:left="0" w:right="0"/>
            </w:pPr>
            <w:r>
              <w:t>Submission dossier accepted and first round evaluation commenced</w:t>
            </w:r>
          </w:p>
        </w:tc>
        <w:tc>
          <w:tcPr>
            <w:tcW w:w="4360" w:type="dxa"/>
          </w:tcPr>
          <w:p w14:paraId="39AB8C7F" w14:textId="70BA77E5" w:rsidR="00EE2A6A" w:rsidRDefault="00D45C44" w:rsidP="00D45C44">
            <w:pPr>
              <w:ind w:left="0" w:right="0"/>
            </w:pPr>
            <w:r>
              <w:t>31 January 2018</w:t>
            </w:r>
          </w:p>
        </w:tc>
      </w:tr>
      <w:tr w:rsidR="00EE2A6A" w14:paraId="3CB8A791" w14:textId="77777777" w:rsidTr="00D45C44">
        <w:tc>
          <w:tcPr>
            <w:tcW w:w="4360" w:type="dxa"/>
          </w:tcPr>
          <w:p w14:paraId="13902D9E" w14:textId="77777777" w:rsidR="00EE2A6A" w:rsidRDefault="00EE2A6A" w:rsidP="00D45C44">
            <w:pPr>
              <w:ind w:left="0" w:right="0"/>
            </w:pPr>
            <w:r>
              <w:t>First round evaluation completed</w:t>
            </w:r>
          </w:p>
        </w:tc>
        <w:tc>
          <w:tcPr>
            <w:tcW w:w="4360" w:type="dxa"/>
          </w:tcPr>
          <w:p w14:paraId="1D32B0E3" w14:textId="66422B43" w:rsidR="00EE2A6A" w:rsidRDefault="00D45C44" w:rsidP="00D45C44">
            <w:pPr>
              <w:ind w:left="0" w:right="0"/>
            </w:pPr>
            <w:r>
              <w:t>15 August 2018</w:t>
            </w:r>
          </w:p>
        </w:tc>
      </w:tr>
      <w:tr w:rsidR="00EE2A6A" w14:paraId="70223A4A" w14:textId="77777777" w:rsidTr="00D45C44">
        <w:tc>
          <w:tcPr>
            <w:tcW w:w="4360" w:type="dxa"/>
          </w:tcPr>
          <w:p w14:paraId="13013ADF" w14:textId="77777777" w:rsidR="00EE2A6A" w:rsidRDefault="00EE2A6A" w:rsidP="00D45C44">
            <w:pPr>
              <w:ind w:left="0" w:right="0"/>
            </w:pPr>
            <w:r>
              <w:t>Sponsor provides responses on questions raised in first round evaluation</w:t>
            </w:r>
          </w:p>
        </w:tc>
        <w:tc>
          <w:tcPr>
            <w:tcW w:w="4360" w:type="dxa"/>
          </w:tcPr>
          <w:p w14:paraId="313C44A5" w14:textId="06EA0816" w:rsidR="00EE2A6A" w:rsidRDefault="00D45C44" w:rsidP="00D45C44">
            <w:pPr>
              <w:ind w:left="0" w:right="0"/>
            </w:pPr>
            <w:r>
              <w:t>25 October 2018</w:t>
            </w:r>
          </w:p>
        </w:tc>
      </w:tr>
      <w:tr w:rsidR="00EE2A6A" w14:paraId="07223DD4" w14:textId="77777777" w:rsidTr="00D45C44">
        <w:tc>
          <w:tcPr>
            <w:tcW w:w="4360" w:type="dxa"/>
          </w:tcPr>
          <w:p w14:paraId="6C232C9B" w14:textId="77777777" w:rsidR="00EE2A6A" w:rsidRDefault="00EE2A6A" w:rsidP="00D45C44">
            <w:pPr>
              <w:ind w:left="0" w:right="0"/>
            </w:pPr>
            <w:r>
              <w:t>Second round evaluation completed</w:t>
            </w:r>
          </w:p>
        </w:tc>
        <w:tc>
          <w:tcPr>
            <w:tcW w:w="4360" w:type="dxa"/>
          </w:tcPr>
          <w:p w14:paraId="1C731CBD" w14:textId="3C0CDE58" w:rsidR="00EE2A6A" w:rsidRDefault="00D45C44" w:rsidP="00D45C44">
            <w:pPr>
              <w:ind w:left="0" w:right="0"/>
            </w:pPr>
            <w:r>
              <w:t>6 November 2018</w:t>
            </w:r>
          </w:p>
        </w:tc>
      </w:tr>
      <w:tr w:rsidR="00EE2A6A" w14:paraId="2A5D6DEB" w14:textId="77777777" w:rsidTr="00D45C44">
        <w:tc>
          <w:tcPr>
            <w:tcW w:w="4360" w:type="dxa"/>
          </w:tcPr>
          <w:p w14:paraId="47AAA636" w14:textId="77777777" w:rsidR="00EE2A6A" w:rsidRDefault="00EE2A6A" w:rsidP="00D45C44">
            <w:pPr>
              <w:ind w:left="0" w:right="0"/>
            </w:pPr>
            <w:r>
              <w:t>Delegate’s Overall benefit-risk assessment and request for Advisory Committee advice</w:t>
            </w:r>
          </w:p>
        </w:tc>
        <w:tc>
          <w:tcPr>
            <w:tcW w:w="4360" w:type="dxa"/>
          </w:tcPr>
          <w:p w14:paraId="78B7484B" w14:textId="3383DD83" w:rsidR="00EE2A6A" w:rsidRDefault="00D45C44" w:rsidP="00D45C44">
            <w:pPr>
              <w:ind w:left="0" w:right="0"/>
            </w:pPr>
            <w:r>
              <w:t>6 November 2018</w:t>
            </w:r>
          </w:p>
        </w:tc>
      </w:tr>
      <w:tr w:rsidR="00EE2A6A" w14:paraId="17BA75C3" w14:textId="77777777" w:rsidTr="00D45C44">
        <w:tc>
          <w:tcPr>
            <w:tcW w:w="4360" w:type="dxa"/>
          </w:tcPr>
          <w:p w14:paraId="5D4E8FD5" w14:textId="77777777" w:rsidR="00EE2A6A" w:rsidRDefault="00EE2A6A" w:rsidP="00D45C44">
            <w:pPr>
              <w:ind w:left="0" w:right="0"/>
            </w:pPr>
            <w:r>
              <w:t>Sponsor’s pre-Advisory Committee response</w:t>
            </w:r>
          </w:p>
        </w:tc>
        <w:tc>
          <w:tcPr>
            <w:tcW w:w="4360" w:type="dxa"/>
          </w:tcPr>
          <w:p w14:paraId="29F0D8D0" w14:textId="446808F0" w:rsidR="00EE2A6A" w:rsidRDefault="00D45C44" w:rsidP="00D45C44">
            <w:pPr>
              <w:ind w:left="0" w:right="0"/>
            </w:pPr>
            <w:r>
              <w:t>20 November 2018</w:t>
            </w:r>
          </w:p>
        </w:tc>
      </w:tr>
      <w:tr w:rsidR="00EE2A6A" w14:paraId="5E4731EE" w14:textId="77777777" w:rsidTr="00D45C44">
        <w:tc>
          <w:tcPr>
            <w:tcW w:w="4360" w:type="dxa"/>
          </w:tcPr>
          <w:p w14:paraId="67447747" w14:textId="77777777" w:rsidR="00EE2A6A" w:rsidRDefault="00EE2A6A" w:rsidP="00D45C44">
            <w:pPr>
              <w:ind w:left="0" w:right="0"/>
            </w:pPr>
            <w:r>
              <w:t>Advisory Committee meeting</w:t>
            </w:r>
          </w:p>
        </w:tc>
        <w:tc>
          <w:tcPr>
            <w:tcW w:w="4360" w:type="dxa"/>
          </w:tcPr>
          <w:p w14:paraId="48A0DCE6" w14:textId="6F2A7E10" w:rsidR="00EE2A6A" w:rsidRDefault="00D45C44" w:rsidP="00D45C44">
            <w:pPr>
              <w:ind w:left="0" w:right="0"/>
            </w:pPr>
            <w:r>
              <w:t>6 December 2018</w:t>
            </w:r>
          </w:p>
        </w:tc>
      </w:tr>
      <w:tr w:rsidR="00EE2A6A" w14:paraId="332B678D" w14:textId="77777777" w:rsidTr="00D45C44">
        <w:tc>
          <w:tcPr>
            <w:tcW w:w="4360" w:type="dxa"/>
          </w:tcPr>
          <w:p w14:paraId="6C535126" w14:textId="77777777" w:rsidR="00EE2A6A" w:rsidRDefault="00EE2A6A" w:rsidP="00D45C44">
            <w:pPr>
              <w:ind w:left="0" w:right="0"/>
            </w:pPr>
            <w:r>
              <w:t>Registration decision (Outcome)</w:t>
            </w:r>
          </w:p>
        </w:tc>
        <w:tc>
          <w:tcPr>
            <w:tcW w:w="4360" w:type="dxa"/>
          </w:tcPr>
          <w:p w14:paraId="535D08E7" w14:textId="3E91A477" w:rsidR="00EE2A6A" w:rsidRDefault="00EE2A6A" w:rsidP="00D45C44">
            <w:pPr>
              <w:ind w:left="0" w:right="0"/>
            </w:pPr>
            <w:r>
              <w:t>18 January 2019</w:t>
            </w:r>
          </w:p>
        </w:tc>
      </w:tr>
      <w:tr w:rsidR="00EE2A6A" w14:paraId="14BC3F7B" w14:textId="77777777" w:rsidTr="00D45C44">
        <w:tc>
          <w:tcPr>
            <w:tcW w:w="4360" w:type="dxa"/>
          </w:tcPr>
          <w:p w14:paraId="233059B3" w14:textId="63F01695" w:rsidR="00EE2A6A" w:rsidRDefault="00EE2A6A" w:rsidP="00D45C44">
            <w:pPr>
              <w:ind w:left="0" w:right="0"/>
            </w:pPr>
            <w:r>
              <w:t xml:space="preserve">Completion of administrative activities and registration on </w:t>
            </w:r>
            <w:r w:rsidR="00BA5B1E">
              <w:t xml:space="preserve">the </w:t>
            </w:r>
            <w:r>
              <w:t>ARTG</w:t>
            </w:r>
          </w:p>
        </w:tc>
        <w:tc>
          <w:tcPr>
            <w:tcW w:w="4360" w:type="dxa"/>
          </w:tcPr>
          <w:p w14:paraId="10EDFAD4" w14:textId="283C2634" w:rsidR="00EE2A6A" w:rsidRDefault="00EE2A6A" w:rsidP="00D45C44">
            <w:pPr>
              <w:ind w:left="0" w:right="0"/>
            </w:pPr>
            <w:r>
              <w:t>4 February 2019</w:t>
            </w:r>
          </w:p>
        </w:tc>
      </w:tr>
      <w:tr w:rsidR="00EE2A6A" w14:paraId="41151241" w14:textId="77777777" w:rsidTr="00D45C44">
        <w:tc>
          <w:tcPr>
            <w:tcW w:w="4360" w:type="dxa"/>
          </w:tcPr>
          <w:p w14:paraId="14DC0876" w14:textId="77777777" w:rsidR="00EE2A6A" w:rsidRDefault="00EE2A6A" w:rsidP="00D45C44">
            <w:pPr>
              <w:ind w:left="0" w:right="0"/>
            </w:pPr>
            <w:r>
              <w:t>Number of working days from submission dossier acceptance to registration decision*</w:t>
            </w:r>
          </w:p>
        </w:tc>
        <w:tc>
          <w:tcPr>
            <w:tcW w:w="4360" w:type="dxa"/>
          </w:tcPr>
          <w:p w14:paraId="583D41E0" w14:textId="52420D50" w:rsidR="00EE2A6A" w:rsidRDefault="00D45C44" w:rsidP="00D45C44">
            <w:pPr>
              <w:ind w:left="0" w:right="0"/>
            </w:pPr>
            <w:r>
              <w:t>192</w:t>
            </w:r>
          </w:p>
        </w:tc>
      </w:tr>
    </w:tbl>
    <w:p w14:paraId="3A575E41" w14:textId="2318011E" w:rsidR="00500337" w:rsidRDefault="00EE2A6A" w:rsidP="002E5F71">
      <w:pPr>
        <w:pStyle w:val="TableDescription"/>
      </w:pPr>
      <w:r>
        <w:t>*</w:t>
      </w:r>
      <w:r w:rsidRPr="00BF3774">
        <w:t xml:space="preserve">Statutory </w:t>
      </w:r>
      <w:r>
        <w:t>timeframe for standard a</w:t>
      </w:r>
      <w:r w:rsidR="002E5F71">
        <w:t>pplications is 255 working days</w:t>
      </w:r>
    </w:p>
    <w:p w14:paraId="44C7B61C" w14:textId="09FA092F" w:rsidR="008E7846" w:rsidRPr="00792A32" w:rsidRDefault="00456765" w:rsidP="008E7846">
      <w:pPr>
        <w:pStyle w:val="Heading2"/>
      </w:pPr>
      <w:bookmarkStart w:id="29" w:name="_Toc196046504"/>
      <w:bookmarkStart w:id="30" w:name="_Toc247691527"/>
      <w:bookmarkStart w:id="31" w:name="_Toc314842510"/>
      <w:bookmarkStart w:id="32" w:name="_Toc35259365"/>
      <w:bookmarkStart w:id="33" w:name="_Toc163441390"/>
      <w:bookmarkEnd w:id="25"/>
      <w:bookmarkEnd w:id="26"/>
      <w:bookmarkEnd w:id="2"/>
      <w:r>
        <w:t>I</w:t>
      </w:r>
      <w:r w:rsidR="00DA64CB">
        <w:t>I</w:t>
      </w:r>
      <w:r w:rsidR="008E7846">
        <w:t xml:space="preserve">I. </w:t>
      </w:r>
      <w:r w:rsidR="00966069">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9"/>
      <w:bookmarkEnd w:id="30"/>
      <w:bookmarkEnd w:id="31"/>
      <w:bookmarkEnd w:id="32"/>
    </w:p>
    <w:p w14:paraId="3CA2297D" w14:textId="1D43C14E" w:rsidR="008E7846" w:rsidRDefault="008E7846" w:rsidP="008E7846">
      <w:bookmarkStart w:id="34" w:name="_Toc247691528"/>
      <w:r>
        <w:t xml:space="preserve">The submission was summarised in the following </w:t>
      </w:r>
      <w:r w:rsidRPr="00EF5C48">
        <w:t xml:space="preserve">Delegate’s </w:t>
      </w:r>
      <w:r>
        <w:t>overview</w:t>
      </w:r>
      <w:r w:rsidRPr="00EF5C48">
        <w:t xml:space="preserve"> and recommendation</w:t>
      </w:r>
      <w:r w:rsidR="007C4C2F">
        <w:t>s.</w:t>
      </w:r>
    </w:p>
    <w:p w14:paraId="341E67AB" w14:textId="77777777" w:rsidR="008E7846" w:rsidRDefault="008E7846" w:rsidP="008E7846">
      <w:pPr>
        <w:pStyle w:val="Heading3"/>
      </w:pPr>
      <w:bookmarkStart w:id="35" w:name="_Toc314842511"/>
      <w:bookmarkStart w:id="36" w:name="_Toc35259366"/>
      <w:r>
        <w:t>Quality</w:t>
      </w:r>
      <w:bookmarkEnd w:id="34"/>
      <w:bookmarkEnd w:id="35"/>
      <w:bookmarkEnd w:id="36"/>
    </w:p>
    <w:p w14:paraId="587426A6" w14:textId="6D4E8AF6" w:rsidR="002E5F71" w:rsidRDefault="00382533" w:rsidP="00D45C44">
      <w:r>
        <w:t>D</w:t>
      </w:r>
      <w:r w:rsidR="002E5F71">
        <w:t>oravirine</w:t>
      </w:r>
      <w:r w:rsidR="00D45C44">
        <w:t xml:space="preserve"> is a low solubility, high permeability molecule (</w:t>
      </w:r>
      <w:r w:rsidR="00461938" w:rsidRPr="00461938">
        <w:t>Biopharmaceutical Classification System</w:t>
      </w:r>
      <w:r w:rsidR="00D45C44">
        <w:t xml:space="preserve"> Class II). </w:t>
      </w:r>
      <w:r w:rsidR="002E5F71">
        <w:t xml:space="preserve">The structure of doravirine is shown in </w:t>
      </w:r>
      <w:r w:rsidR="002E5F71">
        <w:fldChar w:fldCharType="begin"/>
      </w:r>
      <w:r w:rsidR="002E5F71">
        <w:instrText xml:space="preserve"> REF _Ref31632694 \h </w:instrText>
      </w:r>
      <w:r w:rsidR="002E5F71">
        <w:fldChar w:fldCharType="separate"/>
      </w:r>
      <w:r w:rsidR="002E5F71">
        <w:t xml:space="preserve">Figure </w:t>
      </w:r>
      <w:r w:rsidR="002E5F71">
        <w:rPr>
          <w:noProof/>
        </w:rPr>
        <w:t>1</w:t>
      </w:r>
      <w:r w:rsidR="002E5F71">
        <w:fldChar w:fldCharType="end"/>
      </w:r>
      <w:r w:rsidR="002E5F71">
        <w:t>.</w:t>
      </w:r>
    </w:p>
    <w:p w14:paraId="07EE7A4B" w14:textId="1A19871B" w:rsidR="002E5F71" w:rsidRDefault="002E5F71" w:rsidP="002E5F71">
      <w:pPr>
        <w:pStyle w:val="FigureTitle"/>
      </w:pPr>
      <w:bookmarkStart w:id="37" w:name="_Ref31632694"/>
      <w:r>
        <w:t xml:space="preserve">Figure </w:t>
      </w:r>
      <w:fldSimple w:instr=" SEQ Figure \* ARABIC ">
        <w:r w:rsidR="006B4F6B">
          <w:rPr>
            <w:noProof/>
          </w:rPr>
          <w:t>1</w:t>
        </w:r>
      </w:fldSimple>
      <w:bookmarkEnd w:id="37"/>
      <w:r>
        <w:t>: Structure of doravirine</w:t>
      </w:r>
    </w:p>
    <w:p w14:paraId="738DFB57" w14:textId="37F13C76" w:rsidR="002E5F71" w:rsidRDefault="002E5F71" w:rsidP="002E5F71">
      <w:r>
        <w:rPr>
          <w:noProof/>
          <w:lang w:eastAsia="en-AU"/>
        </w:rPr>
        <w:drawing>
          <wp:inline distT="0" distB="0" distL="0" distR="0" wp14:anchorId="3CA940ED" wp14:editId="64484FCF">
            <wp:extent cx="1821180" cy="1082040"/>
            <wp:effectExtent l="0" t="0" r="7620" b="3810"/>
            <wp:docPr id="1" name="Picture 1" descr="Structure of doravi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1180" cy="1082040"/>
                    </a:xfrm>
                    <a:prstGeom prst="rect">
                      <a:avLst/>
                    </a:prstGeom>
                    <a:noFill/>
                    <a:ln>
                      <a:noFill/>
                    </a:ln>
                  </pic:spPr>
                </pic:pic>
              </a:graphicData>
            </a:graphic>
          </wp:inline>
        </w:drawing>
      </w:r>
    </w:p>
    <w:p w14:paraId="634066EA" w14:textId="1DE727AC" w:rsidR="00D45C44" w:rsidRDefault="00D45C44" w:rsidP="00D45C44">
      <w:r>
        <w:t xml:space="preserve">The bioequivalence data are considered acceptable by the </w:t>
      </w:r>
      <w:r w:rsidR="00382533">
        <w:t>quality area</w:t>
      </w:r>
      <w:r>
        <w:t xml:space="preserve">. </w:t>
      </w:r>
      <w:r w:rsidR="00461938">
        <w:t>D</w:t>
      </w:r>
      <w:r w:rsidR="005806AC">
        <w:t xml:space="preserve">rug substance/finished </w:t>
      </w:r>
      <w:r>
        <w:t xml:space="preserve">product specifications and </w:t>
      </w:r>
      <w:r w:rsidR="00461938" w:rsidRPr="00461938">
        <w:t xml:space="preserve">Good Manufacturing Practice </w:t>
      </w:r>
      <w:r w:rsidR="00461938">
        <w:t>(</w:t>
      </w:r>
      <w:r>
        <w:t>GMP</w:t>
      </w:r>
      <w:r w:rsidR="00461938">
        <w:t>)</w:t>
      </w:r>
      <w:r>
        <w:t xml:space="preserve"> </w:t>
      </w:r>
      <w:r>
        <w:lastRenderedPageBreak/>
        <w:t>clearances</w:t>
      </w:r>
      <w:r w:rsidR="00461938">
        <w:t xml:space="preserve"> were satisfactorily resolved. T</w:t>
      </w:r>
      <w:r>
        <w:t xml:space="preserve">here are </w:t>
      </w:r>
      <w:r w:rsidR="002E5F71">
        <w:t xml:space="preserve">no </w:t>
      </w:r>
      <w:r>
        <w:t>obj</w:t>
      </w:r>
      <w:r w:rsidR="00461938">
        <w:t>ections to the approval from a quality aspect</w:t>
      </w:r>
      <w:r>
        <w:t>.</w:t>
      </w:r>
    </w:p>
    <w:p w14:paraId="3B19EC91" w14:textId="7E3A3FFD" w:rsidR="00E45619" w:rsidRDefault="00D45C44" w:rsidP="003A7F6C">
      <w:r>
        <w:t xml:space="preserve">Attention has been drawn to the dimensions of the proposed </w:t>
      </w:r>
      <w:r w:rsidR="002E5F71">
        <w:t>doravirine</w:t>
      </w:r>
      <w:r>
        <w:t xml:space="preserve"> film-coated tablet (slightly over 1 g and 19</w:t>
      </w:r>
      <w:r w:rsidR="00382533">
        <w:t xml:space="preserve"> </w:t>
      </w:r>
      <w:r>
        <w:t>x</w:t>
      </w:r>
      <w:r w:rsidR="00382533">
        <w:t xml:space="preserve"> </w:t>
      </w:r>
      <w:r>
        <w:t xml:space="preserve">9.5 mm, oval shaped) and the </w:t>
      </w:r>
      <w:r w:rsidR="002E5F71">
        <w:t>doravirine</w:t>
      </w:r>
      <w:r>
        <w:t>/</w:t>
      </w:r>
      <w:r w:rsidR="00382533">
        <w:t>lamivudine</w:t>
      </w:r>
      <w:r>
        <w:t>/</w:t>
      </w:r>
      <w:r w:rsidR="00382533">
        <w:t>tenofovir disoproxil fumarate</w:t>
      </w:r>
      <w:r>
        <w:t xml:space="preserve"> film-coated tablet (1.6 g and 21.59</w:t>
      </w:r>
      <w:r w:rsidR="00382533">
        <w:t xml:space="preserve"> </w:t>
      </w:r>
      <w:r>
        <w:t>x</w:t>
      </w:r>
      <w:r w:rsidR="00382533">
        <w:t xml:space="preserve"> </w:t>
      </w:r>
      <w:r>
        <w:t>11.30 mm, oval shaped) which are consi</w:t>
      </w:r>
      <w:r w:rsidR="002E5F71">
        <w:t>dered large for an oral tablet.</w:t>
      </w:r>
    </w:p>
    <w:p w14:paraId="6C95396F" w14:textId="77777777" w:rsidR="008E7846" w:rsidRDefault="008E7846" w:rsidP="008E7846">
      <w:pPr>
        <w:pStyle w:val="Heading3"/>
      </w:pPr>
      <w:bookmarkStart w:id="38" w:name="_Toc314842512"/>
      <w:bookmarkStart w:id="39" w:name="_Toc35259367"/>
      <w:r>
        <w:t>Nonclinical</w:t>
      </w:r>
      <w:bookmarkEnd w:id="38"/>
      <w:bookmarkEnd w:id="39"/>
    </w:p>
    <w:p w14:paraId="539A287A" w14:textId="01182E3C" w:rsidR="00382533" w:rsidRDefault="00382533" w:rsidP="00382533">
      <w:r>
        <w:t>The following points were summarised by the Delegate from the nonclinical evaluation:</w:t>
      </w:r>
    </w:p>
    <w:p w14:paraId="58441035" w14:textId="352E7DBA" w:rsidR="00D45C44" w:rsidRDefault="00382533" w:rsidP="00382533">
      <w:pPr>
        <w:pStyle w:val="ListBullet"/>
      </w:pPr>
      <w:r>
        <w:t>D</w:t>
      </w:r>
      <w:r w:rsidR="002E5F71">
        <w:t>oravirine</w:t>
      </w:r>
      <w:r w:rsidR="00D45C44">
        <w:t xml:space="preserve"> is a highly specific, non-competitive, inhibitor of HIV-1 reverse transcriptase. It has no significant activity against other molecular targets at clinically relevant concentrations.</w:t>
      </w:r>
    </w:p>
    <w:p w14:paraId="462E93C0" w14:textId="042475F8" w:rsidR="00D45C44" w:rsidRDefault="00D45C44" w:rsidP="00382533">
      <w:pPr>
        <w:pStyle w:val="ListBullet"/>
      </w:pPr>
      <w:r w:rsidRPr="00382533">
        <w:rPr>
          <w:i/>
        </w:rPr>
        <w:t>In vitro</w:t>
      </w:r>
      <w:r w:rsidR="00382533">
        <w:t>,</w:t>
      </w:r>
      <w:r>
        <w:t xml:space="preserve"> </w:t>
      </w:r>
      <w:r w:rsidR="002E5F71">
        <w:t>doravirine</w:t>
      </w:r>
      <w:r>
        <w:t xml:space="preserve"> is metabolised by </w:t>
      </w:r>
      <w:r w:rsidR="00461938">
        <w:t>cytochrome P450 (</w:t>
      </w:r>
      <w:r>
        <w:t>CYP</w:t>
      </w:r>
      <w:r w:rsidR="00461938">
        <w:t>)</w:t>
      </w:r>
      <w:r>
        <w:t xml:space="preserve">3A. Incubation of </w:t>
      </w:r>
      <w:r w:rsidR="002E5F71">
        <w:t>doravirine</w:t>
      </w:r>
      <w:r>
        <w:t xml:space="preserve"> with different recombinant human CYPs showed that only CYP3A4 and CYP3A5 were capable of catalysing the formation of the main </w:t>
      </w:r>
      <w:r w:rsidR="00461938">
        <w:t>doravirine metabolite 9 (</w:t>
      </w:r>
      <w:r>
        <w:t>M9</w:t>
      </w:r>
      <w:r w:rsidR="00461938">
        <w:t>) metabolite. CYP3A4 was approximately</w:t>
      </w:r>
      <w:r w:rsidR="00382533">
        <w:t xml:space="preserve"> 20 </w:t>
      </w:r>
      <w:r>
        <w:t xml:space="preserve">fold more efficient in this reaction than CYP3A5 and as CYP3A4 is more abundant in human liver, </w:t>
      </w:r>
      <w:r w:rsidR="002E5F71">
        <w:t>doravirine</w:t>
      </w:r>
      <w:r>
        <w:t xml:space="preserve"> can be considered to be primarily metabolised by CYP3A4 in humans. </w:t>
      </w:r>
      <w:r w:rsidR="00461938">
        <w:t>D</w:t>
      </w:r>
      <w:r w:rsidR="002E5F71">
        <w:t>oravirine</w:t>
      </w:r>
      <w:r>
        <w:t xml:space="preserve"> is not expected to alter the exposure of co-administered drugs that are CYP450 substrates.</w:t>
      </w:r>
    </w:p>
    <w:p w14:paraId="03E70612" w14:textId="4C1DEA92" w:rsidR="00D45C44" w:rsidRDefault="00382533" w:rsidP="00461938">
      <w:pPr>
        <w:pStyle w:val="ListBullet"/>
      </w:pPr>
      <w:r>
        <w:t>D</w:t>
      </w:r>
      <w:r w:rsidR="002E5F71">
        <w:t>oravirine</w:t>
      </w:r>
      <w:r w:rsidR="00D45C44">
        <w:t xml:space="preserve"> is a substrate, but not an inhibitor of P-glycoprotein. </w:t>
      </w:r>
      <w:r>
        <w:t>D</w:t>
      </w:r>
      <w:r w:rsidR="002E5F71">
        <w:t>oravirine</w:t>
      </w:r>
      <w:r w:rsidR="00D45C44">
        <w:t xml:space="preserve"> is an inhibitor of </w:t>
      </w:r>
      <w:r w:rsidR="00461938" w:rsidRPr="00461938">
        <w:t xml:space="preserve">breast cancer resistance protein </w:t>
      </w:r>
      <w:r w:rsidR="00461938">
        <w:t xml:space="preserve">(BCRP, </w:t>
      </w:r>
      <w:r w:rsidR="00D45C44">
        <w:t xml:space="preserve">efflux transporter), </w:t>
      </w:r>
      <w:r w:rsidR="00461938" w:rsidRPr="00461938">
        <w:t xml:space="preserve">organic-anion-transporting polypeptide </w:t>
      </w:r>
      <w:r w:rsidR="00461938">
        <w:t>(</w:t>
      </w:r>
      <w:r w:rsidR="00D45C44">
        <w:t>OATP</w:t>
      </w:r>
      <w:r w:rsidR="00461938">
        <w:t>)</w:t>
      </w:r>
      <w:r w:rsidR="00D45C44">
        <w:t xml:space="preserve">1B1/OATP1B3 (hepatic uptake transporters) and </w:t>
      </w:r>
      <w:r w:rsidR="00461938">
        <w:t xml:space="preserve">organic anion transporter 3 (OAT3; </w:t>
      </w:r>
      <w:r w:rsidR="00D45C44">
        <w:t xml:space="preserve">renal uptake transporter). </w:t>
      </w:r>
      <w:r>
        <w:t>Doravirine</w:t>
      </w:r>
      <w:r w:rsidR="00D45C44">
        <w:t xml:space="preserve"> is not a substrate of BCRP, OATP1B1, or OATP1B3.</w:t>
      </w:r>
    </w:p>
    <w:p w14:paraId="50E0816F" w14:textId="3C91700C" w:rsidR="00D45C44" w:rsidRDefault="00382533" w:rsidP="00382533">
      <w:pPr>
        <w:pStyle w:val="ListBullet"/>
      </w:pPr>
      <w:r>
        <w:t>D</w:t>
      </w:r>
      <w:r w:rsidR="002E5F71">
        <w:t>oravirine</w:t>
      </w:r>
      <w:r w:rsidR="00461938">
        <w:t xml:space="preserve"> inhibited wild </w:t>
      </w:r>
      <w:r w:rsidR="00D45C44">
        <w:t xml:space="preserve">type (WT) and some common mutants of HIV-1 reverse transcriptase with </w:t>
      </w:r>
      <w:r w:rsidR="00461938">
        <w:t>half maximal inhibitory concentration (</w:t>
      </w:r>
      <w:r w:rsidR="00D45C44">
        <w:t>IC</w:t>
      </w:r>
      <w:r w:rsidR="00D45C44" w:rsidRPr="00461938">
        <w:rPr>
          <w:vertAlign w:val="subscript"/>
        </w:rPr>
        <w:t>50</w:t>
      </w:r>
      <w:r w:rsidR="00461938">
        <w:t>)</w:t>
      </w:r>
      <w:r w:rsidR="00D45C44">
        <w:t xml:space="preserve"> values of around 10</w:t>
      </w:r>
      <w:r w:rsidR="00461938">
        <w:t> </w:t>
      </w:r>
      <w:r w:rsidR="00D45C44">
        <w:t xml:space="preserve">nM. </w:t>
      </w:r>
      <w:r>
        <w:t>D</w:t>
      </w:r>
      <w:r w:rsidR="002E5F71">
        <w:t>oravirine</w:t>
      </w:r>
      <w:r w:rsidR="00D45C44">
        <w:t xml:space="preserve"> showed </w:t>
      </w:r>
      <w:r w:rsidR="00D45C44" w:rsidRPr="005806AC">
        <w:rPr>
          <w:i/>
        </w:rPr>
        <w:t>in vitro</w:t>
      </w:r>
      <w:r w:rsidR="00D45C44">
        <w:t xml:space="preserve"> inhibition of HIV-1 isolates of all HIV-1 subtypes at clinically relevant concentrations, and showed no antagonism towards a variety of anti-HIV drugs including lamivudine and tenofovir.</w:t>
      </w:r>
    </w:p>
    <w:p w14:paraId="4FD24F32" w14:textId="1E82BD38" w:rsidR="00D45C44" w:rsidRDefault="00382533" w:rsidP="00382533">
      <w:pPr>
        <w:pStyle w:val="ListBullet"/>
      </w:pPr>
      <w:r>
        <w:t>D</w:t>
      </w:r>
      <w:r w:rsidR="002E5F71">
        <w:t>oravirine</w:t>
      </w:r>
      <w:r w:rsidR="00D45C44">
        <w:t xml:space="preserve"> and the currently available NNRTIs were evaluated for antiviral activity against a panel of 96 NNRTI-resistant clinical isolates of HIV-1. The overall pattern of isolates showing resistance or sensitivity was similar for </w:t>
      </w:r>
      <w:r w:rsidR="002E5F71">
        <w:t>doravirine</w:t>
      </w:r>
      <w:r w:rsidR="00D45C44">
        <w:t>, etravirine and rilpivirine but different for efavirenz. Nearly 65% isolates showed resistance (</w:t>
      </w:r>
      <w:r w:rsidR="00AB1875">
        <w:t>half maximal effective concentration (</w:t>
      </w:r>
      <w:r w:rsidR="00D45C44">
        <w:t>EC</w:t>
      </w:r>
      <w:r w:rsidR="00D45C44" w:rsidRPr="00AB1875">
        <w:rPr>
          <w:vertAlign w:val="subscript"/>
        </w:rPr>
        <w:t>50</w:t>
      </w:r>
      <w:r w:rsidR="00AB1875">
        <w:t>)</w:t>
      </w:r>
      <w:r w:rsidR="00D45C44">
        <w:t xml:space="preserve"> &gt;</w:t>
      </w:r>
      <w:r w:rsidR="00AB1875">
        <w:t xml:space="preserve"> </w:t>
      </w:r>
      <w:r w:rsidR="00D45C44">
        <w:t>10</w:t>
      </w:r>
      <w:r w:rsidR="00AB1875">
        <w:t xml:space="preserve"> </w:t>
      </w:r>
      <w:r w:rsidR="00D45C44">
        <w:t xml:space="preserve">x WT response) to </w:t>
      </w:r>
      <w:r w:rsidR="00AB1875">
        <w:t xml:space="preserve">efavirenz compared to 16 to </w:t>
      </w:r>
      <w:r w:rsidR="00D45C44">
        <w:t xml:space="preserve">19% isolates that were resistant to </w:t>
      </w:r>
      <w:r w:rsidR="002E5F71">
        <w:t>doravirine</w:t>
      </w:r>
      <w:r w:rsidR="00D45C44">
        <w:t>, etravirine, or rilpivirine.</w:t>
      </w:r>
    </w:p>
    <w:p w14:paraId="52352321" w14:textId="429955ED" w:rsidR="00D45C44" w:rsidRDefault="00AB1875" w:rsidP="00382533">
      <w:pPr>
        <w:pStyle w:val="ListBullet"/>
      </w:pPr>
      <w:r>
        <w:t>The non</w:t>
      </w:r>
      <w:r w:rsidR="00D45C44">
        <w:t xml:space="preserve">clinical dossier was high quality and compliant with the relevant regulatory guidelines. Nonclinical studies did not identify clinically relevant hazards, including general toxicity, carcinogenicity or reproductive toxicity. The highest systemic exposures to </w:t>
      </w:r>
      <w:r w:rsidR="002E5F71">
        <w:t>doravirine</w:t>
      </w:r>
      <w:r w:rsidR="00D45C44">
        <w:t xml:space="preserve"> obtained</w:t>
      </w:r>
      <w:r>
        <w:t xml:space="preserve"> in the toxicity studies were 5 to </w:t>
      </w:r>
      <w:r w:rsidR="00D45C44">
        <w:t>7 times the human exposure at the recommended clinical dose.</w:t>
      </w:r>
    </w:p>
    <w:p w14:paraId="5B918D64" w14:textId="48F29788" w:rsidR="00D45C44" w:rsidRDefault="00D45C44" w:rsidP="00382533">
      <w:pPr>
        <w:pStyle w:val="ListBullet"/>
      </w:pPr>
      <w:r>
        <w:t xml:space="preserve">Lactating rats, given a daily oral dose of </w:t>
      </w:r>
      <w:r w:rsidR="002E5F71">
        <w:t>doravirine</w:t>
      </w:r>
      <w:r>
        <w:t xml:space="preserve"> at 5 or 450 mg/kg, showed a high level of transfer (approximately 147% at </w:t>
      </w:r>
      <w:r w:rsidR="00AB1875">
        <w:t>low dose and 132% at high dose</w:t>
      </w:r>
      <w:r>
        <w:t xml:space="preserve">) of </w:t>
      </w:r>
      <w:r w:rsidR="002E5F71">
        <w:t>doravirine</w:t>
      </w:r>
      <w:r>
        <w:t xml:space="preserve"> into milk at 2 h</w:t>
      </w:r>
      <w:r w:rsidR="00AB1875">
        <w:t>ours</w:t>
      </w:r>
      <w:r>
        <w:t xml:space="preserve"> after dosing.</w:t>
      </w:r>
    </w:p>
    <w:p w14:paraId="79EA1E73" w14:textId="424B1766" w:rsidR="00D45C44" w:rsidRDefault="00382533" w:rsidP="00382533">
      <w:pPr>
        <w:pStyle w:val="ListBullet"/>
      </w:pPr>
      <w:r>
        <w:t>D</w:t>
      </w:r>
      <w:r w:rsidR="002E5F71">
        <w:t>oravirine</w:t>
      </w:r>
      <w:r w:rsidR="00D45C44">
        <w:t xml:space="preserve"> is described by the sponsor as showing slight photosensitivity.</w:t>
      </w:r>
    </w:p>
    <w:p w14:paraId="259F1BEA" w14:textId="4293A674" w:rsidR="00D45C44" w:rsidRDefault="00D45C44" w:rsidP="00382533">
      <w:pPr>
        <w:pStyle w:val="ListBullet"/>
      </w:pPr>
      <w:r>
        <w:t xml:space="preserve">No studies were submitted for the </w:t>
      </w:r>
      <w:r w:rsidR="00AB1875">
        <w:t>FDC</w:t>
      </w:r>
      <w:r>
        <w:t>. However, double or triple combinations of lamivudine or tenofovir with other anti-HIV agents of various classes including NNR</w:t>
      </w:r>
      <w:r w:rsidR="00382533">
        <w:t>TI and NRTI, but not lamivudine</w:t>
      </w:r>
      <w:r>
        <w:t xml:space="preserve"> in combination with tenofovir, are already approved for similar indications in Australia. Since no target organ of toxicity was observed for </w:t>
      </w:r>
      <w:r w:rsidR="002E5F71">
        <w:lastRenderedPageBreak/>
        <w:t>doravirine</w:t>
      </w:r>
      <w:r>
        <w:t xml:space="preserve"> in toxicity studies, toxicological interactions between </w:t>
      </w:r>
      <w:r w:rsidR="002E5F71">
        <w:t>doravirine</w:t>
      </w:r>
      <w:r>
        <w:t xml:space="preserve"> and </w:t>
      </w:r>
      <w:r w:rsidR="00382533">
        <w:t>lamivudine</w:t>
      </w:r>
      <w:r>
        <w:t>/</w:t>
      </w:r>
      <w:r w:rsidR="00382533">
        <w:t>tenofovir disoproxil fumarate</w:t>
      </w:r>
      <w:r>
        <w:t xml:space="preserve"> are not expected and the lack of toxicity studies for the triple combination is acceptable.</w:t>
      </w:r>
    </w:p>
    <w:p w14:paraId="63FE967B" w14:textId="02660998" w:rsidR="00D45C44" w:rsidRDefault="00D45C44" w:rsidP="00382533">
      <w:pPr>
        <w:pStyle w:val="ListBullet"/>
      </w:pPr>
      <w:r>
        <w:t>Pregnancy classification B1</w:t>
      </w:r>
      <w:r w:rsidR="00AB1875">
        <w:t>;</w:t>
      </w:r>
      <w:r w:rsidR="00AB1875">
        <w:rPr>
          <w:rStyle w:val="FootnoteReference"/>
        </w:rPr>
        <w:footnoteReference w:id="4"/>
      </w:r>
      <w:r>
        <w:t xml:space="preserve"> for </w:t>
      </w:r>
      <w:r w:rsidR="002E5F71">
        <w:t>doravirine</w:t>
      </w:r>
      <w:r>
        <w:t xml:space="preserve"> and B3</w:t>
      </w:r>
      <w:r w:rsidR="00AB1875">
        <w:t>;</w:t>
      </w:r>
      <w:bookmarkStart w:id="40" w:name="_Ref34656885"/>
      <w:r w:rsidR="00AB1875">
        <w:rPr>
          <w:rStyle w:val="FootnoteReference"/>
        </w:rPr>
        <w:footnoteReference w:id="5"/>
      </w:r>
      <w:bookmarkEnd w:id="40"/>
      <w:r>
        <w:t xml:space="preserve"> for </w:t>
      </w:r>
      <w:r w:rsidR="002E5F71">
        <w:t>doravirine</w:t>
      </w:r>
      <w:r>
        <w:t>/</w:t>
      </w:r>
      <w:r w:rsidR="00382533">
        <w:t>lamivudine</w:t>
      </w:r>
      <w:r>
        <w:t>/</w:t>
      </w:r>
      <w:r w:rsidR="00382533">
        <w:t>tenofovir disoproxil fumarate</w:t>
      </w:r>
      <w:r>
        <w:t xml:space="preserve"> is supported. Comments and recommendations for the PI have been provided by the toxicology area.</w:t>
      </w:r>
    </w:p>
    <w:p w14:paraId="33C95175" w14:textId="21CEEA6B" w:rsidR="00DC1948" w:rsidRPr="00DC1948" w:rsidRDefault="00D45C44" w:rsidP="00382533">
      <w:pPr>
        <w:pStyle w:val="ListBullet"/>
      </w:pPr>
      <w:r>
        <w:t xml:space="preserve">There are no nonclinical objections to registration of </w:t>
      </w:r>
      <w:r w:rsidR="002E5F71">
        <w:t>doravirine</w:t>
      </w:r>
      <w:r>
        <w:t xml:space="preserve"> or </w:t>
      </w:r>
      <w:r w:rsidR="002E5F71">
        <w:t>doravirine</w:t>
      </w:r>
      <w:r>
        <w:t>/</w:t>
      </w:r>
      <w:r w:rsidR="00382533">
        <w:t>lamivudine</w:t>
      </w:r>
      <w:r>
        <w:t>/</w:t>
      </w:r>
      <w:r w:rsidR="00382533">
        <w:t>tenofovir disoproxil fumarate</w:t>
      </w:r>
      <w:r>
        <w:t>.</w:t>
      </w:r>
    </w:p>
    <w:p w14:paraId="6F29DC97" w14:textId="77777777" w:rsidR="008E7846" w:rsidRDefault="008E7846" w:rsidP="008E7846">
      <w:pPr>
        <w:pStyle w:val="Heading3"/>
      </w:pPr>
      <w:bookmarkStart w:id="41" w:name="_Toc247691530"/>
      <w:bookmarkStart w:id="42" w:name="_Toc314842513"/>
      <w:bookmarkStart w:id="43" w:name="_Toc35259368"/>
      <w:r>
        <w:t>Clinical</w:t>
      </w:r>
      <w:bookmarkEnd w:id="41"/>
      <w:bookmarkEnd w:id="42"/>
      <w:bookmarkEnd w:id="43"/>
    </w:p>
    <w:p w14:paraId="19E18B2A" w14:textId="1347220D" w:rsidR="00D45C44" w:rsidRDefault="00D45C44" w:rsidP="00382533">
      <w:bookmarkStart w:id="44" w:name="_Toc314842514"/>
      <w:r w:rsidRPr="00382533">
        <w:t>The clinical dossier consisted of 39 s</w:t>
      </w:r>
      <w:r w:rsidR="00AB1875">
        <w:t>tudies</w:t>
      </w:r>
      <w:r w:rsidR="000644BB">
        <w:t xml:space="preserve"> (see </w:t>
      </w:r>
      <w:r w:rsidR="000644BB">
        <w:fldChar w:fldCharType="begin"/>
      </w:r>
      <w:r w:rsidR="000644BB">
        <w:instrText xml:space="preserve"> REF _Ref31782749 \h </w:instrText>
      </w:r>
      <w:r w:rsidR="000644BB">
        <w:fldChar w:fldCharType="separate"/>
      </w:r>
      <w:r w:rsidR="000644BB">
        <w:t xml:space="preserve">Table </w:t>
      </w:r>
      <w:r w:rsidR="000644BB">
        <w:rPr>
          <w:noProof/>
        </w:rPr>
        <w:t>5</w:t>
      </w:r>
      <w:r w:rsidR="000644BB">
        <w:fldChar w:fldCharType="end"/>
      </w:r>
      <w:r w:rsidR="000644BB">
        <w:t>)</w:t>
      </w:r>
      <w:r w:rsidR="00AB1875">
        <w:t>, of which 34 were Phase I</w:t>
      </w:r>
      <w:r w:rsidRPr="00382533">
        <w:t xml:space="preserve"> studies including drug</w:t>
      </w:r>
      <w:r w:rsidR="00BA5B1E">
        <w:t>-drug</w:t>
      </w:r>
      <w:r w:rsidRPr="00382533">
        <w:t xml:space="preserve"> interaction</w:t>
      </w:r>
      <w:r w:rsidR="00BA5B1E">
        <w:t xml:space="preserve"> (DDI)</w:t>
      </w:r>
      <w:r w:rsidRPr="00382533">
        <w:t xml:space="preserve"> studies (N</w:t>
      </w:r>
      <w:r w:rsidR="00AB1875">
        <w:t xml:space="preserve"> </w:t>
      </w:r>
      <w:r w:rsidRPr="00382533">
        <w:t>=</w:t>
      </w:r>
      <w:r w:rsidR="00AB1875">
        <w:t xml:space="preserve"> </w:t>
      </w:r>
      <w:r w:rsidRPr="00382533">
        <w:t>678)</w:t>
      </w:r>
      <w:r w:rsidR="00BA5B1E">
        <w:t>;</w:t>
      </w:r>
      <w:r w:rsidRPr="00382533">
        <w:t xml:space="preserve"> one </w:t>
      </w:r>
      <w:r w:rsidR="00A363CB">
        <w:t>pharmacodynamic (</w:t>
      </w:r>
      <w:r w:rsidRPr="00382533">
        <w:t>PD</w:t>
      </w:r>
      <w:r w:rsidR="00A363CB">
        <w:t>)</w:t>
      </w:r>
      <w:r w:rsidRPr="00382533">
        <w:t xml:space="preserve"> study (N</w:t>
      </w:r>
      <w:r w:rsidR="00AB1875">
        <w:t xml:space="preserve"> </w:t>
      </w:r>
      <w:r w:rsidRPr="00382533">
        <w:t>=</w:t>
      </w:r>
      <w:r w:rsidR="00AB1875">
        <w:t xml:space="preserve"> 18)</w:t>
      </w:r>
      <w:r w:rsidR="00BA5B1E">
        <w:t>;</w:t>
      </w:r>
      <w:r w:rsidR="00AB1875">
        <w:t xml:space="preserve"> one QT study (N </w:t>
      </w:r>
      <w:r w:rsidR="00ED3E05">
        <w:t xml:space="preserve">= </w:t>
      </w:r>
      <w:r w:rsidR="00AB1875">
        <w:t xml:space="preserve">approximately </w:t>
      </w:r>
      <w:r w:rsidR="00A5663B">
        <w:t>45</w:t>
      </w:r>
      <w:r w:rsidR="00AB1875">
        <w:t>)</w:t>
      </w:r>
      <w:r w:rsidR="00BA5B1E">
        <w:t>;</w:t>
      </w:r>
      <w:r w:rsidR="00BA5B1E">
        <w:rPr>
          <w:rStyle w:val="FootnoteReference"/>
        </w:rPr>
        <w:footnoteReference w:id="6"/>
      </w:r>
      <w:r w:rsidR="00AB1875">
        <w:t xml:space="preserve"> one Phase II</w:t>
      </w:r>
      <w:r w:rsidRPr="00382533">
        <w:t xml:space="preserve"> study (N</w:t>
      </w:r>
      <w:r w:rsidR="00AB1875">
        <w:t xml:space="preserve"> </w:t>
      </w:r>
      <w:r w:rsidRPr="00382533">
        <w:t>=</w:t>
      </w:r>
      <w:r w:rsidR="00AB1875">
        <w:t xml:space="preserve"> </w:t>
      </w:r>
      <w:r w:rsidRPr="00382533">
        <w:t>340)</w:t>
      </w:r>
      <w:r w:rsidR="00BA5B1E">
        <w:t>;</w:t>
      </w:r>
      <w:r w:rsidRPr="00382533">
        <w:t xml:space="preserve"> and 2 </w:t>
      </w:r>
      <w:r w:rsidR="00AB1875">
        <w:t>pivotal Phase III</w:t>
      </w:r>
      <w:r w:rsidR="00382533">
        <w:t xml:space="preserve"> studies (N</w:t>
      </w:r>
      <w:r w:rsidR="00AB1875">
        <w:t xml:space="preserve"> </w:t>
      </w:r>
      <w:r w:rsidR="00382533">
        <w:t>=</w:t>
      </w:r>
      <w:r w:rsidR="00AB1875">
        <w:t xml:space="preserve"> </w:t>
      </w:r>
      <w:r w:rsidR="00382533">
        <w:t>855).</w:t>
      </w:r>
    </w:p>
    <w:p w14:paraId="7914DFC9" w14:textId="32431BE1" w:rsidR="00382533" w:rsidRPr="00382533" w:rsidRDefault="000644BB" w:rsidP="000644BB">
      <w:pPr>
        <w:pStyle w:val="TableTitle"/>
      </w:pPr>
      <w:bookmarkStart w:id="45" w:name="_Ref31782749"/>
      <w:r>
        <w:t xml:space="preserve">Table </w:t>
      </w:r>
      <w:fldSimple w:instr=" SEQ Table \* ARABIC ">
        <w:r>
          <w:rPr>
            <w:noProof/>
          </w:rPr>
          <w:t>5</w:t>
        </w:r>
      </w:fldSimple>
      <w:bookmarkEnd w:id="45"/>
      <w:r w:rsidR="001B7727">
        <w:rPr>
          <w:noProof/>
        </w:rPr>
        <w:t>:</w:t>
      </w:r>
      <w:r>
        <w:t xml:space="preserve"> List of clinical studies</w:t>
      </w:r>
    </w:p>
    <w:tbl>
      <w:tblPr>
        <w:tblStyle w:val="TableTGAblue"/>
        <w:tblW w:w="8915" w:type="dxa"/>
        <w:tblLook w:val="04A0" w:firstRow="1" w:lastRow="0" w:firstColumn="1" w:lastColumn="0" w:noHBand="0" w:noVBand="1"/>
      </w:tblPr>
      <w:tblGrid>
        <w:gridCol w:w="783"/>
        <w:gridCol w:w="3273"/>
        <w:gridCol w:w="1409"/>
        <w:gridCol w:w="3508"/>
      </w:tblGrid>
      <w:tr w:rsidR="000644BB" w:rsidRPr="000644BB" w14:paraId="05876394" w14:textId="77777777" w:rsidTr="005806AC">
        <w:trPr>
          <w:cnfStyle w:val="100000000000" w:firstRow="1" w:lastRow="0" w:firstColumn="0" w:lastColumn="0" w:oddVBand="0" w:evenVBand="0" w:oddHBand="0" w:evenHBand="0" w:firstRowFirstColumn="0" w:firstRowLastColumn="0" w:lastRowFirstColumn="0" w:lastRowLastColumn="0"/>
          <w:trHeight w:val="71"/>
        </w:trPr>
        <w:tc>
          <w:tcPr>
            <w:tcW w:w="783" w:type="dxa"/>
            <w:noWrap/>
          </w:tcPr>
          <w:p w14:paraId="25B22010" w14:textId="6570EDCB" w:rsidR="000644BB" w:rsidRPr="000644BB" w:rsidRDefault="00BA5B1E" w:rsidP="000644BB">
            <w:pPr>
              <w:ind w:left="0" w:right="0"/>
              <w:rPr>
                <w:sz w:val="20"/>
                <w:szCs w:val="20"/>
              </w:rPr>
            </w:pPr>
            <w:r>
              <w:rPr>
                <w:sz w:val="20"/>
                <w:szCs w:val="20"/>
              </w:rPr>
              <w:t>Study n</w:t>
            </w:r>
            <w:r w:rsidR="000644BB" w:rsidRPr="000644BB">
              <w:rPr>
                <w:sz w:val="20"/>
                <w:szCs w:val="20"/>
              </w:rPr>
              <w:t>ame</w:t>
            </w:r>
          </w:p>
        </w:tc>
        <w:tc>
          <w:tcPr>
            <w:tcW w:w="3273" w:type="dxa"/>
            <w:noWrap/>
          </w:tcPr>
          <w:p w14:paraId="3D84BCCF" w14:textId="51922B72" w:rsidR="000644BB" w:rsidRPr="000644BB" w:rsidRDefault="000644BB" w:rsidP="000644BB">
            <w:pPr>
              <w:ind w:left="0" w:right="0"/>
              <w:rPr>
                <w:sz w:val="20"/>
                <w:szCs w:val="20"/>
              </w:rPr>
            </w:pPr>
            <w:r w:rsidRPr="000644BB">
              <w:rPr>
                <w:sz w:val="20"/>
                <w:szCs w:val="20"/>
              </w:rPr>
              <w:t>Study type</w:t>
            </w:r>
          </w:p>
        </w:tc>
        <w:tc>
          <w:tcPr>
            <w:tcW w:w="1351" w:type="dxa"/>
            <w:noWrap/>
          </w:tcPr>
          <w:p w14:paraId="284C377A" w14:textId="43814708" w:rsidR="000644BB" w:rsidRPr="000644BB" w:rsidRDefault="00BA5B1E" w:rsidP="000644BB">
            <w:pPr>
              <w:ind w:left="0" w:right="0"/>
              <w:rPr>
                <w:sz w:val="20"/>
                <w:szCs w:val="20"/>
              </w:rPr>
            </w:pPr>
            <w:r>
              <w:rPr>
                <w:sz w:val="20"/>
                <w:szCs w:val="20"/>
              </w:rPr>
              <w:t>Study n</w:t>
            </w:r>
            <w:r w:rsidR="000644BB" w:rsidRPr="000644BB">
              <w:rPr>
                <w:sz w:val="20"/>
                <w:szCs w:val="20"/>
              </w:rPr>
              <w:t>ame</w:t>
            </w:r>
          </w:p>
        </w:tc>
        <w:tc>
          <w:tcPr>
            <w:tcW w:w="3508" w:type="dxa"/>
            <w:noWrap/>
          </w:tcPr>
          <w:p w14:paraId="0EF91AD7" w14:textId="6BC7256C" w:rsidR="000644BB" w:rsidRPr="000644BB" w:rsidRDefault="000644BB" w:rsidP="000644BB">
            <w:pPr>
              <w:ind w:left="0" w:right="0"/>
              <w:rPr>
                <w:sz w:val="20"/>
                <w:szCs w:val="20"/>
              </w:rPr>
            </w:pPr>
            <w:r w:rsidRPr="000644BB">
              <w:rPr>
                <w:sz w:val="20"/>
                <w:szCs w:val="20"/>
              </w:rPr>
              <w:t>Study type</w:t>
            </w:r>
          </w:p>
        </w:tc>
      </w:tr>
      <w:tr w:rsidR="000644BB" w:rsidRPr="000644BB" w14:paraId="167189A1" w14:textId="77777777" w:rsidTr="005806AC">
        <w:trPr>
          <w:trHeight w:val="71"/>
        </w:trPr>
        <w:tc>
          <w:tcPr>
            <w:tcW w:w="783" w:type="dxa"/>
            <w:noWrap/>
            <w:hideMark/>
          </w:tcPr>
          <w:p w14:paraId="7CA481ED" w14:textId="77777777" w:rsidR="00D45C44" w:rsidRPr="000644BB" w:rsidRDefault="00D45C44" w:rsidP="000644BB">
            <w:pPr>
              <w:ind w:left="0" w:right="0"/>
              <w:rPr>
                <w:color w:val="auto"/>
                <w:sz w:val="20"/>
                <w:szCs w:val="20"/>
              </w:rPr>
            </w:pPr>
            <w:r w:rsidRPr="000644BB">
              <w:rPr>
                <w:color w:val="auto"/>
                <w:sz w:val="20"/>
                <w:szCs w:val="20"/>
              </w:rPr>
              <w:t>P001</w:t>
            </w:r>
          </w:p>
        </w:tc>
        <w:tc>
          <w:tcPr>
            <w:tcW w:w="3273" w:type="dxa"/>
            <w:noWrap/>
            <w:hideMark/>
          </w:tcPr>
          <w:p w14:paraId="4E195FBA" w14:textId="77777777" w:rsidR="00D45C44" w:rsidRPr="000644BB" w:rsidRDefault="00D45C44" w:rsidP="000644BB">
            <w:pPr>
              <w:ind w:left="0" w:right="0"/>
              <w:rPr>
                <w:color w:val="auto"/>
                <w:sz w:val="20"/>
                <w:szCs w:val="20"/>
              </w:rPr>
            </w:pPr>
            <w:r w:rsidRPr="000644BB">
              <w:rPr>
                <w:color w:val="auto"/>
                <w:sz w:val="20"/>
                <w:szCs w:val="20"/>
              </w:rPr>
              <w:t>PK; DDI (midazolam); food effect</w:t>
            </w:r>
          </w:p>
        </w:tc>
        <w:tc>
          <w:tcPr>
            <w:tcW w:w="1351" w:type="dxa"/>
            <w:noWrap/>
            <w:hideMark/>
          </w:tcPr>
          <w:p w14:paraId="3E7A3B83" w14:textId="77777777" w:rsidR="00D45C44" w:rsidRPr="000644BB" w:rsidRDefault="00D45C44" w:rsidP="000644BB">
            <w:pPr>
              <w:ind w:left="0" w:right="0"/>
              <w:rPr>
                <w:color w:val="auto"/>
                <w:sz w:val="20"/>
                <w:szCs w:val="20"/>
              </w:rPr>
            </w:pPr>
            <w:r w:rsidRPr="000644BB">
              <w:rPr>
                <w:color w:val="auto"/>
                <w:sz w:val="20"/>
                <w:szCs w:val="20"/>
              </w:rPr>
              <w:t>P029</w:t>
            </w:r>
          </w:p>
        </w:tc>
        <w:tc>
          <w:tcPr>
            <w:tcW w:w="3508" w:type="dxa"/>
            <w:noWrap/>
            <w:hideMark/>
          </w:tcPr>
          <w:p w14:paraId="7249DB5E" w14:textId="77777777" w:rsidR="00D45C44" w:rsidRPr="000644BB" w:rsidRDefault="00D45C44" w:rsidP="000644BB">
            <w:pPr>
              <w:ind w:left="0" w:right="0"/>
              <w:rPr>
                <w:color w:val="auto"/>
                <w:sz w:val="20"/>
                <w:szCs w:val="20"/>
              </w:rPr>
            </w:pPr>
            <w:r w:rsidRPr="000644BB">
              <w:rPr>
                <w:color w:val="auto"/>
                <w:sz w:val="20"/>
                <w:szCs w:val="20"/>
              </w:rPr>
              <w:t>Food effect (FDC)</w:t>
            </w:r>
          </w:p>
        </w:tc>
      </w:tr>
      <w:tr w:rsidR="000644BB" w:rsidRPr="000644BB" w14:paraId="3A004550" w14:textId="77777777" w:rsidTr="005806AC">
        <w:trPr>
          <w:trHeight w:val="132"/>
        </w:trPr>
        <w:tc>
          <w:tcPr>
            <w:tcW w:w="783" w:type="dxa"/>
            <w:noWrap/>
            <w:hideMark/>
          </w:tcPr>
          <w:p w14:paraId="1CB9AF4C" w14:textId="77777777" w:rsidR="00D45C44" w:rsidRPr="000644BB" w:rsidRDefault="00D45C44" w:rsidP="000644BB">
            <w:pPr>
              <w:ind w:left="0" w:right="0"/>
              <w:rPr>
                <w:color w:val="auto"/>
                <w:sz w:val="20"/>
                <w:szCs w:val="20"/>
              </w:rPr>
            </w:pPr>
            <w:r w:rsidRPr="000644BB">
              <w:rPr>
                <w:color w:val="auto"/>
                <w:sz w:val="20"/>
                <w:szCs w:val="20"/>
              </w:rPr>
              <w:t>P002</w:t>
            </w:r>
          </w:p>
        </w:tc>
        <w:tc>
          <w:tcPr>
            <w:tcW w:w="3273" w:type="dxa"/>
            <w:noWrap/>
            <w:hideMark/>
          </w:tcPr>
          <w:p w14:paraId="1A86A6DE" w14:textId="77777777" w:rsidR="00D45C44" w:rsidRPr="000644BB" w:rsidRDefault="00D45C44" w:rsidP="000644BB">
            <w:pPr>
              <w:ind w:left="0" w:right="0"/>
              <w:rPr>
                <w:color w:val="auto"/>
                <w:sz w:val="20"/>
                <w:szCs w:val="20"/>
              </w:rPr>
            </w:pPr>
            <w:r w:rsidRPr="000644BB">
              <w:rPr>
                <w:color w:val="auto"/>
                <w:sz w:val="20"/>
                <w:szCs w:val="20"/>
              </w:rPr>
              <w:t>DDI (ritonavir)</w:t>
            </w:r>
          </w:p>
        </w:tc>
        <w:tc>
          <w:tcPr>
            <w:tcW w:w="1351" w:type="dxa"/>
            <w:noWrap/>
            <w:hideMark/>
          </w:tcPr>
          <w:p w14:paraId="3ABC453A" w14:textId="77777777" w:rsidR="00D45C44" w:rsidRPr="000644BB" w:rsidRDefault="00D45C44" w:rsidP="000644BB">
            <w:pPr>
              <w:ind w:left="0" w:right="0"/>
              <w:rPr>
                <w:color w:val="auto"/>
                <w:sz w:val="20"/>
                <w:szCs w:val="20"/>
              </w:rPr>
            </w:pPr>
            <w:r w:rsidRPr="000644BB">
              <w:rPr>
                <w:color w:val="auto"/>
                <w:sz w:val="20"/>
                <w:szCs w:val="20"/>
              </w:rPr>
              <w:t>P031</w:t>
            </w:r>
          </w:p>
        </w:tc>
        <w:tc>
          <w:tcPr>
            <w:tcW w:w="3508" w:type="dxa"/>
            <w:noWrap/>
            <w:hideMark/>
          </w:tcPr>
          <w:p w14:paraId="63B88CD9" w14:textId="48B70E3F" w:rsidR="00D45C44" w:rsidRPr="000644BB" w:rsidRDefault="00D45C44" w:rsidP="000644BB">
            <w:pPr>
              <w:ind w:left="0" w:right="0"/>
              <w:rPr>
                <w:color w:val="auto"/>
                <w:sz w:val="20"/>
                <w:szCs w:val="20"/>
              </w:rPr>
            </w:pPr>
            <w:r w:rsidRPr="000644BB">
              <w:rPr>
                <w:color w:val="auto"/>
                <w:sz w:val="20"/>
                <w:szCs w:val="20"/>
              </w:rPr>
              <w:t xml:space="preserve">PK (IM </w:t>
            </w:r>
            <w:r w:rsidR="002E5F71" w:rsidRPr="000644BB">
              <w:rPr>
                <w:color w:val="auto"/>
                <w:sz w:val="20"/>
                <w:szCs w:val="20"/>
              </w:rPr>
              <w:t>doravirine</w:t>
            </w:r>
            <w:r w:rsidRPr="000644BB">
              <w:rPr>
                <w:color w:val="auto"/>
                <w:sz w:val="20"/>
                <w:szCs w:val="20"/>
              </w:rPr>
              <w:t>)</w:t>
            </w:r>
          </w:p>
        </w:tc>
      </w:tr>
      <w:tr w:rsidR="000644BB" w:rsidRPr="000644BB" w14:paraId="7049B2F3" w14:textId="77777777" w:rsidTr="005806AC">
        <w:trPr>
          <w:trHeight w:val="92"/>
        </w:trPr>
        <w:tc>
          <w:tcPr>
            <w:tcW w:w="783" w:type="dxa"/>
            <w:noWrap/>
            <w:hideMark/>
          </w:tcPr>
          <w:p w14:paraId="376FD7CB" w14:textId="77777777" w:rsidR="00D45C44" w:rsidRPr="000644BB" w:rsidRDefault="00D45C44" w:rsidP="000644BB">
            <w:pPr>
              <w:ind w:left="0" w:right="0"/>
              <w:rPr>
                <w:color w:val="auto"/>
                <w:sz w:val="20"/>
                <w:szCs w:val="20"/>
              </w:rPr>
            </w:pPr>
            <w:r w:rsidRPr="000644BB">
              <w:rPr>
                <w:color w:val="auto"/>
                <w:sz w:val="20"/>
                <w:szCs w:val="20"/>
              </w:rPr>
              <w:t>P003</w:t>
            </w:r>
          </w:p>
        </w:tc>
        <w:tc>
          <w:tcPr>
            <w:tcW w:w="3273" w:type="dxa"/>
            <w:noWrap/>
            <w:hideMark/>
          </w:tcPr>
          <w:p w14:paraId="58B65665" w14:textId="4146D781" w:rsidR="00D45C44" w:rsidRPr="000644BB" w:rsidRDefault="00D45C44" w:rsidP="000644BB">
            <w:pPr>
              <w:ind w:left="0" w:right="0"/>
              <w:rPr>
                <w:color w:val="auto"/>
                <w:sz w:val="20"/>
                <w:szCs w:val="20"/>
              </w:rPr>
            </w:pPr>
            <w:r w:rsidRPr="000644BB">
              <w:rPr>
                <w:color w:val="auto"/>
                <w:sz w:val="20"/>
                <w:szCs w:val="20"/>
              </w:rPr>
              <w:t>DDI (</w:t>
            </w:r>
            <w:r w:rsidR="00382533" w:rsidRPr="000644BB">
              <w:rPr>
                <w:color w:val="auto"/>
                <w:sz w:val="20"/>
                <w:szCs w:val="20"/>
              </w:rPr>
              <w:t>tenofovir disoproxil fumarate</w:t>
            </w:r>
            <w:r w:rsidRPr="000644BB">
              <w:rPr>
                <w:color w:val="auto"/>
                <w:sz w:val="20"/>
                <w:szCs w:val="20"/>
              </w:rPr>
              <w:t>)</w:t>
            </w:r>
          </w:p>
        </w:tc>
        <w:tc>
          <w:tcPr>
            <w:tcW w:w="1351" w:type="dxa"/>
            <w:noWrap/>
            <w:hideMark/>
          </w:tcPr>
          <w:p w14:paraId="661D3DC0" w14:textId="77777777" w:rsidR="00D45C44" w:rsidRPr="000644BB" w:rsidRDefault="00D45C44" w:rsidP="000644BB">
            <w:pPr>
              <w:ind w:left="0" w:right="0"/>
              <w:rPr>
                <w:color w:val="auto"/>
                <w:sz w:val="20"/>
                <w:szCs w:val="20"/>
              </w:rPr>
            </w:pPr>
            <w:r w:rsidRPr="000644BB">
              <w:rPr>
                <w:color w:val="auto"/>
                <w:sz w:val="20"/>
                <w:szCs w:val="20"/>
              </w:rPr>
              <w:t>P034</w:t>
            </w:r>
          </w:p>
        </w:tc>
        <w:tc>
          <w:tcPr>
            <w:tcW w:w="3508" w:type="dxa"/>
            <w:noWrap/>
            <w:hideMark/>
          </w:tcPr>
          <w:p w14:paraId="0AD6DF85" w14:textId="77777777" w:rsidR="00D45C44" w:rsidRPr="000644BB" w:rsidRDefault="00D45C44" w:rsidP="000644BB">
            <w:pPr>
              <w:ind w:left="0" w:right="0"/>
              <w:rPr>
                <w:color w:val="auto"/>
                <w:sz w:val="20"/>
                <w:szCs w:val="20"/>
              </w:rPr>
            </w:pPr>
            <w:r w:rsidRPr="000644BB">
              <w:rPr>
                <w:color w:val="auto"/>
                <w:sz w:val="20"/>
                <w:szCs w:val="20"/>
              </w:rPr>
              <w:t>BE (nano formulation)</w:t>
            </w:r>
          </w:p>
        </w:tc>
      </w:tr>
      <w:tr w:rsidR="000644BB" w:rsidRPr="000644BB" w14:paraId="6A544E75" w14:textId="77777777" w:rsidTr="005806AC">
        <w:trPr>
          <w:trHeight w:val="164"/>
        </w:trPr>
        <w:tc>
          <w:tcPr>
            <w:tcW w:w="783" w:type="dxa"/>
            <w:noWrap/>
            <w:hideMark/>
          </w:tcPr>
          <w:p w14:paraId="566318F9" w14:textId="77777777" w:rsidR="00D45C44" w:rsidRPr="000644BB" w:rsidRDefault="00D45C44" w:rsidP="000644BB">
            <w:pPr>
              <w:ind w:left="0" w:right="0"/>
              <w:rPr>
                <w:color w:val="auto"/>
                <w:sz w:val="20"/>
                <w:szCs w:val="20"/>
              </w:rPr>
            </w:pPr>
            <w:r w:rsidRPr="000644BB">
              <w:rPr>
                <w:color w:val="auto"/>
                <w:sz w:val="20"/>
                <w:szCs w:val="20"/>
              </w:rPr>
              <w:t>P005</w:t>
            </w:r>
          </w:p>
        </w:tc>
        <w:tc>
          <w:tcPr>
            <w:tcW w:w="3273" w:type="dxa"/>
            <w:noWrap/>
            <w:hideMark/>
          </w:tcPr>
          <w:p w14:paraId="32C1FCAC" w14:textId="77777777" w:rsidR="00D45C44" w:rsidRPr="000644BB" w:rsidRDefault="00D45C44" w:rsidP="000644BB">
            <w:pPr>
              <w:ind w:left="0" w:right="0"/>
              <w:rPr>
                <w:color w:val="auto"/>
                <w:sz w:val="20"/>
                <w:szCs w:val="20"/>
              </w:rPr>
            </w:pPr>
            <w:r w:rsidRPr="000644BB">
              <w:rPr>
                <w:color w:val="auto"/>
                <w:sz w:val="20"/>
                <w:szCs w:val="20"/>
              </w:rPr>
              <w:t>PD; proof-of-concept</w:t>
            </w:r>
          </w:p>
        </w:tc>
        <w:tc>
          <w:tcPr>
            <w:tcW w:w="1351" w:type="dxa"/>
            <w:noWrap/>
            <w:hideMark/>
          </w:tcPr>
          <w:p w14:paraId="570721C2" w14:textId="77777777" w:rsidR="00D45C44" w:rsidRPr="000644BB" w:rsidRDefault="00D45C44" w:rsidP="000644BB">
            <w:pPr>
              <w:ind w:left="0" w:right="0"/>
              <w:rPr>
                <w:color w:val="auto"/>
                <w:sz w:val="20"/>
                <w:szCs w:val="20"/>
              </w:rPr>
            </w:pPr>
            <w:r w:rsidRPr="000644BB">
              <w:rPr>
                <w:color w:val="auto"/>
                <w:sz w:val="20"/>
                <w:szCs w:val="20"/>
              </w:rPr>
              <w:t>P035</w:t>
            </w:r>
          </w:p>
        </w:tc>
        <w:tc>
          <w:tcPr>
            <w:tcW w:w="3508" w:type="dxa"/>
            <w:noWrap/>
            <w:hideMark/>
          </w:tcPr>
          <w:p w14:paraId="47A6F00F" w14:textId="77777777" w:rsidR="00D45C44" w:rsidRPr="000644BB" w:rsidRDefault="00D45C44" w:rsidP="000644BB">
            <w:pPr>
              <w:ind w:left="0" w:right="0"/>
              <w:rPr>
                <w:color w:val="auto"/>
                <w:sz w:val="20"/>
                <w:szCs w:val="20"/>
              </w:rPr>
            </w:pPr>
            <w:r w:rsidRPr="000644BB">
              <w:rPr>
                <w:color w:val="auto"/>
                <w:sz w:val="20"/>
                <w:szCs w:val="20"/>
              </w:rPr>
              <w:t>DDI (rifabutin)</w:t>
            </w:r>
          </w:p>
        </w:tc>
      </w:tr>
      <w:tr w:rsidR="000644BB" w:rsidRPr="000644BB" w14:paraId="51122F0E" w14:textId="77777777" w:rsidTr="005806AC">
        <w:trPr>
          <w:trHeight w:val="112"/>
        </w:trPr>
        <w:tc>
          <w:tcPr>
            <w:tcW w:w="783" w:type="dxa"/>
            <w:noWrap/>
            <w:hideMark/>
          </w:tcPr>
          <w:p w14:paraId="3F52C4A2" w14:textId="77777777" w:rsidR="00D45C44" w:rsidRPr="000644BB" w:rsidRDefault="00D45C44" w:rsidP="000644BB">
            <w:pPr>
              <w:ind w:left="0" w:right="0"/>
              <w:rPr>
                <w:color w:val="auto"/>
                <w:sz w:val="20"/>
                <w:szCs w:val="20"/>
              </w:rPr>
            </w:pPr>
            <w:r w:rsidRPr="000644BB">
              <w:rPr>
                <w:color w:val="auto"/>
                <w:sz w:val="20"/>
                <w:szCs w:val="20"/>
              </w:rPr>
              <w:t>P006</w:t>
            </w:r>
          </w:p>
        </w:tc>
        <w:tc>
          <w:tcPr>
            <w:tcW w:w="3273" w:type="dxa"/>
            <w:noWrap/>
            <w:hideMark/>
          </w:tcPr>
          <w:p w14:paraId="654E446E" w14:textId="7051D7CD" w:rsidR="00D45C44" w:rsidRPr="000644BB" w:rsidRDefault="003B1757" w:rsidP="000644BB">
            <w:pPr>
              <w:ind w:left="0" w:right="0"/>
              <w:rPr>
                <w:color w:val="auto"/>
                <w:sz w:val="20"/>
                <w:szCs w:val="20"/>
              </w:rPr>
            </w:pPr>
            <w:r>
              <w:rPr>
                <w:color w:val="auto"/>
                <w:sz w:val="20"/>
                <w:szCs w:val="20"/>
              </w:rPr>
              <w:t>PK (h</w:t>
            </w:r>
            <w:r w:rsidR="00D45C44" w:rsidRPr="000644BB">
              <w:rPr>
                <w:color w:val="auto"/>
                <w:sz w:val="20"/>
                <w:szCs w:val="20"/>
              </w:rPr>
              <w:t xml:space="preserve">igh dose </w:t>
            </w:r>
            <w:r w:rsidR="002E5F71" w:rsidRPr="000644BB">
              <w:rPr>
                <w:color w:val="auto"/>
                <w:sz w:val="20"/>
                <w:szCs w:val="20"/>
              </w:rPr>
              <w:t>doravirine</w:t>
            </w:r>
            <w:r w:rsidR="00D45C44" w:rsidRPr="000644BB">
              <w:rPr>
                <w:color w:val="auto"/>
                <w:sz w:val="20"/>
                <w:szCs w:val="20"/>
              </w:rPr>
              <w:t>)</w:t>
            </w:r>
          </w:p>
        </w:tc>
        <w:tc>
          <w:tcPr>
            <w:tcW w:w="1351" w:type="dxa"/>
            <w:noWrap/>
            <w:hideMark/>
          </w:tcPr>
          <w:p w14:paraId="06A4180A" w14:textId="77777777" w:rsidR="00D45C44" w:rsidRPr="000644BB" w:rsidRDefault="00D45C44" w:rsidP="000644BB">
            <w:pPr>
              <w:ind w:left="0" w:right="0"/>
              <w:rPr>
                <w:color w:val="auto"/>
                <w:sz w:val="20"/>
                <w:szCs w:val="20"/>
              </w:rPr>
            </w:pPr>
            <w:r w:rsidRPr="000644BB">
              <w:rPr>
                <w:color w:val="auto"/>
                <w:sz w:val="20"/>
                <w:szCs w:val="20"/>
              </w:rPr>
              <w:t>P036</w:t>
            </w:r>
          </w:p>
        </w:tc>
        <w:tc>
          <w:tcPr>
            <w:tcW w:w="3508" w:type="dxa"/>
            <w:noWrap/>
            <w:hideMark/>
          </w:tcPr>
          <w:p w14:paraId="603AF692" w14:textId="77777777" w:rsidR="00D45C44" w:rsidRPr="000644BB" w:rsidRDefault="00D45C44" w:rsidP="000644BB">
            <w:pPr>
              <w:ind w:left="0" w:right="0"/>
              <w:rPr>
                <w:color w:val="auto"/>
                <w:sz w:val="20"/>
                <w:szCs w:val="20"/>
              </w:rPr>
            </w:pPr>
            <w:r w:rsidRPr="000644BB">
              <w:rPr>
                <w:color w:val="auto"/>
                <w:sz w:val="20"/>
                <w:szCs w:val="20"/>
              </w:rPr>
              <w:t>DDI (atorvastatin)</w:t>
            </w:r>
          </w:p>
        </w:tc>
      </w:tr>
      <w:tr w:rsidR="000644BB" w:rsidRPr="000644BB" w14:paraId="758D95AF" w14:textId="77777777" w:rsidTr="005806AC">
        <w:trPr>
          <w:trHeight w:val="44"/>
        </w:trPr>
        <w:tc>
          <w:tcPr>
            <w:tcW w:w="783" w:type="dxa"/>
            <w:noWrap/>
            <w:hideMark/>
          </w:tcPr>
          <w:p w14:paraId="41A41B21" w14:textId="77777777" w:rsidR="00D45C44" w:rsidRPr="000644BB" w:rsidRDefault="00D45C44" w:rsidP="000644BB">
            <w:pPr>
              <w:ind w:left="0" w:right="0"/>
              <w:rPr>
                <w:color w:val="auto"/>
                <w:sz w:val="20"/>
                <w:szCs w:val="20"/>
              </w:rPr>
            </w:pPr>
            <w:r w:rsidRPr="000644BB">
              <w:rPr>
                <w:color w:val="auto"/>
                <w:sz w:val="20"/>
                <w:szCs w:val="20"/>
              </w:rPr>
              <w:t>P007</w:t>
            </w:r>
          </w:p>
        </w:tc>
        <w:tc>
          <w:tcPr>
            <w:tcW w:w="3273" w:type="dxa"/>
            <w:noWrap/>
            <w:hideMark/>
          </w:tcPr>
          <w:p w14:paraId="4FB1A22B" w14:textId="0A7D3FF6" w:rsidR="00D45C44" w:rsidRPr="000644BB" w:rsidRDefault="000644BB" w:rsidP="000644BB">
            <w:pPr>
              <w:ind w:left="0" w:right="0"/>
              <w:rPr>
                <w:color w:val="auto"/>
                <w:sz w:val="20"/>
                <w:szCs w:val="20"/>
              </w:rPr>
            </w:pPr>
            <w:r>
              <w:rPr>
                <w:color w:val="auto"/>
                <w:sz w:val="20"/>
                <w:szCs w:val="20"/>
              </w:rPr>
              <w:t>Phase II</w:t>
            </w:r>
          </w:p>
        </w:tc>
        <w:tc>
          <w:tcPr>
            <w:tcW w:w="1351" w:type="dxa"/>
            <w:noWrap/>
            <w:hideMark/>
          </w:tcPr>
          <w:p w14:paraId="6CA73C03" w14:textId="77777777" w:rsidR="00D45C44" w:rsidRPr="000644BB" w:rsidRDefault="00D45C44" w:rsidP="000644BB">
            <w:pPr>
              <w:ind w:left="0" w:right="0"/>
              <w:rPr>
                <w:color w:val="auto"/>
                <w:sz w:val="20"/>
                <w:szCs w:val="20"/>
              </w:rPr>
            </w:pPr>
            <w:r w:rsidRPr="000644BB">
              <w:rPr>
                <w:color w:val="auto"/>
                <w:sz w:val="20"/>
                <w:szCs w:val="20"/>
              </w:rPr>
              <w:t>P037</w:t>
            </w:r>
          </w:p>
        </w:tc>
        <w:tc>
          <w:tcPr>
            <w:tcW w:w="3508" w:type="dxa"/>
            <w:noWrap/>
            <w:hideMark/>
          </w:tcPr>
          <w:p w14:paraId="66B62A9C" w14:textId="61CDD70C" w:rsidR="00D45C44" w:rsidRPr="000644BB" w:rsidRDefault="00D45C44" w:rsidP="000644BB">
            <w:pPr>
              <w:ind w:left="0" w:right="0"/>
              <w:rPr>
                <w:color w:val="auto"/>
                <w:sz w:val="20"/>
                <w:szCs w:val="20"/>
              </w:rPr>
            </w:pPr>
            <w:r w:rsidRPr="000644BB">
              <w:rPr>
                <w:color w:val="auto"/>
                <w:sz w:val="20"/>
                <w:szCs w:val="20"/>
              </w:rPr>
              <w:t>Food effect (</w:t>
            </w:r>
            <w:r w:rsidR="002E5F71" w:rsidRPr="000644BB">
              <w:rPr>
                <w:color w:val="auto"/>
                <w:sz w:val="20"/>
                <w:szCs w:val="20"/>
              </w:rPr>
              <w:t>doravirine</w:t>
            </w:r>
            <w:r w:rsidRPr="000644BB">
              <w:rPr>
                <w:color w:val="auto"/>
                <w:sz w:val="20"/>
                <w:szCs w:val="20"/>
              </w:rPr>
              <w:t>)</w:t>
            </w:r>
          </w:p>
        </w:tc>
      </w:tr>
      <w:tr w:rsidR="000644BB" w:rsidRPr="000644BB" w14:paraId="09A2DF41" w14:textId="77777777" w:rsidTr="005806AC">
        <w:trPr>
          <w:trHeight w:val="118"/>
        </w:trPr>
        <w:tc>
          <w:tcPr>
            <w:tcW w:w="783" w:type="dxa"/>
            <w:noWrap/>
            <w:hideMark/>
          </w:tcPr>
          <w:p w14:paraId="53B453CF" w14:textId="77777777" w:rsidR="00D45C44" w:rsidRPr="000644BB" w:rsidRDefault="00D45C44" w:rsidP="000644BB">
            <w:pPr>
              <w:ind w:left="0" w:right="0"/>
              <w:rPr>
                <w:color w:val="auto"/>
                <w:sz w:val="20"/>
                <w:szCs w:val="20"/>
              </w:rPr>
            </w:pPr>
            <w:r w:rsidRPr="000644BB">
              <w:rPr>
                <w:color w:val="auto"/>
                <w:sz w:val="20"/>
                <w:szCs w:val="20"/>
              </w:rPr>
              <w:t>P008</w:t>
            </w:r>
          </w:p>
        </w:tc>
        <w:tc>
          <w:tcPr>
            <w:tcW w:w="3273" w:type="dxa"/>
            <w:noWrap/>
            <w:hideMark/>
          </w:tcPr>
          <w:p w14:paraId="48000224" w14:textId="4C1DBCC1" w:rsidR="00D45C44" w:rsidRPr="000644BB" w:rsidRDefault="00D45C44" w:rsidP="000644BB">
            <w:pPr>
              <w:ind w:left="0" w:right="0"/>
              <w:rPr>
                <w:color w:val="auto"/>
                <w:sz w:val="20"/>
                <w:szCs w:val="20"/>
              </w:rPr>
            </w:pPr>
            <w:r w:rsidRPr="000644BB">
              <w:rPr>
                <w:color w:val="auto"/>
                <w:sz w:val="20"/>
                <w:szCs w:val="20"/>
                <w:vertAlign w:val="superscript"/>
              </w:rPr>
              <w:t>14</w:t>
            </w:r>
            <w:r w:rsidRPr="000644BB">
              <w:rPr>
                <w:color w:val="auto"/>
                <w:sz w:val="20"/>
                <w:szCs w:val="20"/>
              </w:rPr>
              <w:t>C-</w:t>
            </w:r>
            <w:r w:rsidR="002E5F71" w:rsidRPr="000644BB">
              <w:rPr>
                <w:color w:val="auto"/>
                <w:sz w:val="20"/>
                <w:szCs w:val="20"/>
              </w:rPr>
              <w:t>doravirine</w:t>
            </w:r>
            <w:r w:rsidRPr="000644BB">
              <w:rPr>
                <w:color w:val="auto"/>
                <w:sz w:val="20"/>
                <w:szCs w:val="20"/>
              </w:rPr>
              <w:t xml:space="preserve"> study</w:t>
            </w:r>
          </w:p>
        </w:tc>
        <w:tc>
          <w:tcPr>
            <w:tcW w:w="1351" w:type="dxa"/>
            <w:noWrap/>
            <w:hideMark/>
          </w:tcPr>
          <w:p w14:paraId="435F0608" w14:textId="77777777" w:rsidR="00D45C44" w:rsidRPr="000644BB" w:rsidRDefault="00D45C44" w:rsidP="000644BB">
            <w:pPr>
              <w:ind w:left="0" w:right="0"/>
              <w:rPr>
                <w:color w:val="auto"/>
                <w:sz w:val="20"/>
                <w:szCs w:val="20"/>
              </w:rPr>
            </w:pPr>
            <w:r w:rsidRPr="000644BB">
              <w:rPr>
                <w:color w:val="auto"/>
                <w:sz w:val="20"/>
                <w:szCs w:val="20"/>
              </w:rPr>
              <w:t>P038</w:t>
            </w:r>
          </w:p>
        </w:tc>
        <w:tc>
          <w:tcPr>
            <w:tcW w:w="3508" w:type="dxa"/>
            <w:noWrap/>
            <w:hideMark/>
          </w:tcPr>
          <w:p w14:paraId="2F772A6A" w14:textId="77777777" w:rsidR="00D45C44" w:rsidRPr="000644BB" w:rsidRDefault="00D45C44" w:rsidP="000644BB">
            <w:pPr>
              <w:ind w:left="0" w:right="0"/>
              <w:rPr>
                <w:color w:val="auto"/>
                <w:sz w:val="20"/>
                <w:szCs w:val="20"/>
              </w:rPr>
            </w:pPr>
            <w:r w:rsidRPr="000644BB">
              <w:rPr>
                <w:color w:val="auto"/>
                <w:sz w:val="20"/>
                <w:szCs w:val="20"/>
              </w:rPr>
              <w:t>FDC components interaction</w:t>
            </w:r>
          </w:p>
        </w:tc>
      </w:tr>
      <w:tr w:rsidR="000644BB" w:rsidRPr="000644BB" w14:paraId="17C5331A" w14:textId="77777777" w:rsidTr="005806AC">
        <w:trPr>
          <w:trHeight w:val="191"/>
        </w:trPr>
        <w:tc>
          <w:tcPr>
            <w:tcW w:w="783" w:type="dxa"/>
            <w:noWrap/>
            <w:hideMark/>
          </w:tcPr>
          <w:p w14:paraId="485B83AD" w14:textId="77777777" w:rsidR="00D45C44" w:rsidRPr="000644BB" w:rsidRDefault="00D45C44" w:rsidP="000644BB">
            <w:pPr>
              <w:ind w:left="0" w:right="0"/>
              <w:rPr>
                <w:color w:val="auto"/>
                <w:sz w:val="20"/>
                <w:szCs w:val="20"/>
              </w:rPr>
            </w:pPr>
            <w:r w:rsidRPr="000644BB">
              <w:rPr>
                <w:color w:val="auto"/>
                <w:sz w:val="20"/>
                <w:szCs w:val="20"/>
              </w:rPr>
              <w:t>P009</w:t>
            </w:r>
          </w:p>
        </w:tc>
        <w:tc>
          <w:tcPr>
            <w:tcW w:w="3273" w:type="dxa"/>
            <w:noWrap/>
            <w:hideMark/>
          </w:tcPr>
          <w:p w14:paraId="79D74D20" w14:textId="7FBB9AEA" w:rsidR="00D45C44" w:rsidRPr="000644BB" w:rsidRDefault="003B1757" w:rsidP="000644BB">
            <w:pPr>
              <w:ind w:left="0" w:right="0"/>
              <w:rPr>
                <w:color w:val="auto"/>
                <w:sz w:val="20"/>
                <w:szCs w:val="20"/>
              </w:rPr>
            </w:pPr>
            <w:r>
              <w:rPr>
                <w:color w:val="auto"/>
                <w:sz w:val="20"/>
                <w:szCs w:val="20"/>
              </w:rPr>
              <w:t>Gender and</w:t>
            </w:r>
            <w:r w:rsidR="00D45C44" w:rsidRPr="000644BB">
              <w:rPr>
                <w:color w:val="auto"/>
                <w:sz w:val="20"/>
                <w:szCs w:val="20"/>
              </w:rPr>
              <w:t xml:space="preserve"> age effect</w:t>
            </w:r>
          </w:p>
        </w:tc>
        <w:tc>
          <w:tcPr>
            <w:tcW w:w="1351" w:type="dxa"/>
            <w:noWrap/>
            <w:hideMark/>
          </w:tcPr>
          <w:p w14:paraId="53B6B731" w14:textId="77777777" w:rsidR="00D45C44" w:rsidRPr="000644BB" w:rsidRDefault="00D45C44" w:rsidP="000644BB">
            <w:pPr>
              <w:ind w:left="0" w:right="0"/>
              <w:rPr>
                <w:color w:val="auto"/>
                <w:sz w:val="20"/>
                <w:szCs w:val="20"/>
              </w:rPr>
            </w:pPr>
            <w:r w:rsidRPr="000644BB">
              <w:rPr>
                <w:color w:val="auto"/>
                <w:sz w:val="20"/>
                <w:szCs w:val="20"/>
              </w:rPr>
              <w:t>P039</w:t>
            </w:r>
          </w:p>
        </w:tc>
        <w:tc>
          <w:tcPr>
            <w:tcW w:w="3508" w:type="dxa"/>
            <w:noWrap/>
            <w:hideMark/>
          </w:tcPr>
          <w:p w14:paraId="239EA24D" w14:textId="5FC62551" w:rsidR="00D45C44" w:rsidRPr="000644BB" w:rsidRDefault="00D45C44" w:rsidP="000644BB">
            <w:pPr>
              <w:ind w:left="0" w:right="0"/>
              <w:rPr>
                <w:color w:val="auto"/>
                <w:sz w:val="20"/>
                <w:szCs w:val="20"/>
              </w:rPr>
            </w:pPr>
            <w:r w:rsidRPr="000644BB">
              <w:rPr>
                <w:color w:val="auto"/>
                <w:sz w:val="20"/>
                <w:szCs w:val="20"/>
              </w:rPr>
              <w:t>BE (</w:t>
            </w:r>
            <w:r w:rsidR="002E5F71" w:rsidRPr="000644BB">
              <w:rPr>
                <w:color w:val="auto"/>
                <w:sz w:val="20"/>
                <w:szCs w:val="20"/>
              </w:rPr>
              <w:t>doravirine</w:t>
            </w:r>
            <w:r w:rsidR="003B1757">
              <w:rPr>
                <w:color w:val="auto"/>
                <w:sz w:val="20"/>
                <w:szCs w:val="20"/>
              </w:rPr>
              <w:t xml:space="preserve"> film coated versus</w:t>
            </w:r>
            <w:r w:rsidRPr="000644BB">
              <w:rPr>
                <w:color w:val="auto"/>
                <w:sz w:val="20"/>
                <w:szCs w:val="20"/>
              </w:rPr>
              <w:t xml:space="preserve"> plain)</w:t>
            </w:r>
          </w:p>
        </w:tc>
      </w:tr>
      <w:tr w:rsidR="000644BB" w:rsidRPr="000644BB" w14:paraId="1E0E073F" w14:textId="77777777" w:rsidTr="005806AC">
        <w:trPr>
          <w:trHeight w:val="137"/>
        </w:trPr>
        <w:tc>
          <w:tcPr>
            <w:tcW w:w="783" w:type="dxa"/>
            <w:noWrap/>
            <w:hideMark/>
          </w:tcPr>
          <w:p w14:paraId="034618BB" w14:textId="77777777" w:rsidR="00D45C44" w:rsidRPr="000644BB" w:rsidRDefault="00D45C44" w:rsidP="000644BB">
            <w:pPr>
              <w:ind w:left="0" w:right="0"/>
              <w:rPr>
                <w:color w:val="auto"/>
                <w:sz w:val="20"/>
                <w:szCs w:val="20"/>
              </w:rPr>
            </w:pPr>
            <w:r w:rsidRPr="000644BB">
              <w:rPr>
                <w:color w:val="auto"/>
                <w:sz w:val="20"/>
                <w:szCs w:val="20"/>
              </w:rPr>
              <w:t>P010</w:t>
            </w:r>
          </w:p>
        </w:tc>
        <w:tc>
          <w:tcPr>
            <w:tcW w:w="3273" w:type="dxa"/>
            <w:noWrap/>
            <w:hideMark/>
          </w:tcPr>
          <w:p w14:paraId="332F7ED3" w14:textId="77777777" w:rsidR="00D45C44" w:rsidRPr="000644BB" w:rsidRDefault="00D45C44" w:rsidP="000644BB">
            <w:pPr>
              <w:ind w:left="0" w:right="0"/>
              <w:rPr>
                <w:color w:val="auto"/>
                <w:sz w:val="20"/>
                <w:szCs w:val="20"/>
              </w:rPr>
            </w:pPr>
            <w:r w:rsidRPr="000644BB">
              <w:rPr>
                <w:color w:val="auto"/>
                <w:sz w:val="20"/>
                <w:szCs w:val="20"/>
              </w:rPr>
              <w:t>DDI (ketoconazole)</w:t>
            </w:r>
          </w:p>
        </w:tc>
        <w:tc>
          <w:tcPr>
            <w:tcW w:w="1351" w:type="dxa"/>
            <w:noWrap/>
            <w:hideMark/>
          </w:tcPr>
          <w:p w14:paraId="402123AB" w14:textId="77777777" w:rsidR="00D45C44" w:rsidRPr="000644BB" w:rsidRDefault="00D45C44" w:rsidP="000644BB">
            <w:pPr>
              <w:ind w:left="0" w:right="0"/>
              <w:rPr>
                <w:color w:val="auto"/>
                <w:sz w:val="20"/>
                <w:szCs w:val="20"/>
              </w:rPr>
            </w:pPr>
            <w:r w:rsidRPr="000644BB">
              <w:rPr>
                <w:color w:val="auto"/>
                <w:sz w:val="20"/>
                <w:szCs w:val="20"/>
              </w:rPr>
              <w:t>P042</w:t>
            </w:r>
          </w:p>
        </w:tc>
        <w:tc>
          <w:tcPr>
            <w:tcW w:w="3508" w:type="dxa"/>
            <w:noWrap/>
            <w:hideMark/>
          </w:tcPr>
          <w:p w14:paraId="52623EBF" w14:textId="77777777" w:rsidR="00D45C44" w:rsidRPr="000644BB" w:rsidRDefault="00D45C44" w:rsidP="000644BB">
            <w:pPr>
              <w:ind w:left="0" w:right="0"/>
              <w:rPr>
                <w:color w:val="auto"/>
                <w:sz w:val="20"/>
                <w:szCs w:val="20"/>
              </w:rPr>
            </w:pPr>
            <w:r w:rsidRPr="000644BB">
              <w:rPr>
                <w:color w:val="auto"/>
                <w:sz w:val="20"/>
                <w:szCs w:val="20"/>
              </w:rPr>
              <w:t>DDI (gastric acid modifiers)</w:t>
            </w:r>
          </w:p>
        </w:tc>
      </w:tr>
      <w:tr w:rsidR="000644BB" w:rsidRPr="000644BB" w14:paraId="6DE9CCB0" w14:textId="77777777" w:rsidTr="005806AC">
        <w:trPr>
          <w:trHeight w:val="71"/>
        </w:trPr>
        <w:tc>
          <w:tcPr>
            <w:tcW w:w="783" w:type="dxa"/>
            <w:noWrap/>
            <w:hideMark/>
          </w:tcPr>
          <w:p w14:paraId="1B38B7E8" w14:textId="77777777" w:rsidR="00D45C44" w:rsidRPr="000644BB" w:rsidRDefault="00D45C44" w:rsidP="000644BB">
            <w:pPr>
              <w:ind w:left="0" w:right="0"/>
              <w:rPr>
                <w:color w:val="auto"/>
                <w:sz w:val="20"/>
                <w:szCs w:val="20"/>
              </w:rPr>
            </w:pPr>
            <w:r w:rsidRPr="000644BB">
              <w:rPr>
                <w:color w:val="auto"/>
                <w:sz w:val="20"/>
                <w:szCs w:val="20"/>
              </w:rPr>
              <w:t>P011</w:t>
            </w:r>
          </w:p>
        </w:tc>
        <w:tc>
          <w:tcPr>
            <w:tcW w:w="3273" w:type="dxa"/>
            <w:noWrap/>
            <w:hideMark/>
          </w:tcPr>
          <w:p w14:paraId="69F405B6" w14:textId="77777777" w:rsidR="00D45C44" w:rsidRPr="000644BB" w:rsidRDefault="00D45C44" w:rsidP="000644BB">
            <w:pPr>
              <w:ind w:left="0" w:right="0"/>
              <w:rPr>
                <w:color w:val="auto"/>
                <w:sz w:val="20"/>
                <w:szCs w:val="20"/>
              </w:rPr>
            </w:pPr>
            <w:r w:rsidRPr="000644BB">
              <w:rPr>
                <w:color w:val="auto"/>
                <w:sz w:val="20"/>
                <w:szCs w:val="20"/>
              </w:rPr>
              <w:t>DDI (rifampin)</w:t>
            </w:r>
          </w:p>
        </w:tc>
        <w:tc>
          <w:tcPr>
            <w:tcW w:w="1351" w:type="dxa"/>
            <w:noWrap/>
            <w:hideMark/>
          </w:tcPr>
          <w:p w14:paraId="518C0D6E" w14:textId="77777777" w:rsidR="00D45C44" w:rsidRPr="000644BB" w:rsidRDefault="00D45C44" w:rsidP="000644BB">
            <w:pPr>
              <w:ind w:left="0" w:right="0"/>
              <w:rPr>
                <w:color w:val="auto"/>
                <w:sz w:val="20"/>
                <w:szCs w:val="20"/>
              </w:rPr>
            </w:pPr>
            <w:r w:rsidRPr="000644BB">
              <w:rPr>
                <w:color w:val="auto"/>
                <w:sz w:val="20"/>
                <w:szCs w:val="20"/>
              </w:rPr>
              <w:t>P043</w:t>
            </w:r>
          </w:p>
        </w:tc>
        <w:tc>
          <w:tcPr>
            <w:tcW w:w="3508" w:type="dxa"/>
            <w:noWrap/>
            <w:hideMark/>
          </w:tcPr>
          <w:p w14:paraId="04EC0789" w14:textId="77777777" w:rsidR="00D45C44" w:rsidRPr="000644BB" w:rsidRDefault="00D45C44" w:rsidP="000644BB">
            <w:pPr>
              <w:ind w:left="0" w:right="0"/>
              <w:rPr>
                <w:color w:val="auto"/>
                <w:sz w:val="20"/>
                <w:szCs w:val="20"/>
              </w:rPr>
            </w:pPr>
            <w:r w:rsidRPr="000644BB">
              <w:rPr>
                <w:color w:val="auto"/>
                <w:sz w:val="20"/>
                <w:szCs w:val="20"/>
              </w:rPr>
              <w:t>BE (paeds formulation)</w:t>
            </w:r>
          </w:p>
        </w:tc>
      </w:tr>
      <w:tr w:rsidR="000644BB" w:rsidRPr="000644BB" w14:paraId="5C8B3B48" w14:textId="77777777" w:rsidTr="005806AC">
        <w:trPr>
          <w:trHeight w:val="143"/>
        </w:trPr>
        <w:tc>
          <w:tcPr>
            <w:tcW w:w="783" w:type="dxa"/>
            <w:noWrap/>
            <w:hideMark/>
          </w:tcPr>
          <w:p w14:paraId="3D5E6570" w14:textId="77777777" w:rsidR="00D45C44" w:rsidRPr="000644BB" w:rsidRDefault="00D45C44" w:rsidP="000644BB">
            <w:pPr>
              <w:ind w:left="0" w:right="0"/>
              <w:rPr>
                <w:color w:val="auto"/>
                <w:sz w:val="20"/>
                <w:szCs w:val="20"/>
              </w:rPr>
            </w:pPr>
            <w:r w:rsidRPr="000644BB">
              <w:rPr>
                <w:color w:val="auto"/>
                <w:sz w:val="20"/>
                <w:szCs w:val="20"/>
              </w:rPr>
              <w:lastRenderedPageBreak/>
              <w:t>P012</w:t>
            </w:r>
          </w:p>
        </w:tc>
        <w:tc>
          <w:tcPr>
            <w:tcW w:w="3273" w:type="dxa"/>
            <w:noWrap/>
            <w:hideMark/>
          </w:tcPr>
          <w:p w14:paraId="696649EF" w14:textId="10FC9DAC" w:rsidR="00D45C44" w:rsidRPr="000644BB" w:rsidRDefault="00B2445E" w:rsidP="000644BB">
            <w:pPr>
              <w:ind w:left="0" w:right="0"/>
              <w:rPr>
                <w:color w:val="auto"/>
                <w:sz w:val="20"/>
                <w:szCs w:val="20"/>
              </w:rPr>
            </w:pPr>
            <w:r>
              <w:rPr>
                <w:color w:val="auto"/>
                <w:sz w:val="20"/>
                <w:szCs w:val="20"/>
              </w:rPr>
              <w:t>DDI (EE and</w:t>
            </w:r>
            <w:r w:rsidR="00D45C44" w:rsidRPr="000644BB">
              <w:rPr>
                <w:color w:val="auto"/>
                <w:sz w:val="20"/>
                <w:szCs w:val="20"/>
              </w:rPr>
              <w:t xml:space="preserve"> LNG)</w:t>
            </w:r>
          </w:p>
        </w:tc>
        <w:tc>
          <w:tcPr>
            <w:tcW w:w="1351" w:type="dxa"/>
            <w:noWrap/>
            <w:hideMark/>
          </w:tcPr>
          <w:p w14:paraId="142F4446" w14:textId="77777777" w:rsidR="00D45C44" w:rsidRPr="000644BB" w:rsidRDefault="00D45C44" w:rsidP="000644BB">
            <w:pPr>
              <w:ind w:left="0" w:right="0"/>
              <w:rPr>
                <w:color w:val="auto"/>
                <w:sz w:val="20"/>
                <w:szCs w:val="20"/>
              </w:rPr>
            </w:pPr>
            <w:r w:rsidRPr="000644BB">
              <w:rPr>
                <w:color w:val="auto"/>
                <w:sz w:val="20"/>
                <w:szCs w:val="20"/>
              </w:rPr>
              <w:t>P044</w:t>
            </w:r>
          </w:p>
        </w:tc>
        <w:tc>
          <w:tcPr>
            <w:tcW w:w="3508" w:type="dxa"/>
            <w:noWrap/>
            <w:hideMark/>
          </w:tcPr>
          <w:p w14:paraId="745ADADD" w14:textId="24994CD5" w:rsidR="00D45C44" w:rsidRPr="000644BB" w:rsidRDefault="00D45C44" w:rsidP="000644BB">
            <w:pPr>
              <w:ind w:left="0" w:right="0"/>
              <w:rPr>
                <w:color w:val="auto"/>
                <w:sz w:val="20"/>
                <w:szCs w:val="20"/>
              </w:rPr>
            </w:pPr>
            <w:r w:rsidRPr="000644BB">
              <w:rPr>
                <w:color w:val="auto"/>
                <w:sz w:val="20"/>
                <w:szCs w:val="20"/>
              </w:rPr>
              <w:t xml:space="preserve">PK (IV </w:t>
            </w:r>
            <w:r w:rsidR="002E5F71" w:rsidRPr="000644BB">
              <w:rPr>
                <w:color w:val="auto"/>
                <w:sz w:val="20"/>
                <w:szCs w:val="20"/>
              </w:rPr>
              <w:t>doravirine</w:t>
            </w:r>
            <w:r w:rsidRPr="000644BB">
              <w:rPr>
                <w:color w:val="auto"/>
                <w:sz w:val="20"/>
                <w:szCs w:val="20"/>
              </w:rPr>
              <w:t>)</w:t>
            </w:r>
          </w:p>
        </w:tc>
      </w:tr>
      <w:tr w:rsidR="000644BB" w:rsidRPr="000644BB" w14:paraId="425E2E13" w14:textId="77777777" w:rsidTr="005806AC">
        <w:trPr>
          <w:trHeight w:val="89"/>
        </w:trPr>
        <w:tc>
          <w:tcPr>
            <w:tcW w:w="783" w:type="dxa"/>
            <w:noWrap/>
            <w:hideMark/>
          </w:tcPr>
          <w:p w14:paraId="646E21AE" w14:textId="52B8F707" w:rsidR="00D45C44" w:rsidRPr="000644BB" w:rsidRDefault="000644BB" w:rsidP="000644BB">
            <w:pPr>
              <w:ind w:left="0" w:right="0"/>
              <w:rPr>
                <w:color w:val="auto"/>
                <w:sz w:val="20"/>
                <w:szCs w:val="20"/>
              </w:rPr>
            </w:pPr>
            <w:r>
              <w:rPr>
                <w:color w:val="auto"/>
                <w:sz w:val="20"/>
                <w:szCs w:val="20"/>
              </w:rPr>
              <w:t>P014</w:t>
            </w:r>
          </w:p>
        </w:tc>
        <w:tc>
          <w:tcPr>
            <w:tcW w:w="3273" w:type="dxa"/>
            <w:noWrap/>
            <w:hideMark/>
          </w:tcPr>
          <w:p w14:paraId="700EF8F5" w14:textId="77777777" w:rsidR="00D45C44" w:rsidRPr="000644BB" w:rsidRDefault="00D45C44" w:rsidP="000644BB">
            <w:pPr>
              <w:ind w:left="0" w:right="0"/>
              <w:rPr>
                <w:color w:val="auto"/>
                <w:sz w:val="20"/>
                <w:szCs w:val="20"/>
              </w:rPr>
            </w:pPr>
            <w:r w:rsidRPr="000644BB">
              <w:rPr>
                <w:color w:val="auto"/>
                <w:sz w:val="20"/>
                <w:szCs w:val="20"/>
              </w:rPr>
              <w:t>BE (FDC formulations)</w:t>
            </w:r>
          </w:p>
        </w:tc>
        <w:tc>
          <w:tcPr>
            <w:tcW w:w="1351" w:type="dxa"/>
            <w:noWrap/>
            <w:hideMark/>
          </w:tcPr>
          <w:p w14:paraId="0971CCAA" w14:textId="77777777" w:rsidR="00D45C44" w:rsidRPr="000644BB" w:rsidRDefault="00D45C44" w:rsidP="000644BB">
            <w:pPr>
              <w:ind w:left="0" w:right="0"/>
              <w:rPr>
                <w:color w:val="auto"/>
                <w:sz w:val="20"/>
                <w:szCs w:val="20"/>
              </w:rPr>
            </w:pPr>
            <w:r w:rsidRPr="000644BB">
              <w:rPr>
                <w:color w:val="auto"/>
                <w:sz w:val="20"/>
                <w:szCs w:val="20"/>
              </w:rPr>
              <w:t>P045</w:t>
            </w:r>
          </w:p>
        </w:tc>
        <w:tc>
          <w:tcPr>
            <w:tcW w:w="3508" w:type="dxa"/>
            <w:noWrap/>
            <w:hideMark/>
          </w:tcPr>
          <w:p w14:paraId="6DC53A65" w14:textId="77777777" w:rsidR="00D45C44" w:rsidRPr="000644BB" w:rsidRDefault="00D45C44" w:rsidP="000644BB">
            <w:pPr>
              <w:ind w:left="0" w:right="0"/>
              <w:rPr>
                <w:color w:val="auto"/>
                <w:sz w:val="20"/>
                <w:szCs w:val="20"/>
              </w:rPr>
            </w:pPr>
            <w:r w:rsidRPr="000644BB">
              <w:rPr>
                <w:color w:val="auto"/>
                <w:sz w:val="20"/>
                <w:szCs w:val="20"/>
              </w:rPr>
              <w:t>DDI (methadone)</w:t>
            </w:r>
          </w:p>
        </w:tc>
      </w:tr>
      <w:tr w:rsidR="000644BB" w:rsidRPr="000644BB" w14:paraId="59B75085" w14:textId="77777777" w:rsidTr="005806AC">
        <w:trPr>
          <w:trHeight w:val="163"/>
        </w:trPr>
        <w:tc>
          <w:tcPr>
            <w:tcW w:w="783" w:type="dxa"/>
            <w:noWrap/>
            <w:hideMark/>
          </w:tcPr>
          <w:p w14:paraId="321A72A2" w14:textId="77777777" w:rsidR="00D45C44" w:rsidRPr="000644BB" w:rsidRDefault="00D45C44" w:rsidP="000644BB">
            <w:pPr>
              <w:ind w:left="0" w:right="0"/>
              <w:rPr>
                <w:color w:val="auto"/>
                <w:sz w:val="20"/>
                <w:szCs w:val="20"/>
              </w:rPr>
            </w:pPr>
            <w:r w:rsidRPr="000644BB">
              <w:rPr>
                <w:color w:val="auto"/>
                <w:sz w:val="20"/>
                <w:szCs w:val="20"/>
              </w:rPr>
              <w:t>P015</w:t>
            </w:r>
          </w:p>
        </w:tc>
        <w:tc>
          <w:tcPr>
            <w:tcW w:w="3273" w:type="dxa"/>
            <w:noWrap/>
            <w:hideMark/>
          </w:tcPr>
          <w:p w14:paraId="3BAC81A0" w14:textId="77777777" w:rsidR="00D45C44" w:rsidRPr="000644BB" w:rsidRDefault="00D45C44" w:rsidP="000644BB">
            <w:pPr>
              <w:ind w:left="0" w:right="0"/>
              <w:rPr>
                <w:color w:val="auto"/>
                <w:sz w:val="20"/>
                <w:szCs w:val="20"/>
              </w:rPr>
            </w:pPr>
            <w:r w:rsidRPr="000644BB">
              <w:rPr>
                <w:color w:val="auto"/>
                <w:sz w:val="20"/>
                <w:szCs w:val="20"/>
              </w:rPr>
              <w:t>BE (FDC formulation)</w:t>
            </w:r>
          </w:p>
        </w:tc>
        <w:tc>
          <w:tcPr>
            <w:tcW w:w="1351" w:type="dxa"/>
            <w:noWrap/>
            <w:hideMark/>
          </w:tcPr>
          <w:p w14:paraId="63F5A99F" w14:textId="77777777" w:rsidR="00D45C44" w:rsidRPr="000644BB" w:rsidRDefault="00D45C44" w:rsidP="000644BB">
            <w:pPr>
              <w:ind w:left="0" w:right="0"/>
              <w:rPr>
                <w:color w:val="auto"/>
                <w:sz w:val="20"/>
                <w:szCs w:val="20"/>
              </w:rPr>
            </w:pPr>
            <w:r w:rsidRPr="000644BB">
              <w:rPr>
                <w:color w:val="auto"/>
                <w:sz w:val="20"/>
                <w:szCs w:val="20"/>
              </w:rPr>
              <w:t>P046</w:t>
            </w:r>
          </w:p>
        </w:tc>
        <w:tc>
          <w:tcPr>
            <w:tcW w:w="3508" w:type="dxa"/>
            <w:noWrap/>
            <w:hideMark/>
          </w:tcPr>
          <w:p w14:paraId="62791213" w14:textId="77777777" w:rsidR="00D45C44" w:rsidRPr="000644BB" w:rsidRDefault="00D45C44" w:rsidP="000644BB">
            <w:pPr>
              <w:ind w:left="0" w:right="0"/>
              <w:rPr>
                <w:color w:val="auto"/>
                <w:sz w:val="20"/>
                <w:szCs w:val="20"/>
              </w:rPr>
            </w:pPr>
            <w:r w:rsidRPr="000644BB">
              <w:rPr>
                <w:color w:val="auto"/>
                <w:sz w:val="20"/>
                <w:szCs w:val="20"/>
              </w:rPr>
              <w:t>BE (nano formulations)</w:t>
            </w:r>
          </w:p>
        </w:tc>
      </w:tr>
      <w:tr w:rsidR="000644BB" w:rsidRPr="000644BB" w14:paraId="2D33B834" w14:textId="77777777" w:rsidTr="005806AC">
        <w:trPr>
          <w:trHeight w:val="96"/>
        </w:trPr>
        <w:tc>
          <w:tcPr>
            <w:tcW w:w="783" w:type="dxa"/>
            <w:noWrap/>
            <w:hideMark/>
          </w:tcPr>
          <w:p w14:paraId="6898F48D" w14:textId="77777777" w:rsidR="00D45C44" w:rsidRPr="000644BB" w:rsidRDefault="00D45C44" w:rsidP="000644BB">
            <w:pPr>
              <w:ind w:left="0" w:right="0"/>
              <w:rPr>
                <w:color w:val="auto"/>
                <w:sz w:val="20"/>
                <w:szCs w:val="20"/>
              </w:rPr>
            </w:pPr>
            <w:r w:rsidRPr="000644BB">
              <w:rPr>
                <w:color w:val="auto"/>
                <w:sz w:val="20"/>
                <w:szCs w:val="20"/>
              </w:rPr>
              <w:t>P016</w:t>
            </w:r>
          </w:p>
        </w:tc>
        <w:tc>
          <w:tcPr>
            <w:tcW w:w="3273" w:type="dxa"/>
            <w:noWrap/>
            <w:hideMark/>
          </w:tcPr>
          <w:p w14:paraId="4EEAB730" w14:textId="77777777" w:rsidR="00D45C44" w:rsidRPr="000644BB" w:rsidRDefault="00D45C44" w:rsidP="000644BB">
            <w:pPr>
              <w:ind w:left="0" w:right="0"/>
              <w:rPr>
                <w:color w:val="auto"/>
                <w:sz w:val="20"/>
                <w:szCs w:val="20"/>
              </w:rPr>
            </w:pPr>
            <w:r w:rsidRPr="000644BB">
              <w:rPr>
                <w:color w:val="auto"/>
                <w:sz w:val="20"/>
                <w:szCs w:val="20"/>
              </w:rPr>
              <w:t>DDI (dolutegravir)</w:t>
            </w:r>
          </w:p>
        </w:tc>
        <w:tc>
          <w:tcPr>
            <w:tcW w:w="1351" w:type="dxa"/>
            <w:noWrap/>
            <w:hideMark/>
          </w:tcPr>
          <w:p w14:paraId="1D8290D8" w14:textId="77777777" w:rsidR="00D45C44" w:rsidRPr="000644BB" w:rsidRDefault="00D45C44" w:rsidP="000644BB">
            <w:pPr>
              <w:ind w:left="0" w:right="0"/>
              <w:rPr>
                <w:color w:val="auto"/>
                <w:sz w:val="20"/>
                <w:szCs w:val="20"/>
              </w:rPr>
            </w:pPr>
            <w:r w:rsidRPr="000644BB">
              <w:rPr>
                <w:color w:val="auto"/>
                <w:sz w:val="20"/>
                <w:szCs w:val="20"/>
              </w:rPr>
              <w:t>P048</w:t>
            </w:r>
          </w:p>
        </w:tc>
        <w:tc>
          <w:tcPr>
            <w:tcW w:w="3508" w:type="dxa"/>
            <w:noWrap/>
            <w:hideMark/>
          </w:tcPr>
          <w:p w14:paraId="34FB713B" w14:textId="77777777" w:rsidR="00D45C44" w:rsidRPr="000644BB" w:rsidRDefault="00D45C44" w:rsidP="000644BB">
            <w:pPr>
              <w:ind w:left="0" w:right="0"/>
              <w:rPr>
                <w:color w:val="auto"/>
                <w:sz w:val="20"/>
                <w:szCs w:val="20"/>
              </w:rPr>
            </w:pPr>
            <w:r w:rsidRPr="000644BB">
              <w:rPr>
                <w:color w:val="auto"/>
                <w:sz w:val="20"/>
                <w:szCs w:val="20"/>
              </w:rPr>
              <w:t>DDI (metformin)</w:t>
            </w:r>
          </w:p>
        </w:tc>
      </w:tr>
      <w:tr w:rsidR="000644BB" w:rsidRPr="000644BB" w14:paraId="673A3842" w14:textId="77777777" w:rsidTr="005806AC">
        <w:trPr>
          <w:trHeight w:val="168"/>
        </w:trPr>
        <w:tc>
          <w:tcPr>
            <w:tcW w:w="783" w:type="dxa"/>
            <w:noWrap/>
            <w:hideMark/>
          </w:tcPr>
          <w:p w14:paraId="342E7F94" w14:textId="77777777" w:rsidR="00D45C44" w:rsidRPr="000644BB" w:rsidRDefault="00D45C44" w:rsidP="000644BB">
            <w:pPr>
              <w:ind w:left="0" w:right="0"/>
              <w:rPr>
                <w:color w:val="auto"/>
                <w:sz w:val="20"/>
                <w:szCs w:val="20"/>
              </w:rPr>
            </w:pPr>
            <w:r w:rsidRPr="000644BB">
              <w:rPr>
                <w:color w:val="auto"/>
                <w:sz w:val="20"/>
                <w:szCs w:val="20"/>
              </w:rPr>
              <w:t>P017</w:t>
            </w:r>
          </w:p>
        </w:tc>
        <w:tc>
          <w:tcPr>
            <w:tcW w:w="3273" w:type="dxa"/>
            <w:noWrap/>
            <w:hideMark/>
          </w:tcPr>
          <w:p w14:paraId="76E11EB0" w14:textId="77777777" w:rsidR="00D45C44" w:rsidRPr="000644BB" w:rsidRDefault="00D45C44" w:rsidP="000644BB">
            <w:pPr>
              <w:ind w:left="0" w:right="0"/>
              <w:rPr>
                <w:color w:val="auto"/>
                <w:sz w:val="20"/>
                <w:szCs w:val="20"/>
              </w:rPr>
            </w:pPr>
            <w:r w:rsidRPr="000644BB">
              <w:rPr>
                <w:color w:val="auto"/>
                <w:sz w:val="20"/>
                <w:szCs w:val="20"/>
              </w:rPr>
              <w:t>QT study</w:t>
            </w:r>
          </w:p>
        </w:tc>
        <w:tc>
          <w:tcPr>
            <w:tcW w:w="1351" w:type="dxa"/>
            <w:noWrap/>
            <w:hideMark/>
          </w:tcPr>
          <w:p w14:paraId="3563428B" w14:textId="77777777" w:rsidR="00D45C44" w:rsidRPr="000644BB" w:rsidRDefault="00D45C44" w:rsidP="000644BB">
            <w:pPr>
              <w:ind w:left="0" w:right="0"/>
              <w:rPr>
                <w:color w:val="auto"/>
                <w:sz w:val="20"/>
                <w:szCs w:val="20"/>
              </w:rPr>
            </w:pPr>
            <w:r w:rsidRPr="000644BB">
              <w:rPr>
                <w:color w:val="auto"/>
                <w:sz w:val="20"/>
                <w:szCs w:val="20"/>
              </w:rPr>
              <w:t>P049</w:t>
            </w:r>
          </w:p>
        </w:tc>
        <w:tc>
          <w:tcPr>
            <w:tcW w:w="3508" w:type="dxa"/>
            <w:noWrap/>
            <w:hideMark/>
          </w:tcPr>
          <w:p w14:paraId="3BFCAB08" w14:textId="7A0E8036" w:rsidR="00D45C44" w:rsidRPr="000644BB" w:rsidRDefault="00D45C44" w:rsidP="000644BB">
            <w:pPr>
              <w:ind w:left="0" w:right="0"/>
              <w:rPr>
                <w:color w:val="auto"/>
                <w:sz w:val="20"/>
                <w:szCs w:val="20"/>
              </w:rPr>
            </w:pPr>
            <w:r w:rsidRPr="000644BB">
              <w:rPr>
                <w:color w:val="auto"/>
                <w:sz w:val="20"/>
                <w:szCs w:val="20"/>
              </w:rPr>
              <w:t>BE (paed</w:t>
            </w:r>
            <w:r w:rsidR="0050504B">
              <w:rPr>
                <w:color w:val="auto"/>
                <w:sz w:val="20"/>
                <w:szCs w:val="20"/>
              </w:rPr>
              <w:t>iatric</w:t>
            </w:r>
            <w:r w:rsidRPr="000644BB">
              <w:rPr>
                <w:color w:val="auto"/>
                <w:sz w:val="20"/>
                <w:szCs w:val="20"/>
              </w:rPr>
              <w:t xml:space="preserve"> formulation)</w:t>
            </w:r>
          </w:p>
        </w:tc>
      </w:tr>
      <w:tr w:rsidR="000644BB" w:rsidRPr="000644BB" w14:paraId="1BDE5E5B" w14:textId="77777777" w:rsidTr="005806AC">
        <w:trPr>
          <w:trHeight w:val="116"/>
        </w:trPr>
        <w:tc>
          <w:tcPr>
            <w:tcW w:w="783" w:type="dxa"/>
            <w:noWrap/>
            <w:hideMark/>
          </w:tcPr>
          <w:p w14:paraId="3F8D1A76" w14:textId="77777777" w:rsidR="00D45C44" w:rsidRPr="000644BB" w:rsidRDefault="00D45C44" w:rsidP="000644BB">
            <w:pPr>
              <w:ind w:left="0" w:right="0"/>
              <w:rPr>
                <w:color w:val="auto"/>
                <w:sz w:val="20"/>
                <w:szCs w:val="20"/>
              </w:rPr>
            </w:pPr>
            <w:r w:rsidRPr="000644BB">
              <w:rPr>
                <w:color w:val="auto"/>
                <w:sz w:val="20"/>
                <w:szCs w:val="20"/>
              </w:rPr>
              <w:t>P018</w:t>
            </w:r>
          </w:p>
        </w:tc>
        <w:tc>
          <w:tcPr>
            <w:tcW w:w="3273" w:type="dxa"/>
            <w:noWrap/>
            <w:hideMark/>
          </w:tcPr>
          <w:p w14:paraId="233CFC95" w14:textId="73EB9092" w:rsidR="00D45C44" w:rsidRPr="000644BB" w:rsidRDefault="000644BB" w:rsidP="000644BB">
            <w:pPr>
              <w:ind w:left="0" w:right="0"/>
              <w:rPr>
                <w:color w:val="auto"/>
                <w:sz w:val="20"/>
                <w:szCs w:val="20"/>
              </w:rPr>
            </w:pPr>
            <w:r>
              <w:rPr>
                <w:color w:val="auto"/>
                <w:sz w:val="20"/>
                <w:szCs w:val="20"/>
              </w:rPr>
              <w:t>Phase III</w:t>
            </w:r>
          </w:p>
        </w:tc>
        <w:tc>
          <w:tcPr>
            <w:tcW w:w="1351" w:type="dxa"/>
            <w:noWrap/>
            <w:hideMark/>
          </w:tcPr>
          <w:p w14:paraId="75B2A031" w14:textId="77777777" w:rsidR="00D45C44" w:rsidRPr="000644BB" w:rsidRDefault="00D45C44" w:rsidP="000644BB">
            <w:pPr>
              <w:ind w:left="0" w:right="0"/>
              <w:rPr>
                <w:color w:val="auto"/>
                <w:sz w:val="20"/>
                <w:szCs w:val="20"/>
              </w:rPr>
            </w:pPr>
            <w:r w:rsidRPr="000644BB">
              <w:rPr>
                <w:color w:val="auto"/>
                <w:sz w:val="20"/>
                <w:szCs w:val="20"/>
              </w:rPr>
              <w:t>P050</w:t>
            </w:r>
          </w:p>
        </w:tc>
        <w:tc>
          <w:tcPr>
            <w:tcW w:w="3508" w:type="dxa"/>
            <w:noWrap/>
            <w:hideMark/>
          </w:tcPr>
          <w:p w14:paraId="60B85D41" w14:textId="77777777" w:rsidR="00D45C44" w:rsidRPr="000644BB" w:rsidRDefault="00D45C44" w:rsidP="000644BB">
            <w:pPr>
              <w:ind w:left="0" w:right="0"/>
              <w:rPr>
                <w:color w:val="auto"/>
                <w:sz w:val="20"/>
                <w:szCs w:val="20"/>
              </w:rPr>
            </w:pPr>
            <w:r w:rsidRPr="000644BB">
              <w:rPr>
                <w:color w:val="auto"/>
                <w:sz w:val="20"/>
                <w:szCs w:val="20"/>
              </w:rPr>
              <w:t>DDI (ELB/GRZ)</w:t>
            </w:r>
          </w:p>
        </w:tc>
      </w:tr>
      <w:tr w:rsidR="000644BB" w:rsidRPr="000644BB" w14:paraId="10B91F05" w14:textId="77777777" w:rsidTr="005806AC">
        <w:trPr>
          <w:trHeight w:val="189"/>
        </w:trPr>
        <w:tc>
          <w:tcPr>
            <w:tcW w:w="783" w:type="dxa"/>
            <w:noWrap/>
            <w:hideMark/>
          </w:tcPr>
          <w:p w14:paraId="3CD6976F" w14:textId="77777777" w:rsidR="00D45C44" w:rsidRPr="000644BB" w:rsidRDefault="00D45C44" w:rsidP="000644BB">
            <w:pPr>
              <w:ind w:left="0" w:right="0"/>
              <w:rPr>
                <w:color w:val="auto"/>
                <w:sz w:val="20"/>
                <w:szCs w:val="20"/>
              </w:rPr>
            </w:pPr>
            <w:r w:rsidRPr="000644BB">
              <w:rPr>
                <w:color w:val="auto"/>
                <w:sz w:val="20"/>
                <w:szCs w:val="20"/>
              </w:rPr>
              <w:t>P019</w:t>
            </w:r>
          </w:p>
        </w:tc>
        <w:tc>
          <w:tcPr>
            <w:tcW w:w="3273" w:type="dxa"/>
            <w:noWrap/>
            <w:hideMark/>
          </w:tcPr>
          <w:p w14:paraId="0F7C5704" w14:textId="77777777" w:rsidR="00D45C44" w:rsidRPr="000644BB" w:rsidRDefault="00D45C44" w:rsidP="000644BB">
            <w:pPr>
              <w:ind w:left="0" w:right="0"/>
              <w:rPr>
                <w:color w:val="auto"/>
                <w:sz w:val="20"/>
                <w:szCs w:val="20"/>
              </w:rPr>
            </w:pPr>
            <w:r w:rsidRPr="000644BB">
              <w:rPr>
                <w:color w:val="auto"/>
                <w:sz w:val="20"/>
                <w:szCs w:val="20"/>
              </w:rPr>
              <w:t>Hepatic (moderate) impairment</w:t>
            </w:r>
          </w:p>
        </w:tc>
        <w:tc>
          <w:tcPr>
            <w:tcW w:w="1351" w:type="dxa"/>
            <w:noWrap/>
            <w:hideMark/>
          </w:tcPr>
          <w:p w14:paraId="3022F831" w14:textId="77777777" w:rsidR="00D45C44" w:rsidRPr="000644BB" w:rsidRDefault="00D45C44" w:rsidP="000644BB">
            <w:pPr>
              <w:ind w:left="0" w:right="0"/>
              <w:rPr>
                <w:color w:val="auto"/>
                <w:sz w:val="20"/>
                <w:szCs w:val="20"/>
              </w:rPr>
            </w:pPr>
            <w:r w:rsidRPr="000644BB">
              <w:rPr>
                <w:color w:val="auto"/>
                <w:sz w:val="20"/>
                <w:szCs w:val="20"/>
              </w:rPr>
              <w:t>P051</w:t>
            </w:r>
          </w:p>
        </w:tc>
        <w:tc>
          <w:tcPr>
            <w:tcW w:w="3508" w:type="dxa"/>
            <w:noWrap/>
            <w:hideMark/>
          </w:tcPr>
          <w:p w14:paraId="48982B12" w14:textId="231E5BC2" w:rsidR="00D45C44" w:rsidRPr="000644BB" w:rsidRDefault="003B1757" w:rsidP="000644BB">
            <w:pPr>
              <w:ind w:left="0" w:right="0"/>
              <w:rPr>
                <w:color w:val="auto"/>
                <w:sz w:val="20"/>
                <w:szCs w:val="20"/>
              </w:rPr>
            </w:pPr>
            <w:r>
              <w:rPr>
                <w:color w:val="auto"/>
                <w:sz w:val="20"/>
                <w:szCs w:val="20"/>
              </w:rPr>
              <w:t>R</w:t>
            </w:r>
            <w:r w:rsidR="00D45C44" w:rsidRPr="000644BB">
              <w:rPr>
                <w:color w:val="auto"/>
                <w:sz w:val="20"/>
                <w:szCs w:val="20"/>
              </w:rPr>
              <w:t>enal (severe) impairment</w:t>
            </w:r>
          </w:p>
        </w:tc>
      </w:tr>
      <w:tr w:rsidR="000644BB" w:rsidRPr="000644BB" w14:paraId="47A93A3E" w14:textId="77777777" w:rsidTr="005806AC">
        <w:trPr>
          <w:trHeight w:val="122"/>
        </w:trPr>
        <w:tc>
          <w:tcPr>
            <w:tcW w:w="783" w:type="dxa"/>
            <w:noWrap/>
            <w:hideMark/>
          </w:tcPr>
          <w:p w14:paraId="28E7AF40" w14:textId="77777777" w:rsidR="00D45C44" w:rsidRPr="000644BB" w:rsidRDefault="00D45C44" w:rsidP="000644BB">
            <w:pPr>
              <w:ind w:left="0" w:right="0"/>
              <w:rPr>
                <w:color w:val="auto"/>
                <w:sz w:val="20"/>
                <w:szCs w:val="20"/>
              </w:rPr>
            </w:pPr>
            <w:r w:rsidRPr="000644BB">
              <w:rPr>
                <w:color w:val="auto"/>
                <w:sz w:val="20"/>
                <w:szCs w:val="20"/>
              </w:rPr>
              <w:t>P020</w:t>
            </w:r>
          </w:p>
        </w:tc>
        <w:tc>
          <w:tcPr>
            <w:tcW w:w="3273" w:type="dxa"/>
            <w:noWrap/>
            <w:hideMark/>
          </w:tcPr>
          <w:p w14:paraId="5B3AF913" w14:textId="3B913B38" w:rsidR="00D45C44" w:rsidRPr="000644BB" w:rsidRDefault="00D45C44" w:rsidP="000644BB">
            <w:pPr>
              <w:ind w:left="0" w:right="0"/>
              <w:rPr>
                <w:color w:val="auto"/>
                <w:sz w:val="20"/>
                <w:szCs w:val="20"/>
              </w:rPr>
            </w:pPr>
            <w:r w:rsidRPr="000644BB">
              <w:rPr>
                <w:color w:val="auto"/>
                <w:sz w:val="20"/>
                <w:szCs w:val="20"/>
              </w:rPr>
              <w:t xml:space="preserve">EVR to </w:t>
            </w:r>
            <w:r w:rsidR="002E5F71" w:rsidRPr="000644BB">
              <w:rPr>
                <w:color w:val="auto"/>
                <w:sz w:val="20"/>
                <w:szCs w:val="20"/>
              </w:rPr>
              <w:t>doravirine</w:t>
            </w:r>
            <w:r w:rsidRPr="000644BB">
              <w:rPr>
                <w:color w:val="auto"/>
                <w:sz w:val="20"/>
                <w:szCs w:val="20"/>
              </w:rPr>
              <w:t xml:space="preserve"> switch</w:t>
            </w:r>
          </w:p>
        </w:tc>
        <w:tc>
          <w:tcPr>
            <w:tcW w:w="1351" w:type="dxa"/>
            <w:noWrap/>
            <w:hideMark/>
          </w:tcPr>
          <w:p w14:paraId="00722B0B" w14:textId="77777777" w:rsidR="00D45C44" w:rsidRPr="000644BB" w:rsidRDefault="00D45C44" w:rsidP="000644BB">
            <w:pPr>
              <w:ind w:left="0" w:right="0"/>
              <w:rPr>
                <w:color w:val="auto"/>
                <w:sz w:val="20"/>
                <w:szCs w:val="20"/>
              </w:rPr>
            </w:pPr>
            <w:r w:rsidRPr="000644BB">
              <w:rPr>
                <w:color w:val="auto"/>
                <w:sz w:val="20"/>
                <w:szCs w:val="20"/>
              </w:rPr>
              <w:t>P052</w:t>
            </w:r>
          </w:p>
        </w:tc>
        <w:tc>
          <w:tcPr>
            <w:tcW w:w="3508" w:type="dxa"/>
            <w:noWrap/>
            <w:hideMark/>
          </w:tcPr>
          <w:p w14:paraId="36E9F001" w14:textId="77777777" w:rsidR="00D45C44" w:rsidRPr="000644BB" w:rsidRDefault="00D45C44" w:rsidP="000644BB">
            <w:pPr>
              <w:ind w:left="0" w:right="0"/>
              <w:rPr>
                <w:color w:val="auto"/>
                <w:sz w:val="20"/>
                <w:szCs w:val="20"/>
              </w:rPr>
            </w:pPr>
            <w:r w:rsidRPr="000644BB">
              <w:rPr>
                <w:color w:val="auto"/>
                <w:sz w:val="20"/>
                <w:szCs w:val="20"/>
              </w:rPr>
              <w:t>BE (paeds formulations)</w:t>
            </w:r>
          </w:p>
        </w:tc>
      </w:tr>
      <w:tr w:rsidR="000644BB" w:rsidRPr="000644BB" w14:paraId="47638211" w14:textId="77777777" w:rsidTr="005806AC">
        <w:trPr>
          <w:trHeight w:val="55"/>
        </w:trPr>
        <w:tc>
          <w:tcPr>
            <w:tcW w:w="783" w:type="dxa"/>
            <w:noWrap/>
            <w:hideMark/>
          </w:tcPr>
          <w:p w14:paraId="422C46B2" w14:textId="77777777" w:rsidR="00D45C44" w:rsidRPr="000644BB" w:rsidRDefault="00D45C44" w:rsidP="000644BB">
            <w:pPr>
              <w:ind w:left="0" w:right="0"/>
              <w:rPr>
                <w:color w:val="auto"/>
                <w:sz w:val="20"/>
                <w:szCs w:val="20"/>
              </w:rPr>
            </w:pPr>
            <w:r w:rsidRPr="000644BB">
              <w:rPr>
                <w:color w:val="auto"/>
                <w:sz w:val="20"/>
                <w:szCs w:val="20"/>
              </w:rPr>
              <w:t>P021</w:t>
            </w:r>
          </w:p>
        </w:tc>
        <w:tc>
          <w:tcPr>
            <w:tcW w:w="3273" w:type="dxa"/>
            <w:noWrap/>
            <w:hideMark/>
          </w:tcPr>
          <w:p w14:paraId="37A10344" w14:textId="711BD9B4" w:rsidR="00D45C44" w:rsidRPr="000644BB" w:rsidRDefault="000644BB" w:rsidP="000644BB">
            <w:pPr>
              <w:ind w:left="0" w:right="0"/>
              <w:rPr>
                <w:color w:val="auto"/>
                <w:sz w:val="20"/>
                <w:szCs w:val="20"/>
              </w:rPr>
            </w:pPr>
            <w:r>
              <w:rPr>
                <w:color w:val="auto"/>
                <w:sz w:val="20"/>
                <w:szCs w:val="20"/>
              </w:rPr>
              <w:t>Phase III</w:t>
            </w:r>
          </w:p>
        </w:tc>
        <w:tc>
          <w:tcPr>
            <w:tcW w:w="1351" w:type="dxa"/>
            <w:noWrap/>
            <w:hideMark/>
          </w:tcPr>
          <w:p w14:paraId="3707110F" w14:textId="77777777" w:rsidR="00D45C44" w:rsidRPr="000644BB" w:rsidRDefault="00D45C44" w:rsidP="000644BB">
            <w:pPr>
              <w:ind w:left="0" w:right="0"/>
              <w:rPr>
                <w:color w:val="auto"/>
                <w:sz w:val="20"/>
                <w:szCs w:val="20"/>
              </w:rPr>
            </w:pPr>
            <w:r w:rsidRPr="000644BB">
              <w:rPr>
                <w:color w:val="auto"/>
                <w:sz w:val="20"/>
                <w:szCs w:val="20"/>
              </w:rPr>
              <w:t>P053</w:t>
            </w:r>
          </w:p>
        </w:tc>
        <w:tc>
          <w:tcPr>
            <w:tcW w:w="3508" w:type="dxa"/>
            <w:noWrap/>
            <w:hideMark/>
          </w:tcPr>
          <w:p w14:paraId="25263F9F" w14:textId="77777777" w:rsidR="00D45C44" w:rsidRPr="000644BB" w:rsidRDefault="00D45C44" w:rsidP="000644BB">
            <w:pPr>
              <w:ind w:left="0" w:right="0"/>
              <w:rPr>
                <w:color w:val="auto"/>
                <w:sz w:val="20"/>
                <w:szCs w:val="20"/>
              </w:rPr>
            </w:pPr>
            <w:r w:rsidRPr="000644BB">
              <w:rPr>
                <w:color w:val="auto"/>
                <w:sz w:val="20"/>
                <w:szCs w:val="20"/>
              </w:rPr>
              <w:t>DDI (LDP/SOF)</w:t>
            </w:r>
          </w:p>
        </w:tc>
      </w:tr>
      <w:tr w:rsidR="000644BB" w:rsidRPr="000644BB" w14:paraId="17E737CE" w14:textId="77777777" w:rsidTr="005806AC">
        <w:trPr>
          <w:trHeight w:val="142"/>
        </w:trPr>
        <w:tc>
          <w:tcPr>
            <w:tcW w:w="783" w:type="dxa"/>
            <w:noWrap/>
            <w:hideMark/>
          </w:tcPr>
          <w:p w14:paraId="4F818EB5" w14:textId="77777777" w:rsidR="00D45C44" w:rsidRPr="000644BB" w:rsidRDefault="00D45C44" w:rsidP="000644BB">
            <w:pPr>
              <w:ind w:left="0" w:right="0"/>
              <w:rPr>
                <w:color w:val="auto"/>
                <w:sz w:val="20"/>
                <w:szCs w:val="20"/>
              </w:rPr>
            </w:pPr>
            <w:r w:rsidRPr="000644BB">
              <w:rPr>
                <w:color w:val="auto"/>
                <w:sz w:val="20"/>
                <w:szCs w:val="20"/>
              </w:rPr>
              <w:t>P026</w:t>
            </w:r>
          </w:p>
        </w:tc>
        <w:tc>
          <w:tcPr>
            <w:tcW w:w="3273" w:type="dxa"/>
            <w:noWrap/>
            <w:hideMark/>
          </w:tcPr>
          <w:p w14:paraId="384C8900" w14:textId="77777777" w:rsidR="00D45C44" w:rsidRPr="000644BB" w:rsidRDefault="00D45C44" w:rsidP="000644BB">
            <w:pPr>
              <w:ind w:left="0" w:right="0"/>
              <w:rPr>
                <w:color w:val="auto"/>
                <w:sz w:val="20"/>
                <w:szCs w:val="20"/>
              </w:rPr>
            </w:pPr>
            <w:r w:rsidRPr="000644BB">
              <w:rPr>
                <w:color w:val="auto"/>
                <w:sz w:val="20"/>
                <w:szCs w:val="20"/>
              </w:rPr>
              <w:t>BE (FDC)</w:t>
            </w:r>
          </w:p>
        </w:tc>
        <w:tc>
          <w:tcPr>
            <w:tcW w:w="1351" w:type="dxa"/>
            <w:noWrap/>
            <w:hideMark/>
          </w:tcPr>
          <w:p w14:paraId="6B309745" w14:textId="77777777" w:rsidR="00D45C44" w:rsidRPr="000644BB" w:rsidRDefault="00D45C44" w:rsidP="000644BB">
            <w:pPr>
              <w:ind w:left="0" w:right="0"/>
              <w:rPr>
                <w:color w:val="auto"/>
                <w:sz w:val="20"/>
                <w:szCs w:val="20"/>
              </w:rPr>
            </w:pPr>
            <w:r w:rsidRPr="000644BB">
              <w:rPr>
                <w:color w:val="auto"/>
                <w:sz w:val="20"/>
                <w:szCs w:val="20"/>
              </w:rPr>
              <w:t>P024,028,030</w:t>
            </w:r>
          </w:p>
        </w:tc>
        <w:tc>
          <w:tcPr>
            <w:tcW w:w="3508" w:type="dxa"/>
            <w:noWrap/>
            <w:hideMark/>
          </w:tcPr>
          <w:p w14:paraId="42281CD7" w14:textId="528C73A5" w:rsidR="00D45C44" w:rsidRPr="000644BB" w:rsidRDefault="005806AC" w:rsidP="000644BB">
            <w:pPr>
              <w:ind w:left="0" w:right="0"/>
              <w:rPr>
                <w:color w:val="auto"/>
                <w:sz w:val="20"/>
                <w:szCs w:val="20"/>
              </w:rPr>
            </w:pPr>
            <w:r>
              <w:rPr>
                <w:color w:val="auto"/>
                <w:sz w:val="20"/>
                <w:szCs w:val="20"/>
              </w:rPr>
              <w:t>O</w:t>
            </w:r>
            <w:r w:rsidR="00D45C44" w:rsidRPr="000644BB">
              <w:rPr>
                <w:color w:val="auto"/>
                <w:sz w:val="20"/>
                <w:szCs w:val="20"/>
              </w:rPr>
              <w:t>ngoing; not considered in this dossier.</w:t>
            </w:r>
          </w:p>
        </w:tc>
      </w:tr>
    </w:tbl>
    <w:p w14:paraId="67894807" w14:textId="72F98661" w:rsidR="005806AC" w:rsidRDefault="005806AC" w:rsidP="003B1757">
      <w:pPr>
        <w:pStyle w:val="TableDescription"/>
      </w:pPr>
      <w:r>
        <w:t xml:space="preserve">BE = bioequivalence, DDI = drug drug interaction, </w:t>
      </w:r>
      <w:r w:rsidR="0050504B">
        <w:t>FDC = fixed dose combination</w:t>
      </w:r>
      <w:r>
        <w:t xml:space="preserve">EE = ethinylestradiol, ELB = elbasvir, </w:t>
      </w:r>
      <w:r w:rsidR="00B2445E">
        <w:t xml:space="preserve">EVR = efavirenz, </w:t>
      </w:r>
      <w:r w:rsidR="003B1757">
        <w:t xml:space="preserve">GRZ = grazoprevir, </w:t>
      </w:r>
      <w:r>
        <w:t xml:space="preserve">IM = intramuscular, </w:t>
      </w:r>
      <w:r w:rsidR="003B1757">
        <w:t>LDP = l</w:t>
      </w:r>
      <w:r w:rsidR="003B1757" w:rsidRPr="003B1757">
        <w:t>edipasvir</w:t>
      </w:r>
      <w:r w:rsidR="003B1757">
        <w:t xml:space="preserve">, </w:t>
      </w:r>
      <w:r>
        <w:t>LNG</w:t>
      </w:r>
      <w:r w:rsidR="0050504B">
        <w:t> </w:t>
      </w:r>
      <w:r>
        <w:t>=</w:t>
      </w:r>
      <w:r w:rsidR="0050504B">
        <w:t> </w:t>
      </w:r>
      <w:r>
        <w:t xml:space="preserve">levonorgestrel, PK = pharmacokinetics, </w:t>
      </w:r>
      <w:r w:rsidR="003B1757">
        <w:t xml:space="preserve">SOF = </w:t>
      </w:r>
      <w:r w:rsidR="003B1757" w:rsidRPr="003B1757">
        <w:t>sofosbuvir</w:t>
      </w:r>
      <w:r w:rsidR="003B1757">
        <w:t>.</w:t>
      </w:r>
    </w:p>
    <w:p w14:paraId="1C548931" w14:textId="2635584D" w:rsidR="00D45C44" w:rsidRPr="00382533" w:rsidRDefault="00D45C44" w:rsidP="00382533">
      <w:r w:rsidRPr="00382533">
        <w:t xml:space="preserve">A summary of </w:t>
      </w:r>
      <w:r w:rsidR="00382533" w:rsidRPr="00382533">
        <w:t>salient data is presented in this section.</w:t>
      </w:r>
    </w:p>
    <w:p w14:paraId="721FEED8" w14:textId="77777777" w:rsidR="00D45C44" w:rsidRDefault="00D45C44" w:rsidP="002E5F71">
      <w:pPr>
        <w:pStyle w:val="Heading4"/>
      </w:pPr>
      <w:r>
        <w:t>Pharmacokinetics</w:t>
      </w:r>
    </w:p>
    <w:p w14:paraId="4E1AD0B3" w14:textId="127F8723" w:rsidR="00D45C44" w:rsidRPr="00244A55" w:rsidRDefault="00D45C44" w:rsidP="00382533">
      <w:r>
        <w:t xml:space="preserve">Based on the radiolabelled oral </w:t>
      </w:r>
      <w:r w:rsidR="002E5F71">
        <w:t>doravirine</w:t>
      </w:r>
      <w:r>
        <w:t xml:space="preserve"> study (</w:t>
      </w:r>
      <w:r w:rsidR="00815213">
        <w:t xml:space="preserve">Study </w:t>
      </w:r>
      <w:r>
        <w:t xml:space="preserve">P008), M9 was the </w:t>
      </w:r>
      <w:r w:rsidRPr="007D481A">
        <w:t>maj</w:t>
      </w:r>
      <w:r>
        <w:t>or metabolite</w:t>
      </w:r>
      <w:r w:rsidRPr="007D481A">
        <w:t xml:space="preserve"> in </w:t>
      </w:r>
      <w:r>
        <w:t>human plasma from metabolism by CYP3A corresponding to 13</w:t>
      </w:r>
      <w:r w:rsidRPr="007D481A">
        <w:t>% of the total radioact</w:t>
      </w:r>
      <w:r>
        <w:t xml:space="preserve">ivity. The parent </w:t>
      </w:r>
      <w:r w:rsidR="002E5F71">
        <w:t>doravirine</w:t>
      </w:r>
      <w:r>
        <w:t xml:space="preserve"> accounted for 75% of the radioactivity. The M9 metabolite is inactive. </w:t>
      </w:r>
      <w:r w:rsidR="008C51E2">
        <w:t>D</w:t>
      </w:r>
      <w:r w:rsidR="002E5F71">
        <w:t>oravirine</w:t>
      </w:r>
      <w:r>
        <w:t xml:space="preserve"> is about 76% </w:t>
      </w:r>
      <w:r w:rsidR="00815213">
        <w:t>plasma protein bound. Based on Study </w:t>
      </w:r>
      <w:r>
        <w:t xml:space="preserve">P001, the increase in </w:t>
      </w:r>
      <w:r w:rsidR="002E5F71">
        <w:t>doravirine</w:t>
      </w:r>
      <w:r>
        <w:t xml:space="preserve"> exposure was proportional in the 6</w:t>
      </w:r>
      <w:r w:rsidR="00815213">
        <w:t xml:space="preserve"> </w:t>
      </w:r>
      <w:r>
        <w:t>mg to 100</w:t>
      </w:r>
      <w:r w:rsidR="00815213">
        <w:t xml:space="preserve"> </w:t>
      </w:r>
      <w:r>
        <w:t>mg dose range an</w:t>
      </w:r>
      <w:r w:rsidR="00815213">
        <w:t xml:space="preserve">d less than proportional in 100 to </w:t>
      </w:r>
      <w:r>
        <w:t>240</w:t>
      </w:r>
      <w:r w:rsidR="00815213">
        <w:t xml:space="preserve"> </w:t>
      </w:r>
      <w:r>
        <w:t>mg dose range after single oral dose. The accumulation ratio was 1.2 to 1.4 after mu</w:t>
      </w:r>
      <w:r w:rsidR="00815213">
        <w:t xml:space="preserve">ltiple dosing for 10 days at 30 to </w:t>
      </w:r>
      <w:r>
        <w:t>240</w:t>
      </w:r>
      <w:r w:rsidR="00815213">
        <w:t xml:space="preserve"> </w:t>
      </w:r>
      <w:r>
        <w:t>mg dose range.</w:t>
      </w:r>
    </w:p>
    <w:p w14:paraId="75C54328" w14:textId="4B60F052" w:rsidR="00D45C44" w:rsidRDefault="00D45C44" w:rsidP="00382533">
      <w:r>
        <w:t xml:space="preserve">The absolute bioavailability of </w:t>
      </w:r>
      <w:r w:rsidR="002E5F71">
        <w:t>doravirine</w:t>
      </w:r>
      <w:r>
        <w:t xml:space="preserve"> was estimated at</w:t>
      </w:r>
      <w:r w:rsidRPr="00AD0A53">
        <w:t xml:space="preserve"> 64% for the 100</w:t>
      </w:r>
      <w:r w:rsidR="00815213">
        <w:t xml:space="preserve"> </w:t>
      </w:r>
      <w:r w:rsidRPr="00AD0A53">
        <w:t xml:space="preserve">mg final market image </w:t>
      </w:r>
      <w:r w:rsidR="002E5F71">
        <w:t>doravirine</w:t>
      </w:r>
      <w:r w:rsidRPr="00AD0A53">
        <w:t xml:space="preserve"> tablet</w:t>
      </w:r>
      <w:r w:rsidR="00815213">
        <w:t xml:space="preserve"> based on separate data from S</w:t>
      </w:r>
      <w:r>
        <w:t>tudies P039 and P044 using population PK analysis</w:t>
      </w:r>
      <w:r w:rsidRPr="00AD0A53">
        <w:t xml:space="preserve">. </w:t>
      </w:r>
      <w:r w:rsidR="0050504B">
        <w:t>The t</w:t>
      </w:r>
      <w:r w:rsidR="00815213">
        <w:t>ime of maximum plasma concentration (</w:t>
      </w:r>
      <w:r w:rsidRPr="00AD0A53">
        <w:t>T</w:t>
      </w:r>
      <w:r w:rsidRPr="00815213">
        <w:rPr>
          <w:vertAlign w:val="subscript"/>
        </w:rPr>
        <w:t>max</w:t>
      </w:r>
      <w:r w:rsidR="00815213">
        <w:t>)</w:t>
      </w:r>
      <w:r w:rsidRPr="00AD0A53">
        <w:t xml:space="preserve"> is 2 hours. </w:t>
      </w:r>
      <w:r>
        <w:t>Steady state is reached in 2 days. Terminal half-life is 15 days. The volume of distribution is 60.5</w:t>
      </w:r>
      <w:r w:rsidR="00815213">
        <w:t> </w:t>
      </w:r>
      <w:r>
        <w:t xml:space="preserve">L based on </w:t>
      </w:r>
      <w:r w:rsidR="00815213">
        <w:t>intravenous (</w:t>
      </w:r>
      <w:r>
        <w:t>IV</w:t>
      </w:r>
      <w:r w:rsidR="00815213">
        <w:t>)</w:t>
      </w:r>
      <w:r>
        <w:t xml:space="preserve"> dose (100</w:t>
      </w:r>
      <w:r w:rsidR="00815213">
        <w:t xml:space="preserve"> </w:t>
      </w:r>
      <w:r>
        <w:t>µg) study. The bioavailability</w:t>
      </w:r>
      <w:r w:rsidRPr="00AD0A53">
        <w:t xml:space="preserve"> is thought</w:t>
      </w:r>
      <w:r>
        <w:t xml:space="preserve"> to be limited mainly due to </w:t>
      </w:r>
      <w:r w:rsidRPr="00AD0A53">
        <w:t>solubility</w:t>
      </w:r>
      <w:r>
        <w:t xml:space="preserve"> of </w:t>
      </w:r>
      <w:r w:rsidR="002E5F71">
        <w:t>doravirine</w:t>
      </w:r>
      <w:r>
        <w:t>.</w:t>
      </w:r>
    </w:p>
    <w:p w14:paraId="2BAE5775" w14:textId="0040BAF6" w:rsidR="00D45C44" w:rsidRDefault="00815213" w:rsidP="00382533">
      <w:r>
        <w:t>The plasma c</w:t>
      </w:r>
      <w:r w:rsidR="00D45C44" w:rsidRPr="00E1783C">
        <w:t>lea</w:t>
      </w:r>
      <w:r w:rsidR="00D45C44">
        <w:t xml:space="preserve">rance of </w:t>
      </w:r>
      <w:r w:rsidR="002E5F71">
        <w:t>doravirine</w:t>
      </w:r>
      <w:r w:rsidR="00D45C44">
        <w:t xml:space="preserve"> in healthy volunteers was 3.73 L/h following the 100</w:t>
      </w:r>
      <w:r w:rsidR="0050504B">
        <w:t> </w:t>
      </w:r>
      <w:r w:rsidR="00D45C44">
        <w:t xml:space="preserve">µg IV dose. </w:t>
      </w:r>
      <w:r w:rsidR="008C51E2">
        <w:t>D</w:t>
      </w:r>
      <w:r w:rsidR="002E5F71">
        <w:t>oravirine</w:t>
      </w:r>
      <w:r w:rsidR="00D45C44" w:rsidRPr="006B3AAE">
        <w:t xml:space="preserve"> is a</w:t>
      </w:r>
      <w:r w:rsidR="00D45C44">
        <w:t xml:space="preserve"> </w:t>
      </w:r>
      <w:r w:rsidR="00D45C44" w:rsidRPr="006B3AAE">
        <w:t>low hepatic clearance drug. Based on the population PK anal</w:t>
      </w:r>
      <w:r>
        <w:t>ysis, apparent c</w:t>
      </w:r>
      <w:r w:rsidR="00D45C44">
        <w:t xml:space="preserve">learance is estimated at </w:t>
      </w:r>
      <w:r w:rsidR="00D45C44" w:rsidRPr="006B3AAE">
        <w:t>6.34 L/h</w:t>
      </w:r>
      <w:r w:rsidR="00D45C44">
        <w:t xml:space="preserve">, </w:t>
      </w:r>
      <w:r w:rsidR="00D45C44" w:rsidRPr="006B3AAE">
        <w:t>consistent with the IV data after adjusting for oral bioavailability</w:t>
      </w:r>
      <w:r w:rsidR="00D45C44">
        <w:t>. The food effect (fed/fasted ratio; 90%</w:t>
      </w:r>
      <w:r>
        <w:t xml:space="preserve"> confidence interval (</w:t>
      </w:r>
      <w:r w:rsidR="00D45C44">
        <w:t>CI</w:t>
      </w:r>
      <w:r>
        <w:t>)</w:t>
      </w:r>
      <w:r w:rsidR="00D45C44">
        <w:t xml:space="preserve">) with </w:t>
      </w:r>
      <w:r w:rsidR="002E5F71">
        <w:t>doravirine</w:t>
      </w:r>
      <w:r w:rsidR="00D45C44">
        <w:t xml:space="preserve"> and </w:t>
      </w:r>
      <w:r w:rsidR="002E5F71">
        <w:t>doravirine</w:t>
      </w:r>
      <w:r w:rsidR="00D45C44">
        <w:t>/</w:t>
      </w:r>
      <w:r w:rsidR="00382533">
        <w:t>lamivudine</w:t>
      </w:r>
      <w:r w:rsidR="00D45C44">
        <w:t>/</w:t>
      </w:r>
      <w:r w:rsidR="00382533">
        <w:t>tenofovir disoproxil fumarate</w:t>
      </w:r>
      <w:r>
        <w:t xml:space="preserve"> was as follows</w:t>
      </w:r>
      <w:r w:rsidR="000644BB">
        <w:t xml:space="preserve"> in </w:t>
      </w:r>
      <w:r w:rsidR="000644BB">
        <w:fldChar w:fldCharType="begin"/>
      </w:r>
      <w:r w:rsidR="000644BB">
        <w:instrText xml:space="preserve"> REF _Ref31782815 \h </w:instrText>
      </w:r>
      <w:r w:rsidR="000644BB">
        <w:fldChar w:fldCharType="separate"/>
      </w:r>
      <w:r w:rsidR="000644BB">
        <w:t xml:space="preserve">Table </w:t>
      </w:r>
      <w:r w:rsidR="000644BB">
        <w:rPr>
          <w:noProof/>
        </w:rPr>
        <w:t>6</w:t>
      </w:r>
      <w:r w:rsidR="000644BB">
        <w:fldChar w:fldCharType="end"/>
      </w:r>
      <w:r w:rsidR="000644BB">
        <w:t>.</w:t>
      </w:r>
    </w:p>
    <w:p w14:paraId="7406EED5" w14:textId="351635AC" w:rsidR="00815213" w:rsidRPr="00D77C26" w:rsidRDefault="00815213" w:rsidP="00815213">
      <w:pPr>
        <w:pStyle w:val="TableTitle"/>
      </w:pPr>
      <w:bookmarkStart w:id="46" w:name="_Ref31782815"/>
      <w:r>
        <w:lastRenderedPageBreak/>
        <w:t xml:space="preserve">Table </w:t>
      </w:r>
      <w:fldSimple w:instr=" SEQ Table \* ARABIC ">
        <w:r w:rsidR="000644BB">
          <w:rPr>
            <w:noProof/>
          </w:rPr>
          <w:t>6</w:t>
        </w:r>
      </w:fldSimple>
      <w:bookmarkEnd w:id="46"/>
      <w:r>
        <w:t>: Food effect of doravirine and doravirine/lamivudine/tenofovir disoproxil fumarate</w:t>
      </w:r>
    </w:p>
    <w:p w14:paraId="5A5DFC25" w14:textId="55C036A8" w:rsidR="00D45C44" w:rsidRDefault="00D45C44" w:rsidP="00382533">
      <w:r>
        <w:rPr>
          <w:noProof/>
          <w:lang w:eastAsia="en-AU"/>
        </w:rPr>
        <w:drawing>
          <wp:inline distT="0" distB="0" distL="0" distR="0" wp14:anchorId="6CE649F9" wp14:editId="686DDB28">
            <wp:extent cx="5104932" cy="676300"/>
            <wp:effectExtent l="0" t="0" r="635" b="9525"/>
            <wp:docPr id="19" name="Picture 19" descr="Food effect of doravirine and doravirine/lamivudine/tenofovir disoproxil fum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_2017_CEU2\~acm2017\Dec_2018\tables\food effec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568" cy="677577"/>
                    </a:xfrm>
                    <a:prstGeom prst="rect">
                      <a:avLst/>
                    </a:prstGeom>
                    <a:noFill/>
                    <a:ln>
                      <a:noFill/>
                    </a:ln>
                  </pic:spPr>
                </pic:pic>
              </a:graphicData>
            </a:graphic>
          </wp:inline>
        </w:drawing>
      </w:r>
    </w:p>
    <w:p w14:paraId="49FDB8F3" w14:textId="2870FC22" w:rsidR="00815213" w:rsidRPr="007E384B" w:rsidRDefault="0050504B" w:rsidP="00103946">
      <w:pPr>
        <w:pStyle w:val="TableDescription"/>
      </w:pPr>
      <w:r>
        <w:t xml:space="preserve">90% confidence intervals in brackets; </w:t>
      </w:r>
      <w:r w:rsidR="00F87654">
        <w:t xml:space="preserve">3TC = lamivudine, </w:t>
      </w:r>
      <w:r w:rsidR="00815213">
        <w:t xml:space="preserve">AUC = area under </w:t>
      </w:r>
      <w:r>
        <w:t>the drug-plasma</w:t>
      </w:r>
      <w:r w:rsidR="00815213">
        <w:t xml:space="preserve"> concentration time </w:t>
      </w:r>
      <w:r w:rsidR="00103946">
        <w:t>curve</w:t>
      </w:r>
      <w:r w:rsidR="00815213">
        <w:t xml:space="preserve">, </w:t>
      </w:r>
      <w:r w:rsidR="00103946">
        <w:t>C</w:t>
      </w:r>
      <w:r w:rsidR="00103946" w:rsidRPr="00103946">
        <w:rPr>
          <w:vertAlign w:val="subscript"/>
        </w:rPr>
        <w:t>24</w:t>
      </w:r>
      <w:r w:rsidR="00103946">
        <w:t xml:space="preserve"> = plasma concentration at 24 hours, </w:t>
      </w:r>
      <w:r w:rsidR="00815213">
        <w:t>C</w:t>
      </w:r>
      <w:r w:rsidR="00815213" w:rsidRPr="00103946">
        <w:rPr>
          <w:vertAlign w:val="subscript"/>
        </w:rPr>
        <w:t>max</w:t>
      </w:r>
      <w:r w:rsidR="00815213">
        <w:t xml:space="preserve"> = maximum plasma concentration, </w:t>
      </w:r>
      <w:r w:rsidR="00F87654">
        <w:t>DOR = doravirine</w:t>
      </w:r>
      <w:r w:rsidR="00815213">
        <w:t>, TDF = tenofovir disoproxil fumarate.</w:t>
      </w:r>
    </w:p>
    <w:p w14:paraId="629EECB5" w14:textId="54085501" w:rsidR="00D45C44" w:rsidRDefault="00103946" w:rsidP="00382533">
      <w:r>
        <w:t>Film coated tablet</w:t>
      </w:r>
      <w:r w:rsidR="00D45C44">
        <w:t xml:space="preserve"> </w:t>
      </w:r>
      <w:r w:rsidR="002E5F71">
        <w:t>doravirine</w:t>
      </w:r>
      <w:r w:rsidR="00D45C44">
        <w:t xml:space="preserve"> 100</w:t>
      </w:r>
      <w:r>
        <w:t xml:space="preserve"> </w:t>
      </w:r>
      <w:r w:rsidR="00D45C44">
        <w:t>mg is the intended marketing formulation but was not used in any clinical stu</w:t>
      </w:r>
      <w:r>
        <w:t>dy including the pivotal Phase III</w:t>
      </w:r>
      <w:r w:rsidR="00D45C44">
        <w:t xml:space="preserve"> efficacy trial </w:t>
      </w:r>
      <w:r>
        <w:t xml:space="preserve">Study </w:t>
      </w:r>
      <w:r w:rsidR="00D45C44">
        <w:t xml:space="preserve">P018. </w:t>
      </w:r>
      <w:r w:rsidR="00D45C44">
        <w:rPr>
          <w:rFonts w:eastAsiaTheme="minorHAnsi" w:cstheme="minorBidi"/>
        </w:rPr>
        <w:t>B</w:t>
      </w:r>
      <w:r w:rsidR="00D45C44" w:rsidRPr="00B1188F">
        <w:rPr>
          <w:rFonts w:eastAsiaTheme="minorHAnsi" w:cstheme="minorBidi"/>
        </w:rPr>
        <w:t xml:space="preserve">ioequivalence </w:t>
      </w:r>
      <w:r w:rsidR="00D45C44">
        <w:rPr>
          <w:rFonts w:eastAsiaTheme="minorHAnsi" w:cstheme="minorBidi"/>
        </w:rPr>
        <w:t xml:space="preserve">of the </w:t>
      </w:r>
      <w:r>
        <w:t>film coated tablet</w:t>
      </w:r>
      <w:r w:rsidR="00D45C44">
        <w:rPr>
          <w:rFonts w:eastAsiaTheme="minorHAnsi" w:cstheme="minorBidi"/>
        </w:rPr>
        <w:t xml:space="preserve"> version with the clinical trial </w:t>
      </w:r>
      <w:r>
        <w:rPr>
          <w:rFonts w:eastAsiaTheme="minorHAnsi" w:cstheme="minorBidi"/>
        </w:rPr>
        <w:t>uncoated oral compressed tablet version was demonstrated in S</w:t>
      </w:r>
      <w:r w:rsidR="00D45C44">
        <w:rPr>
          <w:rFonts w:eastAsiaTheme="minorHAnsi" w:cstheme="minorBidi"/>
        </w:rPr>
        <w:t>tudy P039.</w:t>
      </w:r>
      <w:r w:rsidR="00D45C44">
        <w:t xml:space="preserve"> </w:t>
      </w:r>
      <w:r w:rsidR="00D45C44" w:rsidRPr="00910CDC">
        <w:t xml:space="preserve">FMI </w:t>
      </w:r>
      <w:r w:rsidR="00D45C44">
        <w:t xml:space="preserve">(final market image) </w:t>
      </w:r>
      <w:r w:rsidR="002E5F71">
        <w:t>doravirine</w:t>
      </w:r>
      <w:r w:rsidR="00D45C44" w:rsidRPr="00910CDC">
        <w:t>/</w:t>
      </w:r>
      <w:r w:rsidR="00382533">
        <w:t>lamivudine</w:t>
      </w:r>
      <w:r w:rsidR="00D45C44" w:rsidRPr="00910CDC">
        <w:t>/</w:t>
      </w:r>
      <w:r w:rsidR="00382533">
        <w:t>tenofovir disoproxil fumarate</w:t>
      </w:r>
      <w:r w:rsidR="00D45C44" w:rsidRPr="00910CDC">
        <w:t xml:space="preserve"> </w:t>
      </w:r>
      <w:r w:rsidR="00D45C44">
        <w:t>(100/300/300</w:t>
      </w:r>
      <w:r w:rsidR="0050504B">
        <w:t xml:space="preserve"> mg</w:t>
      </w:r>
      <w:r w:rsidR="00D45C44">
        <w:t>) is the intended marketing formulation and was</w:t>
      </w:r>
      <w:r w:rsidR="00D45C44" w:rsidRPr="00910CDC">
        <w:t xml:space="preserve"> </w:t>
      </w:r>
      <w:r w:rsidR="00D45C44">
        <w:t xml:space="preserve">also </w:t>
      </w:r>
      <w:r w:rsidR="00D45C44" w:rsidRPr="00910CDC">
        <w:t>u</w:t>
      </w:r>
      <w:r w:rsidR="00B2445E">
        <w:t>sed in the pivotal Phase III efficacy Study</w:t>
      </w:r>
      <w:r w:rsidR="00D45C44">
        <w:t xml:space="preserve"> P021 but not in any other study.</w:t>
      </w:r>
    </w:p>
    <w:p w14:paraId="05EBD0B9" w14:textId="5C2F6AD0" w:rsidR="00D45C44" w:rsidRDefault="00103946" w:rsidP="00382533">
      <w:r>
        <w:t>Pharmacokinetic (</w:t>
      </w:r>
      <w:r w:rsidR="00D45C44">
        <w:t>PK</w:t>
      </w:r>
      <w:r>
        <w:t>)</w:t>
      </w:r>
      <w:r w:rsidR="00D45C44">
        <w:t xml:space="preserve"> parameters of </w:t>
      </w:r>
      <w:r w:rsidR="002E5F71">
        <w:t>doravirine</w:t>
      </w:r>
      <w:r w:rsidR="00D45C44">
        <w:t xml:space="preserve">, </w:t>
      </w:r>
      <w:r w:rsidR="00382533">
        <w:t>lamivudine</w:t>
      </w:r>
      <w:r w:rsidR="00D45C44">
        <w:t xml:space="preserve"> and </w:t>
      </w:r>
      <w:r w:rsidR="00382533">
        <w:t>tenofovir disoproxil fumarate</w:t>
      </w:r>
      <w:r w:rsidR="00D45C44">
        <w:t>, on administration of the</w:t>
      </w:r>
      <w:r w:rsidR="00D45C44" w:rsidRPr="005621E2">
        <w:t xml:space="preserve"> </w:t>
      </w:r>
      <w:r w:rsidR="00B2445E">
        <w:t>FDC</w:t>
      </w:r>
      <w:r w:rsidR="00D45C44">
        <w:t xml:space="preserve"> </w:t>
      </w:r>
      <w:r w:rsidR="002E5F71">
        <w:t>doravirine</w:t>
      </w:r>
      <w:r w:rsidR="00D45C44">
        <w:t>/</w:t>
      </w:r>
      <w:r w:rsidR="00382533">
        <w:t>lamivudine</w:t>
      </w:r>
      <w:r w:rsidR="00D45C44">
        <w:t>/</w:t>
      </w:r>
      <w:r w:rsidR="00382533">
        <w:t>tenofovir disoproxil fumarate</w:t>
      </w:r>
      <w:r w:rsidR="00D45C44">
        <w:t xml:space="preserve"> are similar to PK on administration of single entities (Study P026). In addition, clinically significant interactions of the 3 components have been ruled out in the component in</w:t>
      </w:r>
      <w:r>
        <w:t>teraction Study P038</w:t>
      </w:r>
      <w:r w:rsidR="00D45C44">
        <w:t>. Hence, the established clinical</w:t>
      </w:r>
      <w:r w:rsidR="00D45C44" w:rsidRPr="0061032E">
        <w:t xml:space="preserve"> profiles of </w:t>
      </w:r>
      <w:r w:rsidR="00382533">
        <w:t>tenofovir disoproxil fumarate</w:t>
      </w:r>
      <w:r w:rsidR="00D45C44" w:rsidRPr="0061032E">
        <w:t xml:space="preserve"> and </w:t>
      </w:r>
      <w:r w:rsidR="00382533">
        <w:t>lamivudine</w:t>
      </w:r>
      <w:r w:rsidR="00D45C44">
        <w:t xml:space="preserve"> are considered applicable to their use with </w:t>
      </w:r>
      <w:r w:rsidR="002E5F71">
        <w:t>doravirine</w:t>
      </w:r>
      <w:r w:rsidR="00D45C44">
        <w:t xml:space="preserve"> as free agents or as fixed dose combination </w:t>
      </w:r>
      <w:r w:rsidR="002E5F71">
        <w:t>doravirine</w:t>
      </w:r>
      <w:r w:rsidR="00D45C44">
        <w:t>/</w:t>
      </w:r>
      <w:r w:rsidR="00382533">
        <w:t>lamivudine</w:t>
      </w:r>
      <w:r w:rsidR="00D45C44">
        <w:t>/</w:t>
      </w:r>
      <w:r w:rsidR="00382533">
        <w:t>tenofovir disoproxil fumarate</w:t>
      </w:r>
      <w:r w:rsidR="00D45C44">
        <w:t>. The 300</w:t>
      </w:r>
      <w:r>
        <w:t xml:space="preserve"> </w:t>
      </w:r>
      <w:r w:rsidR="00D45C44">
        <w:t>mg daily</w:t>
      </w:r>
      <w:r w:rsidR="00D45C44" w:rsidRPr="0061032E">
        <w:t xml:space="preserve"> doses of</w:t>
      </w:r>
      <w:r w:rsidR="00D45C44">
        <w:t xml:space="preserve"> </w:t>
      </w:r>
      <w:r w:rsidR="00382533">
        <w:t>lamivudine</w:t>
      </w:r>
      <w:r w:rsidR="00D45C44">
        <w:t xml:space="preserve"> and </w:t>
      </w:r>
      <w:r w:rsidR="00382533">
        <w:t>tenofovir disoproxil fumarate</w:t>
      </w:r>
      <w:r w:rsidR="00D45C44" w:rsidRPr="0061032E">
        <w:t xml:space="preserve"> in </w:t>
      </w:r>
      <w:r w:rsidR="002E5F71">
        <w:t>doravirine</w:t>
      </w:r>
      <w:r w:rsidR="00D45C44">
        <w:t>/</w:t>
      </w:r>
      <w:r w:rsidR="00382533">
        <w:t>lamivudine</w:t>
      </w:r>
      <w:r w:rsidR="00D45C44">
        <w:t>/</w:t>
      </w:r>
      <w:r w:rsidR="00382533">
        <w:t>tenofovir disoproxil fumarate</w:t>
      </w:r>
      <w:r w:rsidR="00D45C44">
        <w:t xml:space="preserve"> are </w:t>
      </w:r>
      <w:r w:rsidR="00D45C44" w:rsidRPr="0061032E">
        <w:t>the current</w:t>
      </w:r>
      <w:r w:rsidR="00D45C44">
        <w:t>ly recommended clinical</w:t>
      </w:r>
      <w:r w:rsidR="00D45C44" w:rsidRPr="0061032E">
        <w:t xml:space="preserve"> dos</w:t>
      </w:r>
      <w:r w:rsidR="00D45C44">
        <w:t xml:space="preserve">es of </w:t>
      </w:r>
      <w:r w:rsidR="00382533">
        <w:t>lamivudine</w:t>
      </w:r>
      <w:r w:rsidR="00D45C44">
        <w:t xml:space="preserve"> and </w:t>
      </w:r>
      <w:r w:rsidR="00382533">
        <w:t>tenofovir disoproxil fumarate</w:t>
      </w:r>
      <w:r w:rsidR="00D45C44">
        <w:t xml:space="preserve"> and were not specifically investigated further in association with </w:t>
      </w:r>
      <w:r w:rsidR="002E5F71">
        <w:t>doravirine</w:t>
      </w:r>
      <w:r w:rsidR="00D45C44">
        <w:t>.</w:t>
      </w:r>
    </w:p>
    <w:p w14:paraId="42B2EB13" w14:textId="68043EFE" w:rsidR="00D45C44" w:rsidRDefault="00D45C44" w:rsidP="00382533">
      <w:r w:rsidRPr="000F3080">
        <w:rPr>
          <w:i/>
        </w:rPr>
        <w:t>Hepatic impairment</w:t>
      </w:r>
      <w:r w:rsidR="00103946">
        <w:t>: the sponsor</w:t>
      </w:r>
      <w:r>
        <w:t xml:space="preserve"> </w:t>
      </w:r>
      <w:r w:rsidR="00142F06">
        <w:t>reasons</w:t>
      </w:r>
      <w:r>
        <w:t xml:space="preserve"> in favour of lack of</w:t>
      </w:r>
      <w:r w:rsidRPr="00630416">
        <w:t xml:space="preserve"> clinically meaningful effect on </w:t>
      </w:r>
      <w:r>
        <w:t xml:space="preserve">PK of </w:t>
      </w:r>
      <w:r w:rsidR="002E5F71">
        <w:t>doravirine</w:t>
      </w:r>
      <w:r>
        <w:t xml:space="preserve"> based on Study P019 in moderate hepatic impairment. No dose adjustment</w:t>
      </w:r>
      <w:r w:rsidRPr="00015AD3">
        <w:t xml:space="preserve"> </w:t>
      </w:r>
      <w:r>
        <w:t>is proposed in mild to moderat</w:t>
      </w:r>
      <w:r w:rsidR="00103946">
        <w:t>e hepatic impairment.</w:t>
      </w:r>
    </w:p>
    <w:p w14:paraId="65439E73" w14:textId="36D5C65A" w:rsidR="00103946" w:rsidRDefault="00103946" w:rsidP="00103946">
      <w:pPr>
        <w:pStyle w:val="TableTitle"/>
      </w:pPr>
      <w:r>
        <w:t xml:space="preserve">Table </w:t>
      </w:r>
      <w:fldSimple w:instr=" SEQ Table \* ARABIC ">
        <w:r w:rsidR="000644BB">
          <w:rPr>
            <w:noProof/>
          </w:rPr>
          <w:t>7</w:t>
        </w:r>
      </w:fldSimple>
      <w:r>
        <w:t>: Statistical comparison of plasma pharmacokinetics of doravirine following a single oral dose of 100 mg doravirine administered to subjects with moderate hepatic insufficiency and healthy matched control subjects</w:t>
      </w:r>
    </w:p>
    <w:p w14:paraId="64F115A3" w14:textId="06791392" w:rsidR="00D45C44" w:rsidRDefault="00103946" w:rsidP="00382533">
      <w:r>
        <w:rPr>
          <w:noProof/>
          <w:lang w:eastAsia="en-AU"/>
        </w:rPr>
        <w:drawing>
          <wp:inline distT="0" distB="0" distL="0" distR="0" wp14:anchorId="425D666A" wp14:editId="5747684B">
            <wp:extent cx="5400040" cy="1516380"/>
            <wp:effectExtent l="0" t="0" r="0" b="7620"/>
            <wp:docPr id="2" name="Picture 2" descr="Statistical comparison of plasma pharmacokinetics of doravirine following a single oral dose of 100 mg doravirine administered to subjects with moderate hepatic insufficiency and healthy matched contro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516380"/>
                    </a:xfrm>
                    <a:prstGeom prst="rect">
                      <a:avLst/>
                    </a:prstGeom>
                  </pic:spPr>
                </pic:pic>
              </a:graphicData>
            </a:graphic>
          </wp:inline>
        </w:drawing>
      </w:r>
    </w:p>
    <w:p w14:paraId="6DF07751" w14:textId="7C5E8D39" w:rsidR="00103946" w:rsidRDefault="00BA2650" w:rsidP="00103946">
      <w:pPr>
        <w:pStyle w:val="TableDescription"/>
      </w:pPr>
      <w:r>
        <w:t xml:space="preserve">MK-1439 = doravirine (drug development name); </w:t>
      </w:r>
      <w:r w:rsidR="00103946">
        <w:t xml:space="preserve">CL/F = apparent clearance, </w:t>
      </w:r>
      <w:r w:rsidR="00142F06">
        <w:t>GM = geometric mean, GMR = geometric mean ratio, rMSE = root mean square error,</w:t>
      </w:r>
      <w:r>
        <w:t xml:space="preserve"> AUC</w:t>
      </w:r>
      <w:r>
        <w:rPr>
          <w:vertAlign w:val="subscript"/>
        </w:rPr>
        <w:t>0-∞</w:t>
      </w:r>
      <w:r>
        <w:t xml:space="preserve"> = area under the drug-plasma concentration time curve from time 0 (dosing) extrapolated to infinity; AUC</w:t>
      </w:r>
      <w:r>
        <w:rPr>
          <w:vertAlign w:val="subscript"/>
        </w:rPr>
        <w:t>0-24</w:t>
      </w:r>
      <w:r>
        <w:t xml:space="preserve"> = area under the drug-plasma concentration time curve from time 0 (dosing) to 24 hours; C24 = plasma concentration at 24 hours, C</w:t>
      </w:r>
      <w:r w:rsidRPr="00103946">
        <w:rPr>
          <w:vertAlign w:val="subscript"/>
        </w:rPr>
        <w:t>max</w:t>
      </w:r>
      <w:r>
        <w:t xml:space="preserve"> = maximum plasma concentration; Tmax = time to maximum plasma concentration;</w:t>
      </w:r>
      <w:r w:rsidR="00142F06">
        <w:t xml:space="preserve"> </w:t>
      </w:r>
      <w:r w:rsidR="00103946">
        <w:t>t1/2</w:t>
      </w:r>
      <w:r>
        <w:t> </w:t>
      </w:r>
      <w:r w:rsidR="00103946">
        <w:t>= biological half life, Vz/F = terminal elimination.</w:t>
      </w:r>
    </w:p>
    <w:p w14:paraId="0FD7F0F9" w14:textId="1DD30C67" w:rsidR="00D45C44" w:rsidRDefault="00D45C44" w:rsidP="00382533">
      <w:r w:rsidRPr="000F3080">
        <w:rPr>
          <w:i/>
        </w:rPr>
        <w:t>Renal impairment</w:t>
      </w:r>
      <w:r>
        <w:t xml:space="preserve">: </w:t>
      </w:r>
      <w:r w:rsidR="00142F06">
        <w:t>the sponsor reasons</w:t>
      </w:r>
      <w:r>
        <w:t xml:space="preserve"> in favour of lack of clinically meaningful effect on PK of </w:t>
      </w:r>
      <w:r w:rsidR="002E5F71">
        <w:t>doravirine</w:t>
      </w:r>
      <w:r>
        <w:t xml:space="preserve"> in severe renal impairment based on Study P051. No dose adjustment </w:t>
      </w:r>
      <w:r w:rsidR="00142F06">
        <w:t>is proposed in renal impairment.</w:t>
      </w:r>
    </w:p>
    <w:p w14:paraId="448F9991" w14:textId="44C413D3" w:rsidR="00142F06" w:rsidRDefault="00142F06" w:rsidP="00142F06">
      <w:pPr>
        <w:pStyle w:val="TableTitle"/>
      </w:pPr>
      <w:r>
        <w:lastRenderedPageBreak/>
        <w:t xml:space="preserve">Table </w:t>
      </w:r>
      <w:fldSimple w:instr=" SEQ Table \* ARABIC ">
        <w:r w:rsidR="000644BB">
          <w:rPr>
            <w:noProof/>
          </w:rPr>
          <w:t>8</w:t>
        </w:r>
      </w:fldSimple>
      <w:r>
        <w:t>: Statistical comparison and summary statistics of plasma doravirine pharmacokinetics following the administration of a single oral dose of 100 mg doravirine to subjects with severe renal impairment and healthy mean matched control subjects</w:t>
      </w:r>
    </w:p>
    <w:p w14:paraId="6A44435E" w14:textId="2BD3FFAB" w:rsidR="00D45C44" w:rsidRDefault="00142F06" w:rsidP="00382533">
      <w:r>
        <w:rPr>
          <w:noProof/>
          <w:lang w:eastAsia="en-AU"/>
        </w:rPr>
        <w:drawing>
          <wp:inline distT="0" distB="0" distL="0" distR="0" wp14:anchorId="0A00ED5F" wp14:editId="6194BF74">
            <wp:extent cx="5400040" cy="1514475"/>
            <wp:effectExtent l="0" t="0" r="0" b="9525"/>
            <wp:docPr id="3" name="Picture 3" descr="Statistical comparison and summary statistics of plasma doravirine pharmacokinetics following the administration of a single oral dose of 100 mg doravirine to subjects with severe renal impairment and healthy mean matched contro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514475"/>
                    </a:xfrm>
                    <a:prstGeom prst="rect">
                      <a:avLst/>
                    </a:prstGeom>
                  </pic:spPr>
                </pic:pic>
              </a:graphicData>
            </a:graphic>
          </wp:inline>
        </w:drawing>
      </w:r>
    </w:p>
    <w:p w14:paraId="19E11E49" w14:textId="4CECA9C0" w:rsidR="00BA2650" w:rsidRPr="00015AD3" w:rsidRDefault="00BA2650" w:rsidP="00D768C3">
      <w:pPr>
        <w:pStyle w:val="TableDescription"/>
      </w:pPr>
      <w:r>
        <w:t>CL/F = apparent clearance, GM = geometric mean, GMR = geometric mean ratio, rMSE = root mean square error, AUC</w:t>
      </w:r>
      <w:r>
        <w:rPr>
          <w:vertAlign w:val="subscript"/>
        </w:rPr>
        <w:t>0-∞</w:t>
      </w:r>
      <w:r>
        <w:t xml:space="preserve"> = area under the drug-plasma concentration time curve from time 0 (dosing) extrapolated to infinity; AUC</w:t>
      </w:r>
      <w:r>
        <w:rPr>
          <w:vertAlign w:val="subscript"/>
        </w:rPr>
        <w:t>0-last</w:t>
      </w:r>
      <w:r>
        <w:t xml:space="preserve"> = area under the drug-plasma concentration time curve from time 0 (dosing) to last measurable concentration; C24 = plasma concentration at 24 hours, C</w:t>
      </w:r>
      <w:r w:rsidRPr="00103946">
        <w:rPr>
          <w:vertAlign w:val="subscript"/>
        </w:rPr>
        <w:t>max</w:t>
      </w:r>
      <w:r>
        <w:t xml:space="preserve"> = maximum plasma concentration; Tmax = time to maximum plasma concentration; t1/2 = biological half life, Vz/F = terminal elimination.</w:t>
      </w:r>
    </w:p>
    <w:p w14:paraId="57D94EDB" w14:textId="0445CE31" w:rsidR="00D45C44" w:rsidRDefault="00142F06" w:rsidP="00382533">
      <w:r>
        <w:t>D</w:t>
      </w:r>
      <w:r w:rsidR="002E5F71">
        <w:t>oravirine</w:t>
      </w:r>
      <w:r w:rsidR="00D45C44">
        <w:t xml:space="preserve"> has not been studied in </w:t>
      </w:r>
      <w:r w:rsidR="006248F3">
        <w:t>end stage renal disease (</w:t>
      </w:r>
      <w:r w:rsidR="00D45C44">
        <w:t>ESRD</w:t>
      </w:r>
      <w:r w:rsidR="006248F3">
        <w:t>)</w:t>
      </w:r>
      <w:r w:rsidR="00D45C44">
        <w:t xml:space="preserve"> or patients on dialysis. In population PK analysis, increased </w:t>
      </w:r>
      <w:r w:rsidR="002E5F71">
        <w:t>doravirine</w:t>
      </w:r>
      <w:r w:rsidR="00D45C44" w:rsidRPr="00344A82">
        <w:t xml:space="preserve"> exposures (&gt;</w:t>
      </w:r>
      <w:r w:rsidR="006248F3">
        <w:t xml:space="preserve"> </w:t>
      </w:r>
      <w:r w:rsidR="00D45C44" w:rsidRPr="00344A82">
        <w:t>20% for AUC</w:t>
      </w:r>
      <w:r w:rsidR="00D45C44" w:rsidRPr="00344A82">
        <w:rPr>
          <w:vertAlign w:val="subscript"/>
        </w:rPr>
        <w:t>0-24</w:t>
      </w:r>
      <w:r w:rsidR="00D45C44" w:rsidRPr="00344A82">
        <w:t xml:space="preserve"> and &gt;</w:t>
      </w:r>
      <w:r w:rsidR="006248F3">
        <w:t xml:space="preserve"> </w:t>
      </w:r>
      <w:r w:rsidR="00D45C44" w:rsidRPr="00344A82">
        <w:t>60% for C</w:t>
      </w:r>
      <w:r w:rsidR="00D45C44" w:rsidRPr="00344A82">
        <w:rPr>
          <w:vertAlign w:val="subscript"/>
        </w:rPr>
        <w:t>24</w:t>
      </w:r>
      <w:r w:rsidR="00D45C44">
        <w:t>) were estimated in</w:t>
      </w:r>
      <w:r w:rsidR="00D45C44" w:rsidRPr="00344A82">
        <w:t xml:space="preserve"> </w:t>
      </w:r>
      <w:r w:rsidR="00D45C44">
        <w:t>elderly and in the presence of</w:t>
      </w:r>
      <w:r w:rsidR="00D45C44" w:rsidRPr="00344A82">
        <w:t xml:space="preserve"> moderate renal impairment.</w:t>
      </w:r>
      <w:r w:rsidR="00D45C44">
        <w:t xml:space="preserve"> As</w:t>
      </w:r>
      <w:r w:rsidR="00D45C44" w:rsidRPr="00344A82">
        <w:t xml:space="preserve"> a precaution</w:t>
      </w:r>
      <w:r w:rsidR="00D45C44">
        <w:t xml:space="preserve"> it was noted that data was</w:t>
      </w:r>
      <w:r w:rsidR="00D45C44" w:rsidRPr="00344A82">
        <w:t xml:space="preserve"> limited and caution </w:t>
      </w:r>
      <w:r w:rsidR="00D45C44">
        <w:t xml:space="preserve">should be exercised when dosing </w:t>
      </w:r>
      <w:r w:rsidR="00D45C44" w:rsidRPr="00344A82">
        <w:t>these subpopulations.</w:t>
      </w:r>
    </w:p>
    <w:p w14:paraId="46B2FC01" w14:textId="5F96556F" w:rsidR="00D45C44" w:rsidRDefault="00D45C44" w:rsidP="00382533">
      <w:r>
        <w:t xml:space="preserve">The effect of various drugs on </w:t>
      </w:r>
      <w:r w:rsidR="002E5F71">
        <w:t>doravirine</w:t>
      </w:r>
      <w:r>
        <w:t xml:space="preserve"> exposure in drug-drug interaction (DDI) studies is shown in </w:t>
      </w:r>
      <w:r w:rsidR="00B2445E">
        <w:fldChar w:fldCharType="begin"/>
      </w:r>
      <w:r w:rsidR="00B2445E">
        <w:instrText xml:space="preserve"> REF _Ref31709947 \h </w:instrText>
      </w:r>
      <w:r w:rsidR="00B2445E">
        <w:fldChar w:fldCharType="separate"/>
      </w:r>
      <w:r w:rsidR="00B2445E">
        <w:t xml:space="preserve">Figure </w:t>
      </w:r>
      <w:r w:rsidR="00B2445E">
        <w:rPr>
          <w:noProof/>
        </w:rPr>
        <w:t>2</w:t>
      </w:r>
      <w:r w:rsidR="00B2445E">
        <w:fldChar w:fldCharType="end"/>
      </w:r>
      <w:r w:rsidR="00B2445E">
        <w:t xml:space="preserve">, </w:t>
      </w:r>
      <w:r>
        <w:t xml:space="preserve">below. Note the shaded area represents 0.6 to 3 fold interval compared to </w:t>
      </w:r>
      <w:r w:rsidR="006248F3">
        <w:t>control</w:t>
      </w:r>
      <w:r w:rsidR="00B2445E">
        <w:t>,</w:t>
      </w:r>
      <w:r w:rsidR="006248F3">
        <w:t xml:space="preserve"> that is,</w:t>
      </w:r>
      <w:r>
        <w:t xml:space="preserve"> 40% lower exposure than control to 3 times higher</w:t>
      </w:r>
      <w:r w:rsidR="006248F3">
        <w:t xml:space="preserve"> exposure than control. The 0.6 x</w:t>
      </w:r>
      <w:r>
        <w:t xml:space="preserve"> lower bound represents </w:t>
      </w:r>
      <w:r w:rsidR="002E5F71">
        <w:t>doravirine</w:t>
      </w:r>
      <w:r>
        <w:t xml:space="preserve"> steady-state level (560</w:t>
      </w:r>
      <w:r w:rsidR="006248F3">
        <w:t xml:space="preserve"> </w:t>
      </w:r>
      <w:r>
        <w:t>nM) with 100</w:t>
      </w:r>
      <w:r w:rsidR="006248F3">
        <w:t> </w:t>
      </w:r>
      <w:r>
        <w:t xml:space="preserve">mg </w:t>
      </w:r>
      <w:r w:rsidR="002E5F71">
        <w:t>doravirine</w:t>
      </w:r>
      <w:r>
        <w:t xml:space="preserve"> daily dose at the lowest decile below which decreased efficacy was observed in population PK analyse</w:t>
      </w:r>
      <w:r w:rsidR="00F87654">
        <w:t>s (</w:t>
      </w:r>
      <w:r w:rsidR="00BA2650">
        <w:t>exposure</w:t>
      </w:r>
      <w:r w:rsidR="00F87654">
        <w:t>-</w:t>
      </w:r>
      <w:r w:rsidR="00BA2650">
        <w:t>r</w:t>
      </w:r>
      <w:r w:rsidR="00F87654">
        <w:t xml:space="preserve">esponse </w:t>
      </w:r>
      <w:r w:rsidR="00D36E97">
        <w:t>(E-R)</w:t>
      </w:r>
      <w:r w:rsidR="00B2445E">
        <w:t>modelling).</w:t>
      </w:r>
    </w:p>
    <w:p w14:paraId="7C7901DC" w14:textId="6CDCDD2A" w:rsidR="006248F3" w:rsidRDefault="006248F3" w:rsidP="006248F3">
      <w:pPr>
        <w:pStyle w:val="FigureTitle"/>
      </w:pPr>
      <w:bookmarkStart w:id="47" w:name="_Ref31709947"/>
      <w:r>
        <w:lastRenderedPageBreak/>
        <w:t xml:space="preserve">Figure </w:t>
      </w:r>
      <w:fldSimple w:instr=" SEQ Figure \* ARABIC ">
        <w:r w:rsidR="006B4F6B">
          <w:rPr>
            <w:noProof/>
          </w:rPr>
          <w:t>2</w:t>
        </w:r>
      </w:fldSimple>
      <w:bookmarkEnd w:id="47"/>
      <w:r>
        <w:t>: Effect of co-administered compounds on the pharmacokinetics of doravirine</w:t>
      </w:r>
    </w:p>
    <w:p w14:paraId="5B7A8109" w14:textId="7B01DB6C" w:rsidR="00D45C44" w:rsidRDefault="00F87654" w:rsidP="00382533">
      <w:r>
        <w:rPr>
          <w:noProof/>
          <w:lang w:eastAsia="en-AU"/>
        </w:rPr>
        <w:drawing>
          <wp:inline distT="0" distB="0" distL="0" distR="0" wp14:anchorId="115A2EE2" wp14:editId="5FAF0F30">
            <wp:extent cx="5479287" cy="3867150"/>
            <wp:effectExtent l="0" t="0" r="7620" b="0"/>
            <wp:docPr id="7" name="Picture 7" descr="Effect of co-administered compounds on the pharmacokinetics of doravi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2273" r="841"/>
                    <a:stretch/>
                  </pic:blipFill>
                  <pic:spPr bwMode="auto">
                    <a:xfrm>
                      <a:off x="0" y="0"/>
                      <a:ext cx="5488965" cy="3873980"/>
                    </a:xfrm>
                    <a:prstGeom prst="rect">
                      <a:avLst/>
                    </a:prstGeom>
                    <a:ln>
                      <a:noFill/>
                    </a:ln>
                    <a:extLst>
                      <a:ext uri="{53640926-AAD7-44D8-BBD7-CCE9431645EC}">
                        <a14:shadowObscured xmlns:a14="http://schemas.microsoft.com/office/drawing/2010/main"/>
                      </a:ext>
                    </a:extLst>
                  </pic:spPr>
                </pic:pic>
              </a:graphicData>
            </a:graphic>
          </wp:inline>
        </w:drawing>
      </w:r>
    </w:p>
    <w:p w14:paraId="114BB107" w14:textId="34B03C84" w:rsidR="00F87654" w:rsidRPr="00344A82" w:rsidRDefault="00BA2650" w:rsidP="00F87654">
      <w:pPr>
        <w:pStyle w:val="TableDescription"/>
      </w:pPr>
      <w:r>
        <w:t>AUC GMR = Area under the drug-plasma concentration</w:t>
      </w:r>
      <w:r w:rsidR="001A0918">
        <w:t xml:space="preserve"> time curve geometric mean ratio; CI = confidence interval; C24 GMR =  concentration at 24 hours geometric mean ratio; BID = twice daily; </w:t>
      </w:r>
      <w:r w:rsidR="00F87654">
        <w:t>QD = once daily</w:t>
      </w:r>
      <w:r w:rsidR="001A0918">
        <w:t>; CYP3A = cytochrome p450 enzyme 3A.</w:t>
      </w:r>
    </w:p>
    <w:p w14:paraId="05B52BD6" w14:textId="39D8A21A" w:rsidR="00D45C44" w:rsidRDefault="008C51E2" w:rsidP="00382533">
      <w:r>
        <w:t>D</w:t>
      </w:r>
      <w:r w:rsidR="002E5F71">
        <w:t>oravirine</w:t>
      </w:r>
      <w:r w:rsidR="00D45C44">
        <w:t xml:space="preserve"> is not expected to have clinically meaningful effect on the PK of drugs co</w:t>
      </w:r>
      <w:r w:rsidR="001A0918">
        <w:noBreakHyphen/>
      </w:r>
      <w:r w:rsidR="00D45C44">
        <w:t>administered with it as demonstrated in a number of drug</w:t>
      </w:r>
      <w:r w:rsidR="00F87654">
        <w:t xml:space="preserve"> interaction studies as follows in </w:t>
      </w:r>
      <w:r w:rsidR="00F87654">
        <w:fldChar w:fldCharType="begin"/>
      </w:r>
      <w:r w:rsidR="00F87654">
        <w:instrText xml:space="preserve"> REF _Ref31709702 \h </w:instrText>
      </w:r>
      <w:r w:rsidR="00F87654">
        <w:fldChar w:fldCharType="separate"/>
      </w:r>
      <w:r w:rsidR="00F87654">
        <w:t xml:space="preserve">Figure </w:t>
      </w:r>
      <w:r w:rsidR="00F87654">
        <w:rPr>
          <w:noProof/>
        </w:rPr>
        <w:t>3</w:t>
      </w:r>
      <w:r w:rsidR="00F87654">
        <w:fldChar w:fldCharType="end"/>
      </w:r>
      <w:r w:rsidR="00F87654">
        <w:t>.</w:t>
      </w:r>
    </w:p>
    <w:p w14:paraId="304E96A9" w14:textId="1BB65A84" w:rsidR="00F87654" w:rsidRDefault="00F87654" w:rsidP="00F87654">
      <w:pPr>
        <w:pStyle w:val="FigureTitle"/>
      </w:pPr>
      <w:bookmarkStart w:id="48" w:name="_Ref31709702"/>
      <w:r>
        <w:lastRenderedPageBreak/>
        <w:t xml:space="preserve">Figure </w:t>
      </w:r>
      <w:fldSimple w:instr=" SEQ Figure \* ARABIC ">
        <w:r w:rsidR="006B4F6B">
          <w:rPr>
            <w:noProof/>
          </w:rPr>
          <w:t>3</w:t>
        </w:r>
      </w:fldSimple>
      <w:bookmarkEnd w:id="48"/>
      <w:r>
        <w:t>: Effect of doravirine on the pharmacokinetics of co-administered drugs</w:t>
      </w:r>
    </w:p>
    <w:p w14:paraId="125F63FF" w14:textId="4602DA58" w:rsidR="00D45C44" w:rsidRDefault="00F87654" w:rsidP="00382533">
      <w:r>
        <w:rPr>
          <w:noProof/>
          <w:lang w:eastAsia="en-AU"/>
        </w:rPr>
        <w:drawing>
          <wp:inline distT="0" distB="0" distL="0" distR="0" wp14:anchorId="767F35E3" wp14:editId="588475A1">
            <wp:extent cx="5324475" cy="4651632"/>
            <wp:effectExtent l="0" t="0" r="0" b="0"/>
            <wp:docPr id="8" name="Picture 8" descr="Effect of doravirine on the pharmacokinetics of co-administered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36"/>
                    <a:stretch/>
                  </pic:blipFill>
                  <pic:spPr bwMode="auto">
                    <a:xfrm>
                      <a:off x="0" y="0"/>
                      <a:ext cx="5339228" cy="4664521"/>
                    </a:xfrm>
                    <a:prstGeom prst="rect">
                      <a:avLst/>
                    </a:prstGeom>
                    <a:ln>
                      <a:noFill/>
                    </a:ln>
                    <a:extLst>
                      <a:ext uri="{53640926-AAD7-44D8-BBD7-CCE9431645EC}">
                        <a14:shadowObscured xmlns:a14="http://schemas.microsoft.com/office/drawing/2010/main"/>
                      </a:ext>
                    </a:extLst>
                  </pic:spPr>
                </pic:pic>
              </a:graphicData>
            </a:graphic>
          </wp:inline>
        </w:drawing>
      </w:r>
    </w:p>
    <w:p w14:paraId="5469238D" w14:textId="450C6094" w:rsidR="001A0918" w:rsidRPr="00344A82" w:rsidRDefault="001A0918" w:rsidP="001A0918">
      <w:pPr>
        <w:pStyle w:val="TableDescription"/>
      </w:pPr>
      <w:r>
        <w:t>CYP3A = cytochrome p450 enzyme 3A; AUC GMR = Area under the drug-plasma concentration time curve geometric mean ratio; CI = confidence interval; C24 GMR =  concentration at 24 hours geometric mean ratio; BID = twice daily; TD = three times daily; QD = once daily; EE = ethinylestradiol; LNG = levonorgestrel.</w:t>
      </w:r>
    </w:p>
    <w:p w14:paraId="708BEA67" w14:textId="24FA65E9" w:rsidR="00D45C44" w:rsidRDefault="00D45C44" w:rsidP="00F87654">
      <w:r>
        <w:t>In population PK analyses, gender</w:t>
      </w:r>
      <w:r w:rsidRPr="00954489">
        <w:t xml:space="preserve">, race and ethnicity did not have a </w:t>
      </w:r>
      <w:r>
        <w:t xml:space="preserve">significant impact on the PK of </w:t>
      </w:r>
      <w:r w:rsidR="002E5F71">
        <w:t>doravirine</w:t>
      </w:r>
      <w:r>
        <w:t>. Concomitant administration</w:t>
      </w:r>
      <w:r w:rsidRPr="00954489">
        <w:t xml:space="preserve"> of strong CYP3A inhibitors had a statistically si</w:t>
      </w:r>
      <w:r>
        <w:t xml:space="preserve">gnificant effect on </w:t>
      </w:r>
      <w:r w:rsidR="002E5F71">
        <w:t>doravirine</w:t>
      </w:r>
      <w:r w:rsidRPr="00954489">
        <w:t xml:space="preserve"> exposure in h</w:t>
      </w:r>
      <w:r>
        <w:t>ealthy subjects. However, the data were</w:t>
      </w:r>
      <w:r w:rsidRPr="00954489">
        <w:t xml:space="preserve"> not adequate to detect a possible drug-drug interaction in HIV-1 infected subjects and evalu</w:t>
      </w:r>
      <w:r>
        <w:t>ation of</w:t>
      </w:r>
      <w:r w:rsidRPr="00954489">
        <w:t xml:space="preserve"> effect of moderate/st</w:t>
      </w:r>
      <w:r>
        <w:t xml:space="preserve">rong CYP3A inhibitors on </w:t>
      </w:r>
      <w:r w:rsidR="002E5F71">
        <w:t>doravirine</w:t>
      </w:r>
      <w:r>
        <w:t xml:space="preserve"> PK </w:t>
      </w:r>
      <w:r w:rsidR="001A0918">
        <w:t xml:space="preserve">parameters </w:t>
      </w:r>
      <w:r>
        <w:t>were</w:t>
      </w:r>
      <w:r w:rsidRPr="00954489">
        <w:t xml:space="preserve"> deemed inconclusive.</w:t>
      </w:r>
    </w:p>
    <w:p w14:paraId="42AC572C" w14:textId="77777777" w:rsidR="00D45C44" w:rsidRPr="00142A49" w:rsidRDefault="00D45C44" w:rsidP="002E5F71">
      <w:pPr>
        <w:pStyle w:val="Heading4"/>
      </w:pPr>
      <w:r w:rsidRPr="00142A49">
        <w:t>Pharmacodynamics</w:t>
      </w:r>
    </w:p>
    <w:p w14:paraId="6899003C" w14:textId="259CFCD5" w:rsidR="00D45C44" w:rsidRDefault="00F87654" w:rsidP="008C51E2">
      <w:r>
        <w:t>S</w:t>
      </w:r>
      <w:r w:rsidR="00D45C44">
        <w:t>tudy P005 examined 25</w:t>
      </w:r>
      <w:r>
        <w:t xml:space="preserve"> </w:t>
      </w:r>
      <w:r w:rsidR="00D45C44">
        <w:t>mg and 200</w:t>
      </w:r>
      <w:r>
        <w:t xml:space="preserve"> </w:t>
      </w:r>
      <w:r w:rsidR="00D45C44">
        <w:t xml:space="preserve">mg once daily </w:t>
      </w:r>
      <w:r w:rsidR="002E5F71">
        <w:t>doravirine</w:t>
      </w:r>
      <w:r>
        <w:t xml:space="preserve"> versus placebo for</w:t>
      </w:r>
      <w:r w:rsidR="00A363CB">
        <w:t xml:space="preserve"> 7 </w:t>
      </w:r>
      <w:r w:rsidR="00D45C44">
        <w:t>days in treatment naïve HIV-1 patients. The 25</w:t>
      </w:r>
      <w:r>
        <w:t xml:space="preserve"> </w:t>
      </w:r>
      <w:r w:rsidR="00D45C44" w:rsidRPr="00AA0DBB">
        <w:t xml:space="preserve">mg dose </w:t>
      </w:r>
      <w:r w:rsidR="00D45C44">
        <w:t>was projected to achieve plasma trough levels</w:t>
      </w:r>
      <w:r w:rsidR="00D45C44" w:rsidRPr="00AA0DBB">
        <w:t xml:space="preserve"> </w:t>
      </w:r>
      <w:r w:rsidR="00D45C44">
        <w:t>(C</w:t>
      </w:r>
      <w:r w:rsidR="00D45C44" w:rsidRPr="00F87654">
        <w:rPr>
          <w:vertAlign w:val="subscript"/>
        </w:rPr>
        <w:t>24</w:t>
      </w:r>
      <w:r w:rsidR="00D45C44">
        <w:t xml:space="preserve">) </w:t>
      </w:r>
      <w:r w:rsidR="00D45C44" w:rsidRPr="00AA0DBB">
        <w:t>exceeding th</w:t>
      </w:r>
      <w:r w:rsidR="00D45C44">
        <w:t>e target of &gt;</w:t>
      </w:r>
      <w:r>
        <w:t xml:space="preserve"> </w:t>
      </w:r>
      <w:r w:rsidR="00D45C44">
        <w:t xml:space="preserve">6 fold the </w:t>
      </w:r>
      <w:r w:rsidR="00D45C44" w:rsidRPr="00F87654">
        <w:rPr>
          <w:i/>
        </w:rPr>
        <w:t>in vitro</w:t>
      </w:r>
      <w:r w:rsidR="00D45C44" w:rsidRPr="00AA0DBB">
        <w:t xml:space="preserve"> inhibiti</w:t>
      </w:r>
      <w:r>
        <w:t xml:space="preserve">on of WT virus (approximately </w:t>
      </w:r>
      <w:r w:rsidR="00D45C44">
        <w:t>10</w:t>
      </w:r>
      <w:r w:rsidR="00A363CB">
        <w:t xml:space="preserve"> </w:t>
      </w:r>
      <w:r w:rsidR="00D45C44">
        <w:t>nM). The 200</w:t>
      </w:r>
      <w:r>
        <w:t xml:space="preserve"> </w:t>
      </w:r>
      <w:r w:rsidR="00D45C44">
        <w:t>mg dose was selected for safety and tolerability. The viral response after 7 d</w:t>
      </w:r>
      <w:r w:rsidR="00A363CB">
        <w:t xml:space="preserve">ays of treatment was as follows in </w:t>
      </w:r>
      <w:r w:rsidR="00A363CB">
        <w:fldChar w:fldCharType="begin"/>
      </w:r>
      <w:r w:rsidR="00A363CB">
        <w:instrText xml:space="preserve"> REF _Ref31710375 \h </w:instrText>
      </w:r>
      <w:r w:rsidR="00A363CB">
        <w:fldChar w:fldCharType="separate"/>
      </w:r>
      <w:r w:rsidR="00423BD3">
        <w:t xml:space="preserve">Table </w:t>
      </w:r>
      <w:r w:rsidR="00423BD3">
        <w:rPr>
          <w:noProof/>
        </w:rPr>
        <w:t>9</w:t>
      </w:r>
      <w:r w:rsidR="00A363CB">
        <w:fldChar w:fldCharType="end"/>
      </w:r>
      <w:r w:rsidR="00A363CB">
        <w:t>.</w:t>
      </w:r>
    </w:p>
    <w:p w14:paraId="24A97C1A" w14:textId="69E26623" w:rsidR="00A363CB" w:rsidRDefault="00A363CB" w:rsidP="00A363CB">
      <w:pPr>
        <w:pStyle w:val="TableTitle"/>
      </w:pPr>
      <w:bookmarkStart w:id="49" w:name="_Ref31710375"/>
      <w:r>
        <w:lastRenderedPageBreak/>
        <w:t xml:space="preserve">Table </w:t>
      </w:r>
      <w:fldSimple w:instr=" SEQ Table \* ARABIC ">
        <w:r w:rsidR="000644BB">
          <w:rPr>
            <w:noProof/>
          </w:rPr>
          <w:t>9</w:t>
        </w:r>
      </w:fldSimple>
      <w:bookmarkEnd w:id="49"/>
      <w:r>
        <w:t>: Summary of change from baseline in log</w:t>
      </w:r>
      <w:r w:rsidRPr="00A363CB">
        <w:rPr>
          <w:vertAlign w:val="subscript"/>
        </w:rPr>
        <w:t>10</w:t>
      </w:r>
      <w:r>
        <w:t xml:space="preserve"> plasma HIV RNA (log</w:t>
      </w:r>
      <w:r w:rsidRPr="00A363CB">
        <w:rPr>
          <w:vertAlign w:val="subscript"/>
        </w:rPr>
        <w:t>10</w:t>
      </w:r>
      <w:r w:rsidR="001A0918">
        <w:t> </w:t>
      </w:r>
      <w:r>
        <w:t>copies/mL) on Day 7 following the administration of once daily multiple doses of doravirine 25 mg, 200 mg and placebo for 7 days in HIV-1 infected subjects</w:t>
      </w:r>
    </w:p>
    <w:p w14:paraId="50AAE20D" w14:textId="70E74811" w:rsidR="00D45C44" w:rsidRDefault="00A363CB" w:rsidP="00A363CB">
      <w:r>
        <w:rPr>
          <w:noProof/>
          <w:lang w:eastAsia="en-AU"/>
        </w:rPr>
        <w:drawing>
          <wp:inline distT="0" distB="0" distL="0" distR="0" wp14:anchorId="6269177F" wp14:editId="11BE05E1">
            <wp:extent cx="5400040" cy="1204595"/>
            <wp:effectExtent l="0" t="0" r="0" b="0"/>
            <wp:docPr id="14" name="Picture 14" descr="Summary of change from baseline in log10 plasma HIV RNA (log10 copies/mL) on Day 7 following the administration of once daily multiple doses of doravirine 25 mg, 200 mg and placebo for 7 days in HIV-1 infec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204595"/>
                    </a:xfrm>
                    <a:prstGeom prst="rect">
                      <a:avLst/>
                    </a:prstGeom>
                  </pic:spPr>
                </pic:pic>
              </a:graphicData>
            </a:graphic>
          </wp:inline>
        </w:drawing>
      </w:r>
    </w:p>
    <w:p w14:paraId="51A23464" w14:textId="136D145E" w:rsidR="001A0918" w:rsidRDefault="001A0918" w:rsidP="00D768C3">
      <w:pPr>
        <w:pStyle w:val="TableDescription"/>
      </w:pPr>
      <w:r>
        <w:t>MK-1439 = doravirine (drug development name)</w:t>
      </w:r>
    </w:p>
    <w:p w14:paraId="46AEE7E9" w14:textId="27B30FB2" w:rsidR="00D45C44" w:rsidRDefault="00A363CB" w:rsidP="00A363CB">
      <w:r>
        <w:rPr>
          <w:rFonts w:eastAsiaTheme="minorHAnsi" w:cstheme="majorHAnsi"/>
          <w:color w:val="000000" w:themeColor="text1"/>
        </w:rPr>
        <w:t>Post-S</w:t>
      </w:r>
      <w:r w:rsidR="00D45C44">
        <w:rPr>
          <w:rFonts w:eastAsiaTheme="minorHAnsi" w:cstheme="majorHAnsi"/>
          <w:color w:val="000000" w:themeColor="text1"/>
        </w:rPr>
        <w:t xml:space="preserve">tudy P005, one </w:t>
      </w:r>
      <w:r>
        <w:rPr>
          <w:rFonts w:eastAsiaTheme="minorHAnsi" w:cstheme="majorHAnsi"/>
          <w:color w:val="000000" w:themeColor="text1"/>
        </w:rPr>
        <w:t>serious adverse event (</w:t>
      </w:r>
      <w:r w:rsidR="00D45C44" w:rsidRPr="00A72916">
        <w:t>SAE</w:t>
      </w:r>
      <w:r>
        <w:t>)</w:t>
      </w:r>
      <w:r w:rsidR="00D45C44">
        <w:t xml:space="preserve"> of increased </w:t>
      </w:r>
      <w:r w:rsidRPr="00A363CB">
        <w:t xml:space="preserve">alanine aminotransferase </w:t>
      </w:r>
      <w:r>
        <w:t>(</w:t>
      </w:r>
      <w:r w:rsidR="00D45C44">
        <w:t>ALT</w:t>
      </w:r>
      <w:r>
        <w:t xml:space="preserve">; approximately </w:t>
      </w:r>
      <w:r w:rsidR="00D45C44">
        <w:t>20</w:t>
      </w:r>
      <w:r>
        <w:t xml:space="preserve"> x </w:t>
      </w:r>
      <w:r w:rsidR="006A23F7">
        <w:t>upper limit of normal (</w:t>
      </w:r>
      <w:r w:rsidR="00D45C44">
        <w:t>ULN</w:t>
      </w:r>
      <w:r w:rsidR="006A23F7">
        <w:t>)</w:t>
      </w:r>
      <w:r w:rsidR="00D45C44">
        <w:t xml:space="preserve">) and </w:t>
      </w:r>
      <w:r>
        <w:t>a</w:t>
      </w:r>
      <w:r w:rsidR="00423BD3">
        <w:t>spartate amino</w:t>
      </w:r>
      <w:r w:rsidRPr="00A363CB">
        <w:t xml:space="preserve">transferase </w:t>
      </w:r>
      <w:r>
        <w:t xml:space="preserve">(AST; approximately </w:t>
      </w:r>
      <w:r w:rsidR="00D45C44">
        <w:t>15</w:t>
      </w:r>
      <w:r>
        <w:t> x </w:t>
      </w:r>
      <w:r w:rsidR="00D45C44">
        <w:t>ULN)</w:t>
      </w:r>
      <w:r w:rsidR="00D45C44" w:rsidRPr="00A72916">
        <w:t xml:space="preserve"> </w:t>
      </w:r>
      <w:r w:rsidR="00D45C44">
        <w:t xml:space="preserve">was reported </w:t>
      </w:r>
      <w:r w:rsidR="00D45C44" w:rsidRPr="00A72916">
        <w:t>beginning 24 days after th</w:t>
      </w:r>
      <w:r>
        <w:t>e first</w:t>
      </w:r>
      <w:r w:rsidR="00D45C44">
        <w:t xml:space="preserve"> dose of </w:t>
      </w:r>
      <w:r w:rsidR="002E5F71">
        <w:t>doravirine</w:t>
      </w:r>
      <w:r w:rsidR="00D45C44" w:rsidRPr="00A72916">
        <w:t xml:space="preserve"> </w:t>
      </w:r>
      <w:r w:rsidR="00D45C44">
        <w:t>(25</w:t>
      </w:r>
      <w:r>
        <w:t xml:space="preserve"> </w:t>
      </w:r>
      <w:r w:rsidR="00D45C44" w:rsidRPr="00A72916">
        <w:t>mg</w:t>
      </w:r>
      <w:r w:rsidR="00D45C44">
        <w:t xml:space="preserve">) in a patient with normal baseline enzymes. The patient </w:t>
      </w:r>
      <w:r w:rsidR="00D45C44" w:rsidRPr="00A72916">
        <w:t>recovered 29</w:t>
      </w:r>
      <w:r w:rsidR="006A23F7">
        <w:t> </w:t>
      </w:r>
      <w:r w:rsidR="00D45C44" w:rsidRPr="00A72916">
        <w:t xml:space="preserve">days after </w:t>
      </w:r>
      <w:r w:rsidR="00D45C44">
        <w:t>t</w:t>
      </w:r>
      <w:r w:rsidR="00D45C44" w:rsidRPr="00A72916">
        <w:t>he last dose.</w:t>
      </w:r>
    </w:p>
    <w:p w14:paraId="3F03B1A8" w14:textId="459A05D1" w:rsidR="00D45C44" w:rsidRDefault="00D45C44" w:rsidP="00A363CB">
      <w:r w:rsidRPr="003E2BF6">
        <w:rPr>
          <w:i/>
        </w:rPr>
        <w:t>QT study:</w:t>
      </w:r>
      <w:r>
        <w:t xml:space="preserve"> </w:t>
      </w:r>
      <w:r w:rsidRPr="00647C19">
        <w:t>A supra</w:t>
      </w:r>
      <w:r>
        <w:t xml:space="preserve">-therapeutic dose of </w:t>
      </w:r>
      <w:r w:rsidR="002E5F71">
        <w:t>doravirine</w:t>
      </w:r>
      <w:r w:rsidRPr="00647C19">
        <w:t xml:space="preserve"> did not have a cli</w:t>
      </w:r>
      <w:r>
        <w:t>nically meaningful effect o</w:t>
      </w:r>
      <w:r w:rsidR="00A363CB">
        <w:t>n cardiac conduction in the QT S</w:t>
      </w:r>
      <w:r>
        <w:t>tudy P017.</w:t>
      </w:r>
      <w:r w:rsidR="006A23F7" w:rsidRPr="00D768C3">
        <w:rPr>
          <w:vertAlign w:val="superscript"/>
        </w:rPr>
        <w:fldChar w:fldCharType="begin"/>
      </w:r>
      <w:r w:rsidR="006A23F7" w:rsidRPr="00D768C3">
        <w:rPr>
          <w:vertAlign w:val="superscript"/>
        </w:rPr>
        <w:instrText xml:space="preserve"> NOTEREF _Ref34656885 \h </w:instrText>
      </w:r>
      <w:r w:rsidR="006A23F7">
        <w:rPr>
          <w:vertAlign w:val="superscript"/>
        </w:rPr>
        <w:instrText xml:space="preserve"> \* MERGEFORMAT </w:instrText>
      </w:r>
      <w:r w:rsidR="006A23F7" w:rsidRPr="00D768C3">
        <w:rPr>
          <w:vertAlign w:val="superscript"/>
        </w:rPr>
      </w:r>
      <w:r w:rsidR="006A23F7" w:rsidRPr="00D768C3">
        <w:rPr>
          <w:vertAlign w:val="superscript"/>
        </w:rPr>
        <w:fldChar w:fldCharType="separate"/>
      </w:r>
      <w:r w:rsidR="006A23F7" w:rsidRPr="00D768C3">
        <w:rPr>
          <w:vertAlign w:val="superscript"/>
        </w:rPr>
        <w:t>5</w:t>
      </w:r>
      <w:r w:rsidR="006A23F7" w:rsidRPr="00D768C3">
        <w:rPr>
          <w:vertAlign w:val="superscript"/>
        </w:rPr>
        <w:fldChar w:fldCharType="end"/>
      </w:r>
    </w:p>
    <w:p w14:paraId="0BC355F9" w14:textId="77777777" w:rsidR="00D45C44" w:rsidRPr="00142A49" w:rsidRDefault="00D45C44" w:rsidP="002E5F71">
      <w:pPr>
        <w:pStyle w:val="Heading4"/>
      </w:pPr>
      <w:r w:rsidRPr="00142A49">
        <w:t>Dose selection</w:t>
      </w:r>
    </w:p>
    <w:p w14:paraId="5FC5E010" w14:textId="53728D9D" w:rsidR="00D45C44" w:rsidRDefault="00A363CB" w:rsidP="008C51E2">
      <w:r>
        <w:t>The preceding Phase I PD S</w:t>
      </w:r>
      <w:r w:rsidR="00D45C44">
        <w:t>tudy P005</w:t>
      </w:r>
      <w:r>
        <w:t xml:space="preserve"> led to the dose ranging Phase II S</w:t>
      </w:r>
      <w:r w:rsidR="00D45C44">
        <w:t xml:space="preserve">tudy P007 in which 4 dose levels of </w:t>
      </w:r>
      <w:r w:rsidR="002E5F71">
        <w:t>doravirine</w:t>
      </w:r>
      <w:r w:rsidR="00D45C44">
        <w:t xml:space="preserve"> (25, 50, 100 and 200 mg) versus efavirenz (600 mg), administered in combination with </w:t>
      </w:r>
      <w:r w:rsidR="002D556C">
        <w:t>emtricitabine</w:t>
      </w:r>
      <w:r w:rsidR="00D45C44">
        <w:t>/</w:t>
      </w:r>
      <w:r w:rsidR="00382533">
        <w:t>tenofovir disoproxil fumarate</w:t>
      </w:r>
      <w:r w:rsidR="00D45C44">
        <w:t xml:space="preserve">, were examined in treatment naïve HIV-1 patients. The </w:t>
      </w:r>
      <w:r w:rsidR="002E5F71">
        <w:t>doravirine</w:t>
      </w:r>
      <w:r w:rsidR="002D556C">
        <w:t xml:space="preserve"> dose selection was at 24 </w:t>
      </w:r>
      <w:r w:rsidR="00D45C44">
        <w:t>weeks of treatment followed by continuation of treatment on the selected dos</w:t>
      </w:r>
      <w:r w:rsidR="002D556C">
        <w:t>e</w:t>
      </w:r>
      <w:r w:rsidR="00D45C44">
        <w:t xml:space="preserve"> in all </w:t>
      </w:r>
      <w:r w:rsidR="002E5F71">
        <w:t>doravirine</w:t>
      </w:r>
      <w:r w:rsidR="002D556C">
        <w:t xml:space="preserve"> groups versus</w:t>
      </w:r>
      <w:r w:rsidR="00D45C44">
        <w:t xml:space="preserve"> </w:t>
      </w:r>
      <w:r w:rsidR="00AB1875">
        <w:t>efavirenz</w:t>
      </w:r>
      <w:r w:rsidR="006B4F6B">
        <w:t xml:space="preserve">, see </w:t>
      </w:r>
      <w:r w:rsidR="006B4F6B">
        <w:fldChar w:fldCharType="begin"/>
      </w:r>
      <w:r w:rsidR="006B4F6B">
        <w:instrText xml:space="preserve"> REF _Ref31715707 \h </w:instrText>
      </w:r>
      <w:r w:rsidR="006B4F6B">
        <w:fldChar w:fldCharType="separate"/>
      </w:r>
      <w:r w:rsidR="006B4F6B">
        <w:t xml:space="preserve">Figure </w:t>
      </w:r>
      <w:r w:rsidR="006B4F6B">
        <w:rPr>
          <w:noProof/>
        </w:rPr>
        <w:t>4</w:t>
      </w:r>
      <w:r w:rsidR="006B4F6B">
        <w:fldChar w:fldCharType="end"/>
      </w:r>
      <w:r w:rsidR="002D556C">
        <w:t>.</w:t>
      </w:r>
    </w:p>
    <w:p w14:paraId="15A69021" w14:textId="663F3DD3" w:rsidR="00B34D43" w:rsidRDefault="00B34D43" w:rsidP="00B34D43">
      <w:pPr>
        <w:pStyle w:val="FigureTitle"/>
      </w:pPr>
      <w:bookmarkStart w:id="50" w:name="_Ref31715707"/>
      <w:r>
        <w:t xml:space="preserve">Figure </w:t>
      </w:r>
      <w:fldSimple w:instr=" SEQ Figure \* ARABIC ">
        <w:r w:rsidR="006B4F6B">
          <w:rPr>
            <w:noProof/>
          </w:rPr>
          <w:t>4</w:t>
        </w:r>
      </w:fldSimple>
      <w:bookmarkEnd w:id="50"/>
      <w:r>
        <w:t>: Study P007 design</w:t>
      </w:r>
    </w:p>
    <w:p w14:paraId="45319EE7" w14:textId="77777777" w:rsidR="00D45C44" w:rsidRDefault="00D45C44" w:rsidP="00B34D43">
      <w:r>
        <w:rPr>
          <w:noProof/>
          <w:lang w:eastAsia="en-AU"/>
        </w:rPr>
        <w:drawing>
          <wp:inline distT="0" distB="0" distL="0" distR="0" wp14:anchorId="5A6C6ADC" wp14:editId="0F7614CD">
            <wp:extent cx="4874930" cy="2723128"/>
            <wp:effectExtent l="0" t="0" r="1905" b="1270"/>
            <wp:docPr id="15" name="Picture 15" descr="Study P007 design. Part I - dose ranging (n = 200). Groups (n = 40 each): doravirine 25 mg, 50 mg, 100 mg and 200 mg, efavirenz 600 mg. With the exception of those subjects who were already taking doravirine 100 mg, all other subjects were switched to doravirine 100 mg betweem Week 36 amd Week 72. All subjects received open label TDF/FTC. Part II - addtional subjects, doravirine selected dose versus efavirenz (n = 120). Part II initiated after dose selection based on Part I Week 24 results. Groups (n = 60): doravirine 100 mg, efavirenz 600 mg for 96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_2017_CEU2\~acm2017\Dec_2018\tables\P007 - D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3381" cy="2722263"/>
                    </a:xfrm>
                    <a:prstGeom prst="rect">
                      <a:avLst/>
                    </a:prstGeom>
                    <a:noFill/>
                    <a:ln>
                      <a:noFill/>
                    </a:ln>
                  </pic:spPr>
                </pic:pic>
              </a:graphicData>
            </a:graphic>
          </wp:inline>
        </w:drawing>
      </w:r>
    </w:p>
    <w:p w14:paraId="27FC896E" w14:textId="1DF6B3AF" w:rsidR="006A23F7" w:rsidRDefault="006A23F7" w:rsidP="00D768C3">
      <w:pPr>
        <w:pStyle w:val="TableDescription"/>
      </w:pPr>
      <w:r>
        <w:t>TDF = tenofovir disoproxil fumarate; FTC = emtricitabine;</w:t>
      </w:r>
    </w:p>
    <w:p w14:paraId="1BA9DCA3" w14:textId="3885B371" w:rsidR="00D45C44" w:rsidRDefault="00D45C44" w:rsidP="002D556C">
      <w:r>
        <w:t>The efficacy results (viral load &lt;</w:t>
      </w:r>
      <w:r w:rsidR="002D556C">
        <w:t xml:space="preserve"> </w:t>
      </w:r>
      <w:r>
        <w:t xml:space="preserve">50 copies per </w:t>
      </w:r>
      <w:r w:rsidR="00B34D43">
        <w:t xml:space="preserve">mL) at 24 weeks were as follows in </w:t>
      </w:r>
      <w:r w:rsidR="00B34D43">
        <w:fldChar w:fldCharType="begin"/>
      </w:r>
      <w:r w:rsidR="00B34D43">
        <w:instrText xml:space="preserve"> REF _Ref31715249 \h </w:instrText>
      </w:r>
      <w:r w:rsidR="00B34D43">
        <w:fldChar w:fldCharType="separate"/>
      </w:r>
      <w:r w:rsidR="00423BD3">
        <w:t>Table</w:t>
      </w:r>
      <w:r w:rsidR="006A23F7">
        <w:t> </w:t>
      </w:r>
      <w:r w:rsidR="00423BD3">
        <w:rPr>
          <w:noProof/>
        </w:rPr>
        <w:t>10</w:t>
      </w:r>
      <w:r w:rsidR="00B34D43">
        <w:fldChar w:fldCharType="end"/>
      </w:r>
      <w:r w:rsidR="00B34D43">
        <w:t>.</w:t>
      </w:r>
    </w:p>
    <w:p w14:paraId="268C9126" w14:textId="58238C25" w:rsidR="00B34D43" w:rsidRDefault="00B34D43" w:rsidP="00B34D43">
      <w:pPr>
        <w:pStyle w:val="TableTitle"/>
      </w:pPr>
      <w:bookmarkStart w:id="51" w:name="_Ref31715249"/>
      <w:r>
        <w:lastRenderedPageBreak/>
        <w:t xml:space="preserve">Table </w:t>
      </w:r>
      <w:fldSimple w:instr=" SEQ Table \* ARABIC ">
        <w:r w:rsidR="000644BB">
          <w:rPr>
            <w:noProof/>
          </w:rPr>
          <w:t>10</w:t>
        </w:r>
      </w:fldSimple>
      <w:bookmarkEnd w:id="51"/>
      <w:r>
        <w:t>: Study P007 proportion of subjects with HIV-1 RNA &lt; 50 copies/mL at Week 24</w:t>
      </w:r>
      <w:r w:rsidR="006A23F7">
        <w:t xml:space="preserve"> (F</w:t>
      </w:r>
      <w:r>
        <w:t>ull analysis set</w:t>
      </w:r>
      <w:r w:rsidR="006A23F7">
        <w:t>)</w:t>
      </w:r>
    </w:p>
    <w:p w14:paraId="5E820F16" w14:textId="0D14E1FA" w:rsidR="00D45C44" w:rsidRDefault="00B34D43" w:rsidP="00B34D43">
      <w:r>
        <w:rPr>
          <w:noProof/>
          <w:lang w:eastAsia="en-AU"/>
        </w:rPr>
        <w:drawing>
          <wp:inline distT="0" distB="0" distL="0" distR="0" wp14:anchorId="752DE27F" wp14:editId="20C91A65">
            <wp:extent cx="5400040" cy="2205355"/>
            <wp:effectExtent l="0" t="0" r="0" b="4445"/>
            <wp:docPr id="16" name="Picture 16" descr="Study P007 proportion of subjects with HIV-1 RNA &lt; 50 copies/mL at Week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205355"/>
                    </a:xfrm>
                    <a:prstGeom prst="rect">
                      <a:avLst/>
                    </a:prstGeom>
                  </pic:spPr>
                </pic:pic>
              </a:graphicData>
            </a:graphic>
          </wp:inline>
        </w:drawing>
      </w:r>
    </w:p>
    <w:p w14:paraId="2DC153E6" w14:textId="64CB626B" w:rsidR="006A23F7" w:rsidRDefault="006A23F7" w:rsidP="00D768C3">
      <w:pPr>
        <w:pStyle w:val="TableDescription"/>
      </w:pPr>
      <w:r>
        <w:t>Note: Truvada = fixed dose combination of emtricitabine and tenofovir disoproxil fumarate</w:t>
      </w:r>
    </w:p>
    <w:p w14:paraId="3E89AFD6" w14:textId="4388E66C" w:rsidR="00D45C44" w:rsidRDefault="00D45C44" w:rsidP="008C51E2">
      <w:r>
        <w:t>Numerically, the treatment differences (</w:t>
      </w:r>
      <w:r w:rsidR="002E5F71">
        <w:t>doravirine</w:t>
      </w:r>
      <w:r>
        <w:t>/</w:t>
      </w:r>
      <w:r w:rsidR="002D556C">
        <w:t>emtricitabine</w:t>
      </w:r>
      <w:r>
        <w:t>/</w:t>
      </w:r>
      <w:r w:rsidR="00382533">
        <w:t>tenofovir disoproxil fumarate</w:t>
      </w:r>
      <w:r w:rsidR="002D556C">
        <w:t xml:space="preserve"> versus</w:t>
      </w:r>
      <w:r>
        <w:t xml:space="preserve"> </w:t>
      </w:r>
      <w:r w:rsidR="00AB1875">
        <w:t>efavirenz</w:t>
      </w:r>
      <w:r>
        <w:t>/</w:t>
      </w:r>
      <w:r w:rsidR="002D556C">
        <w:t>emtricitabine</w:t>
      </w:r>
      <w:r>
        <w:t>/</w:t>
      </w:r>
      <w:r w:rsidR="00382533">
        <w:t>tenofovir disoproxil fumarate</w:t>
      </w:r>
      <w:r>
        <w:t>) were indicative of a U-shaped response. Statistical</w:t>
      </w:r>
      <w:r w:rsidR="002D556C">
        <w:t>ly, the dose-response was flat.</w:t>
      </w:r>
    </w:p>
    <w:p w14:paraId="432B6D59" w14:textId="7958243E" w:rsidR="00D45C44" w:rsidRPr="00504437" w:rsidRDefault="00D45C44" w:rsidP="008C51E2">
      <w:pPr>
        <w:rPr>
          <w:rFonts w:eastAsiaTheme="minorHAnsi" w:cstheme="majorHAnsi"/>
          <w:color w:val="000000" w:themeColor="text1"/>
        </w:rPr>
      </w:pPr>
      <w:r>
        <w:rPr>
          <w:rFonts w:eastAsiaTheme="minorHAnsi" w:cstheme="majorHAnsi"/>
          <w:color w:val="000000" w:themeColor="text1"/>
        </w:rPr>
        <w:t>The decision was made to take forward the 100</w:t>
      </w:r>
      <w:r w:rsidR="00814C52">
        <w:rPr>
          <w:rFonts w:eastAsiaTheme="minorHAnsi" w:cstheme="majorHAnsi"/>
          <w:color w:val="000000" w:themeColor="text1"/>
        </w:rPr>
        <w:t xml:space="preserve"> </w:t>
      </w:r>
      <w:r>
        <w:rPr>
          <w:rFonts w:eastAsiaTheme="minorHAnsi" w:cstheme="majorHAnsi"/>
          <w:color w:val="000000" w:themeColor="text1"/>
        </w:rPr>
        <w:t xml:space="preserve">mg daily </w:t>
      </w:r>
      <w:r w:rsidR="002E5F71">
        <w:rPr>
          <w:rFonts w:eastAsiaTheme="minorHAnsi" w:cstheme="majorHAnsi"/>
          <w:color w:val="000000" w:themeColor="text1"/>
        </w:rPr>
        <w:t>doravirine</w:t>
      </w:r>
      <w:r>
        <w:rPr>
          <w:rFonts w:eastAsiaTheme="minorHAnsi" w:cstheme="majorHAnsi"/>
          <w:color w:val="000000" w:themeColor="text1"/>
        </w:rPr>
        <w:t xml:space="preserve"> dose for further treatment based</w:t>
      </w:r>
      <w:r w:rsidRPr="00E52F1F">
        <w:t xml:space="preserve"> </w:t>
      </w:r>
      <w:r>
        <w:t xml:space="preserve">on risk-benefit argument that it will provide </w:t>
      </w:r>
      <w:r>
        <w:rPr>
          <w:rFonts w:eastAsiaTheme="minorHAnsi" w:cstheme="majorHAnsi"/>
          <w:color w:val="000000" w:themeColor="text1"/>
        </w:rPr>
        <w:t>adequate C</w:t>
      </w:r>
      <w:r w:rsidRPr="006B4F6B">
        <w:rPr>
          <w:rFonts w:eastAsiaTheme="minorHAnsi" w:cstheme="majorHAnsi"/>
          <w:color w:val="000000" w:themeColor="text1"/>
          <w:vertAlign w:val="subscript"/>
        </w:rPr>
        <w:t>24</w:t>
      </w:r>
      <w:r w:rsidRPr="004A0810">
        <w:rPr>
          <w:rFonts w:eastAsiaTheme="minorHAnsi" w:cstheme="majorHAnsi"/>
          <w:color w:val="000000" w:themeColor="text1"/>
        </w:rPr>
        <w:t xml:space="preserve"> </w:t>
      </w:r>
      <w:r>
        <w:rPr>
          <w:rFonts w:eastAsiaTheme="minorHAnsi" w:cstheme="majorHAnsi"/>
          <w:color w:val="000000" w:themeColor="text1"/>
        </w:rPr>
        <w:t xml:space="preserve">(trough) levels </w:t>
      </w:r>
      <w:r w:rsidRPr="004A0810">
        <w:rPr>
          <w:rFonts w:eastAsiaTheme="minorHAnsi" w:cstheme="majorHAnsi"/>
          <w:color w:val="000000" w:themeColor="text1"/>
        </w:rPr>
        <w:t>in the setting of common NNRTI resistanc</w:t>
      </w:r>
      <w:r>
        <w:rPr>
          <w:rFonts w:eastAsiaTheme="minorHAnsi" w:cstheme="majorHAnsi"/>
          <w:color w:val="000000" w:themeColor="text1"/>
        </w:rPr>
        <w:t xml:space="preserve">e mutations against which </w:t>
      </w:r>
      <w:r w:rsidR="002E5F71">
        <w:rPr>
          <w:rFonts w:eastAsiaTheme="minorHAnsi" w:cstheme="majorHAnsi"/>
          <w:color w:val="000000" w:themeColor="text1"/>
        </w:rPr>
        <w:t>doravirine</w:t>
      </w:r>
      <w:r>
        <w:rPr>
          <w:rFonts w:eastAsiaTheme="minorHAnsi" w:cstheme="majorHAnsi"/>
          <w:color w:val="000000" w:themeColor="text1"/>
        </w:rPr>
        <w:t xml:space="preserve"> was active </w:t>
      </w:r>
      <w:r w:rsidRPr="006B4F6B">
        <w:rPr>
          <w:rFonts w:eastAsiaTheme="minorHAnsi" w:cstheme="majorHAnsi"/>
          <w:i/>
          <w:color w:val="000000" w:themeColor="text1"/>
        </w:rPr>
        <w:t>in vitro</w:t>
      </w:r>
      <w:r>
        <w:rPr>
          <w:rFonts w:eastAsiaTheme="minorHAnsi" w:cstheme="majorHAnsi"/>
          <w:color w:val="000000" w:themeColor="text1"/>
        </w:rPr>
        <w:t>. In addition, 100</w:t>
      </w:r>
      <w:r w:rsidR="006B4F6B">
        <w:rPr>
          <w:rFonts w:eastAsiaTheme="minorHAnsi" w:cstheme="majorHAnsi"/>
          <w:color w:val="000000" w:themeColor="text1"/>
        </w:rPr>
        <w:t xml:space="preserve"> </w:t>
      </w:r>
      <w:r>
        <w:rPr>
          <w:rFonts w:eastAsiaTheme="minorHAnsi" w:cstheme="majorHAnsi"/>
          <w:color w:val="000000" w:themeColor="text1"/>
        </w:rPr>
        <w:t>mg dose was projected to provide adequate margins both on the up side and on the low side for CYP3A-related drug interactions without requiring dose adjustments.</w:t>
      </w:r>
    </w:p>
    <w:p w14:paraId="740EC98B" w14:textId="20E6322C" w:rsidR="00D45C44" w:rsidRDefault="00D45C44" w:rsidP="008C51E2">
      <w:pPr>
        <w:rPr>
          <w:rFonts w:eastAsiaTheme="minorHAnsi" w:cstheme="majorHAnsi"/>
          <w:color w:val="000000" w:themeColor="text1"/>
        </w:rPr>
      </w:pPr>
      <w:r>
        <w:t>Consequently,</w:t>
      </w:r>
      <w:r>
        <w:rPr>
          <w:rFonts w:eastAsiaTheme="minorHAnsi" w:cstheme="majorHAnsi"/>
          <w:color w:val="000000" w:themeColor="text1"/>
        </w:rPr>
        <w:t xml:space="preserve"> all </w:t>
      </w:r>
      <w:r w:rsidR="002E5F71">
        <w:rPr>
          <w:rFonts w:eastAsiaTheme="minorHAnsi" w:cstheme="majorHAnsi"/>
          <w:color w:val="000000" w:themeColor="text1"/>
        </w:rPr>
        <w:t>doravirine</w:t>
      </w:r>
      <w:r>
        <w:rPr>
          <w:rFonts w:eastAsiaTheme="minorHAnsi" w:cstheme="majorHAnsi"/>
          <w:color w:val="000000" w:themeColor="text1"/>
        </w:rPr>
        <w:t xml:space="preserve"> groups were switched to </w:t>
      </w:r>
      <w:r w:rsidR="002E5F71">
        <w:rPr>
          <w:rFonts w:eastAsiaTheme="minorHAnsi" w:cstheme="majorHAnsi"/>
          <w:color w:val="000000" w:themeColor="text1"/>
        </w:rPr>
        <w:t>doravirine</w:t>
      </w:r>
      <w:r>
        <w:rPr>
          <w:rFonts w:eastAsiaTheme="minorHAnsi" w:cstheme="majorHAnsi"/>
          <w:color w:val="000000" w:themeColor="text1"/>
        </w:rPr>
        <w:t xml:space="preserve"> 100</w:t>
      </w:r>
      <w:r w:rsidR="006B4F6B">
        <w:rPr>
          <w:rFonts w:eastAsiaTheme="minorHAnsi" w:cstheme="majorHAnsi"/>
          <w:color w:val="000000" w:themeColor="text1"/>
        </w:rPr>
        <w:t xml:space="preserve"> </w:t>
      </w:r>
      <w:r>
        <w:rPr>
          <w:rFonts w:eastAsiaTheme="minorHAnsi" w:cstheme="majorHAnsi"/>
          <w:color w:val="000000" w:themeColor="text1"/>
        </w:rPr>
        <w:t xml:space="preserve">mg daily at 24 weeks in this trial and continued the treatment for a total of 96 weeks in comparison with </w:t>
      </w:r>
      <w:r w:rsidR="00AB1875">
        <w:rPr>
          <w:rFonts w:eastAsiaTheme="minorHAnsi" w:cstheme="majorHAnsi"/>
          <w:color w:val="000000" w:themeColor="text1"/>
        </w:rPr>
        <w:t>efavirenz</w:t>
      </w:r>
      <w:r w:rsidR="00814C52">
        <w:rPr>
          <w:rFonts w:eastAsiaTheme="minorHAnsi" w:cstheme="majorHAnsi"/>
          <w:color w:val="000000" w:themeColor="text1"/>
        </w:rPr>
        <w:t xml:space="preserve"> as follows in </w:t>
      </w:r>
      <w:r w:rsidR="00814C52">
        <w:rPr>
          <w:rFonts w:eastAsiaTheme="minorHAnsi" w:cstheme="majorHAnsi"/>
          <w:color w:val="000000" w:themeColor="text1"/>
        </w:rPr>
        <w:fldChar w:fldCharType="begin"/>
      </w:r>
      <w:r w:rsidR="00814C52">
        <w:rPr>
          <w:rFonts w:eastAsiaTheme="minorHAnsi" w:cstheme="majorHAnsi"/>
          <w:color w:val="000000" w:themeColor="text1"/>
        </w:rPr>
        <w:instrText xml:space="preserve"> REF _Ref31715967 \h </w:instrText>
      </w:r>
      <w:r w:rsidR="00814C52">
        <w:rPr>
          <w:rFonts w:eastAsiaTheme="minorHAnsi" w:cstheme="majorHAnsi"/>
          <w:color w:val="000000" w:themeColor="text1"/>
        </w:rPr>
      </w:r>
      <w:r w:rsidR="00814C52">
        <w:rPr>
          <w:rFonts w:eastAsiaTheme="minorHAnsi" w:cstheme="majorHAnsi"/>
          <w:color w:val="000000" w:themeColor="text1"/>
        </w:rPr>
        <w:fldChar w:fldCharType="separate"/>
      </w:r>
      <w:r w:rsidR="00814C52">
        <w:t xml:space="preserve">Figure </w:t>
      </w:r>
      <w:r w:rsidR="00814C52">
        <w:rPr>
          <w:noProof/>
        </w:rPr>
        <w:t>5</w:t>
      </w:r>
      <w:r w:rsidR="00814C52">
        <w:rPr>
          <w:rFonts w:eastAsiaTheme="minorHAnsi" w:cstheme="majorHAnsi"/>
          <w:color w:val="000000" w:themeColor="text1"/>
        </w:rPr>
        <w:fldChar w:fldCharType="end"/>
      </w:r>
      <w:r w:rsidR="00814C52">
        <w:rPr>
          <w:rFonts w:eastAsiaTheme="minorHAnsi" w:cstheme="majorHAnsi"/>
          <w:color w:val="000000" w:themeColor="text1"/>
        </w:rPr>
        <w:t>.</w:t>
      </w:r>
    </w:p>
    <w:p w14:paraId="4C60011C" w14:textId="297E1F65" w:rsidR="006B4F6B" w:rsidRDefault="006B4F6B" w:rsidP="006B4F6B">
      <w:pPr>
        <w:pStyle w:val="FigureTitle"/>
      </w:pPr>
      <w:bookmarkStart w:id="52" w:name="_Ref31715967"/>
      <w:r>
        <w:t xml:space="preserve">Figure </w:t>
      </w:r>
      <w:fldSimple w:instr=" SEQ Figure \* ARABIC ">
        <w:r>
          <w:rPr>
            <w:noProof/>
          </w:rPr>
          <w:t>5</w:t>
        </w:r>
      </w:fldSimple>
      <w:bookmarkEnd w:id="52"/>
      <w:r>
        <w:t>: Proportion of su</w:t>
      </w:r>
      <w:r w:rsidR="00814C52">
        <w:t>b</w:t>
      </w:r>
      <w:r>
        <w:t>jects with HIV-1 RNA &lt; 50 copies/mL over time, non-completer = failure approach Part I/II combined (doravirine 4 doses versus efavirenz)</w:t>
      </w:r>
      <w:r w:rsidR="006A23F7">
        <w:t xml:space="preserve"> (F</w:t>
      </w:r>
      <w:r>
        <w:t>ull analysis set</w:t>
      </w:r>
      <w:r w:rsidR="006A23F7">
        <w:t>)</w:t>
      </w:r>
    </w:p>
    <w:p w14:paraId="7656CE02" w14:textId="5EAD0132" w:rsidR="00D45C44" w:rsidRDefault="006B4F6B" w:rsidP="006B4F6B">
      <w:r>
        <w:rPr>
          <w:noProof/>
          <w:lang w:eastAsia="en-AU"/>
        </w:rPr>
        <w:drawing>
          <wp:inline distT="0" distB="0" distL="0" distR="0" wp14:anchorId="2E13B335" wp14:editId="7001FCAF">
            <wp:extent cx="5400675" cy="3133725"/>
            <wp:effectExtent l="0" t="0" r="9525" b="0"/>
            <wp:docPr id="30" name="Picture 30" descr="Proportion of subjects with HIV-1 RNA &lt; 50 copies/mL over time, non-completer = failure approach Part I/II combined (doravirine 4 doses versus efavirenz)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87" b="4037"/>
                    <a:stretch/>
                  </pic:blipFill>
                  <pic:spPr bwMode="auto">
                    <a:xfrm>
                      <a:off x="0" y="0"/>
                      <a:ext cx="5400040" cy="3133356"/>
                    </a:xfrm>
                    <a:prstGeom prst="rect">
                      <a:avLst/>
                    </a:prstGeom>
                    <a:ln>
                      <a:noFill/>
                    </a:ln>
                    <a:extLst>
                      <a:ext uri="{53640926-AAD7-44D8-BBD7-CCE9431645EC}">
                        <a14:shadowObscured xmlns:a14="http://schemas.microsoft.com/office/drawing/2010/main"/>
                      </a:ext>
                    </a:extLst>
                  </pic:spPr>
                </pic:pic>
              </a:graphicData>
            </a:graphic>
          </wp:inline>
        </w:drawing>
      </w:r>
    </w:p>
    <w:p w14:paraId="7B2A0DF2" w14:textId="5ECD052E" w:rsidR="00D45C44" w:rsidRPr="00C44C77" w:rsidRDefault="00D45C44" w:rsidP="008C51E2">
      <w:r>
        <w:lastRenderedPageBreak/>
        <w:t xml:space="preserve">As a result, the 100 mg daily </w:t>
      </w:r>
      <w:r w:rsidR="002E5F71">
        <w:t>doravirine</w:t>
      </w:r>
      <w:r>
        <w:t xml:space="preserve"> dose was also the only dose examined in the subsequent two confirmatory </w:t>
      </w:r>
      <w:r w:rsidR="00814C52">
        <w:t>Phase III</w:t>
      </w:r>
      <w:r w:rsidRPr="00E52F1F">
        <w:t xml:space="preserve"> </w:t>
      </w:r>
      <w:r>
        <w:t>trials (</w:t>
      </w:r>
      <w:r w:rsidR="00814C52">
        <w:t xml:space="preserve">Studies </w:t>
      </w:r>
      <w:r>
        <w:t>P081 and P021).</w:t>
      </w:r>
    </w:p>
    <w:p w14:paraId="1765FA6C" w14:textId="125E6A80" w:rsidR="00D45C44" w:rsidRDefault="00D45C44" w:rsidP="002E5F71">
      <w:pPr>
        <w:pStyle w:val="Heading4"/>
      </w:pPr>
      <w:r>
        <w:t xml:space="preserve">Clinical </w:t>
      </w:r>
      <w:r w:rsidR="002E5F71">
        <w:t>e</w:t>
      </w:r>
      <w:r w:rsidRPr="003F08CF">
        <w:t>fficacy</w:t>
      </w:r>
    </w:p>
    <w:p w14:paraId="3E44BE4D" w14:textId="7502EA69" w:rsidR="00D45C44" w:rsidRDefault="00814C52" w:rsidP="008C51E2">
      <w:r>
        <w:t>Two, Phase III</w:t>
      </w:r>
      <w:r w:rsidR="00D45C44">
        <w:t xml:space="preserve">, pivotal clinical trials support the proposed use of </w:t>
      </w:r>
      <w:r w:rsidR="002E5F71">
        <w:t>doravirine</w:t>
      </w:r>
      <w:r w:rsidR="00D45C44">
        <w:t xml:space="preserve"> and </w:t>
      </w:r>
      <w:r w:rsidR="002E5F71">
        <w:t>doravirine</w:t>
      </w:r>
      <w:r w:rsidR="00D45C44">
        <w:t>/</w:t>
      </w:r>
      <w:r w:rsidR="00382533">
        <w:t>lamivudine</w:t>
      </w:r>
      <w:r w:rsidR="00D45C44">
        <w:t>/</w:t>
      </w:r>
      <w:r w:rsidR="00382533">
        <w:t>tenofovir disoproxil fumarate</w:t>
      </w:r>
      <w:r>
        <w:t xml:space="preserve"> (Studies P018 and P021)</w:t>
      </w:r>
      <w:r w:rsidR="006A23F7">
        <w:t>. The</w:t>
      </w:r>
      <w:r>
        <w:t xml:space="preserve">study design </w:t>
      </w:r>
      <w:r w:rsidR="006A23F7">
        <w:t xml:space="preserve">for both studies is </w:t>
      </w:r>
      <w:r>
        <w:t xml:space="preserve">shown in </w:t>
      </w:r>
      <w:r>
        <w:fldChar w:fldCharType="begin"/>
      </w:r>
      <w:r>
        <w:instrText xml:space="preserve"> REF _Ref31716237 \h </w:instrText>
      </w:r>
      <w:r>
        <w:fldChar w:fldCharType="separate"/>
      </w:r>
      <w:r w:rsidR="00423BD3">
        <w:t xml:space="preserve">Table </w:t>
      </w:r>
      <w:r w:rsidR="00423BD3">
        <w:rPr>
          <w:noProof/>
        </w:rPr>
        <w:t>11</w:t>
      </w:r>
      <w:r>
        <w:fldChar w:fldCharType="end"/>
      </w:r>
      <w:r>
        <w:t>.</w:t>
      </w:r>
    </w:p>
    <w:p w14:paraId="61AE742F" w14:textId="66C296AB" w:rsidR="00814C52" w:rsidRDefault="00814C52" w:rsidP="00814C52">
      <w:pPr>
        <w:pStyle w:val="TableTitle"/>
      </w:pPr>
      <w:bookmarkStart w:id="53" w:name="_Ref31716237"/>
      <w:r>
        <w:t xml:space="preserve">Table </w:t>
      </w:r>
      <w:fldSimple w:instr=" SEQ Table \* ARABIC ">
        <w:r w:rsidR="000644BB">
          <w:rPr>
            <w:noProof/>
          </w:rPr>
          <w:t>11</w:t>
        </w:r>
      </w:fldSimple>
      <w:bookmarkEnd w:id="53"/>
      <w:r>
        <w:t>: Study design of Studies P018 and P021</w:t>
      </w:r>
    </w:p>
    <w:p w14:paraId="6E456B3C" w14:textId="53AADEF5" w:rsidR="00D45C44" w:rsidRDefault="00D45C44" w:rsidP="00814C52">
      <w:pPr>
        <w:rPr>
          <w:rFonts w:asciiTheme="minorHAnsi" w:hAnsiTheme="minorHAnsi"/>
        </w:rPr>
      </w:pPr>
      <w:r>
        <w:rPr>
          <w:noProof/>
          <w:lang w:eastAsia="en-AU"/>
        </w:rPr>
        <w:drawing>
          <wp:inline distT="0" distB="0" distL="0" distR="0" wp14:anchorId="4F0B9E88" wp14:editId="6129EE5C">
            <wp:extent cx="4577610" cy="928248"/>
            <wp:effectExtent l="0" t="0" r="0" b="5715"/>
            <wp:docPr id="13" name="Picture 13" descr="Study design of Studies P018 and P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_2017_CEU2\Captu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8788" cy="930515"/>
                    </a:xfrm>
                    <a:prstGeom prst="rect">
                      <a:avLst/>
                    </a:prstGeom>
                    <a:noFill/>
                    <a:ln>
                      <a:noFill/>
                    </a:ln>
                  </pic:spPr>
                </pic:pic>
              </a:graphicData>
            </a:graphic>
          </wp:inline>
        </w:drawing>
      </w:r>
    </w:p>
    <w:p w14:paraId="5D384FF1" w14:textId="5B1CBD8F" w:rsidR="00814C52" w:rsidRDefault="00814C52" w:rsidP="00814C52">
      <w:pPr>
        <w:pStyle w:val="TableDescription"/>
        <w:rPr>
          <w:rFonts w:asciiTheme="minorHAnsi" w:hAnsiTheme="minorHAnsi"/>
        </w:rPr>
      </w:pPr>
      <w:r>
        <w:t>3TC = lamivudine, ABC = abacavir, DOR = doravirine,</w:t>
      </w:r>
      <w:r w:rsidRPr="00814C52">
        <w:t xml:space="preserve"> </w:t>
      </w:r>
      <w:r>
        <w:t xml:space="preserve">DRV/r = ritonavir boosted </w:t>
      </w:r>
      <w:r w:rsidRPr="00F93636">
        <w:t>darunavir</w:t>
      </w:r>
      <w:r>
        <w:t>, EFV</w:t>
      </w:r>
      <w:r w:rsidR="00CE574B">
        <w:t> </w:t>
      </w:r>
      <w:r>
        <w:t>=</w:t>
      </w:r>
      <w:r w:rsidR="00CE574B">
        <w:t> </w:t>
      </w:r>
      <w:r>
        <w:t xml:space="preserve">efavirenz, FTC = emtricitabine, TDF = </w:t>
      </w:r>
      <w:r w:rsidRPr="00F93636">
        <w:t>tenofovir disoproxil fumarate</w:t>
      </w:r>
      <w:r w:rsidR="00CE574B">
        <w:t>.</w:t>
      </w:r>
    </w:p>
    <w:p w14:paraId="782FBFC6" w14:textId="001D6504" w:rsidR="00D45C44" w:rsidRDefault="00D45C44" w:rsidP="00814C52">
      <w:r>
        <w:t>All study drugs required once daily dosing. Patient population was treatment-naïve adult HIV-1 patients in which the antiretroviral treatment was initiated for the first time. Both trials were randomised, double blind (matching placebos), active controlled, non</w:t>
      </w:r>
      <w:r w:rsidR="00CE574B">
        <w:noBreakHyphen/>
      </w:r>
      <w:r>
        <w:t>inferiority designs. The registration dossiers comprise 48 weeks data (ongoing to 96</w:t>
      </w:r>
      <w:r w:rsidR="00CE574B">
        <w:t> </w:t>
      </w:r>
      <w:r>
        <w:t>weeks). Approaches to missing data were ‘snapshot’ (primary analysis) or o</w:t>
      </w:r>
      <w:r w:rsidR="00E57FFC">
        <w:t xml:space="preserve">bserved failure (OF) as follows in </w:t>
      </w:r>
      <w:r w:rsidR="00E57FFC">
        <w:fldChar w:fldCharType="begin"/>
      </w:r>
      <w:r w:rsidR="00E57FFC">
        <w:instrText xml:space="preserve"> REF _Ref31716581 \h </w:instrText>
      </w:r>
      <w:r w:rsidR="00E57FFC">
        <w:fldChar w:fldCharType="separate"/>
      </w:r>
      <w:r w:rsidR="00423BD3">
        <w:t xml:space="preserve">Table </w:t>
      </w:r>
      <w:r w:rsidR="00423BD3">
        <w:rPr>
          <w:noProof/>
        </w:rPr>
        <w:t>12</w:t>
      </w:r>
      <w:r w:rsidR="00E57FFC">
        <w:fldChar w:fldCharType="end"/>
      </w:r>
      <w:r w:rsidR="00E57FFC">
        <w:t>.</w:t>
      </w:r>
    </w:p>
    <w:p w14:paraId="7CCF2CD6" w14:textId="73BCC2AF" w:rsidR="00814C52" w:rsidRDefault="00814C52" w:rsidP="00814C52">
      <w:pPr>
        <w:pStyle w:val="TableTitle"/>
      </w:pPr>
      <w:bookmarkStart w:id="54" w:name="_Ref31716581"/>
      <w:r>
        <w:t xml:space="preserve">Table </w:t>
      </w:r>
      <w:fldSimple w:instr=" SEQ Table \* ARABIC ">
        <w:r w:rsidR="000644BB">
          <w:rPr>
            <w:noProof/>
          </w:rPr>
          <w:t>12</w:t>
        </w:r>
      </w:fldSimple>
      <w:bookmarkEnd w:id="54"/>
      <w:r>
        <w:t>: Summary of the approaches to missing data</w:t>
      </w:r>
    </w:p>
    <w:p w14:paraId="5ADD0D2F" w14:textId="2BDA05F1" w:rsidR="00D45C44" w:rsidRDefault="00814C52" w:rsidP="00814C52">
      <w:r>
        <w:rPr>
          <w:noProof/>
          <w:lang w:eastAsia="en-AU"/>
        </w:rPr>
        <w:drawing>
          <wp:inline distT="0" distB="0" distL="0" distR="0" wp14:anchorId="525EF19A" wp14:editId="5A17B124">
            <wp:extent cx="5400040" cy="1960880"/>
            <wp:effectExtent l="0" t="0" r="0" b="1270"/>
            <wp:docPr id="35" name="Picture 35" descr="Summary of the approaches to miss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960880"/>
                    </a:xfrm>
                    <a:prstGeom prst="rect">
                      <a:avLst/>
                    </a:prstGeom>
                  </pic:spPr>
                </pic:pic>
              </a:graphicData>
            </a:graphic>
          </wp:inline>
        </w:drawing>
      </w:r>
    </w:p>
    <w:p w14:paraId="6622B1C2" w14:textId="0939F31C" w:rsidR="00E57FFC" w:rsidRDefault="00E57FFC" w:rsidP="00E57FFC">
      <w:pPr>
        <w:pStyle w:val="TableDescription"/>
      </w:pPr>
      <w:r>
        <w:t>D/C = discontinued</w:t>
      </w:r>
      <w:r w:rsidR="00CE574B">
        <w:t>; AE = adverse event;</w:t>
      </w:r>
      <w:r w:rsidR="00D36E97">
        <w:t xml:space="preserve"> FDA = Food and Drug Administration</w:t>
      </w:r>
      <w:r w:rsidR="00CE574B">
        <w:t xml:space="preserve"> (USA)</w:t>
      </w:r>
      <w:r w:rsidR="00D36E97">
        <w:t>.</w:t>
      </w:r>
    </w:p>
    <w:p w14:paraId="6D4FA075" w14:textId="60D71DA4" w:rsidR="00D45C44" w:rsidRDefault="00D45C44" w:rsidP="008C51E2">
      <w:r>
        <w:t xml:space="preserve">Overall, the comparator groups were balanced at </w:t>
      </w:r>
      <w:r w:rsidR="00CE574B">
        <w:t>B</w:t>
      </w:r>
      <w:r>
        <w:t xml:space="preserve">aseline. The Week 48 results demonstrated non-inferiority of </w:t>
      </w:r>
      <w:r w:rsidR="002E5F71">
        <w:t>doravirine</w:t>
      </w:r>
      <w:r>
        <w:t xml:space="preserve"> versus the respective controls in each trial with r</w:t>
      </w:r>
      <w:r w:rsidR="00E57FFC">
        <w:t>espect to viral load as follows in</w:t>
      </w:r>
      <w:r w:rsidR="00423BD3">
        <w:t xml:space="preserve"> </w:t>
      </w:r>
      <w:r w:rsidR="00423BD3">
        <w:fldChar w:fldCharType="begin"/>
      </w:r>
      <w:r w:rsidR="00423BD3">
        <w:instrText xml:space="preserve"> REF _Ref31716725 \h </w:instrText>
      </w:r>
      <w:r w:rsidR="00423BD3">
        <w:fldChar w:fldCharType="separate"/>
      </w:r>
      <w:r w:rsidR="00423BD3">
        <w:t xml:space="preserve">Table </w:t>
      </w:r>
      <w:r w:rsidR="00423BD3">
        <w:rPr>
          <w:noProof/>
        </w:rPr>
        <w:t>13</w:t>
      </w:r>
      <w:r w:rsidR="00423BD3">
        <w:fldChar w:fldCharType="end"/>
      </w:r>
      <w:r w:rsidR="00E57FFC">
        <w:t>.</w:t>
      </w:r>
    </w:p>
    <w:p w14:paraId="4309375B" w14:textId="5E72206C" w:rsidR="00E57FFC" w:rsidRDefault="00E57FFC" w:rsidP="00E57FFC">
      <w:pPr>
        <w:pStyle w:val="TableTitle"/>
      </w:pPr>
      <w:bookmarkStart w:id="55" w:name="_Ref31716725"/>
      <w:r>
        <w:lastRenderedPageBreak/>
        <w:t xml:space="preserve">Table </w:t>
      </w:r>
      <w:fldSimple w:instr=" SEQ Table \* ARABIC ">
        <w:r w:rsidR="000644BB">
          <w:rPr>
            <w:noProof/>
          </w:rPr>
          <w:t>13</w:t>
        </w:r>
      </w:fldSimple>
      <w:bookmarkEnd w:id="55"/>
      <w:r>
        <w:t>: Studies P018 and P021 efficacy analysis at Week 48</w:t>
      </w:r>
    </w:p>
    <w:p w14:paraId="22CBA749" w14:textId="77777777" w:rsidR="00D45C44" w:rsidRDefault="00D45C44" w:rsidP="00D45C44">
      <w:pPr>
        <w:spacing w:line="240" w:lineRule="auto"/>
        <w:jc w:val="both"/>
        <w:rPr>
          <w:rFonts w:asciiTheme="minorHAnsi" w:hAnsiTheme="minorHAnsi"/>
        </w:rPr>
      </w:pPr>
      <w:r>
        <w:rPr>
          <w:rFonts w:asciiTheme="minorHAnsi" w:hAnsiTheme="minorHAnsi"/>
          <w:noProof/>
          <w:lang w:eastAsia="en-AU"/>
        </w:rPr>
        <w:drawing>
          <wp:inline distT="0" distB="0" distL="0" distR="0" wp14:anchorId="78F58819" wp14:editId="19B97763">
            <wp:extent cx="5278978" cy="3789274"/>
            <wp:effectExtent l="0" t="0" r="0" b="1905"/>
            <wp:docPr id="20" name="Picture 20" descr="Studies P018 and PN021 efficacy analysis at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_2017_CEU2\~acm2017\Dec_2018\tables\New folder\Captur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7665" cy="3795509"/>
                    </a:xfrm>
                    <a:prstGeom prst="rect">
                      <a:avLst/>
                    </a:prstGeom>
                    <a:noFill/>
                    <a:ln>
                      <a:noFill/>
                    </a:ln>
                  </pic:spPr>
                </pic:pic>
              </a:graphicData>
            </a:graphic>
          </wp:inline>
        </w:drawing>
      </w:r>
    </w:p>
    <w:p w14:paraId="383984A5" w14:textId="37C6DF1E" w:rsidR="00CE574B" w:rsidRDefault="00CE574B" w:rsidP="00D768C3">
      <w:pPr>
        <w:pStyle w:val="TableDescription"/>
        <w:rPr>
          <w:rFonts w:asciiTheme="minorHAnsi" w:hAnsiTheme="minorHAnsi"/>
        </w:rPr>
      </w:pPr>
      <w:r>
        <w:t>CI = confidence interval; QD = once daily; OF = observed failure; 3TC = lamivudine; DOR = doravirine;, EFV = efavirenz; FTC = emtricitabine; TDF = </w:t>
      </w:r>
      <w:r w:rsidRPr="00F93636">
        <w:t>tenofovir disoproxil fumarate</w:t>
      </w:r>
      <w:r>
        <w:t>.</w:t>
      </w:r>
    </w:p>
    <w:p w14:paraId="79DD5BE1" w14:textId="2BB0340E" w:rsidR="00D45C44" w:rsidRDefault="00D45C44" w:rsidP="00E57FFC">
      <w:r w:rsidRPr="00A46E77">
        <w:t>The vira</w:t>
      </w:r>
      <w:r>
        <w:t>l response was generally homogenous across</w:t>
      </w:r>
      <w:r w:rsidRPr="00A46E77">
        <w:t xml:space="preserve"> demographic and prognostic subgroups. </w:t>
      </w:r>
      <w:r>
        <w:t xml:space="preserve">Trends for lower efficacy were seen in patients with </w:t>
      </w:r>
      <w:r w:rsidRPr="00A57446">
        <w:t xml:space="preserve">high baseline HIV-1 RNA </w:t>
      </w:r>
      <w:r>
        <w:t>(&gt;</w:t>
      </w:r>
      <w:r w:rsidR="00E57FFC">
        <w:t xml:space="preserve"> </w:t>
      </w:r>
      <w:r>
        <w:t>100,000) and low baseline</w:t>
      </w:r>
      <w:r w:rsidRPr="00A57446">
        <w:t xml:space="preserve"> CD4</w:t>
      </w:r>
      <w:r w:rsidRPr="00A57446">
        <w:rPr>
          <w:position w:val="16"/>
        </w:rPr>
        <w:t xml:space="preserve"> </w:t>
      </w:r>
      <w:r>
        <w:t>cell count in all treatment groups. T</w:t>
      </w:r>
      <w:r w:rsidRPr="00A57446">
        <w:t>hese</w:t>
      </w:r>
      <w:r>
        <w:t xml:space="preserve"> trends were less pronounced in</w:t>
      </w:r>
      <w:r w:rsidRPr="00A57446">
        <w:t xml:space="preserve"> the </w:t>
      </w:r>
      <w:r w:rsidR="002E5F71">
        <w:t>doravirine</w:t>
      </w:r>
      <w:r w:rsidRPr="00A57446">
        <w:t xml:space="preserve"> group </w:t>
      </w:r>
      <w:r>
        <w:t>(pooled data) than the comparato</w:t>
      </w:r>
      <w:r w:rsidR="00E57FFC">
        <w:t xml:space="preserve">rs as shown in below </w:t>
      </w:r>
      <w:r w:rsidR="00E57FFC">
        <w:fldChar w:fldCharType="begin"/>
      </w:r>
      <w:r w:rsidR="00E57FFC">
        <w:instrText xml:space="preserve"> REF _Ref31716946 \h </w:instrText>
      </w:r>
      <w:r w:rsidR="00E57FFC">
        <w:fldChar w:fldCharType="separate"/>
      </w:r>
      <w:r w:rsidR="00423BD3">
        <w:t xml:space="preserve">Table </w:t>
      </w:r>
      <w:r w:rsidR="00423BD3">
        <w:rPr>
          <w:noProof/>
        </w:rPr>
        <w:t>14</w:t>
      </w:r>
      <w:r w:rsidR="00E57FFC">
        <w:fldChar w:fldCharType="end"/>
      </w:r>
      <w:r w:rsidR="00E57FFC">
        <w:t xml:space="preserve"> (OF approach).</w:t>
      </w:r>
    </w:p>
    <w:p w14:paraId="6CEC2319" w14:textId="044377E6" w:rsidR="00E57FFC" w:rsidRPr="00A46E77" w:rsidRDefault="00E57FFC" w:rsidP="00E57FFC">
      <w:pPr>
        <w:pStyle w:val="TableTitle"/>
      </w:pPr>
      <w:bookmarkStart w:id="56" w:name="_Ref31716946"/>
      <w:r>
        <w:t xml:space="preserve">Table </w:t>
      </w:r>
      <w:fldSimple w:instr=" SEQ Table \* ARABIC ">
        <w:r w:rsidR="000644BB">
          <w:rPr>
            <w:noProof/>
          </w:rPr>
          <w:t>14</w:t>
        </w:r>
      </w:fldSimple>
      <w:bookmarkEnd w:id="56"/>
      <w:r>
        <w:t>: Proportion of subjects with plasma HIV-1 RNA &lt; 50 copies/mL at Week 48 by prognostic and demographic factors efficacy pool (Studies P018 and P012 combined</w:t>
      </w:r>
      <w:r w:rsidR="00CE574B">
        <w:t>);</w:t>
      </w:r>
      <w:r>
        <w:t xml:space="preserve"> observed failure approach</w:t>
      </w:r>
    </w:p>
    <w:p w14:paraId="3C1AC811" w14:textId="32435A01" w:rsidR="00D45C44" w:rsidRDefault="00E57FFC" w:rsidP="00D45C44">
      <w:pPr>
        <w:spacing w:line="240" w:lineRule="auto"/>
        <w:jc w:val="both"/>
        <w:rPr>
          <w:rFonts w:asciiTheme="minorHAnsi" w:eastAsiaTheme="minorHAnsi" w:hAnsiTheme="minorHAnsi" w:cs="Times"/>
          <w:color w:val="000000" w:themeColor="text1"/>
        </w:rPr>
      </w:pPr>
      <w:r>
        <w:rPr>
          <w:noProof/>
          <w:lang w:eastAsia="en-AU"/>
        </w:rPr>
        <w:drawing>
          <wp:inline distT="0" distB="0" distL="0" distR="0" wp14:anchorId="5CE0AC82" wp14:editId="641F0BDE">
            <wp:extent cx="5400040" cy="2150110"/>
            <wp:effectExtent l="0" t="0" r="0" b="2540"/>
            <wp:docPr id="39" name="Picture 39" descr="Proportion of subjects with plasma HIV-1 RNA &lt; 50 copies/mL at Week 48 by prognostic and demographic factors efficacy pool (Studies P018 and P012 combined) observed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2150110"/>
                    </a:xfrm>
                    <a:prstGeom prst="rect">
                      <a:avLst/>
                    </a:prstGeom>
                  </pic:spPr>
                </pic:pic>
              </a:graphicData>
            </a:graphic>
          </wp:inline>
        </w:drawing>
      </w:r>
    </w:p>
    <w:p w14:paraId="1A74F0C3" w14:textId="067C94B3" w:rsidR="00CE574B" w:rsidRPr="00D768C3" w:rsidRDefault="00CE574B" w:rsidP="00D768C3">
      <w:pPr>
        <w:pStyle w:val="TableDescription"/>
        <w:rPr>
          <w:rFonts w:asciiTheme="minorHAnsi" w:hAnsiTheme="minorHAnsi"/>
        </w:rPr>
      </w:pPr>
      <w:r>
        <w:t>CI = confidence interval; DOR = doravirine;</w:t>
      </w:r>
      <w:r w:rsidRPr="00814C52">
        <w:t xml:space="preserve"> </w:t>
      </w:r>
      <w:r>
        <w:t xml:space="preserve">DRV/r = ritonavir boosted </w:t>
      </w:r>
      <w:r w:rsidRPr="00F93636">
        <w:t>darunavir</w:t>
      </w:r>
      <w:r>
        <w:t>; EFV = efavirenz, FTC = emtricitabine, TDF = </w:t>
      </w:r>
      <w:r w:rsidRPr="00F93636">
        <w:t>tenofovir disoproxil fumarate</w:t>
      </w:r>
      <w:r>
        <w:t>.</w:t>
      </w:r>
    </w:p>
    <w:p w14:paraId="6A79FB6E" w14:textId="24A93813" w:rsidR="00D45C44" w:rsidRDefault="00D45C44" w:rsidP="008A3131">
      <w:r>
        <w:rPr>
          <w:i/>
        </w:rPr>
        <w:t>Virological F</w:t>
      </w:r>
      <w:r w:rsidRPr="003E7841">
        <w:rPr>
          <w:i/>
        </w:rPr>
        <w:t>ailure</w:t>
      </w:r>
      <w:r>
        <w:rPr>
          <w:i/>
        </w:rPr>
        <w:t>s</w:t>
      </w:r>
      <w:r w:rsidR="00E57FFC">
        <w:t>: In the S</w:t>
      </w:r>
      <w:r>
        <w:t xml:space="preserve">tudy P018, the </w:t>
      </w:r>
      <w:r w:rsidR="00E57FFC">
        <w:t xml:space="preserve">protocol defined virologic failure (PDVF) rates were as follows in </w:t>
      </w:r>
      <w:r w:rsidR="00D36E97">
        <w:fldChar w:fldCharType="begin"/>
      </w:r>
      <w:r w:rsidR="00D36E97">
        <w:instrText xml:space="preserve"> REF _Ref31717483 \h </w:instrText>
      </w:r>
      <w:r w:rsidR="00D36E97">
        <w:fldChar w:fldCharType="separate"/>
      </w:r>
      <w:r w:rsidR="00423BD3">
        <w:t xml:space="preserve">Table </w:t>
      </w:r>
      <w:r w:rsidR="00423BD3">
        <w:rPr>
          <w:noProof/>
        </w:rPr>
        <w:t>15</w:t>
      </w:r>
      <w:r w:rsidR="00D36E97">
        <w:fldChar w:fldCharType="end"/>
      </w:r>
      <w:r w:rsidR="00D36E97">
        <w:t>.</w:t>
      </w:r>
    </w:p>
    <w:p w14:paraId="2E25356E" w14:textId="6A3E6F1C" w:rsidR="00E57FFC" w:rsidRDefault="00E57FFC" w:rsidP="00E57FFC">
      <w:pPr>
        <w:pStyle w:val="TableTitle"/>
      </w:pPr>
      <w:bookmarkStart w:id="57" w:name="_Ref31717483"/>
      <w:r>
        <w:lastRenderedPageBreak/>
        <w:t xml:space="preserve">Table </w:t>
      </w:r>
      <w:fldSimple w:instr=" SEQ Table \* ARABIC ">
        <w:r w:rsidR="000644BB">
          <w:rPr>
            <w:noProof/>
          </w:rPr>
          <w:t>15</w:t>
        </w:r>
      </w:fldSimple>
      <w:bookmarkEnd w:id="57"/>
      <w:r>
        <w:t>: Study P018 number of subjects with protocol defined virologic failure (Weeks 0 to 48)</w:t>
      </w:r>
    </w:p>
    <w:p w14:paraId="64AFA132" w14:textId="7CBD9A81" w:rsidR="00D45C44" w:rsidRDefault="00D36E97" w:rsidP="00D36E97">
      <w:r>
        <w:rPr>
          <w:noProof/>
          <w:lang w:eastAsia="en-AU"/>
        </w:rPr>
        <w:drawing>
          <wp:inline distT="0" distB="0" distL="0" distR="0" wp14:anchorId="10DD3550" wp14:editId="31CF00A1">
            <wp:extent cx="5492494" cy="2200275"/>
            <wp:effectExtent l="0" t="0" r="0" b="0"/>
            <wp:docPr id="40" name="Picture 40" descr="Study P018 number of subjects with protocol defined virologic failure (Weeks 0 t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37" r="2418"/>
                    <a:stretch/>
                  </pic:blipFill>
                  <pic:spPr bwMode="auto">
                    <a:xfrm>
                      <a:off x="0" y="0"/>
                      <a:ext cx="5500813" cy="2203608"/>
                    </a:xfrm>
                    <a:prstGeom prst="rect">
                      <a:avLst/>
                    </a:prstGeom>
                    <a:ln>
                      <a:noFill/>
                    </a:ln>
                    <a:extLst>
                      <a:ext uri="{53640926-AAD7-44D8-BBD7-CCE9431645EC}">
                        <a14:shadowObscured xmlns:a14="http://schemas.microsoft.com/office/drawing/2010/main"/>
                      </a:ext>
                    </a:extLst>
                  </pic:spPr>
                </pic:pic>
              </a:graphicData>
            </a:graphic>
          </wp:inline>
        </w:drawing>
      </w:r>
    </w:p>
    <w:p w14:paraId="14BFE3D2" w14:textId="17F40342" w:rsidR="00BB6E2A" w:rsidRPr="00D768C3" w:rsidRDefault="00BB6E2A" w:rsidP="00D768C3">
      <w:pPr>
        <w:pStyle w:val="TableDescription"/>
        <w:rPr>
          <w:rFonts w:asciiTheme="minorHAnsi" w:hAnsiTheme="minorHAnsi"/>
        </w:rPr>
      </w:pPr>
      <w:r>
        <w:t xml:space="preserve">QD = once daily; Note: Truvada = emtricitabine + tenofovir disoprixil fumarate fixed dose combination; Epzicom/Kivexa are abacavir + </w:t>
      </w:r>
      <w:r w:rsidRPr="00BB6E2A">
        <w:t>lamivudine</w:t>
      </w:r>
      <w:r>
        <w:t xml:space="preserve"> fixed dose combinations.</w:t>
      </w:r>
    </w:p>
    <w:p w14:paraId="40C7ED21" w14:textId="5CA84309" w:rsidR="00D45C44" w:rsidRDefault="00D45C44" w:rsidP="008A3131">
      <w:r>
        <w:rPr>
          <w:i/>
        </w:rPr>
        <w:t>Virological F</w:t>
      </w:r>
      <w:r w:rsidRPr="003E7841">
        <w:rPr>
          <w:i/>
        </w:rPr>
        <w:t>ailure</w:t>
      </w:r>
      <w:r>
        <w:rPr>
          <w:i/>
        </w:rPr>
        <w:t>s</w:t>
      </w:r>
      <w:r w:rsidR="00D36E97">
        <w:t>: In S</w:t>
      </w:r>
      <w:r>
        <w:t xml:space="preserve">tudy P021, the </w:t>
      </w:r>
      <w:r w:rsidR="00D36E97">
        <w:t xml:space="preserve">PDVF rates were as follows in </w:t>
      </w:r>
      <w:r w:rsidR="00D36E97">
        <w:fldChar w:fldCharType="begin"/>
      </w:r>
      <w:r w:rsidR="00D36E97">
        <w:instrText xml:space="preserve"> REF _Ref31717496 \h </w:instrText>
      </w:r>
      <w:r w:rsidR="00D36E97">
        <w:fldChar w:fldCharType="separate"/>
      </w:r>
      <w:r w:rsidR="00423BD3">
        <w:t xml:space="preserve">Table </w:t>
      </w:r>
      <w:r w:rsidR="00423BD3">
        <w:rPr>
          <w:noProof/>
        </w:rPr>
        <w:t>16</w:t>
      </w:r>
      <w:r w:rsidR="00D36E97">
        <w:fldChar w:fldCharType="end"/>
      </w:r>
      <w:r w:rsidR="00D36E97">
        <w:t>.</w:t>
      </w:r>
    </w:p>
    <w:p w14:paraId="78B60BBC" w14:textId="2718599C" w:rsidR="00D36E97" w:rsidRDefault="00D36E97" w:rsidP="00D36E97">
      <w:pPr>
        <w:pStyle w:val="TableTitle"/>
      </w:pPr>
      <w:bookmarkStart w:id="58" w:name="_Ref31717496"/>
      <w:r>
        <w:t xml:space="preserve">Table </w:t>
      </w:r>
      <w:fldSimple w:instr=" SEQ Table \* ARABIC ">
        <w:r w:rsidR="000644BB">
          <w:rPr>
            <w:noProof/>
          </w:rPr>
          <w:t>16</w:t>
        </w:r>
      </w:fldSimple>
      <w:bookmarkEnd w:id="58"/>
      <w:r>
        <w:t>: Study P021 number of subjects with protocol defined virologic failure (Weeks 0 to 48)</w:t>
      </w:r>
    </w:p>
    <w:p w14:paraId="50E0EF64" w14:textId="51A1EF0F" w:rsidR="00D45C44" w:rsidRDefault="00D36E97" w:rsidP="00D36E97">
      <w:r>
        <w:rPr>
          <w:noProof/>
          <w:lang w:eastAsia="en-AU"/>
        </w:rPr>
        <w:drawing>
          <wp:inline distT="0" distB="0" distL="0" distR="0" wp14:anchorId="4C5CF1C2" wp14:editId="50D05820">
            <wp:extent cx="5457825" cy="2198805"/>
            <wp:effectExtent l="0" t="0" r="0" b="0"/>
            <wp:docPr id="41" name="Picture 41" descr="Study P021 number of subjects with protocol defined virologic failure (Weeks 0 t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59" r="2469"/>
                    <a:stretch/>
                  </pic:blipFill>
                  <pic:spPr bwMode="auto">
                    <a:xfrm>
                      <a:off x="0" y="0"/>
                      <a:ext cx="5456667" cy="2198338"/>
                    </a:xfrm>
                    <a:prstGeom prst="rect">
                      <a:avLst/>
                    </a:prstGeom>
                    <a:ln>
                      <a:noFill/>
                    </a:ln>
                    <a:extLst>
                      <a:ext uri="{53640926-AAD7-44D8-BBD7-CCE9431645EC}">
                        <a14:shadowObscured xmlns:a14="http://schemas.microsoft.com/office/drawing/2010/main"/>
                      </a:ext>
                    </a:extLst>
                  </pic:spPr>
                </pic:pic>
              </a:graphicData>
            </a:graphic>
          </wp:inline>
        </w:drawing>
      </w:r>
    </w:p>
    <w:p w14:paraId="2DD3E2E0" w14:textId="24FFFCC3" w:rsidR="00BB6E2A" w:rsidRPr="00D768C3" w:rsidRDefault="00BB6E2A" w:rsidP="00D768C3">
      <w:pPr>
        <w:pStyle w:val="TableDescription"/>
        <w:rPr>
          <w:rFonts w:asciiTheme="minorHAnsi" w:hAnsiTheme="minorHAnsi"/>
        </w:rPr>
      </w:pPr>
      <w:r>
        <w:t>QD = once daily; 3TC = lamivudine, DOR = doravirine,</w:t>
      </w:r>
      <w:r w:rsidRPr="00814C52">
        <w:t xml:space="preserve"> </w:t>
      </w:r>
      <w:r>
        <w:t xml:space="preserve">EFV = efavirenz, FTC = emtricitabine, TDF = </w:t>
      </w:r>
      <w:r w:rsidRPr="00F93636">
        <w:t>tenofovir disoproxil fumarate</w:t>
      </w:r>
      <w:r>
        <w:t>.</w:t>
      </w:r>
    </w:p>
    <w:p w14:paraId="604CB873" w14:textId="455B4A31" w:rsidR="00D45C44" w:rsidRDefault="00D45C44" w:rsidP="008A3131">
      <w:r w:rsidRPr="00D768C3">
        <w:rPr>
          <w:i/>
        </w:rPr>
        <w:t>Post-hoc</w:t>
      </w:r>
      <w:r>
        <w:t xml:space="preserve"> </w:t>
      </w:r>
      <w:r w:rsidR="00D36E97">
        <w:t>E-R analysis of data from S</w:t>
      </w:r>
      <w:r>
        <w:t>tudies P018 and P021, concluded as follows:</w:t>
      </w:r>
    </w:p>
    <w:p w14:paraId="7A4D0DE8" w14:textId="2EB2EA25" w:rsidR="00D45C44" w:rsidRPr="00A46E77" w:rsidRDefault="00D45C44" w:rsidP="008A3131">
      <w:pPr>
        <w:pStyle w:val="ListBullet"/>
      </w:pPr>
      <w:r>
        <w:t>In exploratory E-R</w:t>
      </w:r>
      <w:r w:rsidRPr="00A46E77">
        <w:t xml:space="preserve"> analyses for efficacy, relationships were generally flat over the range of exp</w:t>
      </w:r>
      <w:r>
        <w:t>osures achieved at the 100</w:t>
      </w:r>
      <w:r w:rsidR="00D36E97">
        <w:t xml:space="preserve"> </w:t>
      </w:r>
      <w:r>
        <w:t xml:space="preserve">mg daily </w:t>
      </w:r>
      <w:r w:rsidR="002E5F71">
        <w:t>doravirine</w:t>
      </w:r>
      <w:r w:rsidRPr="00A46E77">
        <w:t xml:space="preserve"> dose with a decrease in effic</w:t>
      </w:r>
      <w:r w:rsidR="00D36E97">
        <w:t>acy in subjects in the lowest tenth</w:t>
      </w:r>
      <w:r w:rsidRPr="00A46E77">
        <w:t xml:space="preserve"> percentile of exposures. A lower, less distinct response was evident in subjects with higher screening viral load.</w:t>
      </w:r>
    </w:p>
    <w:p w14:paraId="791B8054" w14:textId="10801371" w:rsidR="00D45C44" w:rsidRDefault="00D45C44" w:rsidP="00D36E97">
      <w:pPr>
        <w:pStyle w:val="ListBullet"/>
      </w:pPr>
      <w:r>
        <w:t xml:space="preserve">In </w:t>
      </w:r>
      <w:r w:rsidRPr="00A46E77">
        <w:t>exploratory E-R analyses for safety, there was n</w:t>
      </w:r>
      <w:r>
        <w:t xml:space="preserve">o association between </w:t>
      </w:r>
      <w:r w:rsidR="002E5F71">
        <w:t>doravirine</w:t>
      </w:r>
      <w:r w:rsidRPr="00A46E77">
        <w:t xml:space="preserve"> exposures and oc</w:t>
      </w:r>
      <w:r>
        <w:t>currence of neuropsychiatric adverse events</w:t>
      </w:r>
      <w:r w:rsidR="00D36E97">
        <w:t xml:space="preserve"> through W</w:t>
      </w:r>
      <w:r w:rsidRPr="00A46E77">
        <w:t xml:space="preserve">eek 48 or with </w:t>
      </w:r>
      <w:r w:rsidR="00D36E97">
        <w:t>l</w:t>
      </w:r>
      <w:r w:rsidR="00D36E97" w:rsidRPr="00D36E97">
        <w:t xml:space="preserve">ow-density lipoprotein </w:t>
      </w:r>
      <w:r w:rsidR="00D36E97">
        <w:t>cholesterol (</w:t>
      </w:r>
      <w:r w:rsidRPr="00A46E77">
        <w:t>LDL-C</w:t>
      </w:r>
      <w:r w:rsidR="00D36E97">
        <w:t>) at W</w:t>
      </w:r>
      <w:r w:rsidRPr="00A46E77">
        <w:t xml:space="preserve">eek 48. The small predicted increase in </w:t>
      </w:r>
      <w:r w:rsidR="00D36E97">
        <w:t>non-high</w:t>
      </w:r>
      <w:r w:rsidR="00D36E97" w:rsidRPr="00D36E97">
        <w:t xml:space="preserve">-density lipoprotein </w:t>
      </w:r>
      <w:r w:rsidR="00D36E97">
        <w:t>(</w:t>
      </w:r>
      <w:r>
        <w:t>HDL-C</w:t>
      </w:r>
      <w:r w:rsidR="00D36E97">
        <w:t>)</w:t>
      </w:r>
      <w:r>
        <w:t xml:space="preserve"> with increasing </w:t>
      </w:r>
      <w:r w:rsidR="002E5F71">
        <w:t>doravirine</w:t>
      </w:r>
      <w:r w:rsidRPr="00A46E77">
        <w:t xml:space="preserve"> exposures was deemed not clinically meaningful.</w:t>
      </w:r>
    </w:p>
    <w:p w14:paraId="2F170AE1" w14:textId="77777777" w:rsidR="00D45C44" w:rsidRPr="00D36E97" w:rsidRDefault="00D45C44" w:rsidP="00D36E97">
      <w:pPr>
        <w:pStyle w:val="Heading5"/>
      </w:pPr>
      <w:r w:rsidRPr="00D36E97">
        <w:t>Resistance development</w:t>
      </w:r>
    </w:p>
    <w:p w14:paraId="22093707" w14:textId="4EC15555" w:rsidR="00D45C44" w:rsidRPr="00D36E97" w:rsidRDefault="00D45C44" w:rsidP="00D36E97">
      <w:r w:rsidRPr="00D36E97">
        <w:t xml:space="preserve">Among </w:t>
      </w:r>
      <w:r w:rsidR="002E5F71" w:rsidRPr="00D36E97">
        <w:t>doravirine</w:t>
      </w:r>
      <w:r w:rsidRPr="00D36E97">
        <w:t>-treated patients in the 2 pivotal trials (n</w:t>
      </w:r>
      <w:r w:rsidR="00D36E97" w:rsidRPr="00D36E97">
        <w:t xml:space="preserve"> </w:t>
      </w:r>
      <w:r w:rsidRPr="00D36E97">
        <w:t>=</w:t>
      </w:r>
      <w:r w:rsidR="00D36E97" w:rsidRPr="00D36E97">
        <w:t xml:space="preserve"> </w:t>
      </w:r>
      <w:r w:rsidRPr="00D36E97">
        <w:t xml:space="preserve">747), 11 subjects showed </w:t>
      </w:r>
      <w:r w:rsidR="002E5F71" w:rsidRPr="00D36E97">
        <w:t>doravirine</w:t>
      </w:r>
      <w:r w:rsidRPr="00D36E97">
        <w:t>-associated treatment emergent resistance substitutions among the 28 subjects included in the resistance analysis (HIV-1 RNA</w:t>
      </w:r>
      <w:r w:rsidR="00D36E97">
        <w:t xml:space="preserve"> </w:t>
      </w:r>
      <w:r w:rsidRPr="00D36E97">
        <w:t>&gt;</w:t>
      </w:r>
      <w:r w:rsidR="00D36E97">
        <w:t xml:space="preserve"> </w:t>
      </w:r>
      <w:r w:rsidRPr="00D36E97">
        <w:t xml:space="preserve">400 copies/mL at virologic failure or </w:t>
      </w:r>
      <w:r w:rsidRPr="00D36E97">
        <w:lastRenderedPageBreak/>
        <w:t xml:space="preserve">early discontinuation and having resistance data). Seven of these 11 subjects had </w:t>
      </w:r>
      <w:r w:rsidR="002E5F71" w:rsidRPr="00D36E97">
        <w:t>doravirine</w:t>
      </w:r>
      <w:r w:rsidRPr="00D36E97">
        <w:t xml:space="preserve"> phenotypic resistance. The remaining 4 subjects had amino acid mixtures of NNRTI resistance substitutions. Of the 28 subjects in the resistance analysis, 8 subjects developed genotypic and/or phenotypic resistance to other antiretroviral drugs: </w:t>
      </w:r>
      <w:r w:rsidR="000538BD">
        <w:t>abacavir</w:t>
      </w:r>
      <w:r w:rsidRPr="00D36E97">
        <w:t xml:space="preserve">, </w:t>
      </w:r>
      <w:r w:rsidR="00382533" w:rsidRPr="00D36E97">
        <w:t>lamivudine</w:t>
      </w:r>
      <w:r w:rsidRPr="00D36E97">
        <w:t xml:space="preserve">, </w:t>
      </w:r>
      <w:r w:rsidR="000538BD">
        <w:t>emtricitabine</w:t>
      </w:r>
      <w:r w:rsidRPr="00D36E97">
        <w:t xml:space="preserve"> or </w:t>
      </w:r>
      <w:r w:rsidR="00382533" w:rsidRPr="00D36E97">
        <w:t>tenofovir disoproxil fumarate</w:t>
      </w:r>
      <w:r w:rsidRPr="00D36E97">
        <w:t>.</w:t>
      </w:r>
    </w:p>
    <w:p w14:paraId="5690C07D" w14:textId="499DF2A1" w:rsidR="00D45C44" w:rsidRPr="00D36E97" w:rsidRDefault="00D45C44" w:rsidP="00D36E97">
      <w:r w:rsidRPr="00D36E97">
        <w:t xml:space="preserve">In the </w:t>
      </w:r>
      <w:r w:rsidR="000538BD">
        <w:t>darunavir boosted with ritonavir</w:t>
      </w:r>
      <w:r w:rsidRPr="00D36E97">
        <w:t xml:space="preserve"> arm of </w:t>
      </w:r>
      <w:r w:rsidR="000538BD">
        <w:t xml:space="preserve">Study </w:t>
      </w:r>
      <w:r w:rsidRPr="00D36E97">
        <w:t>P018</w:t>
      </w:r>
      <w:r w:rsidR="000538BD">
        <w:t xml:space="preserve"> </w:t>
      </w:r>
      <w:r w:rsidRPr="00D36E97">
        <w:t>(n</w:t>
      </w:r>
      <w:r w:rsidR="000538BD">
        <w:t xml:space="preserve"> </w:t>
      </w:r>
      <w:r w:rsidRPr="00D36E97">
        <w:t>=</w:t>
      </w:r>
      <w:r w:rsidR="000538BD">
        <w:t xml:space="preserve"> </w:t>
      </w:r>
      <w:r w:rsidRPr="00D36E97">
        <w:t xml:space="preserve">383), no subjects showed emergence of </w:t>
      </w:r>
      <w:r w:rsidR="000538BD">
        <w:t>d</w:t>
      </w:r>
      <w:r w:rsidR="000538BD" w:rsidRPr="000538BD">
        <w:t>arunavir</w:t>
      </w:r>
      <w:r w:rsidR="000538BD">
        <w:noBreakHyphen/>
      </w:r>
      <w:r w:rsidRPr="00D36E97">
        <w:t xml:space="preserve">associated resistance substitutions among the 9 subjects with resistance data and none had emergent resistance to </w:t>
      </w:r>
      <w:r w:rsidR="00382533" w:rsidRPr="00D36E97">
        <w:t>lamivudine</w:t>
      </w:r>
      <w:r w:rsidRPr="00D36E97">
        <w:t xml:space="preserve"> or </w:t>
      </w:r>
      <w:r w:rsidR="00382533" w:rsidRPr="00D36E97">
        <w:t>tenofovir disoproxil fumarate</w:t>
      </w:r>
      <w:r w:rsidRPr="00D36E97">
        <w:t>.</w:t>
      </w:r>
    </w:p>
    <w:p w14:paraId="0A35570D" w14:textId="526D24D2" w:rsidR="00D45C44" w:rsidRPr="00D36E97" w:rsidRDefault="00D45C44" w:rsidP="00D36E97">
      <w:r w:rsidRPr="00D36E97">
        <w:t xml:space="preserve">In the </w:t>
      </w:r>
      <w:r w:rsidR="00AB1875" w:rsidRPr="00D36E97">
        <w:t>efavirenz</w:t>
      </w:r>
      <w:r w:rsidR="000538BD">
        <w:t xml:space="preserve"> arm of Study </w:t>
      </w:r>
      <w:r w:rsidRPr="00D36E97">
        <w:t>P021</w:t>
      </w:r>
      <w:r w:rsidR="000538BD">
        <w:t xml:space="preserve"> </w:t>
      </w:r>
      <w:r w:rsidRPr="00D36E97">
        <w:t>(n</w:t>
      </w:r>
      <w:r w:rsidR="000538BD">
        <w:t xml:space="preserve"> </w:t>
      </w:r>
      <w:r w:rsidRPr="00D36E97">
        <w:t>=</w:t>
      </w:r>
      <w:r w:rsidR="000538BD">
        <w:t xml:space="preserve"> </w:t>
      </w:r>
      <w:r w:rsidRPr="00D36E97">
        <w:t xml:space="preserve">364), 12 subjects showed emergence of </w:t>
      </w:r>
      <w:r w:rsidR="00AB1875" w:rsidRPr="00D36E97">
        <w:t>efavirenz</w:t>
      </w:r>
      <w:r w:rsidR="00423BD3">
        <w:noBreakHyphen/>
      </w:r>
      <w:r w:rsidRPr="00D36E97">
        <w:t xml:space="preserve">associated resistance substitutions among the 20 subjects in the resistance analysis and genotypic resistance to </w:t>
      </w:r>
      <w:r w:rsidR="000538BD">
        <w:t>e</w:t>
      </w:r>
      <w:r w:rsidR="000538BD" w:rsidRPr="000538BD">
        <w:t>mtricitabine</w:t>
      </w:r>
      <w:r w:rsidRPr="00D36E97">
        <w:t xml:space="preserve"> or </w:t>
      </w:r>
      <w:r w:rsidR="00382533" w:rsidRPr="00D36E97">
        <w:t>tenofovir disoproxil fumarate</w:t>
      </w:r>
      <w:r w:rsidRPr="00D36E97">
        <w:t xml:space="preserve"> developed in 5 evaluable subjects.</w:t>
      </w:r>
    </w:p>
    <w:p w14:paraId="3B5946D2" w14:textId="511F63C7" w:rsidR="00D45C44" w:rsidRPr="00D36E97" w:rsidRDefault="00D45C44" w:rsidP="00D36E97">
      <w:r w:rsidRPr="00D36E97">
        <w:t xml:space="preserve">Treatment emergent </w:t>
      </w:r>
      <w:r w:rsidR="002E5F71" w:rsidRPr="00D36E97">
        <w:t>doravirine</w:t>
      </w:r>
      <w:r w:rsidRPr="00D36E97">
        <w:t>-resistance associated</w:t>
      </w:r>
      <w:r w:rsidR="00423BD3">
        <w:t xml:space="preserve"> substitutions may confer cross </w:t>
      </w:r>
      <w:r w:rsidRPr="00D36E97">
        <w:t>resistance to NNRTIs efavirenz, rilpivirine, nevirapine, and etravirine.</w:t>
      </w:r>
    </w:p>
    <w:p w14:paraId="6AFEA97F" w14:textId="2D5EE5E4" w:rsidR="00D45C44" w:rsidRPr="00D36E97" w:rsidRDefault="00D45C44" w:rsidP="00D36E97">
      <w:r w:rsidRPr="00D36E97">
        <w:t>The sponsor is requested to provide updated summary of resistance development in its pre-ACM response.</w:t>
      </w:r>
      <w:r w:rsidR="000538BD">
        <w:rPr>
          <w:rStyle w:val="FootnoteReference"/>
        </w:rPr>
        <w:footnoteReference w:id="7"/>
      </w:r>
    </w:p>
    <w:p w14:paraId="46B96AB7" w14:textId="7E9544E1" w:rsidR="00D45C44" w:rsidRDefault="00D45C44" w:rsidP="002E5F71">
      <w:pPr>
        <w:pStyle w:val="Heading4"/>
      </w:pPr>
      <w:r>
        <w:t xml:space="preserve">Clinical </w:t>
      </w:r>
      <w:r w:rsidR="002E5F71">
        <w:t>s</w:t>
      </w:r>
      <w:r w:rsidRPr="003F08CF">
        <w:t>afety</w:t>
      </w:r>
    </w:p>
    <w:p w14:paraId="523FD8CE" w14:textId="07A1316F" w:rsidR="00D45C44" w:rsidRDefault="00D45C44" w:rsidP="008A3131">
      <w:r>
        <w:t xml:space="preserve">A total of 678 subjects received at least one dose of </w:t>
      </w:r>
      <w:r w:rsidR="002E5F71">
        <w:t>doravirine</w:t>
      </w:r>
      <w:r w:rsidR="000538BD">
        <w:t xml:space="preserve"> in Phase I</w:t>
      </w:r>
      <w:r>
        <w:t xml:space="preserve"> studies, and 979</w:t>
      </w:r>
      <w:r w:rsidR="00BB6E2A">
        <w:t> </w:t>
      </w:r>
      <w:r>
        <w:t xml:space="preserve">subjects received </w:t>
      </w:r>
      <w:r w:rsidR="002E5F71">
        <w:t>doravirine</w:t>
      </w:r>
      <w:r w:rsidR="000538BD">
        <w:t xml:space="preserve"> in Phase II and III</w:t>
      </w:r>
      <w:r>
        <w:t xml:space="preserve"> </w:t>
      </w:r>
      <w:r w:rsidR="000538BD">
        <w:t>studies: 232 patients in Phase II Study </w:t>
      </w:r>
      <w:r>
        <w:t>P007 (108 received 100</w:t>
      </w:r>
      <w:r w:rsidR="000538BD">
        <w:t xml:space="preserve"> </w:t>
      </w:r>
      <w:r>
        <w:t xml:space="preserve">mg daily </w:t>
      </w:r>
      <w:r w:rsidR="002E5F71">
        <w:t>doravirine</w:t>
      </w:r>
      <w:r>
        <w:t xml:space="preserve"> </w:t>
      </w:r>
      <w:r w:rsidRPr="00BE5F62">
        <w:t>f</w:t>
      </w:r>
      <w:r>
        <w:t>or up to 96 weeks), 383 patients</w:t>
      </w:r>
      <w:r w:rsidRPr="00BE5F62">
        <w:t xml:space="preserve"> in </w:t>
      </w:r>
      <w:r w:rsidR="000538BD">
        <w:t>Phase III</w:t>
      </w:r>
      <w:r w:rsidR="00423BD3">
        <w:t xml:space="preserve"> S</w:t>
      </w:r>
      <w:r>
        <w:t xml:space="preserve">tudy </w:t>
      </w:r>
      <w:r w:rsidRPr="00BE5F62">
        <w:t>P018</w:t>
      </w:r>
      <w:r>
        <w:t xml:space="preserve"> (all received 100</w:t>
      </w:r>
      <w:r w:rsidR="000538BD">
        <w:t xml:space="preserve"> </w:t>
      </w:r>
      <w:r>
        <w:t xml:space="preserve">mg </w:t>
      </w:r>
      <w:r w:rsidR="002E5F71">
        <w:t>doravirine</w:t>
      </w:r>
      <w:r>
        <w:t xml:space="preserve"> daily for up to 48 we</w:t>
      </w:r>
      <w:r w:rsidR="000538BD">
        <w:t>eks) and 364</w:t>
      </w:r>
      <w:r w:rsidR="00BB6E2A">
        <w:t> </w:t>
      </w:r>
      <w:r w:rsidR="000538BD">
        <w:t>patients in Phase III S</w:t>
      </w:r>
      <w:r>
        <w:t xml:space="preserve">tudy P021 (all received </w:t>
      </w:r>
      <w:r w:rsidR="002E5F71">
        <w:t>doravirine</w:t>
      </w:r>
      <w:r>
        <w:t>/</w:t>
      </w:r>
      <w:r w:rsidR="00382533">
        <w:t>lamivudine</w:t>
      </w:r>
      <w:r>
        <w:t>/</w:t>
      </w:r>
      <w:r w:rsidR="00382533">
        <w:t>tenofovir disoproxil fumarate</w:t>
      </w:r>
      <w:r>
        <w:t xml:space="preserve"> for up to 48 weeks).</w:t>
      </w:r>
    </w:p>
    <w:p w14:paraId="766D2702" w14:textId="7F93E9DB" w:rsidR="00D45C44" w:rsidRDefault="000538BD" w:rsidP="008A3131">
      <w:r>
        <w:t xml:space="preserve">The </w:t>
      </w:r>
      <w:r w:rsidR="00D45C44">
        <w:t>Main Safety Pool (M</w:t>
      </w:r>
      <w:r>
        <w:t>SP) comprised of patients from Studies P018 and</w:t>
      </w:r>
      <w:r w:rsidR="00D45C44">
        <w:t xml:space="preserve"> P021</w:t>
      </w:r>
      <w:r>
        <w:t>,</w:t>
      </w:r>
      <w:r w:rsidR="00D45C44">
        <w:t xml:space="preserve"> and the </w:t>
      </w:r>
      <w:r w:rsidR="002E5F71">
        <w:t>doravirine</w:t>
      </w:r>
      <w:r w:rsidR="00D45C44">
        <w:t xml:space="preserve"> 100</w:t>
      </w:r>
      <w:r>
        <w:t xml:space="preserve"> </w:t>
      </w:r>
      <w:r w:rsidR="00D45C44">
        <w:t xml:space="preserve">mg patients from </w:t>
      </w:r>
      <w:r>
        <w:t>S</w:t>
      </w:r>
      <w:r w:rsidR="00D45C44">
        <w:t xml:space="preserve">tudy P007. In </w:t>
      </w:r>
      <w:r>
        <w:t xml:space="preserve">the </w:t>
      </w:r>
      <w:r w:rsidR="00D45C44">
        <w:t xml:space="preserve">MSP, a total of 82.0%, 78.3% and 90.5% patients experienced at least one adverse event (AE) in the combined </w:t>
      </w:r>
      <w:r w:rsidR="002E5F71">
        <w:t>doravirine</w:t>
      </w:r>
      <w:r w:rsidR="00D45C44">
        <w:t xml:space="preserve"> group, </w:t>
      </w:r>
      <w:r>
        <w:t xml:space="preserve">darunavir boosted with ritonavir </w:t>
      </w:r>
      <w:r w:rsidR="00D45C44">
        <w:t xml:space="preserve">group and </w:t>
      </w:r>
      <w:r w:rsidR="00AB1875">
        <w:t>efavirenz</w:t>
      </w:r>
      <w:r w:rsidR="00D45C44">
        <w:t xml:space="preserve"> group respectively. An overall summary of </w:t>
      </w:r>
      <w:r>
        <w:t xml:space="preserve">adverse outcomes was as follows in </w:t>
      </w:r>
      <w:r>
        <w:fldChar w:fldCharType="begin"/>
      </w:r>
      <w:r>
        <w:instrText xml:space="preserve"> REF _Ref31718333 \h </w:instrText>
      </w:r>
      <w:r>
        <w:fldChar w:fldCharType="separate"/>
      </w:r>
      <w:r w:rsidR="00423BD3">
        <w:t xml:space="preserve">Table </w:t>
      </w:r>
      <w:r w:rsidR="00423BD3">
        <w:rPr>
          <w:noProof/>
        </w:rPr>
        <w:t>17</w:t>
      </w:r>
      <w:r>
        <w:fldChar w:fldCharType="end"/>
      </w:r>
      <w:r>
        <w:t>.</w:t>
      </w:r>
    </w:p>
    <w:p w14:paraId="1A3ADDA5" w14:textId="0663E1E4" w:rsidR="000538BD" w:rsidRDefault="000538BD" w:rsidP="000538BD">
      <w:pPr>
        <w:pStyle w:val="TableTitle"/>
      </w:pPr>
      <w:bookmarkStart w:id="59" w:name="_Ref31718333"/>
      <w:r>
        <w:lastRenderedPageBreak/>
        <w:t xml:space="preserve">Table </w:t>
      </w:r>
      <w:fldSimple w:instr=" SEQ Table \* ARABIC ">
        <w:r w:rsidR="000644BB">
          <w:rPr>
            <w:noProof/>
          </w:rPr>
          <w:t>17</w:t>
        </w:r>
      </w:fldSimple>
      <w:bookmarkEnd w:id="59"/>
      <w:r>
        <w:t xml:space="preserve">: Main safety pool, </w:t>
      </w:r>
      <w:r w:rsidR="00423BD3">
        <w:t>Study P007 (doravirine 100 mg once daily</w:t>
      </w:r>
      <w:r>
        <w:t xml:space="preserve"> group) and Studies P018 and P021 combined, Weeks 0 to 48</w:t>
      </w:r>
    </w:p>
    <w:p w14:paraId="547E5F34" w14:textId="3685A9D4" w:rsidR="00D45C44" w:rsidRDefault="000538BD" w:rsidP="008A3131">
      <w:pPr>
        <w:rPr>
          <w:rFonts w:asciiTheme="minorHAnsi" w:hAnsiTheme="minorHAnsi"/>
        </w:rPr>
      </w:pPr>
      <w:r>
        <w:rPr>
          <w:noProof/>
          <w:lang w:eastAsia="en-AU"/>
        </w:rPr>
        <w:drawing>
          <wp:inline distT="0" distB="0" distL="0" distR="0" wp14:anchorId="40D0F59E" wp14:editId="48F5CA12">
            <wp:extent cx="5400040" cy="3293110"/>
            <wp:effectExtent l="0" t="0" r="0" b="2540"/>
            <wp:docPr id="42" name="Picture 42" descr="Main safety pool, Study P007 (doravirine 100 mg once daily group) and Studies P018 and P021 combined, Weeks 0 t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293110"/>
                    </a:xfrm>
                    <a:prstGeom prst="rect">
                      <a:avLst/>
                    </a:prstGeom>
                  </pic:spPr>
                </pic:pic>
              </a:graphicData>
            </a:graphic>
          </wp:inline>
        </w:drawing>
      </w:r>
    </w:p>
    <w:p w14:paraId="7819F934" w14:textId="0F03DAC2" w:rsidR="00BB6E2A" w:rsidRDefault="00BB6E2A" w:rsidP="00D768C3">
      <w:pPr>
        <w:pStyle w:val="TableDescription"/>
        <w:rPr>
          <w:rFonts w:asciiTheme="minorHAnsi" w:hAnsiTheme="minorHAnsi"/>
        </w:rPr>
      </w:pPr>
      <w:r>
        <w:t>3TC = lamivudine, ABC = abacavir, DOR = doravirine,</w:t>
      </w:r>
      <w:r w:rsidRPr="00814C52">
        <w:t xml:space="preserve"> </w:t>
      </w:r>
      <w:r>
        <w:t xml:space="preserve">DRV+r = ritonavir boosted </w:t>
      </w:r>
      <w:r w:rsidRPr="00F93636">
        <w:t>darunavir</w:t>
      </w:r>
      <w:r>
        <w:t xml:space="preserve">, EFV = efavirenz, FTC = emtricitabine, TDF = </w:t>
      </w:r>
      <w:r w:rsidRPr="00F93636">
        <w:t>tenofovir disoproxil fumarate</w:t>
      </w:r>
      <w:r>
        <w:t>.</w:t>
      </w:r>
    </w:p>
    <w:p w14:paraId="0F1721E3" w14:textId="3D7534F4" w:rsidR="00D45C44" w:rsidRDefault="00D45C44" w:rsidP="008A3131">
      <w:r>
        <w:t xml:space="preserve">Three deaths (one in </w:t>
      </w:r>
      <w:r w:rsidR="002E5F71">
        <w:t>doravirine</w:t>
      </w:r>
      <w:r w:rsidR="000538BD">
        <w:t xml:space="preserve"> group in S</w:t>
      </w:r>
      <w:r>
        <w:t xml:space="preserve">tudy P018 and 2 in </w:t>
      </w:r>
      <w:r w:rsidR="00AB1875">
        <w:t>efavirenz</w:t>
      </w:r>
      <w:r w:rsidR="000538BD">
        <w:t xml:space="preserve"> group in S</w:t>
      </w:r>
      <w:r w:rsidR="00423BD3">
        <w:t>tudy </w:t>
      </w:r>
      <w:r>
        <w:t xml:space="preserve">P021) were reported in </w:t>
      </w:r>
      <w:r w:rsidR="00BB6E2A">
        <w:t xml:space="preserve">the </w:t>
      </w:r>
      <w:r>
        <w:t>MSP by Week 48. These</w:t>
      </w:r>
      <w:r w:rsidR="00423BD3">
        <w:t xml:space="preserve"> were not considered study drug</w:t>
      </w:r>
      <w:r w:rsidR="00423BD3">
        <w:noBreakHyphen/>
      </w:r>
      <w:r>
        <w:t>related by the investigators. Two mo</w:t>
      </w:r>
      <w:r w:rsidR="00676723">
        <w:t>re deaths (both in S</w:t>
      </w:r>
      <w:r w:rsidR="000538BD">
        <w:t xml:space="preserve">tudy P021; </w:t>
      </w:r>
      <w:r>
        <w:t xml:space="preserve">one each in </w:t>
      </w:r>
      <w:r w:rsidR="002E5F71">
        <w:t>doravirine</w:t>
      </w:r>
      <w:r>
        <w:t xml:space="preserve"> and </w:t>
      </w:r>
      <w:r w:rsidR="00AB1875">
        <w:t>efavirenz</w:t>
      </w:r>
      <w:r>
        <w:t xml:space="preserve"> groups) were reported post-study and were also not considered study drug-related.</w:t>
      </w:r>
    </w:p>
    <w:p w14:paraId="057BCCB2" w14:textId="19741789" w:rsidR="00D45C44" w:rsidRDefault="00D45C44" w:rsidP="008A3131">
      <w:r>
        <w:t xml:space="preserve">In </w:t>
      </w:r>
      <w:r w:rsidR="000538BD">
        <w:t xml:space="preserve">the </w:t>
      </w:r>
      <w:r>
        <w:t xml:space="preserve">MSP, the incidence of neuropsychiatric AEs was similar for </w:t>
      </w:r>
      <w:r w:rsidR="002E5F71">
        <w:t>doravirine</w:t>
      </w:r>
      <w:r>
        <w:t xml:space="preserve"> and </w:t>
      </w:r>
      <w:r w:rsidR="000538BD">
        <w:t>darunavir boosted with ritonavir</w:t>
      </w:r>
      <w:r>
        <w:t xml:space="preserve"> groups but higher in </w:t>
      </w:r>
      <w:r w:rsidR="00AB1875">
        <w:t>efavirenz</w:t>
      </w:r>
      <w:r w:rsidR="000538BD">
        <w:t xml:space="preserve"> group. The incidence of r</w:t>
      </w:r>
      <w:r>
        <w:t xml:space="preserve">ash was 3.0%, 1.6% and 11% in </w:t>
      </w:r>
      <w:r w:rsidR="002E5F71">
        <w:t>doravirine</w:t>
      </w:r>
      <w:r>
        <w:t xml:space="preserve"> combined, </w:t>
      </w:r>
      <w:r w:rsidR="000538BD">
        <w:t>darunavir boosted with ritonavir</w:t>
      </w:r>
      <w:r>
        <w:t xml:space="preserve"> and </w:t>
      </w:r>
      <w:r w:rsidR="00AB1875">
        <w:t>efavirenz</w:t>
      </w:r>
      <w:r>
        <w:t xml:space="preserve"> groups respectively. In </w:t>
      </w:r>
      <w:r w:rsidR="000538BD">
        <w:t xml:space="preserve">the </w:t>
      </w:r>
      <w:r>
        <w:t>MSP, the commonly occurring AEs with incidence of at least 5% i</w:t>
      </w:r>
      <w:r w:rsidR="000538BD">
        <w:t xml:space="preserve">n any treatment were as follows in </w:t>
      </w:r>
      <w:r w:rsidR="00676723">
        <w:fldChar w:fldCharType="begin"/>
      </w:r>
      <w:r w:rsidR="00676723">
        <w:instrText xml:space="preserve"> REF _Ref31718476 \h </w:instrText>
      </w:r>
      <w:r w:rsidR="00676723">
        <w:fldChar w:fldCharType="separate"/>
      </w:r>
      <w:r w:rsidR="00423BD3">
        <w:t xml:space="preserve">Table </w:t>
      </w:r>
      <w:r w:rsidR="00423BD3">
        <w:rPr>
          <w:noProof/>
        </w:rPr>
        <w:t>18</w:t>
      </w:r>
      <w:r w:rsidR="00676723">
        <w:fldChar w:fldCharType="end"/>
      </w:r>
      <w:r w:rsidR="00676723">
        <w:t>.</w:t>
      </w:r>
    </w:p>
    <w:p w14:paraId="1DBBE0D2" w14:textId="17129703" w:rsidR="000538BD" w:rsidRDefault="00676723" w:rsidP="00676723">
      <w:pPr>
        <w:pStyle w:val="TableTitle"/>
      </w:pPr>
      <w:bookmarkStart w:id="60" w:name="_Ref31718476"/>
      <w:r>
        <w:lastRenderedPageBreak/>
        <w:t xml:space="preserve">Table </w:t>
      </w:r>
      <w:fldSimple w:instr=" SEQ Table \* ARABIC ">
        <w:r w:rsidR="000644BB">
          <w:rPr>
            <w:noProof/>
          </w:rPr>
          <w:t>18</w:t>
        </w:r>
      </w:fldSimple>
      <w:bookmarkEnd w:id="60"/>
      <w:r>
        <w:t xml:space="preserve">: </w:t>
      </w:r>
      <w:r w:rsidR="000538BD">
        <w:t>Subjects with adverse events (incidence ≥ 5% in one or more treatment groups, Main Safety Pool</w:t>
      </w:r>
      <w:r>
        <w:t xml:space="preserve">, </w:t>
      </w:r>
      <w:r w:rsidR="00423BD3">
        <w:t>Study P007 (doravirine 100 mg once daily</w:t>
      </w:r>
      <w:r>
        <w:t xml:space="preserve"> group) and Studies P018 and P021 combined, Weeks 0 to 48</w:t>
      </w:r>
    </w:p>
    <w:p w14:paraId="79688A39" w14:textId="475E45B4" w:rsidR="00D45C44" w:rsidRDefault="00676723" w:rsidP="008A3131">
      <w:r>
        <w:rPr>
          <w:noProof/>
          <w:lang w:eastAsia="en-AU"/>
        </w:rPr>
        <w:drawing>
          <wp:inline distT="0" distB="0" distL="0" distR="0" wp14:anchorId="06A4D399" wp14:editId="2728F382">
            <wp:extent cx="5400040" cy="5018405"/>
            <wp:effectExtent l="0" t="0" r="0" b="0"/>
            <wp:docPr id="43" name="Picture 43" descr="Subjects with adverse events (incidence ≥ 5% in one or more treatment groups, Main Safety Pool, Study P007 (doravirine 100 mg once daily group) and Studies P018 and P021 combined, Weeks 0 t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5018405"/>
                    </a:xfrm>
                    <a:prstGeom prst="rect">
                      <a:avLst/>
                    </a:prstGeom>
                  </pic:spPr>
                </pic:pic>
              </a:graphicData>
            </a:graphic>
          </wp:inline>
        </w:drawing>
      </w:r>
    </w:p>
    <w:p w14:paraId="1025A46C" w14:textId="7E72AFB2" w:rsidR="00BB6E2A" w:rsidRPr="00D768C3" w:rsidRDefault="00BB6E2A" w:rsidP="00D768C3">
      <w:pPr>
        <w:pStyle w:val="TableDescription"/>
        <w:rPr>
          <w:rFonts w:asciiTheme="minorHAnsi" w:hAnsiTheme="minorHAnsi"/>
        </w:rPr>
      </w:pPr>
      <w:r>
        <w:t>DOR = doravirine,</w:t>
      </w:r>
      <w:r w:rsidRPr="00814C52">
        <w:t xml:space="preserve"> </w:t>
      </w:r>
      <w:r>
        <w:t xml:space="preserve">DRV+r = ritonavir boosted </w:t>
      </w:r>
      <w:r w:rsidRPr="00F93636">
        <w:t>darunavir</w:t>
      </w:r>
      <w:r>
        <w:t>, EFV = efavirenz.</w:t>
      </w:r>
    </w:p>
    <w:p w14:paraId="3A8BAA70" w14:textId="2FA95983" w:rsidR="00D45C44" w:rsidRDefault="00D45C44" w:rsidP="00676723">
      <w:r>
        <w:t xml:space="preserve">Neuropsychiatric disorders were of special interest particularly in comparison with </w:t>
      </w:r>
      <w:r w:rsidR="00AB1875">
        <w:t>efavirenz</w:t>
      </w:r>
      <w:r>
        <w:t xml:space="preserve">. The incidence by Week 48 was also assessed in the Special Safety Pool (SSP) comprised of the </w:t>
      </w:r>
      <w:r w:rsidR="002E5F71">
        <w:t>doravirine</w:t>
      </w:r>
      <w:r w:rsidR="00676723">
        <w:t xml:space="preserve"> </w:t>
      </w:r>
      <w:r>
        <w:t>100</w:t>
      </w:r>
      <w:r w:rsidR="00676723">
        <w:t xml:space="preserve"> mg patients from S</w:t>
      </w:r>
      <w:r>
        <w:t xml:space="preserve">tudy P007 and </w:t>
      </w:r>
      <w:r w:rsidR="002E5F71">
        <w:t>doravirine</w:t>
      </w:r>
      <w:r w:rsidR="00676723">
        <w:t xml:space="preserve"> patients from Study P021 as follows in </w:t>
      </w:r>
      <w:r w:rsidR="00676723">
        <w:fldChar w:fldCharType="begin"/>
      </w:r>
      <w:r w:rsidR="00676723">
        <w:instrText xml:space="preserve"> REF _Ref31718824 \h </w:instrText>
      </w:r>
      <w:r w:rsidR="00676723">
        <w:fldChar w:fldCharType="separate"/>
      </w:r>
      <w:r w:rsidR="006F3FD1">
        <w:t xml:space="preserve">Table </w:t>
      </w:r>
      <w:r w:rsidR="006F3FD1">
        <w:rPr>
          <w:noProof/>
        </w:rPr>
        <w:t>19</w:t>
      </w:r>
      <w:r w:rsidR="00676723">
        <w:fldChar w:fldCharType="end"/>
      </w:r>
      <w:r w:rsidR="00676723">
        <w:t>.</w:t>
      </w:r>
    </w:p>
    <w:p w14:paraId="1F81A5BE" w14:textId="71438381" w:rsidR="00676723" w:rsidRDefault="00676723" w:rsidP="00676723">
      <w:pPr>
        <w:pStyle w:val="TableTitle"/>
      </w:pPr>
      <w:bookmarkStart w:id="61" w:name="_Ref31718824"/>
      <w:r>
        <w:lastRenderedPageBreak/>
        <w:t xml:space="preserve">Table </w:t>
      </w:r>
      <w:fldSimple w:instr=" SEQ Table \* ARABIC ">
        <w:r w:rsidR="000644BB">
          <w:rPr>
            <w:noProof/>
          </w:rPr>
          <w:t>19</w:t>
        </w:r>
      </w:fldSimple>
      <w:bookmarkEnd w:id="61"/>
      <w:r>
        <w:t xml:space="preserve">: Analysis of subjects with neuropsychiatric adverse events by Week 48, Special Safety Population, </w:t>
      </w:r>
      <w:r w:rsidR="006F3FD1">
        <w:t>Study P007 (doravirine 100 mg once daily</w:t>
      </w:r>
      <w:r>
        <w:t xml:space="preserve"> group) and Studies P018 and P021 combined</w:t>
      </w:r>
    </w:p>
    <w:p w14:paraId="1B165CBD" w14:textId="346B01F5" w:rsidR="00D45C44" w:rsidRDefault="00676723" w:rsidP="008A3131">
      <w:r>
        <w:rPr>
          <w:noProof/>
          <w:lang w:eastAsia="en-AU"/>
        </w:rPr>
        <w:drawing>
          <wp:inline distT="0" distB="0" distL="0" distR="0" wp14:anchorId="0836E65B" wp14:editId="65875CAB">
            <wp:extent cx="5400040" cy="3395345"/>
            <wp:effectExtent l="0" t="0" r="0" b="0"/>
            <wp:docPr id="44" name="Picture 44" descr="Analysis of subjects with neuropsychiatric adverse events by Week 48, Special Safety Population, Study P007 (doravirine 100 mg once daily group) and Studies P018 and P021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395345"/>
                    </a:xfrm>
                    <a:prstGeom prst="rect">
                      <a:avLst/>
                    </a:prstGeom>
                  </pic:spPr>
                </pic:pic>
              </a:graphicData>
            </a:graphic>
          </wp:inline>
        </w:drawing>
      </w:r>
    </w:p>
    <w:p w14:paraId="3C732FD7" w14:textId="71499197" w:rsidR="009D5417" w:rsidRPr="00D768C3" w:rsidRDefault="009D5417" w:rsidP="00D768C3">
      <w:pPr>
        <w:pStyle w:val="TableDescription"/>
        <w:rPr>
          <w:rFonts w:asciiTheme="minorHAnsi" w:hAnsiTheme="minorHAnsi"/>
        </w:rPr>
      </w:pPr>
      <w:r>
        <w:t>DOR = doravirine,</w:t>
      </w:r>
      <w:r w:rsidRPr="00814C52">
        <w:t xml:space="preserve"> </w:t>
      </w:r>
      <w:r>
        <w:t xml:space="preserve">DRV+r = ritonavir boosted </w:t>
      </w:r>
      <w:r w:rsidRPr="00F93636">
        <w:t>darunavir</w:t>
      </w:r>
      <w:r>
        <w:t>, EFV = efavirenz, FTC = emtricitabine, TDF = </w:t>
      </w:r>
      <w:r w:rsidRPr="00F93636">
        <w:t>tenofovir disoproxil fumarate</w:t>
      </w:r>
      <w:r>
        <w:t>.</w:t>
      </w:r>
    </w:p>
    <w:p w14:paraId="43F06E2A" w14:textId="31B17D2F" w:rsidR="00D45C44" w:rsidRDefault="00D45C44" w:rsidP="008A3131">
      <w:r>
        <w:t xml:space="preserve">The neuropsychiatric outcomes at Week 8 were similar to the outcomes at Week 48 in the SSP. Three subjects in the </w:t>
      </w:r>
      <w:r w:rsidR="002E5F71">
        <w:t>doravirine</w:t>
      </w:r>
      <w:r>
        <w:t>/</w:t>
      </w:r>
      <w:r w:rsidR="00382533">
        <w:t>lamivudine</w:t>
      </w:r>
      <w:r>
        <w:t>/</w:t>
      </w:r>
      <w:r w:rsidR="00382533">
        <w:t>tenofovir disoproxil fumarate</w:t>
      </w:r>
      <w:r>
        <w:t xml:space="preserve"> group compared with 6 subjects in </w:t>
      </w:r>
      <w:r w:rsidR="00AB1875">
        <w:t>efavirenz</w:t>
      </w:r>
      <w:r>
        <w:t>/</w:t>
      </w:r>
      <w:r w:rsidR="00676723">
        <w:t>emtricitabine</w:t>
      </w:r>
      <w:r>
        <w:t>/</w:t>
      </w:r>
      <w:r w:rsidR="00382533">
        <w:t>tenofovir disoproxil fumarate</w:t>
      </w:r>
      <w:r w:rsidRPr="00426B35">
        <w:t xml:space="preserve"> group</w:t>
      </w:r>
      <w:r>
        <w:t xml:space="preserve"> discontinued study drug due to </w:t>
      </w:r>
      <w:r w:rsidRPr="00426B35">
        <w:t>neuropsychiatric events.</w:t>
      </w:r>
    </w:p>
    <w:p w14:paraId="1925D6BA" w14:textId="669C1B7B" w:rsidR="00676723" w:rsidRDefault="00D45C44" w:rsidP="008A3131">
      <w:r>
        <w:t xml:space="preserve">In </w:t>
      </w:r>
      <w:r w:rsidR="00676723">
        <w:t xml:space="preserve">the </w:t>
      </w:r>
      <w:r>
        <w:t xml:space="preserve">MSP, a total of 4.6%, 6.0% and 6.4% patients experienced SAE in the </w:t>
      </w:r>
      <w:r w:rsidR="002E5F71">
        <w:t>doravirine</w:t>
      </w:r>
      <w:r>
        <w:t xml:space="preserve"> combined, </w:t>
      </w:r>
      <w:r w:rsidR="00676723">
        <w:t xml:space="preserve">darunavir boosted with ritonavir </w:t>
      </w:r>
      <w:r>
        <w:t xml:space="preserve">and </w:t>
      </w:r>
      <w:r w:rsidR="00AB1875">
        <w:t>efavirenz</w:t>
      </w:r>
      <w:r>
        <w:t xml:space="preserve"> groups respectively. A</w:t>
      </w:r>
      <w:r w:rsidR="007020C5">
        <w:t xml:space="preserve"> summary of </w:t>
      </w:r>
      <w:r w:rsidR="009D5417">
        <w:t>serious adverse events (</w:t>
      </w:r>
      <w:r w:rsidR="007020C5">
        <w:t>SAEs</w:t>
      </w:r>
      <w:r w:rsidR="009D5417">
        <w:t>)</w:t>
      </w:r>
      <w:r w:rsidR="007020C5">
        <w:t xml:space="preserve"> was as follows in </w:t>
      </w:r>
      <w:r w:rsidR="007020C5">
        <w:fldChar w:fldCharType="begin"/>
      </w:r>
      <w:r w:rsidR="007020C5">
        <w:instrText xml:space="preserve"> REF _Ref31719059 \h </w:instrText>
      </w:r>
      <w:r w:rsidR="007020C5">
        <w:fldChar w:fldCharType="separate"/>
      </w:r>
      <w:r w:rsidR="006F3FD1">
        <w:t xml:space="preserve">Table </w:t>
      </w:r>
      <w:r w:rsidR="006F3FD1">
        <w:rPr>
          <w:noProof/>
        </w:rPr>
        <w:t>20</w:t>
      </w:r>
      <w:r w:rsidR="007020C5">
        <w:fldChar w:fldCharType="end"/>
      </w:r>
      <w:r w:rsidR="007020C5">
        <w:t>.</w:t>
      </w:r>
    </w:p>
    <w:p w14:paraId="4AB5150A" w14:textId="5F4BEFC5" w:rsidR="00676723" w:rsidRDefault="00676723" w:rsidP="007020C5">
      <w:pPr>
        <w:pStyle w:val="TableTitle"/>
      </w:pPr>
      <w:bookmarkStart w:id="62" w:name="_Ref31719059"/>
      <w:r>
        <w:lastRenderedPageBreak/>
        <w:t xml:space="preserve">Table </w:t>
      </w:r>
      <w:fldSimple w:instr=" SEQ Table \* ARABIC ">
        <w:r w:rsidR="000644BB">
          <w:rPr>
            <w:noProof/>
          </w:rPr>
          <w:t>20</w:t>
        </w:r>
      </w:fldSimple>
      <w:bookmarkEnd w:id="62"/>
      <w:r>
        <w:t xml:space="preserve">: Serious adverse events by </w:t>
      </w:r>
      <w:r w:rsidR="007E54E8">
        <w:t xml:space="preserve">System </w:t>
      </w:r>
      <w:r>
        <w:t xml:space="preserve">Organ </w:t>
      </w:r>
      <w:r w:rsidR="007E54E8">
        <w:t xml:space="preserve">Class </w:t>
      </w:r>
      <w:r>
        <w:t>and selection serious adverse events (0 to 48 weeks), Main Safety Pool (Studies P018, P021, doravirine 100 mg Study P007)</w:t>
      </w:r>
    </w:p>
    <w:p w14:paraId="65DAB336" w14:textId="472FADE4" w:rsidR="007020C5" w:rsidRDefault="007020C5" w:rsidP="008A3131">
      <w:r>
        <w:rPr>
          <w:noProof/>
          <w:lang w:eastAsia="en-AU"/>
        </w:rPr>
        <w:drawing>
          <wp:inline distT="0" distB="0" distL="0" distR="0" wp14:anchorId="0B2ECCF6" wp14:editId="7E0EF7DB">
            <wp:extent cx="4908499" cy="7500699"/>
            <wp:effectExtent l="0" t="0" r="6985" b="5080"/>
            <wp:docPr id="45" name="Picture 45" descr="Serious adverse events by System Organ Class and selection serious adverse events (0 to 48 weeks), Main Safety Pool (Studies P018, P021, doravirine 100 mg Study P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10620" cy="7503940"/>
                    </a:xfrm>
                    <a:prstGeom prst="rect">
                      <a:avLst/>
                    </a:prstGeom>
                  </pic:spPr>
                </pic:pic>
              </a:graphicData>
            </a:graphic>
          </wp:inline>
        </w:drawing>
      </w:r>
    </w:p>
    <w:p w14:paraId="1420FBB8" w14:textId="3CD5046B" w:rsidR="00D45C44" w:rsidRDefault="00D45C44" w:rsidP="008A3131">
      <w:r>
        <w:t xml:space="preserve">In </w:t>
      </w:r>
      <w:r w:rsidR="007020C5">
        <w:t xml:space="preserve">the MSP, analysis of all Preferred </w:t>
      </w:r>
      <w:r>
        <w:t>Terms r</w:t>
      </w:r>
      <w:r w:rsidR="007020C5">
        <w:t xml:space="preserve">elated to ‘Rash’ was as follows in </w:t>
      </w:r>
      <w:r w:rsidR="007020C5">
        <w:fldChar w:fldCharType="begin"/>
      </w:r>
      <w:r w:rsidR="007020C5">
        <w:instrText xml:space="preserve"> REF _Ref31719204 \h </w:instrText>
      </w:r>
      <w:r w:rsidR="007020C5">
        <w:fldChar w:fldCharType="separate"/>
      </w:r>
      <w:r w:rsidR="006F3FD1">
        <w:t xml:space="preserve">Table </w:t>
      </w:r>
      <w:r w:rsidR="006F3FD1">
        <w:rPr>
          <w:noProof/>
        </w:rPr>
        <w:t>21</w:t>
      </w:r>
      <w:r w:rsidR="007020C5">
        <w:fldChar w:fldCharType="end"/>
      </w:r>
      <w:r w:rsidR="007020C5">
        <w:t>.</w:t>
      </w:r>
    </w:p>
    <w:p w14:paraId="5629FC40" w14:textId="1E264D2D" w:rsidR="007020C5" w:rsidRPr="00E57309" w:rsidRDefault="007020C5" w:rsidP="007020C5">
      <w:pPr>
        <w:pStyle w:val="TableTitle"/>
      </w:pPr>
      <w:bookmarkStart w:id="63" w:name="_Ref31719204"/>
      <w:r>
        <w:lastRenderedPageBreak/>
        <w:t xml:space="preserve">Table </w:t>
      </w:r>
      <w:fldSimple w:instr=" SEQ Table \* ARABIC ">
        <w:r w:rsidR="000644BB">
          <w:rPr>
            <w:noProof/>
          </w:rPr>
          <w:t>21</w:t>
        </w:r>
      </w:fldSimple>
      <w:bookmarkEnd w:id="63"/>
      <w:r>
        <w:t xml:space="preserve">: Subjects with </w:t>
      </w:r>
      <w:r w:rsidR="009D5417">
        <w:t xml:space="preserve">Preferred Term </w:t>
      </w:r>
      <w:r>
        <w:t>adverse events</w:t>
      </w:r>
      <w:r w:rsidR="009D5417">
        <w:t xml:space="preserve"> of</w:t>
      </w:r>
      <w:r>
        <w:t xml:space="preserve"> </w:t>
      </w:r>
      <w:r w:rsidR="009D5417">
        <w:t>‘</w:t>
      </w:r>
      <w:r>
        <w:t>Rash</w:t>
      </w:r>
      <w:r w:rsidR="009D5417">
        <w:t>’;</w:t>
      </w:r>
      <w:r>
        <w:t xml:space="preserve"> Weeks 0 to 48 (incidence &gt; 0% in one or more treatment groups), Main Safety Pool, Study P007 (doravirine 100 mg once daily group) and Studies P018 and P021 combined</w:t>
      </w:r>
    </w:p>
    <w:p w14:paraId="5065795D" w14:textId="23AA2316" w:rsidR="00D45C44" w:rsidRDefault="007020C5" w:rsidP="008A3131">
      <w:r>
        <w:rPr>
          <w:noProof/>
          <w:lang w:eastAsia="en-AU"/>
        </w:rPr>
        <w:drawing>
          <wp:inline distT="0" distB="0" distL="0" distR="0" wp14:anchorId="5110CCCC" wp14:editId="06ACAD92">
            <wp:extent cx="5186476" cy="3933769"/>
            <wp:effectExtent l="0" t="0" r="0" b="0"/>
            <wp:docPr id="46" name="Picture 46" descr="Subjects with adverse events Rash, Weeks 0 to 48 (incidence &gt; 0% in one or more treatment groups), Main Safety Pool, Study P007 (doravirine 100 mg once daily group) and Studies P018 and P021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90671" cy="3936950"/>
                    </a:xfrm>
                    <a:prstGeom prst="rect">
                      <a:avLst/>
                    </a:prstGeom>
                  </pic:spPr>
                </pic:pic>
              </a:graphicData>
            </a:graphic>
          </wp:inline>
        </w:drawing>
      </w:r>
    </w:p>
    <w:p w14:paraId="55A1925D" w14:textId="5EAA44D4" w:rsidR="009D5417" w:rsidRPr="00D768C3" w:rsidRDefault="009D5417" w:rsidP="00D768C3">
      <w:pPr>
        <w:pStyle w:val="TableDescription"/>
        <w:rPr>
          <w:rFonts w:asciiTheme="minorHAnsi" w:hAnsiTheme="minorHAnsi"/>
        </w:rPr>
      </w:pPr>
      <w:r>
        <w:t>3TC = lamivudine, ABC = abacavir, DOR = doravirine,</w:t>
      </w:r>
      <w:r w:rsidRPr="00814C52">
        <w:t xml:space="preserve"> </w:t>
      </w:r>
      <w:r>
        <w:t xml:space="preserve">DRV+r = ritonavir boosted </w:t>
      </w:r>
      <w:r w:rsidRPr="00F93636">
        <w:t>darunavir</w:t>
      </w:r>
      <w:r>
        <w:t xml:space="preserve">, EFV = efavirenz, FTC = emtricitabine, TDF = </w:t>
      </w:r>
      <w:r w:rsidRPr="00F93636">
        <w:t>tenofovir disoproxil fumarate</w:t>
      </w:r>
      <w:r>
        <w:t>.</w:t>
      </w:r>
    </w:p>
    <w:p w14:paraId="6F82078C" w14:textId="2C76A095" w:rsidR="007020C5" w:rsidRDefault="00D45C44" w:rsidP="008A3131">
      <w:r>
        <w:t>In</w:t>
      </w:r>
      <w:r w:rsidRPr="00394712">
        <w:t xml:space="preserve"> </w:t>
      </w:r>
      <w:r w:rsidR="007020C5">
        <w:t xml:space="preserve">the </w:t>
      </w:r>
      <w:r w:rsidRPr="00394712">
        <w:t xml:space="preserve">MSP, </w:t>
      </w:r>
      <w:r>
        <w:t>the incidence of</w:t>
      </w:r>
      <w:r w:rsidRPr="00394712">
        <w:t xml:space="preserve"> AE</w:t>
      </w:r>
      <w:r w:rsidR="007020C5">
        <w:t>s</w:t>
      </w:r>
      <w:r w:rsidRPr="00394712">
        <w:t xml:space="preserve"> identified by the investigator as probably related to</w:t>
      </w:r>
      <w:r>
        <w:t xml:space="preserve"> immune reconst</w:t>
      </w:r>
      <w:r w:rsidR="007020C5">
        <w:t xml:space="preserve">itution syndrome was as follows in </w:t>
      </w:r>
      <w:r w:rsidR="007020C5">
        <w:fldChar w:fldCharType="begin"/>
      </w:r>
      <w:r w:rsidR="007020C5">
        <w:instrText xml:space="preserve"> REF _Ref31719427 \h </w:instrText>
      </w:r>
      <w:r w:rsidR="007020C5">
        <w:fldChar w:fldCharType="separate"/>
      </w:r>
      <w:r w:rsidR="006F3FD1">
        <w:t xml:space="preserve">Table </w:t>
      </w:r>
      <w:r w:rsidR="006F3FD1">
        <w:rPr>
          <w:noProof/>
        </w:rPr>
        <w:t>22</w:t>
      </w:r>
      <w:r w:rsidR="007020C5">
        <w:fldChar w:fldCharType="end"/>
      </w:r>
      <w:r w:rsidR="007020C5">
        <w:t>.</w:t>
      </w:r>
    </w:p>
    <w:p w14:paraId="145AD0FB" w14:textId="75DB6941" w:rsidR="007020C5" w:rsidRDefault="007020C5" w:rsidP="007020C5">
      <w:pPr>
        <w:pStyle w:val="TableTitle"/>
      </w:pPr>
      <w:bookmarkStart w:id="64" w:name="_Ref31719427"/>
      <w:r>
        <w:lastRenderedPageBreak/>
        <w:t xml:space="preserve">Table </w:t>
      </w:r>
      <w:fldSimple w:instr=" SEQ Table \* ARABIC ">
        <w:r w:rsidR="000644BB">
          <w:rPr>
            <w:noProof/>
          </w:rPr>
          <w:t>22</w:t>
        </w:r>
      </w:fldSimple>
      <w:bookmarkEnd w:id="64"/>
      <w:r>
        <w:t>: Subjects with immune reconstitution syndrome, Studies P018 and P021 combined (incidence &gt; 0% in one or more treatment groups), Weeks 0 to 48</w:t>
      </w:r>
    </w:p>
    <w:p w14:paraId="42238A5A" w14:textId="24B970D4" w:rsidR="00D45C44" w:rsidRDefault="007020C5" w:rsidP="008A3131">
      <w:r>
        <w:rPr>
          <w:noProof/>
          <w:lang w:eastAsia="en-AU"/>
        </w:rPr>
        <w:drawing>
          <wp:inline distT="0" distB="0" distL="0" distR="0" wp14:anchorId="792A4722" wp14:editId="08B986E8">
            <wp:extent cx="5400040" cy="5441315"/>
            <wp:effectExtent l="0" t="0" r="0" b="6985"/>
            <wp:docPr id="47" name="Picture 47" descr="Subjects with immune reconstitution syndrome, Studies P018 and P021 combined (incidence &gt; 0% in one or more treatment groups), Weeks 0 t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5441315"/>
                    </a:xfrm>
                    <a:prstGeom prst="rect">
                      <a:avLst/>
                    </a:prstGeom>
                  </pic:spPr>
                </pic:pic>
              </a:graphicData>
            </a:graphic>
          </wp:inline>
        </w:drawing>
      </w:r>
    </w:p>
    <w:p w14:paraId="687F8126" w14:textId="65FA6F66" w:rsidR="00D45C44" w:rsidRDefault="00D45C44" w:rsidP="008A3131">
      <w:r>
        <w:t xml:space="preserve">In </w:t>
      </w:r>
      <w:r w:rsidR="007020C5">
        <w:t xml:space="preserve">the </w:t>
      </w:r>
      <w:r>
        <w:t>MSP, the incidence</w:t>
      </w:r>
      <w:r w:rsidR="007020C5">
        <w:t xml:space="preserve"> of pancreatitis was as follows in </w:t>
      </w:r>
      <w:r w:rsidR="007020C5">
        <w:fldChar w:fldCharType="begin"/>
      </w:r>
      <w:r w:rsidR="007020C5">
        <w:instrText xml:space="preserve"> REF _Ref31719581 \h </w:instrText>
      </w:r>
      <w:r w:rsidR="007020C5">
        <w:fldChar w:fldCharType="separate"/>
      </w:r>
      <w:r w:rsidR="006F3FD1">
        <w:t xml:space="preserve">Table </w:t>
      </w:r>
      <w:r w:rsidR="006F3FD1">
        <w:rPr>
          <w:noProof/>
        </w:rPr>
        <w:t>23</w:t>
      </w:r>
      <w:r w:rsidR="007020C5">
        <w:fldChar w:fldCharType="end"/>
      </w:r>
      <w:r w:rsidR="007020C5">
        <w:t>.</w:t>
      </w:r>
    </w:p>
    <w:p w14:paraId="03562215" w14:textId="28EF048F" w:rsidR="007020C5" w:rsidRDefault="007020C5" w:rsidP="007020C5">
      <w:pPr>
        <w:pStyle w:val="TableTitle"/>
      </w:pPr>
      <w:bookmarkStart w:id="65" w:name="_Ref31719581"/>
      <w:r>
        <w:t xml:space="preserve">Table </w:t>
      </w:r>
      <w:fldSimple w:instr=" SEQ Table \* ARABIC ">
        <w:r w:rsidR="000644BB">
          <w:rPr>
            <w:noProof/>
          </w:rPr>
          <w:t>23</w:t>
        </w:r>
      </w:fldSimple>
      <w:bookmarkEnd w:id="65"/>
      <w:r>
        <w:t>: Subjects with adverse events (incidence &gt; 0% in one or more treatment groups), Main Safety Pool, Studies P007 (doravirine 100 mg once daily group) and Studies P018 and P021 combined</w:t>
      </w:r>
    </w:p>
    <w:p w14:paraId="7E8A8291" w14:textId="134F2763" w:rsidR="00D45C44" w:rsidRPr="00394712" w:rsidRDefault="007020C5" w:rsidP="008A3131">
      <w:r>
        <w:rPr>
          <w:noProof/>
          <w:lang w:eastAsia="en-AU"/>
        </w:rPr>
        <w:drawing>
          <wp:inline distT="0" distB="0" distL="0" distR="0" wp14:anchorId="5EA6C48C" wp14:editId="78AE6898">
            <wp:extent cx="5400040" cy="814070"/>
            <wp:effectExtent l="0" t="0" r="0" b="5080"/>
            <wp:docPr id="48" name="Picture 48" descr="Subjects with adverse events (incidence &gt; 0% in one or more treatment groups), Main Safety Pool, Studies P007 (doravirine 100 mg once daily group) and Studies P018 and P021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814070"/>
                    </a:xfrm>
                    <a:prstGeom prst="rect">
                      <a:avLst/>
                    </a:prstGeom>
                  </pic:spPr>
                </pic:pic>
              </a:graphicData>
            </a:graphic>
          </wp:inline>
        </w:drawing>
      </w:r>
    </w:p>
    <w:p w14:paraId="22BFE6DE" w14:textId="030E5425" w:rsidR="00D45C44" w:rsidRDefault="00D45C44" w:rsidP="008A3131">
      <w:r>
        <w:t>Another case of pancrea</w:t>
      </w:r>
      <w:r w:rsidR="002361C7">
        <w:t>titis has been reported in the S</w:t>
      </w:r>
      <w:r>
        <w:t>tudy P024 (switching study in virologically su</w:t>
      </w:r>
      <w:r w:rsidR="002361C7">
        <w:t xml:space="preserve">ppressed patients, clinical study report </w:t>
      </w:r>
      <w:r>
        <w:t>not included in this dossier).</w:t>
      </w:r>
    </w:p>
    <w:p w14:paraId="3708A598" w14:textId="4E9B9B19" w:rsidR="00D45C44" w:rsidRDefault="00D45C44" w:rsidP="008A3131">
      <w:r>
        <w:t xml:space="preserve">In </w:t>
      </w:r>
      <w:r w:rsidR="002361C7">
        <w:t xml:space="preserve">the </w:t>
      </w:r>
      <w:r>
        <w:t>MSP, mean changes in lab</w:t>
      </w:r>
      <w:r w:rsidR="009D5417">
        <w:t>oratory</w:t>
      </w:r>
      <w:r>
        <w:t xml:space="preserve"> parameters at 48 wee</w:t>
      </w:r>
      <w:r w:rsidR="00942974">
        <w:t xml:space="preserve">ks of treatment were as follows in </w:t>
      </w:r>
      <w:r w:rsidR="00942974">
        <w:fldChar w:fldCharType="begin"/>
      </w:r>
      <w:r w:rsidR="00942974">
        <w:instrText xml:space="preserve"> REF _Ref31720532 \h </w:instrText>
      </w:r>
      <w:r w:rsidR="00942974">
        <w:fldChar w:fldCharType="separate"/>
      </w:r>
      <w:r w:rsidR="006F3FD1">
        <w:t xml:space="preserve">Table </w:t>
      </w:r>
      <w:r w:rsidR="006F3FD1">
        <w:rPr>
          <w:noProof/>
        </w:rPr>
        <w:t>24</w:t>
      </w:r>
      <w:r w:rsidR="00942974">
        <w:fldChar w:fldCharType="end"/>
      </w:r>
      <w:r w:rsidR="00942974">
        <w:t>.</w:t>
      </w:r>
    </w:p>
    <w:p w14:paraId="12F6B247" w14:textId="0A038BFC" w:rsidR="002361C7" w:rsidRDefault="00942974" w:rsidP="00942974">
      <w:pPr>
        <w:pStyle w:val="TableTitle"/>
      </w:pPr>
      <w:bookmarkStart w:id="66" w:name="_Ref31720532"/>
      <w:r>
        <w:lastRenderedPageBreak/>
        <w:t xml:space="preserve">Table </w:t>
      </w:r>
      <w:fldSimple w:instr=" SEQ Table \* ARABIC ">
        <w:r w:rsidR="000644BB">
          <w:rPr>
            <w:noProof/>
          </w:rPr>
          <w:t>24</w:t>
        </w:r>
      </w:fldSimple>
      <w:bookmarkEnd w:id="66"/>
      <w:r>
        <w:t xml:space="preserve">: </w:t>
      </w:r>
      <w:r w:rsidR="002361C7">
        <w:t xml:space="preserve">Summary of </w:t>
      </w:r>
      <w:r w:rsidR="006F3FD1">
        <w:t>laboratory tests</w:t>
      </w:r>
      <w:r w:rsidR="002361C7">
        <w:t>, Main Safety Pool, Study P007 (doravirine 100 mg once daily group) and Studies P018 and P021 combined, Weeks 0 to 48</w:t>
      </w:r>
    </w:p>
    <w:p w14:paraId="1438860D" w14:textId="60D79430" w:rsidR="00942974" w:rsidRDefault="00942974" w:rsidP="00942974">
      <w:r>
        <w:rPr>
          <w:noProof/>
          <w:lang w:eastAsia="en-AU"/>
        </w:rPr>
        <w:drawing>
          <wp:inline distT="0" distB="0" distL="0" distR="0" wp14:anchorId="7FC3EB8C" wp14:editId="15BE305D">
            <wp:extent cx="5400040" cy="6733540"/>
            <wp:effectExtent l="0" t="0" r="0" b="0"/>
            <wp:docPr id="54" name="Picture 54" descr="Summary of laboratory tests, Main Safety Pool, Study P007 (doravirine 100 mg once daily group) and Studies P018 and P021 combined, Weeks 0 t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6733540"/>
                    </a:xfrm>
                    <a:prstGeom prst="rect">
                      <a:avLst/>
                    </a:prstGeom>
                  </pic:spPr>
                </pic:pic>
              </a:graphicData>
            </a:graphic>
          </wp:inline>
        </w:drawing>
      </w:r>
    </w:p>
    <w:p w14:paraId="2B88D65E" w14:textId="69A8E7CE" w:rsidR="009D5417" w:rsidRPr="00D768C3" w:rsidRDefault="009D5417" w:rsidP="00D768C3">
      <w:pPr>
        <w:pStyle w:val="TableDescription"/>
        <w:rPr>
          <w:rFonts w:asciiTheme="minorHAnsi" w:hAnsiTheme="minorHAnsi"/>
        </w:rPr>
      </w:pPr>
      <w:r>
        <w:t>3TC = lamivudine, ABC = abacavir, DOR = doravirine,</w:t>
      </w:r>
      <w:r w:rsidRPr="00814C52">
        <w:t xml:space="preserve"> </w:t>
      </w:r>
      <w:r>
        <w:t xml:space="preserve">DRV+r = ritonavir boosted </w:t>
      </w:r>
      <w:r w:rsidRPr="00F93636">
        <w:t>darunavir</w:t>
      </w:r>
      <w:r>
        <w:t xml:space="preserve">, EFV = efavirenz, FTC = emtricitabine, TDF = </w:t>
      </w:r>
      <w:r w:rsidRPr="00F93636">
        <w:t>tenofovir disoproxil fumarate</w:t>
      </w:r>
      <w:r>
        <w:t>.</w:t>
      </w:r>
    </w:p>
    <w:p w14:paraId="73F13613" w14:textId="45D1F6AB" w:rsidR="00D45C44" w:rsidRDefault="00D45C44" w:rsidP="00942974">
      <w:r w:rsidRPr="00117803">
        <w:t>More Grade 1 bilirub</w:t>
      </w:r>
      <w:r>
        <w:t xml:space="preserve">in elevations were observed in the combined </w:t>
      </w:r>
      <w:r w:rsidR="002E5F71">
        <w:t>doravirine</w:t>
      </w:r>
      <w:r>
        <w:t xml:space="preserve"> group compared with </w:t>
      </w:r>
      <w:r w:rsidR="00AB1875">
        <w:t>efavirenz</w:t>
      </w:r>
      <w:r>
        <w:t xml:space="preserve"> group (6.1% v</w:t>
      </w:r>
      <w:r w:rsidR="00942974">
        <w:t>ersus</w:t>
      </w:r>
      <w:r>
        <w:t xml:space="preserve"> 2.8%</w:t>
      </w:r>
      <w:r w:rsidRPr="00117803">
        <w:t xml:space="preserve"> respectively).</w:t>
      </w:r>
      <w:r>
        <w:t xml:space="preserve"> This pattern was not observed </w:t>
      </w:r>
      <w:r w:rsidRPr="00117803">
        <w:t xml:space="preserve">for bilirubin values greater than Grade 1 nor for AST, </w:t>
      </w:r>
      <w:r>
        <w:t>ALT or alkaline phosphatase. No patient fulfilling drug-induced liver injury (</w:t>
      </w:r>
      <w:r w:rsidR="00942974">
        <w:t>DILI) criteria was reported in S</w:t>
      </w:r>
      <w:r>
        <w:t>tudies P007, P018 and P021.</w:t>
      </w:r>
    </w:p>
    <w:p w14:paraId="07B46F64" w14:textId="11DE1452" w:rsidR="00D45C44" w:rsidRDefault="00942974" w:rsidP="00942974">
      <w:r>
        <w:t xml:space="preserve">Grade 2 to </w:t>
      </w:r>
      <w:r w:rsidR="00D45C44">
        <w:t>4 level changes in lab</w:t>
      </w:r>
      <w:r w:rsidR="009D5417">
        <w:t>oratory</w:t>
      </w:r>
      <w:r w:rsidR="00D45C44">
        <w:t xml:space="preserve"> parameters in the 2 pivotal </w:t>
      </w:r>
      <w:r>
        <w:t xml:space="preserve">clinical trials were as follows in </w:t>
      </w:r>
      <w:r>
        <w:fldChar w:fldCharType="begin"/>
      </w:r>
      <w:r>
        <w:instrText xml:space="preserve"> REF _Ref31720740 \h </w:instrText>
      </w:r>
      <w:r>
        <w:fldChar w:fldCharType="separate"/>
      </w:r>
      <w:r w:rsidR="006F3FD1">
        <w:t xml:space="preserve">Table </w:t>
      </w:r>
      <w:r w:rsidR="006F3FD1">
        <w:rPr>
          <w:noProof/>
        </w:rPr>
        <w:t>25</w:t>
      </w:r>
      <w:r>
        <w:fldChar w:fldCharType="end"/>
      </w:r>
      <w:r>
        <w:t>.</w:t>
      </w:r>
    </w:p>
    <w:p w14:paraId="6BF5DC7C" w14:textId="4D428D3E" w:rsidR="00942974" w:rsidRDefault="00942974" w:rsidP="00942974">
      <w:pPr>
        <w:pStyle w:val="TableTitle"/>
      </w:pPr>
      <w:bookmarkStart w:id="67" w:name="_Ref31720740"/>
      <w:r>
        <w:lastRenderedPageBreak/>
        <w:t xml:space="preserve">Table </w:t>
      </w:r>
      <w:fldSimple w:instr=" SEQ Table \* ARABIC ">
        <w:r w:rsidR="000644BB">
          <w:rPr>
            <w:noProof/>
          </w:rPr>
          <w:t>25</w:t>
        </w:r>
      </w:fldSimple>
      <w:bookmarkEnd w:id="67"/>
      <w:r>
        <w:t xml:space="preserve">: Selected Grade 2 to 4 laboratory abnormalities reported in </w:t>
      </w:r>
      <w:r w:rsidR="007E54E8">
        <w:t xml:space="preserve">the </w:t>
      </w:r>
      <w:r>
        <w:t>DRIVE</w:t>
      </w:r>
      <w:r w:rsidR="007E54E8">
        <w:noBreakHyphen/>
      </w:r>
      <w:r>
        <w:t xml:space="preserve">FORWARD </w:t>
      </w:r>
      <w:r w:rsidR="007E54E8">
        <w:t xml:space="preserve">(Study P018) </w:t>
      </w:r>
      <w:r>
        <w:t>and DRIVE-AHEAD</w:t>
      </w:r>
      <w:r w:rsidR="007E54E8">
        <w:t xml:space="preserve"> (Study P021) clinical trials</w:t>
      </w:r>
      <w:r>
        <w:t>, Week 48</w:t>
      </w:r>
    </w:p>
    <w:p w14:paraId="302205CD" w14:textId="401E81A9" w:rsidR="00D45C44" w:rsidRDefault="00942974" w:rsidP="00942974">
      <w:r>
        <w:rPr>
          <w:noProof/>
          <w:lang w:eastAsia="en-AU"/>
        </w:rPr>
        <w:drawing>
          <wp:inline distT="0" distB="0" distL="0" distR="0" wp14:anchorId="6D611086" wp14:editId="01563279">
            <wp:extent cx="5400040" cy="4421505"/>
            <wp:effectExtent l="0" t="0" r="0" b="0"/>
            <wp:docPr id="55" name="Picture 55" descr="Selected Grade 2 to 4 laboratory abnormalities reported in the DRIVE FORWARD (Study P018) and DRIVE-AHEAD (Study P021) clinical trials,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4421505"/>
                    </a:xfrm>
                    <a:prstGeom prst="rect">
                      <a:avLst/>
                    </a:prstGeom>
                  </pic:spPr>
                </pic:pic>
              </a:graphicData>
            </a:graphic>
          </wp:inline>
        </w:drawing>
      </w:r>
    </w:p>
    <w:p w14:paraId="15D58A9F" w14:textId="08FE06E5" w:rsidR="007E54E8" w:rsidRPr="00D768C3" w:rsidRDefault="007E54E8" w:rsidP="00D768C3">
      <w:pPr>
        <w:pStyle w:val="TableDescription"/>
        <w:rPr>
          <w:rFonts w:asciiTheme="minorHAnsi" w:hAnsiTheme="minorHAnsi"/>
        </w:rPr>
      </w:pPr>
      <w:r>
        <w:t>3TC = lamivudine, ABC = abacavir, DOR = doravirine,</w:t>
      </w:r>
      <w:r w:rsidRPr="00814C52">
        <w:t xml:space="preserve"> </w:t>
      </w:r>
      <w:r>
        <w:t xml:space="preserve">DRV+r = ritonavir boosted </w:t>
      </w:r>
      <w:r w:rsidRPr="00F93636">
        <w:t>darunavir</w:t>
      </w:r>
      <w:r>
        <w:t xml:space="preserve">, EFV = efavirenz, FTC = emtricitabine, TDF = </w:t>
      </w:r>
      <w:r w:rsidRPr="00F93636">
        <w:t>tenofovir disoproxil fumarate</w:t>
      </w:r>
      <w:r>
        <w:t>; NRTI = nucleoside reverse transcriptase inhibitor</w:t>
      </w:r>
      <w:r w:rsidR="008A618C">
        <w:t>.</w:t>
      </w:r>
    </w:p>
    <w:p w14:paraId="24456556" w14:textId="4082E94B" w:rsidR="00D45C44" w:rsidRDefault="00D45C44" w:rsidP="008A3131">
      <w:r>
        <w:t xml:space="preserve">Mean changes in plasma lipids in the 2 pivotal </w:t>
      </w:r>
      <w:r w:rsidR="006F3FD1">
        <w:t xml:space="preserve">clinical trials were as follows in </w:t>
      </w:r>
      <w:r w:rsidR="006F3FD1">
        <w:fldChar w:fldCharType="begin"/>
      </w:r>
      <w:r w:rsidR="006F3FD1">
        <w:instrText xml:space="preserve"> REF _Ref31786617 \h </w:instrText>
      </w:r>
      <w:r w:rsidR="006F3FD1">
        <w:fldChar w:fldCharType="separate"/>
      </w:r>
      <w:r w:rsidR="006F3FD1">
        <w:t xml:space="preserve">Table </w:t>
      </w:r>
      <w:r w:rsidR="006F3FD1">
        <w:rPr>
          <w:noProof/>
        </w:rPr>
        <w:t>26</w:t>
      </w:r>
      <w:r w:rsidR="006F3FD1">
        <w:fldChar w:fldCharType="end"/>
      </w:r>
      <w:r w:rsidR="006F3FD1">
        <w:t>.</w:t>
      </w:r>
    </w:p>
    <w:p w14:paraId="76E9E927" w14:textId="7E4C272B" w:rsidR="00942974" w:rsidRDefault="00942974" w:rsidP="00942974">
      <w:pPr>
        <w:pStyle w:val="TableTitle"/>
      </w:pPr>
      <w:bookmarkStart w:id="68" w:name="_Ref31786617"/>
      <w:r>
        <w:t xml:space="preserve">Table </w:t>
      </w:r>
      <w:fldSimple w:instr=" SEQ Table \* ARABIC ">
        <w:r w:rsidR="000644BB">
          <w:rPr>
            <w:noProof/>
          </w:rPr>
          <w:t>26</w:t>
        </w:r>
      </w:fldSimple>
      <w:bookmarkEnd w:id="68"/>
      <w:r>
        <w:t>: Mean change from Baseline in fasting lipids in</w:t>
      </w:r>
      <w:r w:rsidR="008A618C">
        <w:t xml:space="preserve"> the</w:t>
      </w:r>
      <w:r>
        <w:t xml:space="preserve"> DRIVE-FORWARD </w:t>
      </w:r>
      <w:r w:rsidR="008A618C">
        <w:t xml:space="preserve">(Study P018) </w:t>
      </w:r>
      <w:r>
        <w:t>and DRIVE-AHEAD</w:t>
      </w:r>
      <w:r w:rsidR="008A618C">
        <w:t xml:space="preserve"> (Study P021) clinical trials</w:t>
      </w:r>
      <w:r>
        <w:t>, Week 48</w:t>
      </w:r>
    </w:p>
    <w:p w14:paraId="154D623F" w14:textId="0ABFBFEB" w:rsidR="00D45C44" w:rsidRDefault="00942974" w:rsidP="00942974">
      <w:r>
        <w:rPr>
          <w:noProof/>
          <w:lang w:eastAsia="en-AU"/>
        </w:rPr>
        <w:drawing>
          <wp:inline distT="0" distB="0" distL="0" distR="0" wp14:anchorId="79324FDE" wp14:editId="4D4BDF6D">
            <wp:extent cx="4901050" cy="2076450"/>
            <wp:effectExtent l="0" t="0" r="0" b="0"/>
            <wp:docPr id="56" name="Picture 56" descr="Mean change from Baseline in fasting lipids in the DRIVE-FORWARD (Study P018) and DRIVE-AHEAD (Study P021) clinical trials,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7261" cy="2079082"/>
                    </a:xfrm>
                    <a:prstGeom prst="rect">
                      <a:avLst/>
                    </a:prstGeom>
                  </pic:spPr>
                </pic:pic>
              </a:graphicData>
            </a:graphic>
          </wp:inline>
        </w:drawing>
      </w:r>
    </w:p>
    <w:p w14:paraId="7F69E90F" w14:textId="7CB98580" w:rsidR="008A618C" w:rsidRPr="00D768C3" w:rsidRDefault="008A618C" w:rsidP="00D768C3">
      <w:pPr>
        <w:pStyle w:val="TableDescription"/>
        <w:rPr>
          <w:rFonts w:asciiTheme="minorHAnsi" w:hAnsiTheme="minorHAnsi"/>
        </w:rPr>
      </w:pPr>
      <w:r>
        <w:t>3TC = lamivudine, ABC = abacavir, DOR = doravirine,</w:t>
      </w:r>
      <w:r w:rsidRPr="00814C52">
        <w:t xml:space="preserve"> </w:t>
      </w:r>
      <w:r>
        <w:t xml:space="preserve">DRV+r = ritonavir boosted </w:t>
      </w:r>
      <w:r w:rsidRPr="00F93636">
        <w:t>darunavir</w:t>
      </w:r>
      <w:r>
        <w:t xml:space="preserve">, EFV = efavirenz, FTC = emtricitabine, TDF = </w:t>
      </w:r>
      <w:r w:rsidRPr="00F93636">
        <w:t>tenofovir disoproxil fumarate</w:t>
      </w:r>
      <w:r>
        <w:t>; NRTI = nucleoside reverse transcriptase inhibitor</w:t>
      </w:r>
    </w:p>
    <w:p w14:paraId="54BEC1BC" w14:textId="2BDB671D" w:rsidR="00D45C44" w:rsidRDefault="00D45C44" w:rsidP="00942974">
      <w:r>
        <w:lastRenderedPageBreak/>
        <w:t>Overall, the adverse effects profile</w:t>
      </w:r>
      <w:r w:rsidRPr="00426B35">
        <w:t xml:space="preserve"> of </w:t>
      </w:r>
      <w:r w:rsidR="002E5F71">
        <w:t>doravirine</w:t>
      </w:r>
      <w:r w:rsidRPr="00426B35">
        <w:t xml:space="preserve"> and </w:t>
      </w:r>
      <w:r w:rsidR="002E5F71">
        <w:t>doravirine</w:t>
      </w:r>
      <w:r>
        <w:t>/</w:t>
      </w:r>
      <w:r w:rsidR="00382533">
        <w:t>lamivudine</w:t>
      </w:r>
      <w:r>
        <w:t>/</w:t>
      </w:r>
      <w:r w:rsidR="00382533">
        <w:t>tenofovir disoproxil fumarate</w:t>
      </w:r>
      <w:r>
        <w:t xml:space="preserve"> was comparable with </w:t>
      </w:r>
      <w:r w:rsidR="00942974">
        <w:t xml:space="preserve">darunavir boosted with ritonavir </w:t>
      </w:r>
      <w:r>
        <w:t xml:space="preserve">and </w:t>
      </w:r>
      <w:r w:rsidR="00AB1875">
        <w:t>efavirenz</w:t>
      </w:r>
      <w:r>
        <w:t xml:space="preserve"> </w:t>
      </w:r>
      <w:r w:rsidRPr="00426B35">
        <w:t xml:space="preserve">and </w:t>
      </w:r>
      <w:r>
        <w:t>advantageous to</w:t>
      </w:r>
      <w:r w:rsidRPr="00426B35">
        <w:t xml:space="preserve"> </w:t>
      </w:r>
      <w:r w:rsidR="00AB1875">
        <w:t>efavirenz</w:t>
      </w:r>
      <w:r w:rsidRPr="00426B35">
        <w:t xml:space="preserve"> with respe</w:t>
      </w:r>
      <w:r>
        <w:t>ct to the neuropsychiatric outcomes.</w:t>
      </w:r>
    </w:p>
    <w:p w14:paraId="7DF8FDBA" w14:textId="26DB9378" w:rsidR="00456765" w:rsidRPr="00456765" w:rsidRDefault="00D45C44" w:rsidP="008E48BE">
      <w:r>
        <w:t>Early results hav</w:t>
      </w:r>
      <w:r w:rsidR="00942974">
        <w:t>e been provided of the ongoing S</w:t>
      </w:r>
      <w:r>
        <w:t xml:space="preserve">tudy P024 (early and late switch to </w:t>
      </w:r>
      <w:r w:rsidR="002E5F71">
        <w:t>doravirine</w:t>
      </w:r>
      <w:r>
        <w:t>/</w:t>
      </w:r>
      <w:r w:rsidR="00382533">
        <w:t>lamivudine</w:t>
      </w:r>
      <w:r>
        <w:t>/</w:t>
      </w:r>
      <w:r w:rsidR="00382533">
        <w:t>tenofovir disoproxil fumarate</w:t>
      </w:r>
      <w:r>
        <w:t xml:space="preserve"> in virologically sup</w:t>
      </w:r>
      <w:r w:rsidR="006F3FD1">
        <w:t>pressed HIV-1 patients). This was</w:t>
      </w:r>
      <w:r>
        <w:t xml:space="preserve"> not considered </w:t>
      </w:r>
      <w:r w:rsidR="006F3FD1">
        <w:t>as part of the clinical evaluation</w:t>
      </w:r>
      <w:r>
        <w:t xml:space="preserve"> as </w:t>
      </w:r>
      <w:r w:rsidR="006F3FD1">
        <w:t>the full report was</w:t>
      </w:r>
      <w:r>
        <w:t xml:space="preserve"> n</w:t>
      </w:r>
      <w:r w:rsidR="006F3FD1">
        <w:t xml:space="preserve">ot available in the </w:t>
      </w:r>
      <w:r>
        <w:t>dossier.</w:t>
      </w:r>
    </w:p>
    <w:p w14:paraId="542ACE04" w14:textId="77777777" w:rsidR="008E7846" w:rsidRDefault="00386150" w:rsidP="007B6132">
      <w:pPr>
        <w:pStyle w:val="Heading3"/>
        <w:rPr>
          <w:lang w:eastAsia="en-AU"/>
        </w:rPr>
      </w:pPr>
      <w:bookmarkStart w:id="69" w:name="_Toc35259369"/>
      <w:r>
        <w:rPr>
          <w:lang w:eastAsia="en-AU"/>
        </w:rPr>
        <w:t>Risk m</w:t>
      </w:r>
      <w:r w:rsidR="008E7846">
        <w:rPr>
          <w:lang w:eastAsia="en-AU"/>
        </w:rPr>
        <w:t xml:space="preserve">anagement </w:t>
      </w:r>
      <w:r>
        <w:rPr>
          <w:lang w:eastAsia="en-AU"/>
        </w:rPr>
        <w:t>p</w:t>
      </w:r>
      <w:r w:rsidR="008E7846">
        <w:rPr>
          <w:lang w:eastAsia="en-AU"/>
        </w:rPr>
        <w:t>lan</w:t>
      </w:r>
      <w:bookmarkEnd w:id="44"/>
      <w:bookmarkEnd w:id="69"/>
    </w:p>
    <w:p w14:paraId="494C7BF9" w14:textId="01757BF5" w:rsidR="003077CB" w:rsidRPr="00F33F46" w:rsidRDefault="003077CB" w:rsidP="00F33F46">
      <w:r w:rsidRPr="00F33F46">
        <w:t xml:space="preserve">The sponsor has submitted </w:t>
      </w:r>
      <w:r w:rsidR="008E48BE">
        <w:t xml:space="preserve">European Union-Risk </w:t>
      </w:r>
      <w:r w:rsidR="008A618C">
        <w:t>management p</w:t>
      </w:r>
      <w:r w:rsidR="008E48BE">
        <w:t>lan (</w:t>
      </w:r>
      <w:r w:rsidRPr="00F33F46">
        <w:t>EU-RMP</w:t>
      </w:r>
      <w:r w:rsidR="008E48BE">
        <w:t>)</w:t>
      </w:r>
      <w:r w:rsidRPr="00F33F46">
        <w:t xml:space="preserve"> version 1.0 (19 September 2017; </w:t>
      </w:r>
      <w:r w:rsidR="008E48BE">
        <w:t>data lock point (</w:t>
      </w:r>
      <w:r w:rsidRPr="00F33F46">
        <w:t>DLP</w:t>
      </w:r>
      <w:r w:rsidR="008E48BE">
        <w:t>)</w:t>
      </w:r>
      <w:r w:rsidRPr="00F33F46">
        <w:t xml:space="preserve"> 26 April 2017) and </w:t>
      </w:r>
      <w:r w:rsidR="008E48BE">
        <w:t>Australian Specific Annex (</w:t>
      </w:r>
      <w:r w:rsidRPr="00F33F46">
        <w:t>ASA</w:t>
      </w:r>
      <w:r w:rsidR="008E48BE">
        <w:t>)</w:t>
      </w:r>
      <w:r w:rsidRPr="00F33F46">
        <w:t xml:space="preserve"> version 0.1 (December 2017) in support of the </w:t>
      </w:r>
      <w:r w:rsidR="002E5F71" w:rsidRPr="00F33F46">
        <w:t>doravirine</w:t>
      </w:r>
      <w:r w:rsidRPr="00F33F46">
        <w:t xml:space="preserve"> application, and a separate EU-RMP version 1.0 (19 September 2017; DLP 26 April 2017) and ASA version 0.1 (December 2017) in support of the </w:t>
      </w:r>
      <w:r w:rsidR="002E5F71" w:rsidRPr="00F33F46">
        <w:t>doravirine</w:t>
      </w:r>
      <w:r w:rsidRPr="00F33F46">
        <w:t>/</w:t>
      </w:r>
      <w:r w:rsidR="00382533" w:rsidRPr="00F33F46">
        <w:t>lamivudine</w:t>
      </w:r>
      <w:r w:rsidRPr="00F33F46">
        <w:t>/</w:t>
      </w:r>
      <w:r w:rsidR="00382533" w:rsidRPr="00F33F46">
        <w:t>tenofovir disoproxil fumarate</w:t>
      </w:r>
      <w:r w:rsidRPr="00F33F46">
        <w:t xml:space="preserve"> application. At </w:t>
      </w:r>
      <w:r w:rsidR="008E48BE">
        <w:t>the second round evaluation,</w:t>
      </w:r>
      <w:r w:rsidRPr="00F33F46">
        <w:t xml:space="preserve"> the EU-RMP documents were each updated to version 1.2 (26 July 2018; DLP 29 June 2018). </w:t>
      </w:r>
      <w:r w:rsidR="008E48BE">
        <w:t>After the second round evaluation</w:t>
      </w:r>
      <w:r w:rsidRPr="00F33F46">
        <w:t xml:space="preserve"> the EU-RMP documents were each updated to version 2.0 (26 October 2018; DLP 29 June 2018) and the ASA documents each updated to version 0.2 (November 2018).</w:t>
      </w:r>
    </w:p>
    <w:p w14:paraId="163CEDFB" w14:textId="5E9AF1CA" w:rsidR="003077CB" w:rsidRDefault="003077CB" w:rsidP="003077CB">
      <w:r w:rsidRPr="002304AB">
        <w:t xml:space="preserve">The proposed </w:t>
      </w:r>
      <w:r w:rsidR="008E48BE" w:rsidRPr="002304AB">
        <w:t xml:space="preserve">summary of safety concerns </w:t>
      </w:r>
      <w:r w:rsidRPr="002304AB">
        <w:t xml:space="preserve">and their associated risk monitoring and mitigation </w:t>
      </w:r>
      <w:r w:rsidR="008E48BE">
        <w:t>strategies are summarised in the tables below.</w:t>
      </w:r>
      <w:r>
        <w:rPr>
          <w:rStyle w:val="FootnoteReference"/>
          <w:lang w:eastAsia="en-AU"/>
        </w:rPr>
        <w:footnoteReference w:id="8"/>
      </w:r>
    </w:p>
    <w:p w14:paraId="38B14399" w14:textId="1FEA2EEC" w:rsidR="003077CB" w:rsidRPr="002304AB" w:rsidRDefault="008A3131" w:rsidP="008A618C">
      <w:pPr>
        <w:pStyle w:val="TableTitle"/>
      </w:pPr>
      <w:bookmarkStart w:id="70" w:name="_Ref31721066"/>
      <w:r>
        <w:t xml:space="preserve">Table </w:t>
      </w:r>
      <w:fldSimple w:instr=" SEQ Table \* ARABIC ">
        <w:r w:rsidR="000644BB">
          <w:rPr>
            <w:noProof/>
          </w:rPr>
          <w:t>27</w:t>
        </w:r>
      </w:fldSimple>
      <w:bookmarkEnd w:id="70"/>
      <w:r>
        <w:t xml:space="preserve">: </w:t>
      </w:r>
      <w:r w:rsidR="003077CB">
        <w:t xml:space="preserve">Summary of safety concerns for </w:t>
      </w:r>
      <w:r>
        <w:t>doravirine</w:t>
      </w:r>
    </w:p>
    <w:tbl>
      <w:tblPr>
        <w:tblStyle w:val="TableTGAblue"/>
        <w:tblW w:w="9322" w:type="dxa"/>
        <w:tblLayout w:type="fixed"/>
        <w:tblLook w:val="04A0" w:firstRow="1" w:lastRow="0" w:firstColumn="1" w:lastColumn="0" w:noHBand="0" w:noVBand="1"/>
      </w:tblPr>
      <w:tblGrid>
        <w:gridCol w:w="2093"/>
        <w:gridCol w:w="2410"/>
        <w:gridCol w:w="1134"/>
        <w:gridCol w:w="1275"/>
        <w:gridCol w:w="1134"/>
        <w:gridCol w:w="1276"/>
      </w:tblGrid>
      <w:tr w:rsidR="003077CB" w:rsidRPr="00FA31EC" w14:paraId="58577B96" w14:textId="77777777" w:rsidTr="00FA31EC">
        <w:trPr>
          <w:cnfStyle w:val="100000000000" w:firstRow="1" w:lastRow="0" w:firstColumn="0" w:lastColumn="0" w:oddVBand="0" w:evenVBand="0" w:oddHBand="0" w:evenHBand="0" w:firstRowFirstColumn="0" w:firstRowLastColumn="0" w:lastRowFirstColumn="0" w:lastRowLastColumn="0"/>
          <w:trHeight w:val="128"/>
        </w:trPr>
        <w:tc>
          <w:tcPr>
            <w:tcW w:w="4503" w:type="dxa"/>
            <w:gridSpan w:val="2"/>
            <w:vMerge w:val="restart"/>
          </w:tcPr>
          <w:p w14:paraId="3A826697" w14:textId="79C569BA" w:rsidR="003077CB" w:rsidRPr="00FA31EC" w:rsidRDefault="003077CB" w:rsidP="00FA31EC">
            <w:pPr>
              <w:rPr>
                <w:sz w:val="19"/>
                <w:szCs w:val="19"/>
              </w:rPr>
            </w:pPr>
            <w:r w:rsidRPr="00FA31EC">
              <w:rPr>
                <w:sz w:val="19"/>
                <w:szCs w:val="19"/>
              </w:rPr>
              <w:t>Summary of safety concerns</w:t>
            </w:r>
          </w:p>
        </w:tc>
        <w:tc>
          <w:tcPr>
            <w:tcW w:w="2409" w:type="dxa"/>
            <w:gridSpan w:val="2"/>
          </w:tcPr>
          <w:p w14:paraId="37A66F5F" w14:textId="77777777" w:rsidR="003077CB" w:rsidRPr="00FA31EC" w:rsidRDefault="003077CB" w:rsidP="00FA31EC">
            <w:pPr>
              <w:ind w:left="0"/>
              <w:rPr>
                <w:sz w:val="19"/>
                <w:szCs w:val="19"/>
              </w:rPr>
            </w:pPr>
            <w:r w:rsidRPr="00FA31EC">
              <w:rPr>
                <w:sz w:val="19"/>
                <w:szCs w:val="19"/>
              </w:rPr>
              <w:t>Pharmacovigilance</w:t>
            </w:r>
          </w:p>
        </w:tc>
        <w:tc>
          <w:tcPr>
            <w:tcW w:w="2410" w:type="dxa"/>
            <w:gridSpan w:val="2"/>
          </w:tcPr>
          <w:p w14:paraId="070B520D" w14:textId="65B30856" w:rsidR="003077CB" w:rsidRPr="00FA31EC" w:rsidRDefault="003077CB" w:rsidP="00FA31EC">
            <w:pPr>
              <w:ind w:left="0"/>
              <w:rPr>
                <w:sz w:val="19"/>
                <w:szCs w:val="19"/>
              </w:rPr>
            </w:pPr>
            <w:r w:rsidRPr="00FA31EC">
              <w:rPr>
                <w:sz w:val="19"/>
                <w:szCs w:val="19"/>
              </w:rPr>
              <w:t xml:space="preserve">Risk </w:t>
            </w:r>
            <w:r w:rsidR="00FA31EC">
              <w:rPr>
                <w:sz w:val="19"/>
                <w:szCs w:val="19"/>
              </w:rPr>
              <w:t>m</w:t>
            </w:r>
            <w:r w:rsidRPr="00FA31EC">
              <w:rPr>
                <w:sz w:val="19"/>
                <w:szCs w:val="19"/>
              </w:rPr>
              <w:t>inimisation</w:t>
            </w:r>
          </w:p>
        </w:tc>
      </w:tr>
      <w:tr w:rsidR="003077CB" w:rsidRPr="00FA31EC" w14:paraId="5A5784B4" w14:textId="77777777" w:rsidTr="00FA31EC">
        <w:trPr>
          <w:trHeight w:val="146"/>
        </w:trPr>
        <w:tc>
          <w:tcPr>
            <w:tcW w:w="4503" w:type="dxa"/>
            <w:gridSpan w:val="2"/>
            <w:vMerge/>
          </w:tcPr>
          <w:p w14:paraId="2F2D128B" w14:textId="77777777" w:rsidR="003077CB" w:rsidRPr="00FA31EC" w:rsidRDefault="003077CB" w:rsidP="00FA31EC">
            <w:pPr>
              <w:rPr>
                <w:color w:val="auto"/>
                <w:sz w:val="19"/>
                <w:szCs w:val="19"/>
                <w:lang w:eastAsia="en-US"/>
              </w:rPr>
            </w:pPr>
          </w:p>
        </w:tc>
        <w:tc>
          <w:tcPr>
            <w:tcW w:w="1134" w:type="dxa"/>
          </w:tcPr>
          <w:p w14:paraId="6F2D2B4C" w14:textId="77777777" w:rsidR="003077CB" w:rsidRPr="00FA31EC" w:rsidRDefault="003077CB" w:rsidP="00FA31EC">
            <w:pPr>
              <w:ind w:left="0"/>
              <w:rPr>
                <w:color w:val="auto"/>
                <w:sz w:val="19"/>
                <w:szCs w:val="19"/>
                <w:lang w:eastAsia="en-US"/>
              </w:rPr>
            </w:pPr>
            <w:r w:rsidRPr="00FA31EC">
              <w:rPr>
                <w:sz w:val="19"/>
                <w:szCs w:val="19"/>
              </w:rPr>
              <w:t>Routine</w:t>
            </w:r>
          </w:p>
        </w:tc>
        <w:tc>
          <w:tcPr>
            <w:tcW w:w="1275" w:type="dxa"/>
          </w:tcPr>
          <w:p w14:paraId="32E2E36B" w14:textId="77777777" w:rsidR="003077CB" w:rsidRPr="00FA31EC" w:rsidRDefault="003077CB" w:rsidP="00FA31EC">
            <w:pPr>
              <w:ind w:left="0"/>
              <w:rPr>
                <w:color w:val="auto"/>
                <w:sz w:val="19"/>
                <w:szCs w:val="19"/>
                <w:lang w:eastAsia="en-US"/>
              </w:rPr>
            </w:pPr>
            <w:r w:rsidRPr="00FA31EC">
              <w:rPr>
                <w:sz w:val="19"/>
                <w:szCs w:val="19"/>
              </w:rPr>
              <w:t>Additional</w:t>
            </w:r>
          </w:p>
        </w:tc>
        <w:tc>
          <w:tcPr>
            <w:tcW w:w="1134" w:type="dxa"/>
          </w:tcPr>
          <w:p w14:paraId="453B4D6C" w14:textId="77777777" w:rsidR="003077CB" w:rsidRPr="00FA31EC" w:rsidRDefault="003077CB" w:rsidP="00FA31EC">
            <w:pPr>
              <w:ind w:left="0"/>
              <w:rPr>
                <w:color w:val="auto"/>
                <w:sz w:val="19"/>
                <w:szCs w:val="19"/>
                <w:lang w:eastAsia="en-US"/>
              </w:rPr>
            </w:pPr>
            <w:r w:rsidRPr="00FA31EC">
              <w:rPr>
                <w:sz w:val="19"/>
                <w:szCs w:val="19"/>
              </w:rPr>
              <w:t>Routine</w:t>
            </w:r>
          </w:p>
        </w:tc>
        <w:tc>
          <w:tcPr>
            <w:tcW w:w="1276" w:type="dxa"/>
          </w:tcPr>
          <w:p w14:paraId="0F160200" w14:textId="77777777" w:rsidR="003077CB" w:rsidRPr="00FA31EC" w:rsidRDefault="003077CB" w:rsidP="00FA31EC">
            <w:pPr>
              <w:ind w:left="0"/>
              <w:jc w:val="both"/>
              <w:rPr>
                <w:color w:val="auto"/>
                <w:sz w:val="19"/>
                <w:szCs w:val="19"/>
                <w:lang w:eastAsia="en-US"/>
              </w:rPr>
            </w:pPr>
            <w:r w:rsidRPr="00FA31EC">
              <w:rPr>
                <w:sz w:val="19"/>
                <w:szCs w:val="19"/>
              </w:rPr>
              <w:t>Additional</w:t>
            </w:r>
          </w:p>
        </w:tc>
      </w:tr>
      <w:tr w:rsidR="003077CB" w:rsidRPr="00FA31EC" w14:paraId="69E03493" w14:textId="77777777" w:rsidTr="00FA31EC">
        <w:trPr>
          <w:trHeight w:val="134"/>
        </w:trPr>
        <w:tc>
          <w:tcPr>
            <w:tcW w:w="2093" w:type="dxa"/>
          </w:tcPr>
          <w:p w14:paraId="6A8ACAE6" w14:textId="77777777" w:rsidR="003077CB" w:rsidRPr="00FA31EC" w:rsidRDefault="003077CB" w:rsidP="00FA31EC">
            <w:pPr>
              <w:ind w:left="0"/>
              <w:rPr>
                <w:color w:val="auto"/>
                <w:sz w:val="19"/>
                <w:szCs w:val="19"/>
                <w:lang w:eastAsia="en-US"/>
              </w:rPr>
            </w:pPr>
            <w:r w:rsidRPr="00FA31EC">
              <w:rPr>
                <w:sz w:val="19"/>
                <w:szCs w:val="19"/>
              </w:rPr>
              <w:t>Important identified risks</w:t>
            </w:r>
          </w:p>
        </w:tc>
        <w:tc>
          <w:tcPr>
            <w:tcW w:w="2410" w:type="dxa"/>
          </w:tcPr>
          <w:p w14:paraId="6996CDC4" w14:textId="77777777" w:rsidR="003077CB" w:rsidRPr="00FA31EC" w:rsidRDefault="003077CB" w:rsidP="00FA31EC">
            <w:pPr>
              <w:ind w:left="0"/>
              <w:rPr>
                <w:color w:val="auto"/>
                <w:sz w:val="19"/>
                <w:szCs w:val="19"/>
                <w:lang w:eastAsia="en-US"/>
              </w:rPr>
            </w:pPr>
            <w:r w:rsidRPr="00FA31EC">
              <w:rPr>
                <w:sz w:val="19"/>
                <w:szCs w:val="19"/>
              </w:rPr>
              <w:t>None*</w:t>
            </w:r>
          </w:p>
        </w:tc>
        <w:tc>
          <w:tcPr>
            <w:tcW w:w="1134" w:type="dxa"/>
          </w:tcPr>
          <w:p w14:paraId="5960CDD7" w14:textId="77777777" w:rsidR="003077CB" w:rsidRPr="00FA31EC" w:rsidRDefault="003077CB" w:rsidP="00FA31EC">
            <w:pPr>
              <w:rPr>
                <w:color w:val="auto"/>
                <w:sz w:val="19"/>
                <w:szCs w:val="19"/>
                <w:lang w:eastAsia="en-US"/>
              </w:rPr>
            </w:pPr>
            <w:r w:rsidRPr="00FA31EC">
              <w:rPr>
                <w:sz w:val="19"/>
                <w:szCs w:val="19"/>
              </w:rPr>
              <w:t>–</w:t>
            </w:r>
          </w:p>
        </w:tc>
        <w:tc>
          <w:tcPr>
            <w:tcW w:w="1275" w:type="dxa"/>
          </w:tcPr>
          <w:p w14:paraId="71C591AF" w14:textId="77777777" w:rsidR="003077CB" w:rsidRPr="00FA31EC" w:rsidRDefault="003077CB" w:rsidP="00FA31EC">
            <w:pPr>
              <w:rPr>
                <w:color w:val="auto"/>
                <w:sz w:val="19"/>
                <w:szCs w:val="19"/>
                <w:lang w:eastAsia="en-US"/>
              </w:rPr>
            </w:pPr>
            <w:r w:rsidRPr="00FA31EC">
              <w:rPr>
                <w:sz w:val="19"/>
                <w:szCs w:val="19"/>
              </w:rPr>
              <w:t>–</w:t>
            </w:r>
          </w:p>
        </w:tc>
        <w:tc>
          <w:tcPr>
            <w:tcW w:w="1134" w:type="dxa"/>
          </w:tcPr>
          <w:p w14:paraId="4372EBF2" w14:textId="77777777" w:rsidR="003077CB" w:rsidRPr="00FA31EC" w:rsidRDefault="003077CB" w:rsidP="00FA31EC">
            <w:pPr>
              <w:rPr>
                <w:color w:val="auto"/>
                <w:sz w:val="19"/>
                <w:szCs w:val="19"/>
                <w:lang w:eastAsia="en-US"/>
              </w:rPr>
            </w:pPr>
            <w:r w:rsidRPr="00FA31EC">
              <w:rPr>
                <w:sz w:val="19"/>
                <w:szCs w:val="19"/>
              </w:rPr>
              <w:t>–</w:t>
            </w:r>
          </w:p>
        </w:tc>
        <w:tc>
          <w:tcPr>
            <w:tcW w:w="1276" w:type="dxa"/>
          </w:tcPr>
          <w:p w14:paraId="2AD2890B" w14:textId="77777777" w:rsidR="003077CB" w:rsidRPr="00FA31EC" w:rsidRDefault="003077CB" w:rsidP="00FA31EC">
            <w:pPr>
              <w:rPr>
                <w:color w:val="auto"/>
                <w:sz w:val="19"/>
                <w:szCs w:val="19"/>
                <w:lang w:eastAsia="en-US"/>
              </w:rPr>
            </w:pPr>
            <w:r w:rsidRPr="00FA31EC">
              <w:rPr>
                <w:sz w:val="19"/>
                <w:szCs w:val="19"/>
              </w:rPr>
              <w:t>–</w:t>
            </w:r>
          </w:p>
        </w:tc>
      </w:tr>
      <w:tr w:rsidR="003077CB" w:rsidRPr="00FA31EC" w14:paraId="4F4A48A6" w14:textId="77777777" w:rsidTr="00FA31EC">
        <w:trPr>
          <w:trHeight w:val="155"/>
        </w:trPr>
        <w:tc>
          <w:tcPr>
            <w:tcW w:w="2093" w:type="dxa"/>
          </w:tcPr>
          <w:p w14:paraId="594DD37A" w14:textId="77777777" w:rsidR="003077CB" w:rsidRPr="00FA31EC" w:rsidRDefault="003077CB" w:rsidP="00FA31EC">
            <w:pPr>
              <w:ind w:left="0"/>
              <w:rPr>
                <w:color w:val="auto"/>
                <w:sz w:val="19"/>
                <w:szCs w:val="19"/>
                <w:lang w:eastAsia="en-US"/>
              </w:rPr>
            </w:pPr>
            <w:r w:rsidRPr="00FA31EC">
              <w:rPr>
                <w:sz w:val="19"/>
                <w:szCs w:val="19"/>
              </w:rPr>
              <w:t>Important potential risks</w:t>
            </w:r>
          </w:p>
        </w:tc>
        <w:tc>
          <w:tcPr>
            <w:tcW w:w="2410" w:type="dxa"/>
          </w:tcPr>
          <w:p w14:paraId="19B6D4A0" w14:textId="77777777" w:rsidR="003077CB" w:rsidRPr="00FA31EC" w:rsidRDefault="003077CB" w:rsidP="00FA31EC">
            <w:pPr>
              <w:ind w:left="0"/>
              <w:rPr>
                <w:color w:val="auto"/>
                <w:sz w:val="19"/>
                <w:szCs w:val="19"/>
                <w:lang w:eastAsia="en-US"/>
              </w:rPr>
            </w:pPr>
            <w:r w:rsidRPr="00FA31EC">
              <w:rPr>
                <w:sz w:val="19"/>
                <w:szCs w:val="19"/>
              </w:rPr>
              <w:t>None</w:t>
            </w:r>
          </w:p>
        </w:tc>
        <w:tc>
          <w:tcPr>
            <w:tcW w:w="1134" w:type="dxa"/>
          </w:tcPr>
          <w:p w14:paraId="1607C7C8" w14:textId="77777777" w:rsidR="003077CB" w:rsidRPr="00FA31EC" w:rsidRDefault="003077CB" w:rsidP="00FA31EC">
            <w:pPr>
              <w:rPr>
                <w:color w:val="auto"/>
                <w:sz w:val="19"/>
                <w:szCs w:val="19"/>
                <w:lang w:eastAsia="en-US"/>
              </w:rPr>
            </w:pPr>
            <w:r w:rsidRPr="00FA31EC">
              <w:rPr>
                <w:sz w:val="19"/>
                <w:szCs w:val="19"/>
              </w:rPr>
              <w:t>–</w:t>
            </w:r>
          </w:p>
        </w:tc>
        <w:tc>
          <w:tcPr>
            <w:tcW w:w="1275" w:type="dxa"/>
          </w:tcPr>
          <w:p w14:paraId="43880C56" w14:textId="77777777" w:rsidR="003077CB" w:rsidRPr="00FA31EC" w:rsidRDefault="003077CB" w:rsidP="00FA31EC">
            <w:pPr>
              <w:rPr>
                <w:color w:val="auto"/>
                <w:sz w:val="19"/>
                <w:szCs w:val="19"/>
                <w:lang w:eastAsia="en-US"/>
              </w:rPr>
            </w:pPr>
            <w:r w:rsidRPr="00FA31EC">
              <w:rPr>
                <w:sz w:val="19"/>
                <w:szCs w:val="19"/>
              </w:rPr>
              <w:t>–</w:t>
            </w:r>
          </w:p>
        </w:tc>
        <w:tc>
          <w:tcPr>
            <w:tcW w:w="1134" w:type="dxa"/>
          </w:tcPr>
          <w:p w14:paraId="554E206C" w14:textId="77777777" w:rsidR="003077CB" w:rsidRPr="00FA31EC" w:rsidRDefault="003077CB" w:rsidP="00FA31EC">
            <w:pPr>
              <w:rPr>
                <w:color w:val="auto"/>
                <w:sz w:val="19"/>
                <w:szCs w:val="19"/>
                <w:lang w:eastAsia="en-US"/>
              </w:rPr>
            </w:pPr>
            <w:r w:rsidRPr="00FA31EC">
              <w:rPr>
                <w:sz w:val="19"/>
                <w:szCs w:val="19"/>
              </w:rPr>
              <w:t>–</w:t>
            </w:r>
          </w:p>
        </w:tc>
        <w:tc>
          <w:tcPr>
            <w:tcW w:w="1276" w:type="dxa"/>
          </w:tcPr>
          <w:p w14:paraId="313EBFA1" w14:textId="77777777" w:rsidR="003077CB" w:rsidRPr="00FA31EC" w:rsidRDefault="003077CB" w:rsidP="00FA31EC">
            <w:pPr>
              <w:rPr>
                <w:color w:val="auto"/>
                <w:sz w:val="19"/>
                <w:szCs w:val="19"/>
                <w:lang w:eastAsia="en-US"/>
              </w:rPr>
            </w:pPr>
            <w:r w:rsidRPr="00FA31EC">
              <w:rPr>
                <w:sz w:val="19"/>
                <w:szCs w:val="19"/>
              </w:rPr>
              <w:t>–</w:t>
            </w:r>
          </w:p>
        </w:tc>
      </w:tr>
      <w:tr w:rsidR="003077CB" w:rsidRPr="00FA31EC" w14:paraId="059129E5" w14:textId="77777777" w:rsidTr="00FA31EC">
        <w:trPr>
          <w:trHeight w:val="174"/>
        </w:trPr>
        <w:tc>
          <w:tcPr>
            <w:tcW w:w="2093" w:type="dxa"/>
            <w:vMerge w:val="restart"/>
          </w:tcPr>
          <w:p w14:paraId="6FD1D4E1" w14:textId="77777777" w:rsidR="003077CB" w:rsidRPr="00FA31EC" w:rsidRDefault="003077CB" w:rsidP="00FA31EC">
            <w:pPr>
              <w:ind w:left="0"/>
              <w:rPr>
                <w:color w:val="auto"/>
                <w:sz w:val="19"/>
                <w:szCs w:val="19"/>
                <w:lang w:eastAsia="en-US"/>
              </w:rPr>
            </w:pPr>
            <w:r w:rsidRPr="00FA31EC">
              <w:rPr>
                <w:sz w:val="19"/>
                <w:szCs w:val="19"/>
              </w:rPr>
              <w:t>Missing information</w:t>
            </w:r>
          </w:p>
        </w:tc>
        <w:tc>
          <w:tcPr>
            <w:tcW w:w="2410" w:type="dxa"/>
          </w:tcPr>
          <w:p w14:paraId="5FE0AE01" w14:textId="77777777" w:rsidR="003077CB" w:rsidRPr="00FA31EC" w:rsidRDefault="003077CB" w:rsidP="00FA31EC">
            <w:pPr>
              <w:ind w:left="0"/>
              <w:rPr>
                <w:sz w:val="19"/>
                <w:szCs w:val="19"/>
              </w:rPr>
            </w:pPr>
            <w:r w:rsidRPr="00FA31EC">
              <w:rPr>
                <w:sz w:val="19"/>
                <w:szCs w:val="19"/>
              </w:rPr>
              <w:t>Safety during pregnancy</w:t>
            </w:r>
          </w:p>
        </w:tc>
        <w:tc>
          <w:tcPr>
            <w:tcW w:w="1134" w:type="dxa"/>
          </w:tcPr>
          <w:p w14:paraId="4980365A" w14:textId="77777777" w:rsidR="003077CB" w:rsidRPr="00FA31EC" w:rsidRDefault="003077CB" w:rsidP="00FA31EC">
            <w:pPr>
              <w:rPr>
                <w:color w:val="auto"/>
                <w:sz w:val="19"/>
                <w:szCs w:val="19"/>
                <w:lang w:eastAsia="en-US"/>
              </w:rPr>
            </w:pPr>
            <w:r w:rsidRPr="00FA31EC">
              <w:rPr>
                <w:sz w:val="19"/>
                <w:szCs w:val="19"/>
              </w:rPr>
              <w:sym w:font="Wingdings" w:char="F0FC"/>
            </w:r>
          </w:p>
        </w:tc>
        <w:tc>
          <w:tcPr>
            <w:tcW w:w="1275" w:type="dxa"/>
          </w:tcPr>
          <w:p w14:paraId="56B1FA4E" w14:textId="77777777" w:rsidR="003077CB" w:rsidRPr="00FA31EC" w:rsidRDefault="003077CB" w:rsidP="00FA31EC">
            <w:pPr>
              <w:rPr>
                <w:color w:val="auto"/>
                <w:sz w:val="19"/>
                <w:szCs w:val="19"/>
                <w:lang w:eastAsia="en-US"/>
              </w:rPr>
            </w:pPr>
            <w:r w:rsidRPr="00FA31EC">
              <w:rPr>
                <w:sz w:val="19"/>
                <w:szCs w:val="19"/>
              </w:rPr>
              <w:sym w:font="Wingdings" w:char="F0FC"/>
            </w:r>
            <w:r w:rsidRPr="00FA31EC">
              <w:rPr>
                <w:sz w:val="19"/>
                <w:szCs w:val="19"/>
              </w:rPr>
              <w:t>†</w:t>
            </w:r>
          </w:p>
        </w:tc>
        <w:tc>
          <w:tcPr>
            <w:tcW w:w="1134" w:type="dxa"/>
          </w:tcPr>
          <w:p w14:paraId="04DC537D" w14:textId="77777777" w:rsidR="003077CB" w:rsidRPr="00FA31EC" w:rsidRDefault="003077CB" w:rsidP="00FA31EC">
            <w:pPr>
              <w:rPr>
                <w:color w:val="auto"/>
                <w:sz w:val="19"/>
                <w:szCs w:val="19"/>
                <w:lang w:eastAsia="en-US"/>
              </w:rPr>
            </w:pPr>
            <w:r w:rsidRPr="00FA31EC">
              <w:rPr>
                <w:sz w:val="19"/>
                <w:szCs w:val="19"/>
              </w:rPr>
              <w:sym w:font="Wingdings" w:char="F0FC"/>
            </w:r>
          </w:p>
        </w:tc>
        <w:tc>
          <w:tcPr>
            <w:tcW w:w="1276" w:type="dxa"/>
          </w:tcPr>
          <w:p w14:paraId="137B8B06" w14:textId="77777777" w:rsidR="003077CB" w:rsidRPr="00FA31EC" w:rsidRDefault="003077CB" w:rsidP="00FA31EC">
            <w:pPr>
              <w:rPr>
                <w:color w:val="auto"/>
                <w:sz w:val="19"/>
                <w:szCs w:val="19"/>
                <w:lang w:eastAsia="en-US"/>
              </w:rPr>
            </w:pPr>
            <w:r w:rsidRPr="00FA31EC">
              <w:rPr>
                <w:sz w:val="19"/>
                <w:szCs w:val="19"/>
              </w:rPr>
              <w:t>–</w:t>
            </w:r>
          </w:p>
        </w:tc>
      </w:tr>
      <w:tr w:rsidR="003077CB" w:rsidRPr="00FA31EC" w14:paraId="2FCED165" w14:textId="77777777" w:rsidTr="00FA31EC">
        <w:trPr>
          <w:trHeight w:val="100"/>
        </w:trPr>
        <w:tc>
          <w:tcPr>
            <w:tcW w:w="2093" w:type="dxa"/>
            <w:vMerge/>
          </w:tcPr>
          <w:p w14:paraId="2D00D8F6" w14:textId="77777777" w:rsidR="003077CB" w:rsidRPr="00FA31EC" w:rsidRDefault="003077CB" w:rsidP="00FA31EC">
            <w:pPr>
              <w:rPr>
                <w:color w:val="auto"/>
                <w:sz w:val="19"/>
                <w:szCs w:val="19"/>
                <w:lang w:eastAsia="en-US"/>
              </w:rPr>
            </w:pPr>
          </w:p>
        </w:tc>
        <w:tc>
          <w:tcPr>
            <w:tcW w:w="2410" w:type="dxa"/>
          </w:tcPr>
          <w:p w14:paraId="149013A3" w14:textId="77777777" w:rsidR="003077CB" w:rsidRPr="00FA31EC" w:rsidRDefault="003077CB" w:rsidP="00FA31EC">
            <w:pPr>
              <w:ind w:left="0"/>
              <w:rPr>
                <w:sz w:val="19"/>
                <w:szCs w:val="19"/>
              </w:rPr>
            </w:pPr>
            <w:r w:rsidRPr="00FA31EC">
              <w:rPr>
                <w:sz w:val="19"/>
                <w:szCs w:val="19"/>
              </w:rPr>
              <w:t>Safety during lactation</w:t>
            </w:r>
          </w:p>
        </w:tc>
        <w:tc>
          <w:tcPr>
            <w:tcW w:w="1134" w:type="dxa"/>
          </w:tcPr>
          <w:p w14:paraId="764E0584" w14:textId="77777777" w:rsidR="003077CB" w:rsidRPr="00FA31EC" w:rsidRDefault="003077CB" w:rsidP="00FA31EC">
            <w:pPr>
              <w:rPr>
                <w:color w:val="auto"/>
                <w:sz w:val="19"/>
                <w:szCs w:val="19"/>
                <w:lang w:eastAsia="en-US"/>
              </w:rPr>
            </w:pPr>
            <w:r w:rsidRPr="00FA31EC">
              <w:rPr>
                <w:sz w:val="19"/>
                <w:szCs w:val="19"/>
              </w:rPr>
              <w:sym w:font="Wingdings" w:char="F0FC"/>
            </w:r>
          </w:p>
        </w:tc>
        <w:tc>
          <w:tcPr>
            <w:tcW w:w="1275" w:type="dxa"/>
          </w:tcPr>
          <w:p w14:paraId="2A3686BA" w14:textId="77777777" w:rsidR="003077CB" w:rsidRPr="00FA31EC" w:rsidRDefault="003077CB" w:rsidP="00FA31EC">
            <w:pPr>
              <w:rPr>
                <w:color w:val="auto"/>
                <w:sz w:val="19"/>
                <w:szCs w:val="19"/>
                <w:lang w:eastAsia="en-US"/>
              </w:rPr>
            </w:pPr>
            <w:r w:rsidRPr="00FA31EC">
              <w:rPr>
                <w:sz w:val="19"/>
                <w:szCs w:val="19"/>
              </w:rPr>
              <w:t>–</w:t>
            </w:r>
          </w:p>
        </w:tc>
        <w:tc>
          <w:tcPr>
            <w:tcW w:w="1134" w:type="dxa"/>
          </w:tcPr>
          <w:p w14:paraId="08DB4519" w14:textId="77777777" w:rsidR="003077CB" w:rsidRPr="00FA31EC" w:rsidRDefault="003077CB" w:rsidP="00FA31EC">
            <w:pPr>
              <w:rPr>
                <w:color w:val="auto"/>
                <w:sz w:val="19"/>
                <w:szCs w:val="19"/>
                <w:lang w:eastAsia="en-US"/>
              </w:rPr>
            </w:pPr>
            <w:r w:rsidRPr="00FA31EC">
              <w:rPr>
                <w:sz w:val="19"/>
                <w:szCs w:val="19"/>
              </w:rPr>
              <w:sym w:font="Wingdings" w:char="F0FC"/>
            </w:r>
          </w:p>
        </w:tc>
        <w:tc>
          <w:tcPr>
            <w:tcW w:w="1276" w:type="dxa"/>
          </w:tcPr>
          <w:p w14:paraId="5EF6740C" w14:textId="77777777" w:rsidR="003077CB" w:rsidRPr="00FA31EC" w:rsidRDefault="003077CB" w:rsidP="00FA31EC">
            <w:pPr>
              <w:rPr>
                <w:color w:val="auto"/>
                <w:sz w:val="19"/>
                <w:szCs w:val="19"/>
                <w:lang w:eastAsia="en-US"/>
              </w:rPr>
            </w:pPr>
            <w:r w:rsidRPr="00FA31EC">
              <w:rPr>
                <w:sz w:val="19"/>
                <w:szCs w:val="19"/>
              </w:rPr>
              <w:t>–</w:t>
            </w:r>
          </w:p>
        </w:tc>
      </w:tr>
      <w:tr w:rsidR="003077CB" w:rsidRPr="00FA31EC" w14:paraId="00B318F4" w14:textId="77777777" w:rsidTr="00FA31EC">
        <w:trPr>
          <w:trHeight w:val="100"/>
        </w:trPr>
        <w:tc>
          <w:tcPr>
            <w:tcW w:w="2093" w:type="dxa"/>
            <w:vMerge/>
          </w:tcPr>
          <w:p w14:paraId="2C43CBC9" w14:textId="77777777" w:rsidR="003077CB" w:rsidRPr="00FA31EC" w:rsidRDefault="003077CB" w:rsidP="00FA31EC">
            <w:pPr>
              <w:rPr>
                <w:color w:val="auto"/>
                <w:sz w:val="19"/>
                <w:szCs w:val="19"/>
                <w:lang w:eastAsia="en-US"/>
              </w:rPr>
            </w:pPr>
          </w:p>
        </w:tc>
        <w:tc>
          <w:tcPr>
            <w:tcW w:w="2410" w:type="dxa"/>
          </w:tcPr>
          <w:p w14:paraId="3FEDAB6C" w14:textId="77777777" w:rsidR="003077CB" w:rsidRPr="00FA31EC" w:rsidRDefault="003077CB" w:rsidP="00FA31EC">
            <w:pPr>
              <w:ind w:left="0"/>
              <w:rPr>
                <w:sz w:val="19"/>
                <w:szCs w:val="19"/>
              </w:rPr>
            </w:pPr>
            <w:r w:rsidRPr="00FA31EC">
              <w:rPr>
                <w:sz w:val="19"/>
                <w:szCs w:val="19"/>
              </w:rPr>
              <w:t>Safety in elderly patients</w:t>
            </w:r>
          </w:p>
        </w:tc>
        <w:tc>
          <w:tcPr>
            <w:tcW w:w="1134" w:type="dxa"/>
          </w:tcPr>
          <w:p w14:paraId="1BD61A10" w14:textId="77777777" w:rsidR="003077CB" w:rsidRPr="00FA31EC" w:rsidRDefault="003077CB" w:rsidP="00FA31EC">
            <w:pPr>
              <w:rPr>
                <w:color w:val="auto"/>
                <w:sz w:val="19"/>
                <w:szCs w:val="19"/>
                <w:lang w:eastAsia="en-US"/>
              </w:rPr>
            </w:pPr>
            <w:r w:rsidRPr="00FA31EC">
              <w:rPr>
                <w:sz w:val="19"/>
                <w:szCs w:val="19"/>
              </w:rPr>
              <w:sym w:font="Wingdings" w:char="F0FC"/>
            </w:r>
          </w:p>
        </w:tc>
        <w:tc>
          <w:tcPr>
            <w:tcW w:w="1275" w:type="dxa"/>
          </w:tcPr>
          <w:p w14:paraId="7FB2AAC1" w14:textId="77777777" w:rsidR="003077CB" w:rsidRPr="00FA31EC" w:rsidRDefault="003077CB" w:rsidP="00FA31EC">
            <w:pPr>
              <w:rPr>
                <w:color w:val="auto"/>
                <w:sz w:val="19"/>
                <w:szCs w:val="19"/>
                <w:lang w:eastAsia="en-US"/>
              </w:rPr>
            </w:pPr>
            <w:r w:rsidRPr="00FA31EC">
              <w:rPr>
                <w:sz w:val="19"/>
                <w:szCs w:val="19"/>
              </w:rPr>
              <w:t>–</w:t>
            </w:r>
          </w:p>
        </w:tc>
        <w:tc>
          <w:tcPr>
            <w:tcW w:w="1134" w:type="dxa"/>
          </w:tcPr>
          <w:p w14:paraId="044DB13E" w14:textId="77777777" w:rsidR="003077CB" w:rsidRPr="00FA31EC" w:rsidRDefault="003077CB" w:rsidP="00FA31EC">
            <w:pPr>
              <w:rPr>
                <w:color w:val="auto"/>
                <w:sz w:val="19"/>
                <w:szCs w:val="19"/>
                <w:lang w:eastAsia="en-US"/>
              </w:rPr>
            </w:pPr>
          </w:p>
        </w:tc>
        <w:tc>
          <w:tcPr>
            <w:tcW w:w="1276" w:type="dxa"/>
          </w:tcPr>
          <w:p w14:paraId="33954634" w14:textId="77777777" w:rsidR="003077CB" w:rsidRPr="00FA31EC" w:rsidRDefault="003077CB" w:rsidP="00FA31EC">
            <w:pPr>
              <w:rPr>
                <w:color w:val="auto"/>
                <w:sz w:val="19"/>
                <w:szCs w:val="19"/>
                <w:lang w:eastAsia="en-US"/>
              </w:rPr>
            </w:pPr>
          </w:p>
        </w:tc>
      </w:tr>
      <w:tr w:rsidR="003077CB" w:rsidRPr="00FA31EC" w14:paraId="520B5B64" w14:textId="77777777" w:rsidTr="00FA31EC">
        <w:trPr>
          <w:trHeight w:val="137"/>
        </w:trPr>
        <w:tc>
          <w:tcPr>
            <w:tcW w:w="2093" w:type="dxa"/>
            <w:vMerge/>
          </w:tcPr>
          <w:p w14:paraId="71D0F6DE" w14:textId="77777777" w:rsidR="003077CB" w:rsidRPr="00FA31EC" w:rsidRDefault="003077CB" w:rsidP="00FA31EC">
            <w:pPr>
              <w:rPr>
                <w:color w:val="auto"/>
                <w:sz w:val="19"/>
                <w:szCs w:val="19"/>
                <w:lang w:eastAsia="en-US"/>
              </w:rPr>
            </w:pPr>
          </w:p>
        </w:tc>
        <w:tc>
          <w:tcPr>
            <w:tcW w:w="2410" w:type="dxa"/>
          </w:tcPr>
          <w:p w14:paraId="789BA59F" w14:textId="77777777" w:rsidR="003077CB" w:rsidRPr="00FA31EC" w:rsidRDefault="003077CB" w:rsidP="00FA31EC">
            <w:pPr>
              <w:rPr>
                <w:sz w:val="19"/>
                <w:szCs w:val="19"/>
              </w:rPr>
            </w:pPr>
            <w:r w:rsidRPr="00FA31EC">
              <w:rPr>
                <w:sz w:val="19"/>
                <w:szCs w:val="19"/>
              </w:rPr>
              <w:t>Long-term safety</w:t>
            </w:r>
          </w:p>
        </w:tc>
        <w:tc>
          <w:tcPr>
            <w:tcW w:w="1134" w:type="dxa"/>
          </w:tcPr>
          <w:p w14:paraId="062DBDA0" w14:textId="77777777" w:rsidR="003077CB" w:rsidRPr="00FA31EC" w:rsidRDefault="003077CB" w:rsidP="00FA31EC">
            <w:pPr>
              <w:rPr>
                <w:color w:val="auto"/>
                <w:sz w:val="19"/>
                <w:szCs w:val="19"/>
                <w:lang w:eastAsia="en-US"/>
              </w:rPr>
            </w:pPr>
            <w:r w:rsidRPr="00FA31EC">
              <w:rPr>
                <w:sz w:val="19"/>
                <w:szCs w:val="19"/>
              </w:rPr>
              <w:sym w:font="Wingdings" w:char="F0FC"/>
            </w:r>
          </w:p>
        </w:tc>
        <w:tc>
          <w:tcPr>
            <w:tcW w:w="1275" w:type="dxa"/>
          </w:tcPr>
          <w:p w14:paraId="23D05627" w14:textId="77777777" w:rsidR="003077CB" w:rsidRPr="00FA31EC" w:rsidRDefault="003077CB" w:rsidP="00FA31EC">
            <w:pPr>
              <w:rPr>
                <w:color w:val="auto"/>
                <w:sz w:val="19"/>
                <w:szCs w:val="19"/>
                <w:lang w:eastAsia="en-US"/>
              </w:rPr>
            </w:pPr>
            <w:r w:rsidRPr="00FA31EC">
              <w:rPr>
                <w:sz w:val="19"/>
                <w:szCs w:val="19"/>
              </w:rPr>
              <w:t>–</w:t>
            </w:r>
          </w:p>
        </w:tc>
        <w:tc>
          <w:tcPr>
            <w:tcW w:w="1134" w:type="dxa"/>
          </w:tcPr>
          <w:p w14:paraId="0A85E466" w14:textId="77777777" w:rsidR="003077CB" w:rsidRPr="00FA31EC" w:rsidRDefault="003077CB" w:rsidP="00FA31EC">
            <w:pPr>
              <w:rPr>
                <w:color w:val="auto"/>
                <w:sz w:val="19"/>
                <w:szCs w:val="19"/>
                <w:lang w:eastAsia="en-US"/>
              </w:rPr>
            </w:pPr>
            <w:r w:rsidRPr="00FA31EC">
              <w:rPr>
                <w:sz w:val="19"/>
                <w:szCs w:val="19"/>
              </w:rPr>
              <w:sym w:font="Wingdings" w:char="F0FC"/>
            </w:r>
          </w:p>
        </w:tc>
        <w:tc>
          <w:tcPr>
            <w:tcW w:w="1276" w:type="dxa"/>
          </w:tcPr>
          <w:p w14:paraId="4D97C272" w14:textId="77777777" w:rsidR="003077CB" w:rsidRPr="00FA31EC" w:rsidRDefault="003077CB" w:rsidP="00FA31EC">
            <w:pPr>
              <w:rPr>
                <w:color w:val="auto"/>
                <w:sz w:val="19"/>
                <w:szCs w:val="19"/>
                <w:lang w:eastAsia="en-US"/>
              </w:rPr>
            </w:pPr>
            <w:r w:rsidRPr="00FA31EC">
              <w:rPr>
                <w:sz w:val="19"/>
                <w:szCs w:val="19"/>
              </w:rPr>
              <w:t>–</w:t>
            </w:r>
          </w:p>
        </w:tc>
      </w:tr>
    </w:tbl>
    <w:p w14:paraId="491BA823" w14:textId="7EBA52D9" w:rsidR="003077CB" w:rsidRDefault="003077CB" w:rsidP="00FA31EC">
      <w:pPr>
        <w:pStyle w:val="TableDescription"/>
      </w:pPr>
      <w:r w:rsidRPr="00F72394">
        <w:t>*</w:t>
      </w:r>
      <w:r>
        <w:t xml:space="preserve"> The sponsor removed the important identified risk of immune reconstitution inflammatory syndrome at </w:t>
      </w:r>
      <w:r w:rsidR="008E48BE">
        <w:t>the second round evaluation</w:t>
      </w:r>
      <w:r>
        <w:t xml:space="preserve"> on advice from the </w:t>
      </w:r>
      <w:r w:rsidR="006F3FD1">
        <w:t>European Medicines Agency (</w:t>
      </w:r>
      <w:r>
        <w:t>EMA</w:t>
      </w:r>
      <w:r w:rsidR="006F3FD1">
        <w:t>)</w:t>
      </w:r>
      <w:r>
        <w:t>.</w:t>
      </w:r>
      <w:r w:rsidR="008A3131">
        <w:t xml:space="preserve"> </w:t>
      </w:r>
      <w:r w:rsidRPr="001E605B">
        <w:t>† Antiretroviral Pregnancy Registry</w:t>
      </w:r>
      <w:r w:rsidR="006F3FD1">
        <w:t>.</w:t>
      </w:r>
    </w:p>
    <w:p w14:paraId="5F2DB46B" w14:textId="11191CF8" w:rsidR="008A3131" w:rsidRPr="001E605B" w:rsidRDefault="008A3131" w:rsidP="008A3131">
      <w:pPr>
        <w:pStyle w:val="TableTitle"/>
      </w:pPr>
      <w:r>
        <w:lastRenderedPageBreak/>
        <w:t xml:space="preserve">Table </w:t>
      </w:r>
      <w:fldSimple w:instr=" SEQ Table \* ARABIC ">
        <w:r w:rsidR="000644BB">
          <w:rPr>
            <w:noProof/>
          </w:rPr>
          <w:t>28</w:t>
        </w:r>
      </w:fldSimple>
      <w:r>
        <w:t xml:space="preserve">: </w:t>
      </w:r>
      <w:r w:rsidRPr="004F1C07">
        <w:t xml:space="preserve">Summary of safety </w:t>
      </w:r>
      <w:r w:rsidRPr="00393A10">
        <w:t xml:space="preserve">concerns </w:t>
      </w:r>
      <w:r w:rsidRPr="00995556">
        <w:t xml:space="preserve">for </w:t>
      </w:r>
      <w:r w:rsidRPr="008A3131">
        <w:t>doravirine/lamivudine/tenofovir disoproxil</w:t>
      </w:r>
      <w:r w:rsidRPr="008A3131">
        <w:rPr>
          <w:smallCaps/>
        </w:rPr>
        <w:t xml:space="preserve"> </w:t>
      </w:r>
      <w:r w:rsidRPr="008A3131">
        <w:t>fumarate</w:t>
      </w:r>
    </w:p>
    <w:tbl>
      <w:tblPr>
        <w:tblStyle w:val="TableTGAblue"/>
        <w:tblW w:w="9322" w:type="dxa"/>
        <w:tblLayout w:type="fixed"/>
        <w:tblLook w:val="04A0" w:firstRow="1" w:lastRow="0" w:firstColumn="1" w:lastColumn="0" w:noHBand="0" w:noVBand="1"/>
      </w:tblPr>
      <w:tblGrid>
        <w:gridCol w:w="1384"/>
        <w:gridCol w:w="1418"/>
        <w:gridCol w:w="1559"/>
        <w:gridCol w:w="1134"/>
        <w:gridCol w:w="1276"/>
        <w:gridCol w:w="1134"/>
        <w:gridCol w:w="1417"/>
      </w:tblGrid>
      <w:tr w:rsidR="003077CB" w:rsidRPr="00FA31EC" w14:paraId="7D3B4304" w14:textId="77777777" w:rsidTr="00FA31EC">
        <w:trPr>
          <w:cnfStyle w:val="100000000000" w:firstRow="1" w:lastRow="0" w:firstColumn="0" w:lastColumn="0" w:oddVBand="0" w:evenVBand="0" w:oddHBand="0" w:evenHBand="0" w:firstRowFirstColumn="0" w:firstRowLastColumn="0" w:lastRowFirstColumn="0" w:lastRowLastColumn="0"/>
          <w:trHeight w:val="122"/>
        </w:trPr>
        <w:tc>
          <w:tcPr>
            <w:tcW w:w="4361" w:type="dxa"/>
            <w:gridSpan w:val="3"/>
            <w:vMerge w:val="restart"/>
          </w:tcPr>
          <w:p w14:paraId="450E1C5C" w14:textId="7A5252BE" w:rsidR="003077CB" w:rsidRPr="00FA31EC" w:rsidRDefault="003077CB" w:rsidP="00FA31EC">
            <w:pPr>
              <w:ind w:left="0"/>
              <w:rPr>
                <w:sz w:val="19"/>
                <w:szCs w:val="19"/>
              </w:rPr>
            </w:pPr>
            <w:r w:rsidRPr="00FA31EC">
              <w:rPr>
                <w:sz w:val="19"/>
                <w:szCs w:val="19"/>
              </w:rPr>
              <w:t>Summary of safety concerns</w:t>
            </w:r>
          </w:p>
        </w:tc>
        <w:tc>
          <w:tcPr>
            <w:tcW w:w="2410" w:type="dxa"/>
            <w:gridSpan w:val="2"/>
          </w:tcPr>
          <w:p w14:paraId="4962C080" w14:textId="77777777" w:rsidR="003077CB" w:rsidRPr="00FA31EC" w:rsidRDefault="003077CB" w:rsidP="00FA31EC">
            <w:pPr>
              <w:ind w:left="28"/>
              <w:rPr>
                <w:sz w:val="19"/>
                <w:szCs w:val="19"/>
              </w:rPr>
            </w:pPr>
            <w:r w:rsidRPr="00FA31EC">
              <w:rPr>
                <w:sz w:val="19"/>
                <w:szCs w:val="19"/>
              </w:rPr>
              <w:t>Pharmacovigilance</w:t>
            </w:r>
          </w:p>
        </w:tc>
        <w:tc>
          <w:tcPr>
            <w:tcW w:w="2551" w:type="dxa"/>
            <w:gridSpan w:val="2"/>
          </w:tcPr>
          <w:p w14:paraId="6C7FC87D" w14:textId="77777777" w:rsidR="003077CB" w:rsidRPr="00FA31EC" w:rsidRDefault="003077CB" w:rsidP="00FA31EC">
            <w:pPr>
              <w:ind w:left="40"/>
              <w:rPr>
                <w:sz w:val="19"/>
                <w:szCs w:val="19"/>
              </w:rPr>
            </w:pPr>
            <w:r w:rsidRPr="00FA31EC">
              <w:rPr>
                <w:sz w:val="19"/>
                <w:szCs w:val="19"/>
              </w:rPr>
              <w:t>Risk Minimisation</w:t>
            </w:r>
          </w:p>
        </w:tc>
      </w:tr>
      <w:tr w:rsidR="003077CB" w:rsidRPr="00FA31EC" w14:paraId="667EA6C1" w14:textId="77777777" w:rsidTr="00FA31EC">
        <w:trPr>
          <w:trHeight w:val="667"/>
        </w:trPr>
        <w:tc>
          <w:tcPr>
            <w:tcW w:w="4361" w:type="dxa"/>
            <w:gridSpan w:val="3"/>
            <w:vMerge/>
          </w:tcPr>
          <w:p w14:paraId="6586E7F6" w14:textId="77777777" w:rsidR="003077CB" w:rsidRPr="00FA31EC" w:rsidRDefault="003077CB" w:rsidP="00FA31EC">
            <w:pPr>
              <w:ind w:left="0"/>
              <w:rPr>
                <w:sz w:val="19"/>
                <w:szCs w:val="19"/>
              </w:rPr>
            </w:pPr>
          </w:p>
        </w:tc>
        <w:tc>
          <w:tcPr>
            <w:tcW w:w="1134" w:type="dxa"/>
          </w:tcPr>
          <w:p w14:paraId="037DBDC9" w14:textId="77777777" w:rsidR="003077CB" w:rsidRPr="00FA31EC" w:rsidRDefault="003077CB" w:rsidP="00FA31EC">
            <w:pPr>
              <w:ind w:left="28"/>
              <w:rPr>
                <w:sz w:val="19"/>
                <w:szCs w:val="19"/>
              </w:rPr>
            </w:pPr>
            <w:r w:rsidRPr="00FA31EC">
              <w:rPr>
                <w:sz w:val="19"/>
                <w:szCs w:val="19"/>
              </w:rPr>
              <w:t>Routine</w:t>
            </w:r>
          </w:p>
        </w:tc>
        <w:tc>
          <w:tcPr>
            <w:tcW w:w="1276" w:type="dxa"/>
          </w:tcPr>
          <w:p w14:paraId="09E66D56" w14:textId="77777777" w:rsidR="003077CB" w:rsidRPr="00FA31EC" w:rsidRDefault="003077CB" w:rsidP="00FA31EC">
            <w:pPr>
              <w:ind w:left="28"/>
              <w:rPr>
                <w:sz w:val="19"/>
                <w:szCs w:val="19"/>
              </w:rPr>
            </w:pPr>
            <w:r w:rsidRPr="00FA31EC">
              <w:rPr>
                <w:sz w:val="19"/>
                <w:szCs w:val="19"/>
              </w:rPr>
              <w:t>Additional</w:t>
            </w:r>
          </w:p>
        </w:tc>
        <w:tc>
          <w:tcPr>
            <w:tcW w:w="1134" w:type="dxa"/>
          </w:tcPr>
          <w:p w14:paraId="67FD4140" w14:textId="77777777" w:rsidR="003077CB" w:rsidRPr="00FA31EC" w:rsidRDefault="003077CB" w:rsidP="00FA31EC">
            <w:pPr>
              <w:ind w:left="40"/>
              <w:rPr>
                <w:sz w:val="19"/>
                <w:szCs w:val="19"/>
              </w:rPr>
            </w:pPr>
            <w:r w:rsidRPr="00FA31EC">
              <w:rPr>
                <w:sz w:val="19"/>
                <w:szCs w:val="19"/>
              </w:rPr>
              <w:t>Routine</w:t>
            </w:r>
          </w:p>
        </w:tc>
        <w:tc>
          <w:tcPr>
            <w:tcW w:w="1417" w:type="dxa"/>
            <w:tcMar>
              <w:left w:w="0" w:type="dxa"/>
              <w:right w:w="0" w:type="dxa"/>
            </w:tcMar>
          </w:tcPr>
          <w:p w14:paraId="79BD1940" w14:textId="77777777" w:rsidR="003077CB" w:rsidRPr="00FA31EC" w:rsidRDefault="003077CB" w:rsidP="00FA31EC">
            <w:pPr>
              <w:ind w:left="40"/>
              <w:rPr>
                <w:sz w:val="19"/>
                <w:szCs w:val="19"/>
              </w:rPr>
            </w:pPr>
            <w:r w:rsidRPr="00FA31EC">
              <w:rPr>
                <w:sz w:val="19"/>
                <w:szCs w:val="19"/>
              </w:rPr>
              <w:t>Additional</w:t>
            </w:r>
          </w:p>
        </w:tc>
      </w:tr>
      <w:tr w:rsidR="003077CB" w:rsidRPr="00FA31EC" w14:paraId="434FD76D" w14:textId="77777777" w:rsidTr="00D8532E">
        <w:trPr>
          <w:trHeight w:val="128"/>
        </w:trPr>
        <w:tc>
          <w:tcPr>
            <w:tcW w:w="1384" w:type="dxa"/>
            <w:vMerge w:val="restart"/>
          </w:tcPr>
          <w:p w14:paraId="23D039B8" w14:textId="77777777" w:rsidR="003077CB" w:rsidRPr="00FA31EC" w:rsidRDefault="003077CB" w:rsidP="00FA31EC">
            <w:pPr>
              <w:ind w:left="0"/>
              <w:rPr>
                <w:sz w:val="19"/>
                <w:szCs w:val="19"/>
              </w:rPr>
            </w:pPr>
            <w:r w:rsidRPr="00FA31EC">
              <w:rPr>
                <w:sz w:val="19"/>
                <w:szCs w:val="19"/>
              </w:rPr>
              <w:t>Important identified risks*</w:t>
            </w:r>
          </w:p>
        </w:tc>
        <w:tc>
          <w:tcPr>
            <w:tcW w:w="1418" w:type="dxa"/>
          </w:tcPr>
          <w:p w14:paraId="06430823" w14:textId="1F846D52" w:rsidR="003077CB" w:rsidRPr="00FA31EC" w:rsidRDefault="00382533" w:rsidP="00FA31EC">
            <w:pPr>
              <w:ind w:left="0"/>
              <w:rPr>
                <w:sz w:val="19"/>
                <w:szCs w:val="19"/>
              </w:rPr>
            </w:pPr>
            <w:r w:rsidRPr="00FA31EC">
              <w:rPr>
                <w:sz w:val="19"/>
                <w:szCs w:val="19"/>
              </w:rPr>
              <w:t>lamivudine</w:t>
            </w:r>
            <w:r w:rsidR="003077CB" w:rsidRPr="00FA31EC">
              <w:rPr>
                <w:sz w:val="19"/>
                <w:szCs w:val="19"/>
              </w:rPr>
              <w:t xml:space="preserve">, </w:t>
            </w:r>
            <w:r w:rsidRPr="00FA31EC">
              <w:rPr>
                <w:sz w:val="19"/>
                <w:szCs w:val="19"/>
              </w:rPr>
              <w:t>tenofovir disoproxil fumarate</w:t>
            </w:r>
          </w:p>
        </w:tc>
        <w:tc>
          <w:tcPr>
            <w:tcW w:w="1559" w:type="dxa"/>
          </w:tcPr>
          <w:p w14:paraId="549BD458" w14:textId="77777777" w:rsidR="003077CB" w:rsidRPr="00FA31EC" w:rsidRDefault="003077CB" w:rsidP="00FA31EC">
            <w:pPr>
              <w:ind w:left="0"/>
              <w:rPr>
                <w:sz w:val="19"/>
                <w:szCs w:val="19"/>
              </w:rPr>
            </w:pPr>
            <w:r w:rsidRPr="00FA31EC">
              <w:rPr>
                <w:sz w:val="19"/>
                <w:szCs w:val="19"/>
              </w:rPr>
              <w:t>Severe acute exacerbations of hepatitis B</w:t>
            </w:r>
          </w:p>
        </w:tc>
        <w:tc>
          <w:tcPr>
            <w:tcW w:w="1134" w:type="dxa"/>
          </w:tcPr>
          <w:p w14:paraId="792E258F" w14:textId="77777777" w:rsidR="003077CB" w:rsidRPr="00FA31EC" w:rsidRDefault="003077CB" w:rsidP="00FA31EC">
            <w:pPr>
              <w:ind w:left="28"/>
              <w:rPr>
                <w:sz w:val="19"/>
                <w:szCs w:val="19"/>
              </w:rPr>
            </w:pPr>
            <w:r w:rsidRPr="00FA31EC">
              <w:rPr>
                <w:sz w:val="19"/>
                <w:szCs w:val="19"/>
              </w:rPr>
              <w:sym w:font="Wingdings" w:char="F0FC"/>
            </w:r>
          </w:p>
        </w:tc>
        <w:tc>
          <w:tcPr>
            <w:tcW w:w="1276" w:type="dxa"/>
          </w:tcPr>
          <w:p w14:paraId="7A63C6DF" w14:textId="77777777" w:rsidR="003077CB" w:rsidRPr="00FA31EC" w:rsidRDefault="003077CB" w:rsidP="00FA31EC">
            <w:pPr>
              <w:ind w:left="28"/>
              <w:rPr>
                <w:sz w:val="19"/>
                <w:szCs w:val="19"/>
              </w:rPr>
            </w:pPr>
            <w:r w:rsidRPr="00FA31EC">
              <w:rPr>
                <w:sz w:val="19"/>
                <w:szCs w:val="19"/>
              </w:rPr>
              <w:t>–</w:t>
            </w:r>
          </w:p>
        </w:tc>
        <w:tc>
          <w:tcPr>
            <w:tcW w:w="1134" w:type="dxa"/>
          </w:tcPr>
          <w:p w14:paraId="60D156D1" w14:textId="77777777" w:rsidR="003077CB" w:rsidRPr="00FA31EC" w:rsidRDefault="003077CB" w:rsidP="00FA31EC">
            <w:pPr>
              <w:ind w:left="40"/>
              <w:rPr>
                <w:sz w:val="19"/>
                <w:szCs w:val="19"/>
              </w:rPr>
            </w:pPr>
            <w:r w:rsidRPr="00FA31EC">
              <w:rPr>
                <w:sz w:val="19"/>
                <w:szCs w:val="19"/>
              </w:rPr>
              <w:sym w:font="Wingdings" w:char="F0FC"/>
            </w:r>
          </w:p>
        </w:tc>
        <w:tc>
          <w:tcPr>
            <w:tcW w:w="1417" w:type="dxa"/>
          </w:tcPr>
          <w:p w14:paraId="59FC68DD" w14:textId="77777777" w:rsidR="003077CB" w:rsidRPr="00FA31EC" w:rsidRDefault="003077CB" w:rsidP="00FA31EC">
            <w:pPr>
              <w:ind w:left="40"/>
              <w:rPr>
                <w:sz w:val="19"/>
                <w:szCs w:val="19"/>
              </w:rPr>
            </w:pPr>
            <w:r w:rsidRPr="00FA31EC">
              <w:rPr>
                <w:sz w:val="19"/>
                <w:szCs w:val="19"/>
              </w:rPr>
              <w:t>–</w:t>
            </w:r>
          </w:p>
        </w:tc>
      </w:tr>
      <w:tr w:rsidR="003077CB" w:rsidRPr="00FA31EC" w14:paraId="57E99B0B" w14:textId="77777777" w:rsidTr="00D8532E">
        <w:trPr>
          <w:trHeight w:val="87"/>
        </w:trPr>
        <w:tc>
          <w:tcPr>
            <w:tcW w:w="1384" w:type="dxa"/>
            <w:vMerge/>
          </w:tcPr>
          <w:p w14:paraId="69085513" w14:textId="77777777" w:rsidR="003077CB" w:rsidRPr="00FA31EC" w:rsidRDefault="003077CB" w:rsidP="00FA31EC">
            <w:pPr>
              <w:ind w:left="0"/>
              <w:rPr>
                <w:sz w:val="19"/>
                <w:szCs w:val="19"/>
              </w:rPr>
            </w:pPr>
          </w:p>
        </w:tc>
        <w:tc>
          <w:tcPr>
            <w:tcW w:w="1418" w:type="dxa"/>
          </w:tcPr>
          <w:p w14:paraId="7FB4A9FE" w14:textId="02D77617" w:rsidR="003077CB" w:rsidRPr="00FA31EC" w:rsidRDefault="00382533" w:rsidP="00FA31EC">
            <w:pPr>
              <w:ind w:left="0"/>
              <w:rPr>
                <w:sz w:val="19"/>
                <w:szCs w:val="19"/>
              </w:rPr>
            </w:pPr>
            <w:r w:rsidRPr="00FA31EC">
              <w:rPr>
                <w:sz w:val="19"/>
                <w:szCs w:val="19"/>
              </w:rPr>
              <w:t>tenofovir disoproxil fumarate</w:t>
            </w:r>
          </w:p>
        </w:tc>
        <w:tc>
          <w:tcPr>
            <w:tcW w:w="1559" w:type="dxa"/>
          </w:tcPr>
          <w:p w14:paraId="50EA6B49" w14:textId="44F465D4" w:rsidR="003077CB" w:rsidRPr="00FA31EC" w:rsidRDefault="003077CB" w:rsidP="00FA31EC">
            <w:pPr>
              <w:ind w:left="0"/>
              <w:rPr>
                <w:sz w:val="19"/>
                <w:szCs w:val="19"/>
              </w:rPr>
            </w:pPr>
            <w:r w:rsidRPr="00FA31EC">
              <w:rPr>
                <w:sz w:val="19"/>
                <w:szCs w:val="19"/>
              </w:rPr>
              <w:t>New onset or worsening renal impairment/</w:t>
            </w:r>
            <w:r w:rsidR="006F3FD1" w:rsidRPr="00FA31EC">
              <w:rPr>
                <w:sz w:val="19"/>
                <w:szCs w:val="19"/>
              </w:rPr>
              <w:t xml:space="preserve"> r</w:t>
            </w:r>
            <w:r w:rsidRPr="00FA31EC">
              <w:rPr>
                <w:sz w:val="19"/>
                <w:szCs w:val="19"/>
              </w:rPr>
              <w:t>enal toxicity</w:t>
            </w:r>
          </w:p>
        </w:tc>
        <w:tc>
          <w:tcPr>
            <w:tcW w:w="1134" w:type="dxa"/>
          </w:tcPr>
          <w:p w14:paraId="4C22ACA8" w14:textId="77777777" w:rsidR="003077CB" w:rsidRPr="00FA31EC" w:rsidRDefault="003077CB" w:rsidP="00FA31EC">
            <w:pPr>
              <w:ind w:left="28"/>
              <w:rPr>
                <w:sz w:val="19"/>
                <w:szCs w:val="19"/>
              </w:rPr>
            </w:pPr>
            <w:r w:rsidRPr="00FA31EC">
              <w:rPr>
                <w:sz w:val="19"/>
                <w:szCs w:val="19"/>
              </w:rPr>
              <w:sym w:font="Wingdings" w:char="F0FC"/>
            </w:r>
          </w:p>
        </w:tc>
        <w:tc>
          <w:tcPr>
            <w:tcW w:w="1276" w:type="dxa"/>
          </w:tcPr>
          <w:p w14:paraId="69467A67" w14:textId="77777777" w:rsidR="003077CB" w:rsidRPr="00FA31EC" w:rsidRDefault="003077CB" w:rsidP="00FA31EC">
            <w:pPr>
              <w:ind w:left="28"/>
              <w:rPr>
                <w:sz w:val="19"/>
                <w:szCs w:val="19"/>
              </w:rPr>
            </w:pPr>
            <w:r w:rsidRPr="00FA31EC">
              <w:rPr>
                <w:sz w:val="19"/>
                <w:szCs w:val="19"/>
              </w:rPr>
              <w:t>–</w:t>
            </w:r>
          </w:p>
        </w:tc>
        <w:tc>
          <w:tcPr>
            <w:tcW w:w="1134" w:type="dxa"/>
          </w:tcPr>
          <w:p w14:paraId="4FD2A54C" w14:textId="77777777" w:rsidR="003077CB" w:rsidRPr="00FA31EC" w:rsidRDefault="003077CB" w:rsidP="00FA31EC">
            <w:pPr>
              <w:ind w:left="40"/>
              <w:rPr>
                <w:sz w:val="19"/>
                <w:szCs w:val="19"/>
              </w:rPr>
            </w:pPr>
            <w:r w:rsidRPr="00FA31EC">
              <w:rPr>
                <w:sz w:val="19"/>
                <w:szCs w:val="19"/>
              </w:rPr>
              <w:sym w:font="Wingdings" w:char="F0FC"/>
            </w:r>
          </w:p>
        </w:tc>
        <w:tc>
          <w:tcPr>
            <w:tcW w:w="1417" w:type="dxa"/>
          </w:tcPr>
          <w:p w14:paraId="5F1C3351" w14:textId="77777777" w:rsidR="003077CB" w:rsidRPr="00FA31EC" w:rsidRDefault="003077CB" w:rsidP="00FA31EC">
            <w:pPr>
              <w:ind w:left="40"/>
              <w:rPr>
                <w:sz w:val="19"/>
                <w:szCs w:val="19"/>
              </w:rPr>
            </w:pPr>
            <w:r w:rsidRPr="00FA31EC">
              <w:rPr>
                <w:sz w:val="19"/>
                <w:szCs w:val="19"/>
              </w:rPr>
              <w:t>–</w:t>
            </w:r>
          </w:p>
        </w:tc>
      </w:tr>
      <w:tr w:rsidR="003077CB" w:rsidRPr="00FA31EC" w14:paraId="657535BA" w14:textId="77777777" w:rsidTr="00D8532E">
        <w:trPr>
          <w:trHeight w:val="175"/>
        </w:trPr>
        <w:tc>
          <w:tcPr>
            <w:tcW w:w="1384" w:type="dxa"/>
            <w:vMerge/>
          </w:tcPr>
          <w:p w14:paraId="37EDCF10" w14:textId="77777777" w:rsidR="003077CB" w:rsidRPr="00FA31EC" w:rsidRDefault="003077CB" w:rsidP="00FA31EC">
            <w:pPr>
              <w:ind w:left="0"/>
              <w:rPr>
                <w:sz w:val="19"/>
                <w:szCs w:val="19"/>
              </w:rPr>
            </w:pPr>
          </w:p>
        </w:tc>
        <w:tc>
          <w:tcPr>
            <w:tcW w:w="1418" w:type="dxa"/>
          </w:tcPr>
          <w:p w14:paraId="392D5907" w14:textId="2C05BD3D" w:rsidR="003077CB" w:rsidRPr="00FA31EC" w:rsidRDefault="00382533" w:rsidP="00FA31EC">
            <w:pPr>
              <w:ind w:left="0"/>
              <w:rPr>
                <w:sz w:val="19"/>
                <w:szCs w:val="19"/>
              </w:rPr>
            </w:pPr>
            <w:r w:rsidRPr="00FA31EC">
              <w:rPr>
                <w:sz w:val="19"/>
                <w:szCs w:val="19"/>
              </w:rPr>
              <w:t>tenofovir disoproxil fumarate</w:t>
            </w:r>
          </w:p>
        </w:tc>
        <w:tc>
          <w:tcPr>
            <w:tcW w:w="1559" w:type="dxa"/>
          </w:tcPr>
          <w:p w14:paraId="1BBD2E92" w14:textId="77777777" w:rsidR="003077CB" w:rsidRPr="00FA31EC" w:rsidRDefault="003077CB" w:rsidP="00FA31EC">
            <w:pPr>
              <w:ind w:left="0"/>
              <w:rPr>
                <w:sz w:val="19"/>
                <w:szCs w:val="19"/>
              </w:rPr>
            </w:pPr>
            <w:r w:rsidRPr="00FA31EC">
              <w:rPr>
                <w:sz w:val="19"/>
                <w:szCs w:val="19"/>
              </w:rPr>
              <w:t>Decreases in bone mineral density (BMD)/bone events due to proximal renal tubulopathy</w:t>
            </w:r>
          </w:p>
        </w:tc>
        <w:tc>
          <w:tcPr>
            <w:tcW w:w="1134" w:type="dxa"/>
          </w:tcPr>
          <w:p w14:paraId="43B06663" w14:textId="77777777" w:rsidR="003077CB" w:rsidRPr="00FA31EC" w:rsidRDefault="003077CB" w:rsidP="00FA31EC">
            <w:pPr>
              <w:ind w:left="28"/>
              <w:rPr>
                <w:sz w:val="19"/>
                <w:szCs w:val="19"/>
              </w:rPr>
            </w:pPr>
            <w:r w:rsidRPr="00FA31EC">
              <w:rPr>
                <w:sz w:val="19"/>
                <w:szCs w:val="19"/>
              </w:rPr>
              <w:sym w:font="Wingdings" w:char="F0FC"/>
            </w:r>
          </w:p>
        </w:tc>
        <w:tc>
          <w:tcPr>
            <w:tcW w:w="1276" w:type="dxa"/>
          </w:tcPr>
          <w:p w14:paraId="6154CB84" w14:textId="77777777" w:rsidR="003077CB" w:rsidRPr="00FA31EC" w:rsidRDefault="003077CB" w:rsidP="00FA31EC">
            <w:pPr>
              <w:ind w:left="28"/>
              <w:rPr>
                <w:sz w:val="19"/>
                <w:szCs w:val="19"/>
              </w:rPr>
            </w:pPr>
            <w:r w:rsidRPr="00FA31EC">
              <w:rPr>
                <w:sz w:val="19"/>
                <w:szCs w:val="19"/>
              </w:rPr>
              <w:t>–</w:t>
            </w:r>
          </w:p>
        </w:tc>
        <w:tc>
          <w:tcPr>
            <w:tcW w:w="1134" w:type="dxa"/>
          </w:tcPr>
          <w:p w14:paraId="0D1061D8" w14:textId="77777777" w:rsidR="003077CB" w:rsidRPr="00FA31EC" w:rsidRDefault="003077CB" w:rsidP="00FA31EC">
            <w:pPr>
              <w:ind w:left="40"/>
              <w:rPr>
                <w:sz w:val="19"/>
                <w:szCs w:val="19"/>
              </w:rPr>
            </w:pPr>
            <w:r w:rsidRPr="00FA31EC">
              <w:rPr>
                <w:sz w:val="19"/>
                <w:szCs w:val="19"/>
              </w:rPr>
              <w:sym w:font="Wingdings" w:char="F0FC"/>
            </w:r>
          </w:p>
        </w:tc>
        <w:tc>
          <w:tcPr>
            <w:tcW w:w="1417" w:type="dxa"/>
          </w:tcPr>
          <w:p w14:paraId="48865B9B" w14:textId="77777777" w:rsidR="003077CB" w:rsidRPr="00FA31EC" w:rsidRDefault="003077CB" w:rsidP="00FA31EC">
            <w:pPr>
              <w:ind w:left="40"/>
              <w:rPr>
                <w:sz w:val="19"/>
                <w:szCs w:val="19"/>
              </w:rPr>
            </w:pPr>
            <w:r w:rsidRPr="00FA31EC">
              <w:rPr>
                <w:sz w:val="19"/>
                <w:szCs w:val="19"/>
              </w:rPr>
              <w:t>–</w:t>
            </w:r>
          </w:p>
        </w:tc>
      </w:tr>
      <w:tr w:rsidR="003077CB" w:rsidRPr="00FA31EC" w14:paraId="7E956D0D" w14:textId="77777777" w:rsidTr="00D8532E">
        <w:trPr>
          <w:trHeight w:val="149"/>
        </w:trPr>
        <w:tc>
          <w:tcPr>
            <w:tcW w:w="1384" w:type="dxa"/>
          </w:tcPr>
          <w:p w14:paraId="5C9B1A67" w14:textId="77777777" w:rsidR="003077CB" w:rsidRPr="00FA31EC" w:rsidRDefault="003077CB" w:rsidP="00FA31EC">
            <w:pPr>
              <w:ind w:left="0"/>
              <w:rPr>
                <w:sz w:val="19"/>
                <w:szCs w:val="19"/>
              </w:rPr>
            </w:pPr>
            <w:r w:rsidRPr="00FA31EC">
              <w:rPr>
                <w:sz w:val="19"/>
                <w:szCs w:val="19"/>
              </w:rPr>
              <w:t>Important potential risks</w:t>
            </w:r>
          </w:p>
        </w:tc>
        <w:tc>
          <w:tcPr>
            <w:tcW w:w="1418" w:type="dxa"/>
          </w:tcPr>
          <w:p w14:paraId="4550C898" w14:textId="77777777" w:rsidR="003077CB" w:rsidRPr="00FA31EC" w:rsidRDefault="003077CB" w:rsidP="00FA31EC">
            <w:pPr>
              <w:ind w:left="0"/>
              <w:rPr>
                <w:sz w:val="19"/>
                <w:szCs w:val="19"/>
              </w:rPr>
            </w:pPr>
            <w:r w:rsidRPr="00FA31EC">
              <w:rPr>
                <w:sz w:val="19"/>
                <w:szCs w:val="19"/>
              </w:rPr>
              <w:t>N/A</w:t>
            </w:r>
          </w:p>
        </w:tc>
        <w:tc>
          <w:tcPr>
            <w:tcW w:w="1559" w:type="dxa"/>
          </w:tcPr>
          <w:p w14:paraId="472C4DA1" w14:textId="77777777" w:rsidR="003077CB" w:rsidRPr="00FA31EC" w:rsidRDefault="003077CB" w:rsidP="00FA31EC">
            <w:pPr>
              <w:ind w:left="0"/>
              <w:rPr>
                <w:sz w:val="19"/>
                <w:szCs w:val="19"/>
              </w:rPr>
            </w:pPr>
            <w:r w:rsidRPr="00FA31EC">
              <w:rPr>
                <w:sz w:val="19"/>
                <w:szCs w:val="19"/>
              </w:rPr>
              <w:t>None</w:t>
            </w:r>
          </w:p>
        </w:tc>
        <w:tc>
          <w:tcPr>
            <w:tcW w:w="1134" w:type="dxa"/>
          </w:tcPr>
          <w:p w14:paraId="09AAEE3C" w14:textId="77777777" w:rsidR="003077CB" w:rsidRPr="00FA31EC" w:rsidRDefault="003077CB" w:rsidP="00FA31EC">
            <w:pPr>
              <w:ind w:left="28"/>
              <w:rPr>
                <w:sz w:val="19"/>
                <w:szCs w:val="19"/>
              </w:rPr>
            </w:pPr>
            <w:r w:rsidRPr="00FA31EC">
              <w:rPr>
                <w:sz w:val="19"/>
                <w:szCs w:val="19"/>
              </w:rPr>
              <w:sym w:font="Wingdings" w:char="F0FC"/>
            </w:r>
          </w:p>
        </w:tc>
        <w:tc>
          <w:tcPr>
            <w:tcW w:w="1276" w:type="dxa"/>
          </w:tcPr>
          <w:p w14:paraId="7D8237FA" w14:textId="77777777" w:rsidR="003077CB" w:rsidRPr="00FA31EC" w:rsidRDefault="003077CB" w:rsidP="00FA31EC">
            <w:pPr>
              <w:ind w:left="28"/>
              <w:rPr>
                <w:sz w:val="19"/>
                <w:szCs w:val="19"/>
              </w:rPr>
            </w:pPr>
            <w:r w:rsidRPr="00FA31EC">
              <w:rPr>
                <w:sz w:val="19"/>
                <w:szCs w:val="19"/>
              </w:rPr>
              <w:t>–</w:t>
            </w:r>
          </w:p>
        </w:tc>
        <w:tc>
          <w:tcPr>
            <w:tcW w:w="1134" w:type="dxa"/>
          </w:tcPr>
          <w:p w14:paraId="07AA7D44" w14:textId="77777777" w:rsidR="003077CB" w:rsidRPr="00FA31EC" w:rsidRDefault="003077CB" w:rsidP="00FA31EC">
            <w:pPr>
              <w:ind w:left="40"/>
              <w:rPr>
                <w:sz w:val="19"/>
                <w:szCs w:val="19"/>
              </w:rPr>
            </w:pPr>
            <w:r w:rsidRPr="00FA31EC">
              <w:rPr>
                <w:sz w:val="19"/>
                <w:szCs w:val="19"/>
              </w:rPr>
              <w:sym w:font="Wingdings" w:char="F0FC"/>
            </w:r>
          </w:p>
        </w:tc>
        <w:tc>
          <w:tcPr>
            <w:tcW w:w="1417" w:type="dxa"/>
          </w:tcPr>
          <w:p w14:paraId="32944E87" w14:textId="77777777" w:rsidR="003077CB" w:rsidRPr="00FA31EC" w:rsidRDefault="003077CB" w:rsidP="00FA31EC">
            <w:pPr>
              <w:ind w:left="40"/>
              <w:rPr>
                <w:sz w:val="19"/>
                <w:szCs w:val="19"/>
              </w:rPr>
            </w:pPr>
            <w:r w:rsidRPr="00FA31EC">
              <w:rPr>
                <w:sz w:val="19"/>
                <w:szCs w:val="19"/>
              </w:rPr>
              <w:t>–</w:t>
            </w:r>
          </w:p>
        </w:tc>
      </w:tr>
      <w:tr w:rsidR="003077CB" w:rsidRPr="00FA31EC" w14:paraId="605E74D9" w14:textId="77777777" w:rsidTr="00D8532E">
        <w:trPr>
          <w:cantSplit/>
          <w:trHeight w:val="166"/>
        </w:trPr>
        <w:tc>
          <w:tcPr>
            <w:tcW w:w="1384" w:type="dxa"/>
            <w:vMerge w:val="restart"/>
          </w:tcPr>
          <w:p w14:paraId="45858E06" w14:textId="77777777" w:rsidR="003077CB" w:rsidRPr="00FA31EC" w:rsidRDefault="003077CB" w:rsidP="00FA31EC">
            <w:pPr>
              <w:ind w:left="0"/>
              <w:rPr>
                <w:sz w:val="19"/>
                <w:szCs w:val="19"/>
              </w:rPr>
            </w:pPr>
            <w:r w:rsidRPr="00FA31EC">
              <w:rPr>
                <w:sz w:val="19"/>
                <w:szCs w:val="19"/>
              </w:rPr>
              <w:t>Missing information</w:t>
            </w:r>
          </w:p>
        </w:tc>
        <w:tc>
          <w:tcPr>
            <w:tcW w:w="1418" w:type="dxa"/>
          </w:tcPr>
          <w:p w14:paraId="2FA6513A" w14:textId="0144F0AA" w:rsidR="003077CB" w:rsidRPr="00FA31EC" w:rsidRDefault="002E5F71" w:rsidP="00FA31EC">
            <w:pPr>
              <w:ind w:left="0"/>
              <w:rPr>
                <w:sz w:val="19"/>
                <w:szCs w:val="19"/>
              </w:rPr>
            </w:pPr>
            <w:r w:rsidRPr="00FA31EC">
              <w:rPr>
                <w:sz w:val="19"/>
                <w:szCs w:val="19"/>
              </w:rPr>
              <w:t>doravirine</w:t>
            </w:r>
            <w:r w:rsidR="003077CB" w:rsidRPr="00FA31EC">
              <w:rPr>
                <w:sz w:val="19"/>
                <w:szCs w:val="19"/>
              </w:rPr>
              <w:t xml:space="preserve">, </w:t>
            </w:r>
            <w:r w:rsidR="00382533" w:rsidRPr="00FA31EC">
              <w:rPr>
                <w:sz w:val="19"/>
                <w:szCs w:val="19"/>
              </w:rPr>
              <w:t>lamivudine</w:t>
            </w:r>
            <w:r w:rsidR="003077CB" w:rsidRPr="00FA31EC">
              <w:rPr>
                <w:sz w:val="19"/>
                <w:szCs w:val="19"/>
              </w:rPr>
              <w:t xml:space="preserve">, </w:t>
            </w:r>
            <w:r w:rsidR="00382533" w:rsidRPr="00FA31EC">
              <w:rPr>
                <w:sz w:val="19"/>
                <w:szCs w:val="19"/>
              </w:rPr>
              <w:t>tenofovir disoproxil fumarate</w:t>
            </w:r>
          </w:p>
        </w:tc>
        <w:tc>
          <w:tcPr>
            <w:tcW w:w="1559" w:type="dxa"/>
          </w:tcPr>
          <w:p w14:paraId="1A86D7C5" w14:textId="77777777" w:rsidR="003077CB" w:rsidRPr="00FA31EC" w:rsidRDefault="003077CB" w:rsidP="00FA31EC">
            <w:pPr>
              <w:ind w:left="0"/>
              <w:rPr>
                <w:sz w:val="19"/>
                <w:szCs w:val="19"/>
              </w:rPr>
            </w:pPr>
            <w:r w:rsidRPr="00FA31EC">
              <w:rPr>
                <w:sz w:val="19"/>
                <w:szCs w:val="19"/>
              </w:rPr>
              <w:t>Safety during pregnancy</w:t>
            </w:r>
          </w:p>
        </w:tc>
        <w:tc>
          <w:tcPr>
            <w:tcW w:w="1134" w:type="dxa"/>
          </w:tcPr>
          <w:p w14:paraId="42104ECC" w14:textId="77777777" w:rsidR="003077CB" w:rsidRPr="00FA31EC" w:rsidRDefault="003077CB" w:rsidP="00FA31EC">
            <w:pPr>
              <w:ind w:left="28"/>
              <w:rPr>
                <w:sz w:val="19"/>
                <w:szCs w:val="19"/>
              </w:rPr>
            </w:pPr>
            <w:r w:rsidRPr="00FA31EC">
              <w:rPr>
                <w:sz w:val="19"/>
                <w:szCs w:val="19"/>
              </w:rPr>
              <w:sym w:font="Wingdings" w:char="F0FC"/>
            </w:r>
          </w:p>
        </w:tc>
        <w:tc>
          <w:tcPr>
            <w:tcW w:w="1276" w:type="dxa"/>
          </w:tcPr>
          <w:p w14:paraId="06ABC4B9" w14:textId="77777777" w:rsidR="003077CB" w:rsidRPr="00FA31EC" w:rsidRDefault="003077CB" w:rsidP="00FA31EC">
            <w:pPr>
              <w:ind w:left="28"/>
              <w:rPr>
                <w:sz w:val="19"/>
                <w:szCs w:val="19"/>
              </w:rPr>
            </w:pPr>
            <w:r w:rsidRPr="00FA31EC">
              <w:rPr>
                <w:sz w:val="19"/>
                <w:szCs w:val="19"/>
              </w:rPr>
              <w:sym w:font="Wingdings" w:char="F0FC"/>
            </w:r>
            <w:r w:rsidRPr="00FA31EC">
              <w:rPr>
                <w:sz w:val="19"/>
                <w:szCs w:val="19"/>
              </w:rPr>
              <w:t>†</w:t>
            </w:r>
          </w:p>
        </w:tc>
        <w:tc>
          <w:tcPr>
            <w:tcW w:w="1134" w:type="dxa"/>
          </w:tcPr>
          <w:p w14:paraId="06A6B42B" w14:textId="77777777" w:rsidR="003077CB" w:rsidRPr="00FA31EC" w:rsidRDefault="003077CB" w:rsidP="00FA31EC">
            <w:pPr>
              <w:ind w:left="40"/>
              <w:rPr>
                <w:sz w:val="19"/>
                <w:szCs w:val="19"/>
              </w:rPr>
            </w:pPr>
            <w:r w:rsidRPr="00FA31EC">
              <w:rPr>
                <w:sz w:val="19"/>
                <w:szCs w:val="19"/>
              </w:rPr>
              <w:sym w:font="Wingdings" w:char="F0FC"/>
            </w:r>
          </w:p>
        </w:tc>
        <w:tc>
          <w:tcPr>
            <w:tcW w:w="1417" w:type="dxa"/>
          </w:tcPr>
          <w:p w14:paraId="445A899F" w14:textId="77777777" w:rsidR="003077CB" w:rsidRPr="00FA31EC" w:rsidRDefault="003077CB" w:rsidP="00FA31EC">
            <w:pPr>
              <w:ind w:left="40"/>
              <w:rPr>
                <w:sz w:val="19"/>
                <w:szCs w:val="19"/>
              </w:rPr>
            </w:pPr>
            <w:r w:rsidRPr="00FA31EC">
              <w:rPr>
                <w:sz w:val="19"/>
                <w:szCs w:val="19"/>
              </w:rPr>
              <w:t>–</w:t>
            </w:r>
          </w:p>
        </w:tc>
      </w:tr>
      <w:tr w:rsidR="003077CB" w:rsidRPr="00FA31EC" w14:paraId="12929516" w14:textId="77777777" w:rsidTr="00D8532E">
        <w:trPr>
          <w:trHeight w:val="95"/>
        </w:trPr>
        <w:tc>
          <w:tcPr>
            <w:tcW w:w="1384" w:type="dxa"/>
            <w:vMerge/>
          </w:tcPr>
          <w:p w14:paraId="22B58BBD" w14:textId="77777777" w:rsidR="003077CB" w:rsidRPr="00FA31EC" w:rsidRDefault="003077CB" w:rsidP="00FA31EC">
            <w:pPr>
              <w:ind w:left="0"/>
              <w:rPr>
                <w:sz w:val="19"/>
                <w:szCs w:val="19"/>
              </w:rPr>
            </w:pPr>
          </w:p>
        </w:tc>
        <w:tc>
          <w:tcPr>
            <w:tcW w:w="1418" w:type="dxa"/>
          </w:tcPr>
          <w:p w14:paraId="29BEA282" w14:textId="17EF8D18" w:rsidR="003077CB" w:rsidRPr="00FA31EC" w:rsidRDefault="002E5F71" w:rsidP="00FA31EC">
            <w:pPr>
              <w:ind w:left="0"/>
              <w:rPr>
                <w:sz w:val="19"/>
                <w:szCs w:val="19"/>
              </w:rPr>
            </w:pPr>
            <w:r w:rsidRPr="00FA31EC">
              <w:rPr>
                <w:sz w:val="19"/>
                <w:szCs w:val="19"/>
              </w:rPr>
              <w:t>doravirine</w:t>
            </w:r>
            <w:r w:rsidR="003077CB" w:rsidRPr="00FA31EC">
              <w:rPr>
                <w:sz w:val="19"/>
                <w:szCs w:val="19"/>
              </w:rPr>
              <w:t xml:space="preserve">, </w:t>
            </w:r>
            <w:r w:rsidR="00382533" w:rsidRPr="00FA31EC">
              <w:rPr>
                <w:sz w:val="19"/>
                <w:szCs w:val="19"/>
              </w:rPr>
              <w:t>lamivudine</w:t>
            </w:r>
            <w:r w:rsidR="003077CB" w:rsidRPr="00FA31EC">
              <w:rPr>
                <w:sz w:val="19"/>
                <w:szCs w:val="19"/>
              </w:rPr>
              <w:t xml:space="preserve">, </w:t>
            </w:r>
            <w:r w:rsidR="00382533" w:rsidRPr="00FA31EC">
              <w:rPr>
                <w:sz w:val="19"/>
                <w:szCs w:val="19"/>
              </w:rPr>
              <w:t>tenofovir disoproxil fumarate</w:t>
            </w:r>
          </w:p>
        </w:tc>
        <w:tc>
          <w:tcPr>
            <w:tcW w:w="1559" w:type="dxa"/>
          </w:tcPr>
          <w:p w14:paraId="116D2EB2" w14:textId="77777777" w:rsidR="003077CB" w:rsidRPr="00FA31EC" w:rsidRDefault="003077CB" w:rsidP="00FA31EC">
            <w:pPr>
              <w:ind w:left="0"/>
              <w:rPr>
                <w:sz w:val="19"/>
                <w:szCs w:val="19"/>
              </w:rPr>
            </w:pPr>
            <w:r w:rsidRPr="00FA31EC">
              <w:rPr>
                <w:sz w:val="19"/>
                <w:szCs w:val="19"/>
              </w:rPr>
              <w:t>Safety during lactation</w:t>
            </w:r>
          </w:p>
        </w:tc>
        <w:tc>
          <w:tcPr>
            <w:tcW w:w="1134" w:type="dxa"/>
          </w:tcPr>
          <w:p w14:paraId="24A5117F" w14:textId="77777777" w:rsidR="003077CB" w:rsidRPr="00FA31EC" w:rsidRDefault="003077CB" w:rsidP="00FA31EC">
            <w:pPr>
              <w:ind w:left="28"/>
              <w:rPr>
                <w:sz w:val="19"/>
                <w:szCs w:val="19"/>
              </w:rPr>
            </w:pPr>
            <w:r w:rsidRPr="00FA31EC">
              <w:rPr>
                <w:sz w:val="19"/>
                <w:szCs w:val="19"/>
              </w:rPr>
              <w:sym w:font="Wingdings" w:char="F0FC"/>
            </w:r>
          </w:p>
        </w:tc>
        <w:tc>
          <w:tcPr>
            <w:tcW w:w="1276" w:type="dxa"/>
          </w:tcPr>
          <w:p w14:paraId="6B9CFCC4" w14:textId="77777777" w:rsidR="003077CB" w:rsidRPr="00FA31EC" w:rsidRDefault="003077CB" w:rsidP="00FA31EC">
            <w:pPr>
              <w:ind w:left="28"/>
              <w:rPr>
                <w:sz w:val="19"/>
                <w:szCs w:val="19"/>
              </w:rPr>
            </w:pPr>
            <w:r w:rsidRPr="00FA31EC">
              <w:rPr>
                <w:sz w:val="19"/>
                <w:szCs w:val="19"/>
              </w:rPr>
              <w:t>–</w:t>
            </w:r>
          </w:p>
        </w:tc>
        <w:tc>
          <w:tcPr>
            <w:tcW w:w="1134" w:type="dxa"/>
          </w:tcPr>
          <w:p w14:paraId="0099DDEC" w14:textId="77777777" w:rsidR="003077CB" w:rsidRPr="00FA31EC" w:rsidRDefault="003077CB" w:rsidP="00FA31EC">
            <w:pPr>
              <w:ind w:left="40"/>
              <w:rPr>
                <w:sz w:val="19"/>
                <w:szCs w:val="19"/>
              </w:rPr>
            </w:pPr>
            <w:r w:rsidRPr="00FA31EC">
              <w:rPr>
                <w:sz w:val="19"/>
                <w:szCs w:val="19"/>
              </w:rPr>
              <w:sym w:font="Wingdings" w:char="F0FC"/>
            </w:r>
          </w:p>
        </w:tc>
        <w:tc>
          <w:tcPr>
            <w:tcW w:w="1417" w:type="dxa"/>
          </w:tcPr>
          <w:p w14:paraId="29E35DCF" w14:textId="77777777" w:rsidR="003077CB" w:rsidRPr="00FA31EC" w:rsidRDefault="003077CB" w:rsidP="00FA31EC">
            <w:pPr>
              <w:ind w:left="40"/>
              <w:rPr>
                <w:sz w:val="19"/>
                <w:szCs w:val="19"/>
              </w:rPr>
            </w:pPr>
            <w:r w:rsidRPr="00FA31EC">
              <w:rPr>
                <w:sz w:val="19"/>
                <w:szCs w:val="19"/>
              </w:rPr>
              <w:t>–</w:t>
            </w:r>
          </w:p>
        </w:tc>
      </w:tr>
      <w:tr w:rsidR="003077CB" w:rsidRPr="00FA31EC" w14:paraId="1B39AD02" w14:textId="77777777" w:rsidTr="00D8532E">
        <w:trPr>
          <w:trHeight w:val="95"/>
        </w:trPr>
        <w:tc>
          <w:tcPr>
            <w:tcW w:w="1384" w:type="dxa"/>
            <w:vMerge/>
          </w:tcPr>
          <w:p w14:paraId="1C6E2587" w14:textId="77777777" w:rsidR="003077CB" w:rsidRPr="00FA31EC" w:rsidRDefault="003077CB" w:rsidP="00FA31EC">
            <w:pPr>
              <w:ind w:left="0"/>
              <w:rPr>
                <w:sz w:val="19"/>
                <w:szCs w:val="19"/>
              </w:rPr>
            </w:pPr>
          </w:p>
        </w:tc>
        <w:tc>
          <w:tcPr>
            <w:tcW w:w="1418" w:type="dxa"/>
          </w:tcPr>
          <w:p w14:paraId="48A27489" w14:textId="33824BD4" w:rsidR="003077CB" w:rsidRPr="00FA31EC" w:rsidRDefault="002E5F71" w:rsidP="00FA31EC">
            <w:pPr>
              <w:ind w:left="0"/>
              <w:rPr>
                <w:sz w:val="19"/>
                <w:szCs w:val="19"/>
              </w:rPr>
            </w:pPr>
            <w:r w:rsidRPr="00FA31EC">
              <w:rPr>
                <w:sz w:val="19"/>
                <w:szCs w:val="19"/>
              </w:rPr>
              <w:t>doravirine</w:t>
            </w:r>
            <w:r w:rsidR="003077CB" w:rsidRPr="00FA31EC">
              <w:rPr>
                <w:sz w:val="19"/>
                <w:szCs w:val="19"/>
              </w:rPr>
              <w:t xml:space="preserve">, </w:t>
            </w:r>
            <w:r w:rsidR="00382533" w:rsidRPr="00FA31EC">
              <w:rPr>
                <w:sz w:val="19"/>
                <w:szCs w:val="19"/>
              </w:rPr>
              <w:t>lamivudine</w:t>
            </w:r>
            <w:r w:rsidR="003077CB" w:rsidRPr="00FA31EC">
              <w:rPr>
                <w:sz w:val="19"/>
                <w:szCs w:val="19"/>
              </w:rPr>
              <w:t xml:space="preserve">, </w:t>
            </w:r>
            <w:r w:rsidR="00382533" w:rsidRPr="00FA31EC">
              <w:rPr>
                <w:sz w:val="19"/>
                <w:szCs w:val="19"/>
              </w:rPr>
              <w:t>tenofovir disoproxil fumarate</w:t>
            </w:r>
          </w:p>
        </w:tc>
        <w:tc>
          <w:tcPr>
            <w:tcW w:w="1559" w:type="dxa"/>
          </w:tcPr>
          <w:p w14:paraId="1B5D8EB7" w14:textId="77777777" w:rsidR="003077CB" w:rsidRPr="00FA31EC" w:rsidRDefault="003077CB" w:rsidP="00FA31EC">
            <w:pPr>
              <w:ind w:left="0"/>
              <w:rPr>
                <w:sz w:val="19"/>
                <w:szCs w:val="19"/>
              </w:rPr>
            </w:pPr>
            <w:r w:rsidRPr="00FA31EC">
              <w:rPr>
                <w:sz w:val="19"/>
                <w:szCs w:val="19"/>
              </w:rPr>
              <w:t>Safety in elderly patients</w:t>
            </w:r>
          </w:p>
        </w:tc>
        <w:tc>
          <w:tcPr>
            <w:tcW w:w="1134" w:type="dxa"/>
          </w:tcPr>
          <w:p w14:paraId="6F38C3AA" w14:textId="77777777" w:rsidR="003077CB" w:rsidRPr="00FA31EC" w:rsidRDefault="003077CB" w:rsidP="00FA31EC">
            <w:pPr>
              <w:ind w:left="28"/>
              <w:rPr>
                <w:sz w:val="19"/>
                <w:szCs w:val="19"/>
              </w:rPr>
            </w:pPr>
            <w:r w:rsidRPr="00FA31EC">
              <w:rPr>
                <w:sz w:val="19"/>
                <w:szCs w:val="19"/>
              </w:rPr>
              <w:sym w:font="Wingdings" w:char="F0FC"/>
            </w:r>
          </w:p>
        </w:tc>
        <w:tc>
          <w:tcPr>
            <w:tcW w:w="1276" w:type="dxa"/>
          </w:tcPr>
          <w:p w14:paraId="6FB75202" w14:textId="77777777" w:rsidR="003077CB" w:rsidRPr="00FA31EC" w:rsidRDefault="003077CB" w:rsidP="00FA31EC">
            <w:pPr>
              <w:ind w:left="28"/>
              <w:rPr>
                <w:sz w:val="19"/>
                <w:szCs w:val="19"/>
              </w:rPr>
            </w:pPr>
            <w:r w:rsidRPr="00FA31EC">
              <w:rPr>
                <w:sz w:val="19"/>
                <w:szCs w:val="19"/>
              </w:rPr>
              <w:t>–</w:t>
            </w:r>
          </w:p>
        </w:tc>
        <w:tc>
          <w:tcPr>
            <w:tcW w:w="1134" w:type="dxa"/>
          </w:tcPr>
          <w:p w14:paraId="66D1FD4D" w14:textId="77777777" w:rsidR="003077CB" w:rsidRPr="00FA31EC" w:rsidRDefault="003077CB" w:rsidP="00FA31EC">
            <w:pPr>
              <w:ind w:left="40"/>
              <w:rPr>
                <w:sz w:val="19"/>
                <w:szCs w:val="19"/>
              </w:rPr>
            </w:pPr>
            <w:r w:rsidRPr="00FA31EC">
              <w:rPr>
                <w:sz w:val="19"/>
                <w:szCs w:val="19"/>
              </w:rPr>
              <w:sym w:font="Wingdings" w:char="F0FC"/>
            </w:r>
          </w:p>
        </w:tc>
        <w:tc>
          <w:tcPr>
            <w:tcW w:w="1417" w:type="dxa"/>
          </w:tcPr>
          <w:p w14:paraId="20EF6670" w14:textId="77777777" w:rsidR="003077CB" w:rsidRPr="00FA31EC" w:rsidRDefault="003077CB" w:rsidP="00FA31EC">
            <w:pPr>
              <w:ind w:left="40"/>
              <w:rPr>
                <w:sz w:val="19"/>
                <w:szCs w:val="19"/>
              </w:rPr>
            </w:pPr>
            <w:r w:rsidRPr="00FA31EC">
              <w:rPr>
                <w:sz w:val="19"/>
                <w:szCs w:val="19"/>
              </w:rPr>
              <w:t>–</w:t>
            </w:r>
          </w:p>
        </w:tc>
      </w:tr>
      <w:tr w:rsidR="003077CB" w:rsidRPr="00FA31EC" w14:paraId="792580D3" w14:textId="77777777" w:rsidTr="00D8532E">
        <w:trPr>
          <w:trHeight w:val="131"/>
        </w:trPr>
        <w:tc>
          <w:tcPr>
            <w:tcW w:w="1384" w:type="dxa"/>
            <w:vMerge/>
          </w:tcPr>
          <w:p w14:paraId="0EAEE2CC" w14:textId="77777777" w:rsidR="003077CB" w:rsidRPr="00FA31EC" w:rsidRDefault="003077CB" w:rsidP="00FA31EC">
            <w:pPr>
              <w:ind w:left="0"/>
              <w:rPr>
                <w:sz w:val="19"/>
                <w:szCs w:val="19"/>
              </w:rPr>
            </w:pPr>
          </w:p>
        </w:tc>
        <w:tc>
          <w:tcPr>
            <w:tcW w:w="1418" w:type="dxa"/>
          </w:tcPr>
          <w:p w14:paraId="663F6102" w14:textId="41BEC0D8" w:rsidR="003077CB" w:rsidRPr="00FA31EC" w:rsidRDefault="002E5F71" w:rsidP="00FA31EC">
            <w:pPr>
              <w:ind w:left="0"/>
              <w:rPr>
                <w:sz w:val="19"/>
                <w:szCs w:val="19"/>
              </w:rPr>
            </w:pPr>
            <w:r w:rsidRPr="00FA31EC">
              <w:rPr>
                <w:sz w:val="19"/>
                <w:szCs w:val="19"/>
              </w:rPr>
              <w:t>doravirine</w:t>
            </w:r>
          </w:p>
        </w:tc>
        <w:tc>
          <w:tcPr>
            <w:tcW w:w="1559" w:type="dxa"/>
          </w:tcPr>
          <w:p w14:paraId="28796CB5" w14:textId="77777777" w:rsidR="003077CB" w:rsidRPr="00FA31EC" w:rsidRDefault="003077CB" w:rsidP="00FA31EC">
            <w:pPr>
              <w:ind w:left="0"/>
              <w:rPr>
                <w:sz w:val="19"/>
                <w:szCs w:val="19"/>
              </w:rPr>
            </w:pPr>
            <w:r w:rsidRPr="00FA31EC">
              <w:rPr>
                <w:sz w:val="19"/>
                <w:szCs w:val="19"/>
              </w:rPr>
              <w:t>Long-term safety</w:t>
            </w:r>
          </w:p>
        </w:tc>
        <w:tc>
          <w:tcPr>
            <w:tcW w:w="1134" w:type="dxa"/>
          </w:tcPr>
          <w:p w14:paraId="554C3392" w14:textId="77777777" w:rsidR="003077CB" w:rsidRPr="00FA31EC" w:rsidRDefault="003077CB" w:rsidP="00FA31EC">
            <w:pPr>
              <w:ind w:left="28"/>
              <w:rPr>
                <w:sz w:val="19"/>
                <w:szCs w:val="19"/>
              </w:rPr>
            </w:pPr>
            <w:r w:rsidRPr="00FA31EC">
              <w:rPr>
                <w:sz w:val="19"/>
                <w:szCs w:val="19"/>
              </w:rPr>
              <w:sym w:font="Wingdings" w:char="F0FC"/>
            </w:r>
          </w:p>
        </w:tc>
        <w:tc>
          <w:tcPr>
            <w:tcW w:w="1276" w:type="dxa"/>
          </w:tcPr>
          <w:p w14:paraId="67633D61" w14:textId="77777777" w:rsidR="003077CB" w:rsidRPr="00FA31EC" w:rsidRDefault="003077CB" w:rsidP="00FA31EC">
            <w:pPr>
              <w:ind w:left="28"/>
              <w:rPr>
                <w:sz w:val="19"/>
                <w:szCs w:val="19"/>
              </w:rPr>
            </w:pPr>
            <w:r w:rsidRPr="00FA31EC">
              <w:rPr>
                <w:sz w:val="19"/>
                <w:szCs w:val="19"/>
              </w:rPr>
              <w:t>–</w:t>
            </w:r>
          </w:p>
        </w:tc>
        <w:tc>
          <w:tcPr>
            <w:tcW w:w="1134" w:type="dxa"/>
          </w:tcPr>
          <w:p w14:paraId="6536AE2B" w14:textId="77777777" w:rsidR="003077CB" w:rsidRPr="00FA31EC" w:rsidRDefault="003077CB" w:rsidP="00FA31EC">
            <w:pPr>
              <w:ind w:left="40"/>
              <w:rPr>
                <w:sz w:val="19"/>
                <w:szCs w:val="19"/>
              </w:rPr>
            </w:pPr>
            <w:r w:rsidRPr="00FA31EC">
              <w:rPr>
                <w:sz w:val="19"/>
                <w:szCs w:val="19"/>
              </w:rPr>
              <w:sym w:font="Wingdings" w:char="F0FC"/>
            </w:r>
          </w:p>
        </w:tc>
        <w:tc>
          <w:tcPr>
            <w:tcW w:w="1417" w:type="dxa"/>
          </w:tcPr>
          <w:p w14:paraId="7DC49217" w14:textId="77777777" w:rsidR="003077CB" w:rsidRPr="00FA31EC" w:rsidRDefault="003077CB" w:rsidP="00FA31EC">
            <w:pPr>
              <w:ind w:left="40"/>
              <w:rPr>
                <w:sz w:val="19"/>
                <w:szCs w:val="19"/>
              </w:rPr>
            </w:pPr>
            <w:r w:rsidRPr="00FA31EC">
              <w:rPr>
                <w:sz w:val="19"/>
                <w:szCs w:val="19"/>
              </w:rPr>
              <w:t>–</w:t>
            </w:r>
          </w:p>
        </w:tc>
      </w:tr>
    </w:tbl>
    <w:p w14:paraId="26CC7F43" w14:textId="057CE89A" w:rsidR="003077CB" w:rsidRPr="00B248F4" w:rsidRDefault="006F3FD1" w:rsidP="00F33F46">
      <w:pPr>
        <w:pStyle w:val="TableDescription"/>
      </w:pPr>
      <w:r>
        <w:t>N/A = not applicable.</w:t>
      </w:r>
      <w:r w:rsidR="003077CB" w:rsidRPr="00B248F4">
        <w:t xml:space="preserve">* The sponsor removed the important identified risk of immune reconstitution inflammatory syndrome at </w:t>
      </w:r>
      <w:r w:rsidR="008E48BE">
        <w:t xml:space="preserve">the second round evaluation </w:t>
      </w:r>
      <w:r w:rsidR="00F33F46">
        <w:t xml:space="preserve">on advice from the EMA. </w:t>
      </w:r>
      <w:r w:rsidR="003077CB" w:rsidRPr="00B248F4">
        <w:t>† Antiretroviral Pregnancy Registry</w:t>
      </w:r>
      <w:r w:rsidR="008E48BE">
        <w:t>.</w:t>
      </w:r>
    </w:p>
    <w:p w14:paraId="0E3B0263" w14:textId="77777777" w:rsidR="003077CB" w:rsidRPr="00B248F4" w:rsidRDefault="003077CB" w:rsidP="00D8532E">
      <w:pPr>
        <w:pageBreakBefore/>
      </w:pPr>
      <w:r w:rsidRPr="00B248F4">
        <w:lastRenderedPageBreak/>
        <w:t>The summary of safety concerns is considered acceptable.</w:t>
      </w:r>
    </w:p>
    <w:p w14:paraId="08D749AA" w14:textId="5674C048" w:rsidR="003077CB" w:rsidRPr="00B248F4" w:rsidRDefault="003077CB" w:rsidP="00F33F46">
      <w:r w:rsidRPr="00B248F4">
        <w:t xml:space="preserve">Routine pharmacovigilance activities are proposed for all existing safety concerns for </w:t>
      </w:r>
      <w:r w:rsidR="002E5F71" w:rsidRPr="00F33F46">
        <w:t>doravirine</w:t>
      </w:r>
      <w:r w:rsidRPr="00F33F46">
        <w:t xml:space="preserve"> and </w:t>
      </w:r>
      <w:r w:rsidR="002E5F71" w:rsidRPr="00F33F46">
        <w:t>doravirine</w:t>
      </w:r>
      <w:r w:rsidRPr="00F33F46">
        <w:t>/</w:t>
      </w:r>
      <w:r w:rsidR="00382533" w:rsidRPr="00F33F46">
        <w:t>lamivudine</w:t>
      </w:r>
      <w:r w:rsidRPr="00F33F46">
        <w:t>/</w:t>
      </w:r>
      <w:r w:rsidR="00382533" w:rsidRPr="00F33F46">
        <w:t>tenofovir disoproxil fumarate</w:t>
      </w:r>
      <w:r w:rsidRPr="00F33F46">
        <w:t xml:space="preserve">, with inclusion in an Antiretroviral Pregnancy Registry as a pharmacovigilance activity to monitor exposure during pregnancy for </w:t>
      </w:r>
      <w:r w:rsidR="002E5F71" w:rsidRPr="00F33F46">
        <w:t>doravirine</w:t>
      </w:r>
      <w:r w:rsidRPr="00F33F46">
        <w:t xml:space="preserve"> and </w:t>
      </w:r>
      <w:r w:rsidR="002E5F71" w:rsidRPr="00F33F46">
        <w:t>doravirine</w:t>
      </w:r>
      <w:r w:rsidRPr="00F33F46">
        <w:t>/</w:t>
      </w:r>
      <w:r w:rsidR="00382533" w:rsidRPr="00F33F46">
        <w:t>lamivudine</w:t>
      </w:r>
      <w:r w:rsidRPr="00F33F46">
        <w:t>/</w:t>
      </w:r>
      <w:r w:rsidR="00382533" w:rsidRPr="00F33F46">
        <w:t>tenofovir disoproxil fumarate</w:t>
      </w:r>
      <w:r w:rsidR="008E48BE">
        <w:t xml:space="preserve">. </w:t>
      </w:r>
      <w:r w:rsidRPr="00F33F46">
        <w:t>This is acceptable for the nature of the safety concerns.</w:t>
      </w:r>
    </w:p>
    <w:p w14:paraId="17BE22ED" w14:textId="4996BA14" w:rsidR="003077CB" w:rsidRDefault="003077CB" w:rsidP="003077CB">
      <w:r w:rsidRPr="00B248F4">
        <w:t xml:space="preserve">Routine </w:t>
      </w:r>
      <w:r w:rsidRPr="00F33F46">
        <w:t xml:space="preserve">risk minimisation activities are proposed for all safety concerns for </w:t>
      </w:r>
      <w:r w:rsidR="002E5F71" w:rsidRPr="00F33F46">
        <w:t>doravirine</w:t>
      </w:r>
      <w:r w:rsidRPr="00F33F46">
        <w:t xml:space="preserve"> and </w:t>
      </w:r>
      <w:r w:rsidR="002E5F71" w:rsidRPr="00F33F46">
        <w:t>doravirine</w:t>
      </w:r>
      <w:r w:rsidRPr="00F33F46">
        <w:t>/</w:t>
      </w:r>
      <w:r w:rsidR="00382533" w:rsidRPr="00F33F46">
        <w:t>lamivudine</w:t>
      </w:r>
      <w:r w:rsidRPr="00F33F46">
        <w:t>/</w:t>
      </w:r>
      <w:r w:rsidR="00382533" w:rsidRPr="00F33F46">
        <w:t>tenofovir disoproxil fumarate</w:t>
      </w:r>
      <w:r w:rsidRPr="00F33F46">
        <w:t>. This i</w:t>
      </w:r>
      <w:r w:rsidRPr="00B248F4">
        <w:t>s acceptable for the</w:t>
      </w:r>
      <w:r w:rsidR="00F33F46">
        <w:t xml:space="preserve"> nature of the safety concerns.</w:t>
      </w:r>
    </w:p>
    <w:p w14:paraId="52A4328D" w14:textId="77777777" w:rsidR="008E7846" w:rsidRDefault="00AA0ED0" w:rsidP="008E7846">
      <w:pPr>
        <w:pStyle w:val="Heading3"/>
      </w:pPr>
      <w:bookmarkStart w:id="71" w:name="_Toc247691531"/>
      <w:bookmarkStart w:id="72" w:name="_Toc314842515"/>
      <w:bookmarkStart w:id="73" w:name="_Toc35259370"/>
      <w:bookmarkStart w:id="74" w:name="_Toc196046505"/>
      <w:bookmarkStart w:id="75" w:name="_Toc196046949"/>
      <w:r>
        <w:t>Risk-benefit a</w:t>
      </w:r>
      <w:r w:rsidR="008E7846">
        <w:t>nalysis</w:t>
      </w:r>
      <w:bookmarkEnd w:id="71"/>
      <w:bookmarkEnd w:id="72"/>
      <w:bookmarkEnd w:id="73"/>
    </w:p>
    <w:p w14:paraId="00342F8E" w14:textId="4F583B67" w:rsidR="00D23139" w:rsidRDefault="008E48BE" w:rsidP="00D23139">
      <w:pPr>
        <w:pStyle w:val="Heading4"/>
      </w:pPr>
      <w:r>
        <w:t>Delegate’s considerations</w:t>
      </w:r>
    </w:p>
    <w:p w14:paraId="25D3A1B3" w14:textId="42F91B0E" w:rsidR="003077CB" w:rsidRDefault="008E48BE" w:rsidP="008E48BE">
      <w:pPr>
        <w:pStyle w:val="ListBullet"/>
      </w:pPr>
      <w:r>
        <w:t>D</w:t>
      </w:r>
      <w:r w:rsidR="002E5F71">
        <w:t>oravirine</w:t>
      </w:r>
      <w:r w:rsidR="003077CB">
        <w:t xml:space="preserve"> (100</w:t>
      </w:r>
      <w:r w:rsidR="008A618C">
        <w:t xml:space="preserve"> </w:t>
      </w:r>
      <w:r w:rsidR="003077CB">
        <w:t xml:space="preserve">mg) and </w:t>
      </w:r>
      <w:r w:rsidR="002E5F71">
        <w:t>doravirine</w:t>
      </w:r>
      <w:r w:rsidR="003077CB">
        <w:t>/</w:t>
      </w:r>
      <w:r w:rsidR="00382533">
        <w:t>lamivudine</w:t>
      </w:r>
      <w:r w:rsidR="003077CB">
        <w:t>/</w:t>
      </w:r>
      <w:r w:rsidR="00382533">
        <w:t>tenofovir disoproxil fumarate</w:t>
      </w:r>
      <w:r w:rsidR="003077CB">
        <w:t xml:space="preserve"> (100/300/300</w:t>
      </w:r>
      <w:r w:rsidR="008A618C">
        <w:t xml:space="preserve"> mg</w:t>
      </w:r>
      <w:r w:rsidR="003077CB">
        <w:t xml:space="preserve">) are acceptable from </w:t>
      </w:r>
      <w:r>
        <w:t xml:space="preserve">a quality and nonclinical </w:t>
      </w:r>
      <w:r w:rsidR="00AB1875">
        <w:t>point of view</w:t>
      </w:r>
      <w:r w:rsidR="003077CB">
        <w:t>.</w:t>
      </w:r>
    </w:p>
    <w:p w14:paraId="42EF2093" w14:textId="0196D539" w:rsidR="003077CB" w:rsidRDefault="003077CB" w:rsidP="008E48BE">
      <w:pPr>
        <w:pStyle w:val="ListBullet"/>
      </w:pPr>
      <w:r>
        <w:t xml:space="preserve">Bioequivalence between the clinical trials formulation of </w:t>
      </w:r>
      <w:r w:rsidR="002E5F71">
        <w:t>doravirine</w:t>
      </w:r>
      <w:r>
        <w:t xml:space="preserve"> and the commercial formulation has been satisfactorily established</w:t>
      </w:r>
      <w:r w:rsidR="008E48BE">
        <w:t>,</w:t>
      </w:r>
      <w:r>
        <w:t xml:space="preserve"> whereas commercial formulation of </w:t>
      </w:r>
      <w:r w:rsidR="002E5F71">
        <w:t>doravirine</w:t>
      </w:r>
      <w:r>
        <w:t>/</w:t>
      </w:r>
      <w:r w:rsidR="00382533">
        <w:t>lamivudine</w:t>
      </w:r>
      <w:r>
        <w:t>/</w:t>
      </w:r>
      <w:r w:rsidR="00382533">
        <w:t>tenofovir disoproxil fumarate</w:t>
      </w:r>
      <w:r>
        <w:t xml:space="preserve"> was used in the pivotal </w:t>
      </w:r>
      <w:r w:rsidR="008E48BE">
        <w:t>Study</w:t>
      </w:r>
      <w:r>
        <w:t xml:space="preserve"> P021.</w:t>
      </w:r>
    </w:p>
    <w:p w14:paraId="6AC18B5B" w14:textId="53E82ED0" w:rsidR="003077CB" w:rsidRDefault="003077CB" w:rsidP="008E48BE">
      <w:pPr>
        <w:pStyle w:val="ListBullet"/>
      </w:pPr>
      <w:r>
        <w:t>Selection of the 100</w:t>
      </w:r>
      <w:r w:rsidR="008E48BE">
        <w:t xml:space="preserve"> </w:t>
      </w:r>
      <w:r>
        <w:t xml:space="preserve">mg </w:t>
      </w:r>
      <w:r w:rsidR="002E5F71">
        <w:t>doravirine</w:t>
      </w:r>
      <w:r>
        <w:t xml:space="preserve"> was based on overall efficacy/safety considerations given that the dose response was flat with 25, 50, 100 and 200</w:t>
      </w:r>
      <w:r w:rsidR="008E48BE">
        <w:t xml:space="preserve"> </w:t>
      </w:r>
      <w:r>
        <w:t xml:space="preserve">mg daily </w:t>
      </w:r>
      <w:r w:rsidR="002E5F71">
        <w:t>doravirine</w:t>
      </w:r>
      <w:r>
        <w:t xml:space="preserve"> dosing.</w:t>
      </w:r>
    </w:p>
    <w:p w14:paraId="1E0C07BD" w14:textId="12520D96" w:rsidR="003077CB" w:rsidRDefault="003077CB" w:rsidP="008E48BE">
      <w:pPr>
        <w:pStyle w:val="ListBullet"/>
      </w:pPr>
      <w:r>
        <w:t>Efficacy (patients with HIV-1 RNA &lt;</w:t>
      </w:r>
      <w:r w:rsidR="008E48BE">
        <w:t xml:space="preserve"> </w:t>
      </w:r>
      <w:r>
        <w:t xml:space="preserve">50 copies/mL) of </w:t>
      </w:r>
      <w:r w:rsidR="002E5F71">
        <w:t>doravirine</w:t>
      </w:r>
      <w:r>
        <w:t xml:space="preserve"> (83.8%) in combination with </w:t>
      </w:r>
      <w:r w:rsidR="008E48BE">
        <w:t xml:space="preserve">emtricitabine </w:t>
      </w:r>
      <w:r>
        <w:t>/</w:t>
      </w:r>
      <w:r w:rsidR="00382533">
        <w:t>tenofovir disoproxil fumarate</w:t>
      </w:r>
      <w:r>
        <w:t xml:space="preserve"> or </w:t>
      </w:r>
      <w:r w:rsidR="00382533">
        <w:t>lamivudine</w:t>
      </w:r>
      <w:r>
        <w:t>/</w:t>
      </w:r>
      <w:r w:rsidR="008E48BE">
        <w:t>abacavir</w:t>
      </w:r>
      <w:r>
        <w:t xml:space="preserve"> was shown to be non-inferior to </w:t>
      </w:r>
      <w:r w:rsidR="008E48BE">
        <w:t xml:space="preserve">rarunavir boosted with ritonavir </w:t>
      </w:r>
      <w:r>
        <w:t xml:space="preserve">(79.9%) in combination with </w:t>
      </w:r>
      <w:r w:rsidR="006F3FD1">
        <w:t>emtricitabine</w:t>
      </w:r>
      <w:r>
        <w:t>/</w:t>
      </w:r>
      <w:r w:rsidR="00382533">
        <w:t>tenofovir disoproxil fumarate</w:t>
      </w:r>
      <w:r>
        <w:t xml:space="preserve"> or </w:t>
      </w:r>
      <w:r w:rsidR="00382533">
        <w:t>lamivudine</w:t>
      </w:r>
      <w:r>
        <w:t>/</w:t>
      </w:r>
      <w:r w:rsidR="008E48BE">
        <w:t>abacavir</w:t>
      </w:r>
      <w:r>
        <w:t xml:space="preserve"> after 48 weeks of treatment</w:t>
      </w:r>
      <w:r w:rsidR="008E48BE">
        <w:t xml:space="preserve"> in S</w:t>
      </w:r>
      <w:r>
        <w:t>tudy P018 in treatment naïve adult HIV-1 patients (</w:t>
      </w:r>
      <w:r w:rsidR="008E48BE">
        <w:t xml:space="preserve">treatment difference </w:t>
      </w:r>
      <w:r>
        <w:t>3.9%; 95%</w:t>
      </w:r>
      <w:r w:rsidR="00462EE2">
        <w:t xml:space="preserve"> </w:t>
      </w:r>
      <w:r>
        <w:t>CI: -1.59, 9.41).</w:t>
      </w:r>
    </w:p>
    <w:p w14:paraId="4E91A3CB" w14:textId="6967B110" w:rsidR="003077CB" w:rsidRDefault="003077CB" w:rsidP="008E48BE">
      <w:pPr>
        <w:pStyle w:val="ListBullet"/>
      </w:pPr>
      <w:r>
        <w:t>Efficacy (patients with HIV-1 RNA &lt;</w:t>
      </w:r>
      <w:r w:rsidR="00462EE2">
        <w:t xml:space="preserve"> </w:t>
      </w:r>
      <w:r>
        <w:t xml:space="preserve">50 copies/mL) of </w:t>
      </w:r>
      <w:r w:rsidR="002E5F71">
        <w:t>doravirine</w:t>
      </w:r>
      <w:r>
        <w:t xml:space="preserve"> as </w:t>
      </w:r>
      <w:r w:rsidR="00462EE2">
        <w:t>FDC</w:t>
      </w:r>
      <w:r>
        <w:t xml:space="preserve"> of </w:t>
      </w:r>
      <w:r w:rsidR="002E5F71">
        <w:t>doravirine</w:t>
      </w:r>
      <w:r>
        <w:t>/</w:t>
      </w:r>
      <w:r w:rsidR="00382533">
        <w:t>lamivudine</w:t>
      </w:r>
      <w:r>
        <w:t>/</w:t>
      </w:r>
      <w:r w:rsidR="00382533">
        <w:t>tenofovir disoproxil fumarate</w:t>
      </w:r>
      <w:r>
        <w:t xml:space="preserve"> (84.3%) was shown to be non-inferior to </w:t>
      </w:r>
      <w:r w:rsidR="00AB1875">
        <w:t>efavirenz</w:t>
      </w:r>
      <w:r>
        <w:t>/</w:t>
      </w:r>
      <w:r w:rsidR="00462EE2">
        <w:t xml:space="preserve">emtricitabine </w:t>
      </w:r>
      <w:r>
        <w:t>/</w:t>
      </w:r>
      <w:r w:rsidR="00382533">
        <w:t>tenofovir disoproxil fumarate</w:t>
      </w:r>
      <w:r w:rsidR="00462EE2">
        <w:t xml:space="preserve"> (80.8%) after 48 weeks of treatment in S</w:t>
      </w:r>
      <w:r>
        <w:t>tudy P021 in treatment naïve adult HIV-1 patients (</w:t>
      </w:r>
      <w:r w:rsidR="00462EE2">
        <w:t>treatment difference</w:t>
      </w:r>
      <w:r>
        <w:t xml:space="preserve"> 3.54%; 95%</w:t>
      </w:r>
      <w:r w:rsidR="00462EE2">
        <w:t xml:space="preserve"> </w:t>
      </w:r>
      <w:r>
        <w:t>CI: -1.95, 9.02).</w:t>
      </w:r>
    </w:p>
    <w:p w14:paraId="44457D2F" w14:textId="3ED0579D" w:rsidR="003077CB" w:rsidRDefault="003077CB" w:rsidP="008E48BE">
      <w:pPr>
        <w:pStyle w:val="ListBullet"/>
      </w:pPr>
      <w:r>
        <w:t xml:space="preserve">Important missing information on efficacy and clinical utility of </w:t>
      </w:r>
      <w:r w:rsidR="002E5F71">
        <w:t>doravirine</w:t>
      </w:r>
      <w:r>
        <w:t xml:space="preserve"> is the lack of comparative data with an </w:t>
      </w:r>
      <w:r w:rsidR="00462EE2">
        <w:t>INSTI</w:t>
      </w:r>
      <w:r>
        <w:t xml:space="preserve"> agent.</w:t>
      </w:r>
    </w:p>
    <w:p w14:paraId="38E05721" w14:textId="3F34E2CD" w:rsidR="003077CB" w:rsidRDefault="003077CB" w:rsidP="008E48BE">
      <w:pPr>
        <w:pStyle w:val="ListBullet2"/>
      </w:pPr>
      <w:r>
        <w:t xml:space="preserve">It is also noted that the </w:t>
      </w:r>
      <w:r w:rsidR="00462EE2">
        <w:t>second</w:t>
      </w:r>
      <w:r>
        <w:t xml:space="preserve"> generation tenofovir (alafenamide) has generally not yet replaced tenofovir (disoproxil fumarate) in ART.</w:t>
      </w:r>
    </w:p>
    <w:p w14:paraId="117B6BC7" w14:textId="1117B8E1" w:rsidR="003077CB" w:rsidRDefault="003077CB" w:rsidP="008E48BE">
      <w:pPr>
        <w:pStyle w:val="ListBullet"/>
      </w:pPr>
      <w:r>
        <w:t>Food effect was modest (</w:t>
      </w:r>
      <w:r w:rsidR="002E5F71">
        <w:t>doravirine</w:t>
      </w:r>
      <w:r>
        <w:t xml:space="preserve"> AUC up to 26% higher and </w:t>
      </w:r>
      <w:r w:rsidR="002E5F71">
        <w:t>doravirine</w:t>
      </w:r>
      <w:r>
        <w:t xml:space="preserve"> C</w:t>
      </w:r>
      <w:r w:rsidRPr="00462EE2">
        <w:rPr>
          <w:vertAlign w:val="subscript"/>
        </w:rPr>
        <w:t>24</w:t>
      </w:r>
      <w:r>
        <w:t xml:space="preserve"> up to 55% higher based on upper limit of 90%</w:t>
      </w:r>
      <w:r w:rsidR="00462EE2">
        <w:t xml:space="preserve"> </w:t>
      </w:r>
      <w:r>
        <w:t xml:space="preserve">CI) and is considered clinically acceptable so that administration without regard to food is supported. Advice from </w:t>
      </w:r>
      <w:r w:rsidR="008A618C">
        <w:t>the Advisory Committee on Medicines (</w:t>
      </w:r>
      <w:r>
        <w:t>ACM</w:t>
      </w:r>
      <w:r w:rsidR="008A618C">
        <w:t>)</w:t>
      </w:r>
      <w:r>
        <w:t xml:space="preserve"> is requested.</w:t>
      </w:r>
    </w:p>
    <w:p w14:paraId="46E25C27" w14:textId="6D498A3F" w:rsidR="003077CB" w:rsidRDefault="006F3FD1" w:rsidP="008E48BE">
      <w:pPr>
        <w:pStyle w:val="ListBullet"/>
      </w:pPr>
      <w:r>
        <w:t>Hepatic impairment: a</w:t>
      </w:r>
      <w:r w:rsidR="003077CB">
        <w:t xml:space="preserve">bout </w:t>
      </w:r>
      <w:r w:rsidR="00462EE2">
        <w:t>two thirds</w:t>
      </w:r>
      <w:r w:rsidR="003077CB">
        <w:t xml:space="preserve"> of orally administered </w:t>
      </w:r>
      <w:r w:rsidR="002E5F71">
        <w:t>doravirine</w:t>
      </w:r>
      <w:r w:rsidR="003077CB">
        <w:t xml:space="preserve"> is absorbed, of which about 85% undergoes hepatic metabolism by CYP3A. </w:t>
      </w:r>
      <w:r w:rsidR="00462EE2">
        <w:t>D</w:t>
      </w:r>
      <w:r w:rsidR="002E5F71">
        <w:t>oravirine</w:t>
      </w:r>
      <w:r w:rsidR="003077CB">
        <w:t xml:space="preserve"> i</w:t>
      </w:r>
      <w:r w:rsidR="00462EE2">
        <w:t>s a low metabolism drug with a c</w:t>
      </w:r>
      <w:r w:rsidR="003077CB">
        <w:t>learance of around 6 L/h.</w:t>
      </w:r>
    </w:p>
    <w:p w14:paraId="20548B20" w14:textId="46C1A525" w:rsidR="003077CB" w:rsidRDefault="003077CB" w:rsidP="008E48BE">
      <w:pPr>
        <w:pStyle w:val="ListBullet2"/>
      </w:pPr>
      <w:r>
        <w:t xml:space="preserve">The sponsor </w:t>
      </w:r>
      <w:r w:rsidR="00462EE2">
        <w:t>rationalises</w:t>
      </w:r>
      <w:r>
        <w:t xml:space="preserve"> in favour of lack of </w:t>
      </w:r>
      <w:r w:rsidR="006F3FD1">
        <w:t xml:space="preserve">a </w:t>
      </w:r>
      <w:r>
        <w:t xml:space="preserve">clinically meaningful effect of hepatic impairment on the pharmacokinetics of </w:t>
      </w:r>
      <w:r w:rsidR="002E5F71">
        <w:t>doravirine</w:t>
      </w:r>
      <w:r>
        <w:t>, based on moderate (n</w:t>
      </w:r>
      <w:r w:rsidR="008A618C">
        <w:t> </w:t>
      </w:r>
      <w:r>
        <w:t>=</w:t>
      </w:r>
      <w:r w:rsidR="00462EE2">
        <w:t xml:space="preserve"> 8) versus</w:t>
      </w:r>
      <w:r>
        <w:t xml:space="preserve"> healthy (n</w:t>
      </w:r>
      <w:r w:rsidR="00462EE2">
        <w:t xml:space="preserve"> </w:t>
      </w:r>
      <w:r>
        <w:t>=</w:t>
      </w:r>
      <w:r w:rsidR="00462EE2">
        <w:t xml:space="preserve"> 8) hepatic impairment S</w:t>
      </w:r>
      <w:r>
        <w:t>tudy P019 (</w:t>
      </w:r>
      <w:r w:rsidR="002E5F71">
        <w:t>doravirine</w:t>
      </w:r>
      <w:r>
        <w:t xml:space="preserve"> AUC </w:t>
      </w:r>
      <w:r>
        <w:lastRenderedPageBreak/>
        <w:t>ratio 0.99; 90%</w:t>
      </w:r>
      <w:r w:rsidR="00462EE2">
        <w:t xml:space="preserve"> </w:t>
      </w:r>
      <w:r>
        <w:t>CI: 0.72, 1.35). No dose a</w:t>
      </w:r>
      <w:r w:rsidR="00462EE2">
        <w:t xml:space="preserve">djustment is proposed in mild to </w:t>
      </w:r>
      <w:r>
        <w:t xml:space="preserve">moderate hepatic impairment. The PI notes that </w:t>
      </w:r>
      <w:r w:rsidR="002E5F71">
        <w:t>doravirine</w:t>
      </w:r>
      <w:r>
        <w:t xml:space="preserve"> has not been studied in severe hepatic impairment. This is considered acceptable. Advice from </w:t>
      </w:r>
      <w:r w:rsidR="008A618C">
        <w:t xml:space="preserve">the </w:t>
      </w:r>
      <w:r>
        <w:t>ACM is requested.</w:t>
      </w:r>
    </w:p>
    <w:p w14:paraId="3AA73495" w14:textId="1ED1D373" w:rsidR="008E48BE" w:rsidRDefault="00462EE2" w:rsidP="008E48BE">
      <w:pPr>
        <w:pStyle w:val="ListBullet"/>
      </w:pPr>
      <w:r>
        <w:t>Renal impairment: a</w:t>
      </w:r>
      <w:r w:rsidR="003077CB">
        <w:t>bout 15% of the absorbed drug is excr</w:t>
      </w:r>
      <w:r w:rsidR="008E48BE">
        <w:t>eted unchanged through kidneys.</w:t>
      </w:r>
    </w:p>
    <w:p w14:paraId="666A1447" w14:textId="68693B67" w:rsidR="003077CB" w:rsidRDefault="003077CB" w:rsidP="008E48BE">
      <w:pPr>
        <w:pStyle w:val="ListBullet2"/>
      </w:pPr>
      <w:r>
        <w:t xml:space="preserve">The sponsor </w:t>
      </w:r>
      <w:r w:rsidR="00462EE2">
        <w:t>rationalises</w:t>
      </w:r>
      <w:r>
        <w:t xml:space="preserve"> in favour of lack o</w:t>
      </w:r>
      <w:r w:rsidR="006F3FD1">
        <w:t>f a clinically meaningful effect o</w:t>
      </w:r>
      <w:r>
        <w:t xml:space="preserve">f renal impairment on pharmacokinetics of </w:t>
      </w:r>
      <w:r w:rsidR="002E5F71">
        <w:t>doravirine</w:t>
      </w:r>
      <w:r>
        <w:t>, based on severe renal impairment (n</w:t>
      </w:r>
      <w:r w:rsidR="00462EE2">
        <w:t xml:space="preserve"> </w:t>
      </w:r>
      <w:r>
        <w:t>=</w:t>
      </w:r>
      <w:r w:rsidR="00462EE2">
        <w:t xml:space="preserve"> 8) versus</w:t>
      </w:r>
      <w:r>
        <w:t xml:space="preserve"> healthy (n</w:t>
      </w:r>
      <w:r w:rsidR="00462EE2">
        <w:t xml:space="preserve"> </w:t>
      </w:r>
      <w:r>
        <w:t>=</w:t>
      </w:r>
      <w:r w:rsidR="00462EE2">
        <w:t xml:space="preserve"> 8) S</w:t>
      </w:r>
      <w:r>
        <w:t>tudy P051 (</w:t>
      </w:r>
      <w:r w:rsidR="002E5F71">
        <w:t>doravirine</w:t>
      </w:r>
      <w:r>
        <w:t xml:space="preserve"> AUC 1.43; 90%</w:t>
      </w:r>
      <w:r w:rsidR="00462EE2">
        <w:t xml:space="preserve"> </w:t>
      </w:r>
      <w:r>
        <w:t xml:space="preserve">CI 1.00, 2.04). No dose </w:t>
      </w:r>
      <w:r w:rsidR="00462EE2">
        <w:t>adjustment is proposed in mild to</w:t>
      </w:r>
      <w:r>
        <w:t xml:space="preserve"> severe renal impairment. The PI notes that </w:t>
      </w:r>
      <w:r w:rsidR="002E5F71">
        <w:t>doravirine</w:t>
      </w:r>
      <w:r>
        <w:t xml:space="preserve"> has not been adequately studied in ESRD and has not been studied in patients on dialysis. This is considered acceptable. Advice from </w:t>
      </w:r>
      <w:r w:rsidR="008A618C">
        <w:t xml:space="preserve">the </w:t>
      </w:r>
      <w:r>
        <w:t>ACM is requested.</w:t>
      </w:r>
    </w:p>
    <w:p w14:paraId="0E98D6D7" w14:textId="24DDC344" w:rsidR="003077CB" w:rsidRDefault="00462EE2" w:rsidP="008E48BE">
      <w:pPr>
        <w:pStyle w:val="ListBullet"/>
      </w:pPr>
      <w:r>
        <w:t>Drug-drug interactions: c</w:t>
      </w:r>
      <w:r w:rsidR="003077CB">
        <w:t xml:space="preserve">oadministration of </w:t>
      </w:r>
      <w:r w:rsidR="002E5F71">
        <w:t>doravirine</w:t>
      </w:r>
      <w:r w:rsidR="003077CB">
        <w:t xml:space="preserve"> with strong CYP3A inhibitors (such as ketoconazo</w:t>
      </w:r>
      <w:r>
        <w:t xml:space="preserve">le or ritonavir) can result in approximately </w:t>
      </w:r>
      <w:r w:rsidR="003077CB">
        <w:t xml:space="preserve">3 fold higher </w:t>
      </w:r>
      <w:r w:rsidR="002E5F71">
        <w:t>doravirine</w:t>
      </w:r>
      <w:r w:rsidR="003077CB">
        <w:t xml:space="preserve"> exposures (AUC), whereas coadministration with strong CYPP34 inducers (such as rifampicin or rifabutin) can result in nearly negligible plasma levels of </w:t>
      </w:r>
      <w:r w:rsidR="002E5F71">
        <w:t>doravirine</w:t>
      </w:r>
      <w:r w:rsidR="003077CB">
        <w:t xml:space="preserve">. Interaction of </w:t>
      </w:r>
      <w:r w:rsidR="002E5F71">
        <w:t>doravirine</w:t>
      </w:r>
      <w:r w:rsidR="003077CB">
        <w:t xml:space="preserve"> with </w:t>
      </w:r>
      <w:r w:rsidR="00AB1875">
        <w:t>efavirenz</w:t>
      </w:r>
      <w:r w:rsidR="003077CB">
        <w:t xml:space="preserve">, a moderate CYP3A inducer, is of interest in a switching situation and was examined following cessation of </w:t>
      </w:r>
      <w:r w:rsidR="00AB1875">
        <w:t>efavirenz</w:t>
      </w:r>
      <w:r w:rsidR="003077CB">
        <w:t xml:space="preserve"> therapy:</w:t>
      </w:r>
    </w:p>
    <w:p w14:paraId="1C6E3E21" w14:textId="157F5927" w:rsidR="003077CB" w:rsidRDefault="003077CB" w:rsidP="008E48BE">
      <w:pPr>
        <w:pStyle w:val="ListBullet2"/>
      </w:pPr>
      <w:r>
        <w:t xml:space="preserve">The proposed PI includes a contraindication of use of </w:t>
      </w:r>
      <w:r w:rsidR="002E5F71">
        <w:t>doravirine</w:t>
      </w:r>
      <w:r>
        <w:t xml:space="preserve"> with strong CYP3A inducers (anticonvulsants, rifampicin and St John’s wort). However, use with rifabutin is recommended with higher dose of </w:t>
      </w:r>
      <w:r w:rsidR="002E5F71">
        <w:t>doravirine</w:t>
      </w:r>
      <w:r>
        <w:t xml:space="preserve"> (100</w:t>
      </w:r>
      <w:r w:rsidR="00462EE2">
        <w:t xml:space="preserve"> </w:t>
      </w:r>
      <w:r>
        <w:t xml:space="preserve">mg twice daily). Coadministration with strong inhibitors (potentially 3 fold higher </w:t>
      </w:r>
      <w:r w:rsidR="002E5F71">
        <w:t>doravirine</w:t>
      </w:r>
      <w:r>
        <w:t xml:space="preserve"> plasma levels) is allowed without dose adjustment. The population PK analyses were supportive of the recommendations in the proposed Australian PI. This are considered acceptable, as is the sponsor’s argument against routine therapeutic drug monitoring. Advice from </w:t>
      </w:r>
      <w:r w:rsidR="008A618C">
        <w:t xml:space="preserve">the </w:t>
      </w:r>
      <w:r>
        <w:t>ACM is requested.</w:t>
      </w:r>
    </w:p>
    <w:p w14:paraId="4C523D26" w14:textId="6A998C65" w:rsidR="003077CB" w:rsidRDefault="008E48BE" w:rsidP="008E48BE">
      <w:pPr>
        <w:pStyle w:val="ListBullet2"/>
      </w:pPr>
      <w:r>
        <w:t>T</w:t>
      </w:r>
      <w:r w:rsidR="00382533">
        <w:t>enofovir disoproxil fumarate</w:t>
      </w:r>
      <w:r w:rsidR="003077CB">
        <w:t xml:space="preserve"> and </w:t>
      </w:r>
      <w:r w:rsidR="00382533">
        <w:t>lamivudine</w:t>
      </w:r>
      <w:r w:rsidR="003077CB">
        <w:t xml:space="preserve"> components of </w:t>
      </w:r>
      <w:r w:rsidR="002E5F71">
        <w:t>doravirine</w:t>
      </w:r>
      <w:r w:rsidR="003077CB">
        <w:t>/</w:t>
      </w:r>
      <w:r w:rsidR="00382533">
        <w:t>lamivudine</w:t>
      </w:r>
      <w:r w:rsidR="003077CB">
        <w:t>/</w:t>
      </w:r>
      <w:r w:rsidR="00382533">
        <w:t>tenofovir disoproxil fumarate</w:t>
      </w:r>
      <w:r w:rsidR="003077CB">
        <w:t xml:space="preserve"> are eliminated by renal tubular secretion and may be subject to interactions with inhibitors of renal tubular transporters.</w:t>
      </w:r>
    </w:p>
    <w:p w14:paraId="0A00A763" w14:textId="43472ECA" w:rsidR="003077CB" w:rsidRDefault="003077CB" w:rsidP="008E48BE">
      <w:pPr>
        <w:pStyle w:val="ListBullet"/>
      </w:pPr>
      <w:r>
        <w:t xml:space="preserve">The 48 weeks data did not uncover any unexpected NNRTI class adverse effects for </w:t>
      </w:r>
      <w:r w:rsidR="002E5F71">
        <w:t>doravirine</w:t>
      </w:r>
      <w:r>
        <w:t xml:space="preserve"> in combination with other ART agents, or unacceptable adverse effects relative to its expected efficacy. Overall, the adverse effects profile of </w:t>
      </w:r>
      <w:r w:rsidR="002E5F71">
        <w:t>doravirine</w:t>
      </w:r>
      <w:r>
        <w:t xml:space="preserve">, including laboratory changes, is considered acceptable. </w:t>
      </w:r>
      <w:r w:rsidR="00462EE2">
        <w:t>D</w:t>
      </w:r>
      <w:r w:rsidR="002E5F71">
        <w:t>oravirine</w:t>
      </w:r>
      <w:r>
        <w:t xml:space="preserve"> appeared to have improved neuropsychiatric adverse effects profile compared to </w:t>
      </w:r>
      <w:r w:rsidR="00AB1875">
        <w:t>efavirenz</w:t>
      </w:r>
      <w:r>
        <w:t>. The safety dataset is too small to capture rare, serious adverse effects. At present, post-market data are not available.</w:t>
      </w:r>
    </w:p>
    <w:p w14:paraId="56222681" w14:textId="53496310" w:rsidR="003077CB" w:rsidRDefault="00CA6B59" w:rsidP="008E48BE">
      <w:pPr>
        <w:pStyle w:val="ListBullet"/>
      </w:pPr>
      <w:r>
        <w:t>TGA</w:t>
      </w:r>
      <w:r w:rsidR="003077CB">
        <w:t xml:space="preserve"> has reviewed the </w:t>
      </w:r>
      <w:r w:rsidR="008A618C">
        <w:t xml:space="preserve">risk management plan </w:t>
      </w:r>
      <w:r w:rsidR="003077CB">
        <w:t>(RMP), which will be a condition of registration along with the</w:t>
      </w:r>
      <w:r w:rsidR="00462EE2">
        <w:t xml:space="preserve"> ASA</w:t>
      </w:r>
      <w:r w:rsidR="003077CB">
        <w:t>.</w:t>
      </w:r>
    </w:p>
    <w:p w14:paraId="772BFCC6" w14:textId="40948989" w:rsidR="003077CB" w:rsidRDefault="003077CB" w:rsidP="008E48BE">
      <w:pPr>
        <w:pStyle w:val="ListBullet"/>
      </w:pPr>
      <w:r>
        <w:t xml:space="preserve">Pending consideration by the ACM, </w:t>
      </w:r>
      <w:r w:rsidR="00462EE2">
        <w:t>the Delegate is</w:t>
      </w:r>
      <w:r>
        <w:t xml:space="preserve"> of the view that the supplied dossiers support marketing approval of </w:t>
      </w:r>
      <w:r w:rsidR="002E5F71">
        <w:t>doravirine</w:t>
      </w:r>
      <w:r>
        <w:t xml:space="preserve"> (‘</w:t>
      </w:r>
      <w:r w:rsidRPr="00462EE2">
        <w:rPr>
          <w:i/>
        </w:rPr>
        <w:t>in combination with other antiretroviral medicinal products, for the treatment of adults infected with HIV-1 without past or present evidence of viral resistance to doravirine’</w:t>
      </w:r>
      <w:r>
        <w:t xml:space="preserve">) and </w:t>
      </w:r>
      <w:r w:rsidR="002E5F71">
        <w:t>doravirine</w:t>
      </w:r>
      <w:r>
        <w:t>/</w:t>
      </w:r>
      <w:r w:rsidR="00382533">
        <w:t>lamivudine</w:t>
      </w:r>
      <w:r>
        <w:t>/</w:t>
      </w:r>
      <w:r w:rsidR="00382533">
        <w:t>tenofovir disoproxil fumarate</w:t>
      </w:r>
      <w:r>
        <w:t xml:space="preserve"> (‘</w:t>
      </w:r>
      <w:r w:rsidRPr="00462EE2">
        <w:rPr>
          <w:i/>
        </w:rPr>
        <w:t>for the treatment of adults infected with HIV-1 without past or present evidence of viral resistance to doravirine, lamivudine or tenofovir</w:t>
      </w:r>
      <w:r>
        <w:t>’) as requested.</w:t>
      </w:r>
    </w:p>
    <w:p w14:paraId="6D8D36EE" w14:textId="77777777" w:rsidR="003077CB" w:rsidRDefault="003077CB" w:rsidP="008E48BE">
      <w:pPr>
        <w:pStyle w:val="ListBullet2"/>
      </w:pPr>
      <w:r>
        <w:lastRenderedPageBreak/>
        <w:t>The clinical dataset is restricted to treatment naïve patients. The ACM is requested advice on the need to specify this patient population in the therapeutic indication as has been the practiced in the past.</w:t>
      </w:r>
    </w:p>
    <w:p w14:paraId="6D111660" w14:textId="483C27BB" w:rsidR="00456765" w:rsidRPr="00456765" w:rsidRDefault="003077CB" w:rsidP="008E48BE">
      <w:pPr>
        <w:pStyle w:val="ListBullet2"/>
      </w:pPr>
      <w:r>
        <w:t xml:space="preserve">Advice is also requested for the implied use of </w:t>
      </w:r>
      <w:r w:rsidR="00462EE2">
        <w:t>FDC</w:t>
      </w:r>
      <w:r>
        <w:t xml:space="preserve"> </w:t>
      </w:r>
      <w:r w:rsidR="002E5F71">
        <w:t>doravirine</w:t>
      </w:r>
      <w:r w:rsidR="008A618C">
        <w:t xml:space="preserve"> </w:t>
      </w:r>
      <w:r>
        <w:t>/</w:t>
      </w:r>
      <w:r w:rsidR="008A618C">
        <w:t xml:space="preserve"> </w:t>
      </w:r>
      <w:r w:rsidR="00382533">
        <w:t>lamivudine</w:t>
      </w:r>
      <w:r w:rsidR="008A618C">
        <w:t xml:space="preserve"> </w:t>
      </w:r>
      <w:r>
        <w:t>/</w:t>
      </w:r>
      <w:r w:rsidR="008A618C">
        <w:t xml:space="preserve"> </w:t>
      </w:r>
      <w:r w:rsidR="00382533">
        <w:t>tenofovir disoproxil fumarate</w:t>
      </w:r>
      <w:r>
        <w:t xml:space="preserve"> for initiation of therapy, rather than switching of therapy in patients who are stable on ART therapy as has been the case in most registration dossiers seen previously.</w:t>
      </w:r>
    </w:p>
    <w:p w14:paraId="43945F21" w14:textId="77777777" w:rsidR="00D23139" w:rsidRDefault="00D23139" w:rsidP="00D23139">
      <w:pPr>
        <w:pStyle w:val="Heading4"/>
      </w:pPr>
      <w:r w:rsidRPr="00D23139">
        <w:t>Proposed action</w:t>
      </w:r>
    </w:p>
    <w:p w14:paraId="2E125FC3" w14:textId="78A33AD2" w:rsidR="00456765" w:rsidRDefault="00F33F46" w:rsidP="00456765">
      <w:r>
        <w:t>The Delegate has</w:t>
      </w:r>
      <w:r w:rsidR="003077CB" w:rsidRPr="003077CB">
        <w:t xml:space="preserve"> no reason to say, at this time, that t</w:t>
      </w:r>
      <w:r w:rsidR="00462EE2">
        <w:t xml:space="preserve">he application for </w:t>
      </w:r>
      <w:r w:rsidR="008A618C">
        <w:t>d</w:t>
      </w:r>
      <w:r w:rsidR="00462EE2">
        <w:t>oravirine (1</w:t>
      </w:r>
      <w:r w:rsidR="003077CB" w:rsidRPr="003077CB">
        <w:t>00</w:t>
      </w:r>
      <w:r w:rsidR="00CA6B59">
        <w:t> </w:t>
      </w:r>
      <w:r w:rsidR="003077CB" w:rsidRPr="003077CB">
        <w:t>mg) should not be approved for registration.</w:t>
      </w:r>
    </w:p>
    <w:p w14:paraId="6D2EF2F8" w14:textId="5527752A" w:rsidR="003077CB" w:rsidRPr="00456765" w:rsidRDefault="00F33F46" w:rsidP="00456765">
      <w:r>
        <w:t>The Delegate has</w:t>
      </w:r>
      <w:r w:rsidR="003077CB" w:rsidRPr="003077CB">
        <w:t xml:space="preserve"> no reason to say, at this time, that the application for </w:t>
      </w:r>
      <w:r w:rsidR="002E5F71">
        <w:t>doravirine</w:t>
      </w:r>
      <w:r w:rsidR="008A618C">
        <w:t xml:space="preserve"> </w:t>
      </w:r>
      <w:r w:rsidR="003077CB" w:rsidRPr="003077CB">
        <w:t>/</w:t>
      </w:r>
      <w:r w:rsidR="008A618C">
        <w:t xml:space="preserve"> </w:t>
      </w:r>
      <w:r w:rsidR="00382533">
        <w:t>lamivudine</w:t>
      </w:r>
      <w:r w:rsidR="008A618C">
        <w:t xml:space="preserve"> </w:t>
      </w:r>
      <w:r w:rsidR="003077CB" w:rsidRPr="003077CB">
        <w:t>/</w:t>
      </w:r>
      <w:r w:rsidR="008A618C">
        <w:t xml:space="preserve"> </w:t>
      </w:r>
      <w:r w:rsidR="00382533">
        <w:t>tenofovir disoproxil fumarate</w:t>
      </w:r>
      <w:r w:rsidR="003077CB" w:rsidRPr="003077CB">
        <w:t xml:space="preserve"> (100/300/300 mg) should not be approved for registration.</w:t>
      </w:r>
    </w:p>
    <w:p w14:paraId="11F08F77" w14:textId="77777777" w:rsidR="00D23139" w:rsidRDefault="00A22D57" w:rsidP="00D23139">
      <w:pPr>
        <w:pStyle w:val="Heading4"/>
      </w:pPr>
      <w:r>
        <w:t>Request for AC</w:t>
      </w:r>
      <w:r w:rsidR="00D23139" w:rsidRPr="00D23139">
        <w:t>M advice</w:t>
      </w:r>
    </w:p>
    <w:p w14:paraId="3153B7B2" w14:textId="18E9C32B" w:rsidR="003077CB" w:rsidRDefault="00CA6B59" w:rsidP="003077CB">
      <w:r>
        <w:rPr>
          <w:bCs/>
        </w:rPr>
        <w:t xml:space="preserve">The </w:t>
      </w:r>
      <w:r w:rsidRPr="00456765">
        <w:rPr>
          <w:bCs/>
        </w:rPr>
        <w:t xml:space="preserve">Advisory Committee on Medicines </w:t>
      </w:r>
      <w:r>
        <w:rPr>
          <w:bCs/>
        </w:rPr>
        <w:t>(</w:t>
      </w:r>
      <w:r w:rsidR="003077CB">
        <w:t>ACM</w:t>
      </w:r>
      <w:r>
        <w:t>)</w:t>
      </w:r>
      <w:r w:rsidR="003077CB">
        <w:t xml:space="preserve"> is requested to provide advice on the following specific issues:</w:t>
      </w:r>
    </w:p>
    <w:p w14:paraId="73BAE4CD" w14:textId="7E3F8FF1" w:rsidR="003077CB" w:rsidRDefault="003077CB" w:rsidP="00F33F46">
      <w:pPr>
        <w:pStyle w:val="Numberbullet0"/>
      </w:pPr>
      <w:r>
        <w:t xml:space="preserve">The ACM is requested advice on appropriate text for the therapeutic indication, and usage instructions for coadministration with CYP3A4 inhibitors/inducers and in the presence </w:t>
      </w:r>
      <w:r w:rsidR="00462EE2">
        <w:t>of hepatic or renal impairment</w:t>
      </w:r>
      <w:r>
        <w:t>.</w:t>
      </w:r>
    </w:p>
    <w:p w14:paraId="54BC709E" w14:textId="63E89511" w:rsidR="00456765" w:rsidRPr="00456765" w:rsidRDefault="003077CB" w:rsidP="003077CB">
      <w:r>
        <w:t>The Committee is also requested to provide advice on any other issues that it thinks may be relevant to a decision on whether or not to approve this application.</w:t>
      </w:r>
    </w:p>
    <w:p w14:paraId="5C393391" w14:textId="77777777" w:rsidR="008E7846" w:rsidRDefault="008E7846" w:rsidP="008E7846">
      <w:pPr>
        <w:pStyle w:val="Heading4"/>
      </w:pPr>
      <w:r>
        <w:t>Advisory Committee Considerations</w:t>
      </w:r>
      <w:r w:rsidR="00456765">
        <w:rPr>
          <w:rStyle w:val="FootnoteReference"/>
        </w:rPr>
        <w:footnoteReference w:id="9"/>
      </w:r>
    </w:p>
    <w:p w14:paraId="181E9DDC" w14:textId="3B50A3AD" w:rsidR="00456765" w:rsidRDefault="00456765" w:rsidP="008E7846">
      <w:pPr>
        <w:rPr>
          <w:bCs/>
        </w:rPr>
      </w:pPr>
      <w:r w:rsidRPr="00456765">
        <w:rPr>
          <w:bCs/>
        </w:rPr>
        <w:t xml:space="preserve">The </w:t>
      </w:r>
      <w:r w:rsidR="00CA6B59">
        <w:rPr>
          <w:bCs/>
        </w:rPr>
        <w:t>ACM</w:t>
      </w:r>
      <w:r w:rsidRPr="00456765">
        <w:rPr>
          <w:bCs/>
        </w:rPr>
        <w:t>, having considered the evaluations and the Delegate’s overview, as well as the sponsor’s response to these d</w:t>
      </w:r>
      <w:r w:rsidR="003077CB">
        <w:rPr>
          <w:bCs/>
        </w:rPr>
        <w:t>ocuments, advised the following.</w:t>
      </w:r>
    </w:p>
    <w:p w14:paraId="3B008077" w14:textId="71C50EE2" w:rsidR="003077CB" w:rsidRPr="003077CB" w:rsidRDefault="003077CB" w:rsidP="003077CB">
      <w:pPr>
        <w:rPr>
          <w:bCs/>
        </w:rPr>
      </w:pPr>
      <w:r w:rsidRPr="003077CB">
        <w:rPr>
          <w:bCs/>
        </w:rPr>
        <w:t>The ACM taking into account the submitted evidence of efficacy, safet</w:t>
      </w:r>
      <w:r w:rsidR="00462EE2">
        <w:rPr>
          <w:bCs/>
        </w:rPr>
        <w:t>y and quality, agreed with the D</w:t>
      </w:r>
      <w:r w:rsidRPr="003077CB">
        <w:rPr>
          <w:bCs/>
        </w:rPr>
        <w:t>elegate and considered Pifeltro, tablet containing 100 mg of doravirine, to have an overall positive benefit-risk profile for the amended indication:</w:t>
      </w:r>
    </w:p>
    <w:p w14:paraId="1D4D324B" w14:textId="5F555EB5" w:rsidR="003077CB" w:rsidRPr="003077CB" w:rsidRDefault="003077CB" w:rsidP="003077CB">
      <w:pPr>
        <w:ind w:left="720"/>
        <w:rPr>
          <w:bCs/>
          <w:i/>
        </w:rPr>
      </w:pPr>
      <w:r w:rsidRPr="003077CB">
        <w:rPr>
          <w:bCs/>
          <w:i/>
        </w:rPr>
        <w:t>Pifeltro is indicated, in combination with other antiviral medicinal products, for the treatment of HIV-1 infection in adults who are treatment naïve. Patients must not have had a history of known mutations associated with resistance to doravirine.</w:t>
      </w:r>
    </w:p>
    <w:p w14:paraId="358F31A7" w14:textId="6016416E" w:rsidR="003077CB" w:rsidRPr="003077CB" w:rsidRDefault="003077CB" w:rsidP="003077CB">
      <w:pPr>
        <w:rPr>
          <w:bCs/>
        </w:rPr>
      </w:pPr>
      <w:r w:rsidRPr="003077CB">
        <w:rPr>
          <w:bCs/>
        </w:rPr>
        <w:t>The ACM taking into account the submitted evidence of efficacy, safet</w:t>
      </w:r>
      <w:r w:rsidR="00462EE2">
        <w:rPr>
          <w:bCs/>
        </w:rPr>
        <w:t>y and quality, agreed with the D</w:t>
      </w:r>
      <w:r w:rsidRPr="003077CB">
        <w:rPr>
          <w:bCs/>
        </w:rPr>
        <w:t xml:space="preserve">elegate and considered Delstrigo, </w:t>
      </w:r>
      <w:r w:rsidR="00462EE2">
        <w:rPr>
          <w:bCs/>
        </w:rPr>
        <w:t>FDC</w:t>
      </w:r>
      <w:r w:rsidRPr="003077CB">
        <w:rPr>
          <w:bCs/>
        </w:rPr>
        <w:t xml:space="preserve"> tablet containing 100 mg of doravirine, 300 mg of lamivudine, and 300 mg of tenofovir disoproxil fumarate, to have an overall positive benefit-risk profile for the amended indication:</w:t>
      </w:r>
    </w:p>
    <w:p w14:paraId="5170954E" w14:textId="38A47C27" w:rsidR="003077CB" w:rsidRPr="003077CB" w:rsidRDefault="003077CB" w:rsidP="003077CB">
      <w:pPr>
        <w:ind w:left="720"/>
        <w:rPr>
          <w:bCs/>
          <w:i/>
        </w:rPr>
      </w:pPr>
      <w:r w:rsidRPr="003077CB">
        <w:rPr>
          <w:bCs/>
          <w:i/>
        </w:rPr>
        <w:lastRenderedPageBreak/>
        <w:t>Delstrigo is indicated for the treatment of HIV-1 infection in adults who are treatment naïve. Patients must not have had a history of known mutations associated with resistance to tenofovir, lamivudine or doravirine.</w:t>
      </w:r>
    </w:p>
    <w:p w14:paraId="671CAFAB" w14:textId="235D1A05" w:rsidR="003077CB" w:rsidRPr="003077CB" w:rsidRDefault="003077CB" w:rsidP="003077CB">
      <w:pPr>
        <w:rPr>
          <w:bCs/>
        </w:rPr>
      </w:pPr>
      <w:r w:rsidRPr="003077CB">
        <w:rPr>
          <w:bCs/>
        </w:rPr>
        <w:t>In providing this advice</w:t>
      </w:r>
      <w:r w:rsidR="00462EE2">
        <w:rPr>
          <w:bCs/>
        </w:rPr>
        <w:t>,</w:t>
      </w:r>
      <w:r w:rsidRPr="003077CB">
        <w:rPr>
          <w:bCs/>
        </w:rPr>
        <w:t xml:space="preserve"> the ACM noted the following:</w:t>
      </w:r>
    </w:p>
    <w:p w14:paraId="528C2742" w14:textId="492EA2A4" w:rsidR="003077CB" w:rsidRPr="003077CB" w:rsidRDefault="00462EE2" w:rsidP="003077CB">
      <w:pPr>
        <w:pStyle w:val="ListBullet"/>
      </w:pPr>
      <w:r>
        <w:t>Pivotal S</w:t>
      </w:r>
      <w:r w:rsidR="003077CB" w:rsidRPr="003077CB">
        <w:t>tud</w:t>
      </w:r>
      <w:r>
        <w:t>y P018 was a Phase III</w:t>
      </w:r>
      <w:r w:rsidR="003077CB" w:rsidRPr="003077CB">
        <w:t xml:space="preserve"> trial evaluating the safety, efficacy and </w:t>
      </w:r>
      <w:r>
        <w:t>PK</w:t>
      </w:r>
      <w:r w:rsidR="003077CB" w:rsidRPr="003077CB">
        <w:t xml:space="preserve"> of doravirine compared with ritonavir-boosted darunavir, each given in combination with emtricitabine plus </w:t>
      </w:r>
      <w:r w:rsidR="00382533">
        <w:t>tenofovir disoproxil fumarate</w:t>
      </w:r>
      <w:r w:rsidR="003077CB" w:rsidRPr="003077CB">
        <w:t xml:space="preserve"> or abacavir plus lamivudine in HIV-1 infected treatment-naïve adults. Non-inferio</w:t>
      </w:r>
      <w:r w:rsidR="00CA6B59">
        <w:t>rity of doravirine to ritonavir</w:t>
      </w:r>
      <w:r w:rsidR="00CA6B59">
        <w:noBreakHyphen/>
      </w:r>
      <w:r w:rsidR="003077CB" w:rsidRPr="003077CB">
        <w:t>boos</w:t>
      </w:r>
      <w:r>
        <w:t>ted darunavir was demonstrated.</w:t>
      </w:r>
    </w:p>
    <w:p w14:paraId="65CAFDA5" w14:textId="1E63A1A0" w:rsidR="003077CB" w:rsidRPr="003077CB" w:rsidRDefault="00462EE2" w:rsidP="003077CB">
      <w:pPr>
        <w:pStyle w:val="ListBullet"/>
      </w:pPr>
      <w:r>
        <w:t>Pivotal Study P021 was a Phase III</w:t>
      </w:r>
      <w:r w:rsidR="003077CB" w:rsidRPr="003077CB">
        <w:t xml:space="preserve"> trial evaluating the safety and efficacy of doravirine/lamivudine/</w:t>
      </w:r>
      <w:r w:rsidR="00382533">
        <w:t>tenofovir disoproxil fumarate</w:t>
      </w:r>
      <w:r w:rsidR="003077CB" w:rsidRPr="003077CB">
        <w:t xml:space="preserve"> </w:t>
      </w:r>
      <w:r>
        <w:t>FDC</w:t>
      </w:r>
      <w:r w:rsidR="003077CB" w:rsidRPr="003077CB">
        <w:t xml:space="preserve"> compared with efavirenz/emtricitabine/</w:t>
      </w:r>
      <w:r w:rsidR="00382533">
        <w:t>tenofovir disoproxil fumarate</w:t>
      </w:r>
      <w:r w:rsidR="003077CB" w:rsidRPr="003077CB">
        <w:t xml:space="preserve"> FDC in HIV-1 infected treatment-naïve adults. Non-inferiority of doravirine/lamivudine/</w:t>
      </w:r>
      <w:r w:rsidR="00382533">
        <w:t>tenofovir disoproxil fumarate</w:t>
      </w:r>
      <w:r w:rsidR="003077CB" w:rsidRPr="003077CB">
        <w:t xml:space="preserve"> to efavirenz/emtricitabi</w:t>
      </w:r>
      <w:r w:rsidR="003077CB">
        <w:t>ne/</w:t>
      </w:r>
      <w:r w:rsidR="00382533">
        <w:t>tenofovir disoproxil fumarate</w:t>
      </w:r>
      <w:r w:rsidR="003077CB">
        <w:t xml:space="preserve"> was demonstrated.</w:t>
      </w:r>
    </w:p>
    <w:p w14:paraId="377187A5" w14:textId="7BF61486" w:rsidR="003077CB" w:rsidRPr="003077CB" w:rsidRDefault="003077CB" w:rsidP="003077CB">
      <w:pPr>
        <w:pStyle w:val="ListBullet"/>
      </w:pPr>
      <w:r w:rsidRPr="003077CB">
        <w:t>The safety profiles of doravirine and doravirine/lamivudine/</w:t>
      </w:r>
      <w:r w:rsidR="00382533">
        <w:t>tenofovir disoproxil fumarate</w:t>
      </w:r>
      <w:r w:rsidRPr="003077CB">
        <w:t xml:space="preserve"> FDC were considered acceptable, with similar rates of </w:t>
      </w:r>
      <w:r w:rsidR="00462EE2">
        <w:t>SAEs</w:t>
      </w:r>
      <w:r w:rsidRPr="003077CB">
        <w:t xml:space="preserve"> to the comparators.</w:t>
      </w:r>
    </w:p>
    <w:p w14:paraId="196DA394" w14:textId="43B29946" w:rsidR="003077CB" w:rsidRPr="003077CB" w:rsidRDefault="003077CB" w:rsidP="003077CB">
      <w:pPr>
        <w:pStyle w:val="ListBullet"/>
      </w:pPr>
      <w:r w:rsidRPr="003077CB">
        <w:t xml:space="preserve">Preferred first-line treatments in HIV are based on regimens including </w:t>
      </w:r>
      <w:r w:rsidR="00462EE2">
        <w:t>INSTI</w:t>
      </w:r>
      <w:r w:rsidRPr="003077CB">
        <w:t xml:space="preserve"> therapy. No studies comparing doravi</w:t>
      </w:r>
      <w:r w:rsidR="00462EE2">
        <w:t>rine with INSTI were presented.</w:t>
      </w:r>
    </w:p>
    <w:p w14:paraId="1E29280E" w14:textId="09948091" w:rsidR="003077CB" w:rsidRPr="003077CB" w:rsidRDefault="003077CB" w:rsidP="003077CB">
      <w:pPr>
        <w:pStyle w:val="ListBullet"/>
      </w:pPr>
      <w:r w:rsidRPr="003077CB">
        <w:t>Data from an ongoing trial (</w:t>
      </w:r>
      <w:r w:rsidR="00462EE2">
        <w:t xml:space="preserve">Study </w:t>
      </w:r>
      <w:r w:rsidRPr="003077CB">
        <w:t>P024) in virologically suppressed patients switching to doravirine/lamivudine/</w:t>
      </w:r>
      <w:r w:rsidR="00382533">
        <w:t>tenofovir disoproxil fumarate</w:t>
      </w:r>
      <w:r w:rsidRPr="003077CB">
        <w:t xml:space="preserve"> may provide support in future for patients who are not treatment-naïve, however the full report from this study was not included in the dossier and has not been evaluated by the TGA.</w:t>
      </w:r>
    </w:p>
    <w:p w14:paraId="2BF258E9" w14:textId="6AB77B0B" w:rsidR="003077CB" w:rsidRPr="003077CB" w:rsidRDefault="003077CB" w:rsidP="003077CB">
      <w:pPr>
        <w:pStyle w:val="ListBullet"/>
      </w:pPr>
      <w:r w:rsidRPr="003077CB">
        <w:t>Doravirine FDC is included as a recommended regimen in specific situations in the US Department of Health and Human Services Guidelines for the use of Antiretroviral Agents.</w:t>
      </w:r>
      <w:r w:rsidR="00E03DEB">
        <w:rPr>
          <w:rStyle w:val="FootnoteReference"/>
        </w:rPr>
        <w:footnoteReference w:id="10"/>
      </w:r>
    </w:p>
    <w:p w14:paraId="0B49A27D" w14:textId="588167E9" w:rsidR="003077CB" w:rsidRPr="003077CB" w:rsidRDefault="003077CB" w:rsidP="003077CB">
      <w:pPr>
        <w:pStyle w:val="ListBullet"/>
      </w:pPr>
      <w:r w:rsidRPr="003077CB">
        <w:t>Both Pifeltro and Delstrigo have been approved in the US</w:t>
      </w:r>
      <w:r w:rsidR="00CA6B59">
        <w:t>A</w:t>
      </w:r>
      <w:r w:rsidRPr="003077CB">
        <w:t xml:space="preserve"> and EU.</w:t>
      </w:r>
    </w:p>
    <w:p w14:paraId="22EB3F99" w14:textId="77777777" w:rsidR="003077CB" w:rsidRPr="003077CB" w:rsidRDefault="003077CB" w:rsidP="003077CB">
      <w:pPr>
        <w:pStyle w:val="Heading5"/>
      </w:pPr>
      <w:r w:rsidRPr="003077CB">
        <w:t>Proposed conditions of registration</w:t>
      </w:r>
    </w:p>
    <w:p w14:paraId="35F38E2D" w14:textId="3BA1DF04" w:rsidR="003077CB" w:rsidRPr="003077CB" w:rsidRDefault="003077CB" w:rsidP="003077CB">
      <w:pPr>
        <w:rPr>
          <w:bCs/>
        </w:rPr>
      </w:pPr>
      <w:r w:rsidRPr="003077CB">
        <w:rPr>
          <w:bCs/>
        </w:rPr>
        <w:t>The ACM a</w:t>
      </w:r>
      <w:r w:rsidR="00420CB8">
        <w:rPr>
          <w:bCs/>
        </w:rPr>
        <w:t>greed with the D</w:t>
      </w:r>
      <w:r w:rsidRPr="003077CB">
        <w:rPr>
          <w:bCs/>
        </w:rPr>
        <w:t>elegate on the proposed conditions of registration.</w:t>
      </w:r>
    </w:p>
    <w:p w14:paraId="5BA213A9" w14:textId="1C7983A3" w:rsidR="003077CB" w:rsidRPr="003077CB" w:rsidRDefault="003077CB" w:rsidP="003077CB">
      <w:pPr>
        <w:pStyle w:val="Heading5"/>
      </w:pPr>
      <w:r w:rsidRPr="003077CB">
        <w:t>P</w:t>
      </w:r>
      <w:r w:rsidR="00420CB8">
        <w:t>roposed Product Information/</w:t>
      </w:r>
      <w:r w:rsidRPr="003077CB">
        <w:t>Cons</w:t>
      </w:r>
      <w:r w:rsidR="00420CB8">
        <w:t xml:space="preserve">umer Medicine Information </w:t>
      </w:r>
      <w:r w:rsidRPr="003077CB">
        <w:t>amendments</w:t>
      </w:r>
    </w:p>
    <w:p w14:paraId="73D926E3" w14:textId="7AA8BB10" w:rsidR="003077CB" w:rsidRPr="003077CB" w:rsidRDefault="00420CB8" w:rsidP="003077CB">
      <w:pPr>
        <w:rPr>
          <w:bCs/>
        </w:rPr>
      </w:pPr>
      <w:r>
        <w:rPr>
          <w:bCs/>
        </w:rPr>
        <w:t>The ACM agreed with the D</w:t>
      </w:r>
      <w:r w:rsidR="003077CB" w:rsidRPr="003077CB">
        <w:rPr>
          <w:bCs/>
        </w:rPr>
        <w:t xml:space="preserve">elegate to the proposed amendments to the </w:t>
      </w:r>
      <w:r>
        <w:rPr>
          <w:bCs/>
        </w:rPr>
        <w:t>PI</w:t>
      </w:r>
      <w:r w:rsidR="003077CB" w:rsidRPr="003077CB">
        <w:rPr>
          <w:bCs/>
        </w:rPr>
        <w:t xml:space="preserve"> and Consumer Medicine information (CMI) and specifically advised on the inclusion of the following:</w:t>
      </w:r>
    </w:p>
    <w:p w14:paraId="6CB5D344" w14:textId="7C5B86AA" w:rsidR="003077CB" w:rsidRPr="003077CB" w:rsidRDefault="00420CB8" w:rsidP="00420CB8">
      <w:pPr>
        <w:pStyle w:val="ListBullet"/>
      </w:pPr>
      <w:r>
        <w:t>Definition of the term ‘severe renal impairment’</w:t>
      </w:r>
      <w:r w:rsidR="003077CB" w:rsidRPr="003077CB">
        <w:t xml:space="preserve"> in the PI to specify the </w:t>
      </w:r>
      <w:r>
        <w:t>e</w:t>
      </w:r>
      <w:r w:rsidRPr="00420CB8">
        <w:t xml:space="preserve">stimated glomerular filtration rate </w:t>
      </w:r>
      <w:r>
        <w:t>(</w:t>
      </w:r>
      <w:r w:rsidR="003077CB" w:rsidRPr="003077CB">
        <w:t>eGFR</w:t>
      </w:r>
      <w:r>
        <w:t>)</w:t>
      </w:r>
      <w:r w:rsidR="003077CB" w:rsidRPr="003077CB">
        <w:t xml:space="preserve"> range to which the term relates.</w:t>
      </w:r>
    </w:p>
    <w:p w14:paraId="1676BAD6" w14:textId="00DCE4DE" w:rsidR="003077CB" w:rsidRPr="003077CB" w:rsidRDefault="003077CB" w:rsidP="003077CB">
      <w:pPr>
        <w:pStyle w:val="Heading5"/>
      </w:pPr>
      <w:r>
        <w:t>Specific a</w:t>
      </w:r>
      <w:r w:rsidRPr="003077CB">
        <w:t>dvice</w:t>
      </w:r>
    </w:p>
    <w:p w14:paraId="63EA6334" w14:textId="44C1B6D3" w:rsidR="003077CB" w:rsidRPr="003077CB" w:rsidRDefault="003077CB" w:rsidP="003077CB">
      <w:pPr>
        <w:rPr>
          <w:bCs/>
        </w:rPr>
      </w:pPr>
      <w:r w:rsidRPr="003077CB">
        <w:rPr>
          <w:bCs/>
        </w:rPr>
        <w:t>The ACM advised th</w:t>
      </w:r>
      <w:r>
        <w:rPr>
          <w:bCs/>
        </w:rPr>
        <w:t>e following in response to the D</w:t>
      </w:r>
      <w:r w:rsidRPr="003077CB">
        <w:rPr>
          <w:bCs/>
        </w:rPr>
        <w:t>elegate’s specific questions on the submission:</w:t>
      </w:r>
    </w:p>
    <w:p w14:paraId="31ECBC53" w14:textId="1E7E0297" w:rsidR="003077CB" w:rsidRPr="00942D71" w:rsidRDefault="003077CB" w:rsidP="00942D71">
      <w:pPr>
        <w:pStyle w:val="Numberbullet0"/>
        <w:numPr>
          <w:ilvl w:val="0"/>
          <w:numId w:val="31"/>
        </w:numPr>
        <w:rPr>
          <w:b/>
          <w:i/>
        </w:rPr>
      </w:pPr>
      <w:r w:rsidRPr="00942D71">
        <w:rPr>
          <w:b/>
          <w:i/>
        </w:rPr>
        <w:t>The ACM is requested advice on appropriate text for the therapeutic indication, and usage instructions for coadministration with CYP3A4 inhibitors/inducers and in the presence of hepatic or renal impairment.</w:t>
      </w:r>
    </w:p>
    <w:p w14:paraId="62018E59" w14:textId="454C6535" w:rsidR="003077CB" w:rsidRPr="003077CB" w:rsidRDefault="003077CB" w:rsidP="00420CB8">
      <w:pPr>
        <w:pStyle w:val="Numberbullet0"/>
        <w:numPr>
          <w:ilvl w:val="0"/>
          <w:numId w:val="0"/>
        </w:numPr>
        <w:ind w:left="425"/>
      </w:pPr>
      <w:r w:rsidRPr="003077CB">
        <w:t>The ACM noted that the pivotal studies provided to support registration were conducted in treatment-naïve patients. Therefore</w:t>
      </w:r>
      <w:r w:rsidR="00420CB8">
        <w:t>,</w:t>
      </w:r>
      <w:r w:rsidRPr="003077CB">
        <w:t xml:space="preserve"> the ACM advised that the indication </w:t>
      </w:r>
      <w:r w:rsidRPr="003077CB">
        <w:lastRenderedPageBreak/>
        <w:t>wording should reflect the clinical data provided, and specify that use should be in treatment-naïve patients. The ACM was aware that studies supporting an indication to switch in virologically suppressed patients were in progress but had not yet been formally evaluated.</w:t>
      </w:r>
    </w:p>
    <w:p w14:paraId="70BED022" w14:textId="23F75163" w:rsidR="003077CB" w:rsidRPr="003077CB" w:rsidRDefault="003077CB" w:rsidP="00420CB8">
      <w:pPr>
        <w:pStyle w:val="Numberbullet0"/>
        <w:numPr>
          <w:ilvl w:val="0"/>
          <w:numId w:val="0"/>
        </w:numPr>
        <w:ind w:left="425"/>
      </w:pPr>
      <w:r w:rsidRPr="003077CB">
        <w:t>The ACM considered that the contraindication for co-administration of doravirine w</w:t>
      </w:r>
      <w:r w:rsidR="00420CB8">
        <w:t>ith strong CYP3A4 inducers (for example,</w:t>
      </w:r>
      <w:r w:rsidRPr="003077CB">
        <w:t xml:space="preserve"> rifampicin), and including a requirement for dose increase (to 100 mg twice daily) for coadminstration with rifabutin, were reasonable. The Committee considered that a caution should be included regarding toxicity when administered with CYP3A4 inhi</w:t>
      </w:r>
      <w:r w:rsidR="00420CB8">
        <w:t>bitors (for example,</w:t>
      </w:r>
      <w:r w:rsidR="00942D71">
        <w:t xml:space="preserve"> ketoconazole). </w:t>
      </w:r>
      <w:r w:rsidRPr="003077CB">
        <w:t>The Committee was of the view that an interaction between doravirine and efavirenz in a switching situation was not li</w:t>
      </w:r>
      <w:r w:rsidR="00420CB8">
        <w:t>kely to be clinically relevant.</w:t>
      </w:r>
    </w:p>
    <w:p w14:paraId="6343A674" w14:textId="68BBAAFF" w:rsidR="003077CB" w:rsidRPr="003077CB" w:rsidRDefault="003077CB" w:rsidP="00420CB8">
      <w:pPr>
        <w:pStyle w:val="Numberbullet0"/>
        <w:numPr>
          <w:ilvl w:val="0"/>
          <w:numId w:val="0"/>
        </w:numPr>
        <w:ind w:left="425"/>
      </w:pPr>
      <w:r w:rsidRPr="003077CB">
        <w:t>The ACM considered that the wording regarding dosage in hepatic impairment was appropriate. With respect to renal impair</w:t>
      </w:r>
      <w:r w:rsidR="00420CB8">
        <w:t>ment, the Committee noted that ‘severe renal impairment’</w:t>
      </w:r>
      <w:r w:rsidRPr="003077CB">
        <w:t xml:space="preserve"> should be defined by specifying the relevant eGFR range.</w:t>
      </w:r>
    </w:p>
    <w:p w14:paraId="5619C42F" w14:textId="3555A4F4" w:rsidR="003077CB" w:rsidRPr="003077CB" w:rsidRDefault="003077CB" w:rsidP="003077CB">
      <w:r w:rsidRPr="003077CB">
        <w:t>The ACM advised that implementation by the sponsor of the recommendations outlined above to the satisfaction of the TGA, in addition to the evidence of efficacy and safety provided would support the safe and effective use of these products.</w:t>
      </w:r>
    </w:p>
    <w:p w14:paraId="699AB96A" w14:textId="77777777" w:rsidR="008E7846" w:rsidRPr="002E238E" w:rsidRDefault="008E7846" w:rsidP="008E7846">
      <w:pPr>
        <w:pStyle w:val="Heading3"/>
      </w:pPr>
      <w:bookmarkStart w:id="76" w:name="_Toc247691532"/>
      <w:bookmarkStart w:id="77" w:name="_Toc314842516"/>
      <w:bookmarkStart w:id="78" w:name="_Toc35259371"/>
      <w:bookmarkEnd w:id="33"/>
      <w:bookmarkEnd w:id="74"/>
      <w:bookmarkEnd w:id="75"/>
      <w:r>
        <w:t>Outcome</w:t>
      </w:r>
      <w:bookmarkEnd w:id="76"/>
      <w:bookmarkEnd w:id="77"/>
      <w:bookmarkEnd w:id="78"/>
    </w:p>
    <w:p w14:paraId="6EAFC61D" w14:textId="3E3CF19F" w:rsidR="00720460" w:rsidRDefault="00720460" w:rsidP="00720460">
      <w:pPr>
        <w:pStyle w:val="Heading4"/>
      </w:pPr>
      <w:bookmarkStart w:id="79" w:name="_Toc247691533"/>
      <w:bookmarkStart w:id="80" w:name="_Toc314842517"/>
      <w:r>
        <w:t>Pifeltro</w:t>
      </w:r>
    </w:p>
    <w:p w14:paraId="6FC8160F" w14:textId="443504CD" w:rsidR="00D23139" w:rsidRPr="00D23139" w:rsidRDefault="00D23139" w:rsidP="00D23139">
      <w:r w:rsidRPr="00D23139">
        <w:t xml:space="preserve">Based on a review of quality, safety and efficacy, </w:t>
      </w:r>
      <w:r w:rsidR="00E03DEB">
        <w:t xml:space="preserve">the </w:t>
      </w:r>
      <w:r w:rsidRPr="00D23139">
        <w:t xml:space="preserve">TGA approved the registration of </w:t>
      </w:r>
      <w:r w:rsidR="00942D71">
        <w:t xml:space="preserve">Pifeltro (doravirine) </w:t>
      </w:r>
      <w:r w:rsidR="00CA6B59">
        <w:t xml:space="preserve">100 mg </w:t>
      </w:r>
      <w:r w:rsidR="00942D71">
        <w:t>film coated tablets</w:t>
      </w:r>
      <w:r w:rsidRPr="00D23139">
        <w:t>, indicated for:</w:t>
      </w:r>
    </w:p>
    <w:p w14:paraId="182D6F2E" w14:textId="52DD209C" w:rsidR="00D23139" w:rsidRDefault="00FD2F83" w:rsidP="00FD2F83">
      <w:pPr>
        <w:ind w:left="720"/>
      </w:pPr>
      <w:r w:rsidRPr="00720460">
        <w:rPr>
          <w:i/>
        </w:rPr>
        <w:t>Pifeltro is indicated, in combination with other antiretroviral medicinal products, for the treatment of HIV-1 infection in adults who are antiretroviral therapy (ART) naïve with no known substitutions associated with resistance to doravirine.</w:t>
      </w:r>
    </w:p>
    <w:p w14:paraId="3B4E831C" w14:textId="6F7ADDB6" w:rsidR="00720460" w:rsidRDefault="00720460" w:rsidP="00720460">
      <w:pPr>
        <w:pStyle w:val="Heading4"/>
      </w:pPr>
      <w:r>
        <w:t>Delstrigo</w:t>
      </w:r>
    </w:p>
    <w:p w14:paraId="5D61CC69" w14:textId="0D087CB1" w:rsidR="00FD2F83" w:rsidRPr="00D23139" w:rsidRDefault="00FD2F83" w:rsidP="00FD2F83">
      <w:r w:rsidRPr="00D23139">
        <w:t xml:space="preserve">Based on a review of quality, safety and efficacy, </w:t>
      </w:r>
      <w:r w:rsidR="00384BF6">
        <w:t xml:space="preserve">the </w:t>
      </w:r>
      <w:r w:rsidRPr="00D23139">
        <w:t xml:space="preserve">TGA approved the registration of </w:t>
      </w:r>
      <w:r w:rsidR="00942D71">
        <w:t>Delstrigo (doravirine/lamivudine/</w:t>
      </w:r>
      <w:r w:rsidR="00942D71" w:rsidRPr="00FD2F83">
        <w:t>tenofovir disoproxil fumarate</w:t>
      </w:r>
      <w:r w:rsidR="00942D71">
        <w:t>)</w:t>
      </w:r>
      <w:r w:rsidR="00942D71" w:rsidRPr="00FD2F83">
        <w:t xml:space="preserve"> </w:t>
      </w:r>
      <w:r w:rsidR="00CA6B59">
        <w:t xml:space="preserve">100/300/300 mg </w:t>
      </w:r>
      <w:r w:rsidR="00420CB8">
        <w:t>FDC</w:t>
      </w:r>
      <w:r w:rsidR="00942D71">
        <w:t xml:space="preserve"> film coated tablets</w:t>
      </w:r>
      <w:r w:rsidRPr="00D23139">
        <w:t>, indicated for:</w:t>
      </w:r>
    </w:p>
    <w:p w14:paraId="57987D7C" w14:textId="513D1F30" w:rsidR="00FD2F83" w:rsidRPr="00FD2F83" w:rsidRDefault="00FD2F83" w:rsidP="00FD2F83">
      <w:pPr>
        <w:ind w:left="720"/>
      </w:pPr>
      <w:r w:rsidRPr="00405D4F">
        <w:rPr>
          <w:i/>
        </w:rPr>
        <w:t>Delstrigo is indicated for the treatment of HIV-1 infection in adults who are antiretroviral therapy (ART)-naïve with no known substitutions associated with resistance to doravirine, lamivudine, or tenofovir.</w:t>
      </w:r>
    </w:p>
    <w:p w14:paraId="220EFDB2" w14:textId="77777777" w:rsidR="00D23139" w:rsidRPr="00D23139" w:rsidRDefault="00D23139" w:rsidP="00D23139">
      <w:pPr>
        <w:pStyle w:val="Heading4"/>
      </w:pPr>
      <w:r w:rsidRPr="00D23139">
        <w:t>Specific conditions of registration applying to these goods</w:t>
      </w:r>
    </w:p>
    <w:p w14:paraId="19756B19" w14:textId="550A1CC2" w:rsidR="009752A5" w:rsidRDefault="00720460" w:rsidP="00720460">
      <w:pPr>
        <w:pStyle w:val="Heading5"/>
      </w:pPr>
      <w:r>
        <w:t>Pifeltro</w:t>
      </w:r>
    </w:p>
    <w:p w14:paraId="296DACDD" w14:textId="58AC4959" w:rsidR="00720460" w:rsidRDefault="00720460" w:rsidP="00720460">
      <w:pPr>
        <w:pStyle w:val="ListBullet"/>
      </w:pPr>
      <w:r>
        <w:t>Pifeltro (doravirine) is to be included in the Black Triangle Scheme. The PI and CMI for Pifeltro must include the black triangle symbol and mandatory accompanying text for five years, which starts from the date that the sponsor notifies the TGA of supply of the product.</w:t>
      </w:r>
    </w:p>
    <w:p w14:paraId="1821D617" w14:textId="0F691C39" w:rsidR="00720460" w:rsidRDefault="00720460" w:rsidP="00720460">
      <w:pPr>
        <w:pStyle w:val="ListBullet"/>
      </w:pPr>
      <w:r>
        <w:t>The Pifeltro EU-</w:t>
      </w:r>
      <w:r w:rsidR="00420CB8">
        <w:t>RMP</w:t>
      </w:r>
      <w:r>
        <w:t xml:space="preserve"> (version 2.0, dated 26 October 2018, </w:t>
      </w:r>
      <w:r w:rsidR="00420CB8">
        <w:t>DLP</w:t>
      </w:r>
      <w:r>
        <w:t xml:space="preserve"> 29 June 2018), with </w:t>
      </w:r>
      <w:r w:rsidR="00420CB8">
        <w:t>ASA</w:t>
      </w:r>
      <w:r>
        <w:t xml:space="preserve"> (version 0.2, dated November 2018), include</w:t>
      </w:r>
      <w:r w:rsidR="00CA6B59">
        <w:t>d with submission PM</w:t>
      </w:r>
      <w:r w:rsidR="00CA6B59">
        <w:noBreakHyphen/>
        <w:t>2017</w:t>
      </w:r>
      <w:r w:rsidR="00CA6B59">
        <w:noBreakHyphen/>
        <w:t>04580</w:t>
      </w:r>
      <w:r w:rsidR="00CA6B59">
        <w:noBreakHyphen/>
      </w:r>
      <w:r>
        <w:t>1-2, and any subsequent revisions, as agreed with the TGA will be implemented in Australia.</w:t>
      </w:r>
    </w:p>
    <w:p w14:paraId="7FFE2ECA" w14:textId="21DF12AA" w:rsidR="00720460" w:rsidRDefault="00720460" w:rsidP="00720460">
      <w:pPr>
        <w:pStyle w:val="ListBullet"/>
        <w:numPr>
          <w:ilvl w:val="0"/>
          <w:numId w:val="0"/>
        </w:numPr>
        <w:ind w:left="360"/>
      </w:pPr>
      <w:r>
        <w:lastRenderedPageBreak/>
        <w:t>An obligatory component of risk management plans is routine pharmacovigilance. Routine pharmacovigilance includes the submission of Periodic Safety Update Reports (PSURs).</w:t>
      </w:r>
    </w:p>
    <w:p w14:paraId="7C521B07" w14:textId="53BA7897" w:rsidR="00720460" w:rsidRDefault="00720460" w:rsidP="00720460">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05DBBB5C" w14:textId="60227686" w:rsidR="00720460" w:rsidRDefault="00720460" w:rsidP="00720460">
      <w:pPr>
        <w:pStyle w:val="ListBullet"/>
        <w:numPr>
          <w:ilvl w:val="0"/>
          <w:numId w:val="0"/>
        </w:numPr>
        <w:ind w:left="360"/>
      </w:pPr>
      <w:r>
        <w:t>The reports are to at least meet the requirements for PSURs as described in the European Medicines Agency’s Guideli</w:t>
      </w:r>
      <w:r w:rsidR="00420CB8">
        <w:t>ne on Good Pharmacovigilance P</w:t>
      </w:r>
      <w:r>
        <w:t>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CBC3F00" w14:textId="3CBC0452" w:rsidR="00720460" w:rsidRDefault="00720460" w:rsidP="00720460">
      <w:pPr>
        <w:pStyle w:val="Heading5"/>
      </w:pPr>
      <w:r>
        <w:t>Delstrigo</w:t>
      </w:r>
    </w:p>
    <w:p w14:paraId="7534794E" w14:textId="799611DF" w:rsidR="00FD2F83" w:rsidRDefault="00FD2F83" w:rsidP="00FD2F83">
      <w:pPr>
        <w:pStyle w:val="ListBullet"/>
      </w:pPr>
      <w:r>
        <w:t>Delstrigo (doravirine, lamivudine and tenofovir disoproxil fumarate) is to be included in the Black Triangle Scheme. The PI and CMI for Delstrigo must include the black triangle symbol and mandatory accompanying text for five years, which starts from the date that the sponsor notifies the TGA of supply of the product.</w:t>
      </w:r>
    </w:p>
    <w:p w14:paraId="3D0708AE" w14:textId="13C18465" w:rsidR="00FD2F83" w:rsidRDefault="00420CB8" w:rsidP="00FD2F83">
      <w:pPr>
        <w:pStyle w:val="ListBullet"/>
      </w:pPr>
      <w:r>
        <w:t>The Delstrigo EU-RMP</w:t>
      </w:r>
      <w:r w:rsidR="00FD2F83">
        <w:t xml:space="preserve"> (version 2.0, dated 26 October 2018, </w:t>
      </w:r>
      <w:r>
        <w:t>DLP</w:t>
      </w:r>
      <w:r w:rsidR="00FD2F83">
        <w:t xml:space="preserve"> 29 June 2018), with </w:t>
      </w:r>
      <w:r>
        <w:t>ASA</w:t>
      </w:r>
      <w:r w:rsidR="00FD2F83">
        <w:t xml:space="preserve"> (version 0.2, dated November 2018), include</w:t>
      </w:r>
      <w:r w:rsidR="00CA6B59">
        <w:t>d with submission PM</w:t>
      </w:r>
      <w:r w:rsidR="00CA6B59">
        <w:noBreakHyphen/>
        <w:t>2017</w:t>
      </w:r>
      <w:r w:rsidR="00CA6B59">
        <w:noBreakHyphen/>
        <w:t>04581</w:t>
      </w:r>
      <w:r w:rsidR="00CA6B59">
        <w:noBreakHyphen/>
      </w:r>
      <w:r w:rsidR="00FD2F83">
        <w:t>1-2, and any subsequent revisions, as agreed with the TGA will be implemented in Australia.</w:t>
      </w:r>
    </w:p>
    <w:p w14:paraId="13FE86B3" w14:textId="6B6102DA" w:rsidR="00FD2F83" w:rsidRDefault="00FD2F83" w:rsidP="00FD2F83">
      <w:pPr>
        <w:pStyle w:val="ListBullet"/>
        <w:numPr>
          <w:ilvl w:val="0"/>
          <w:numId w:val="0"/>
        </w:numPr>
        <w:ind w:left="360"/>
      </w:pPr>
      <w:r>
        <w:t xml:space="preserve">An obligatory component of risk management plans is routine pharmacovigilance. Routine pharmacovigilance includes the submission of </w:t>
      </w:r>
      <w:r w:rsidR="00420CB8">
        <w:t>PSURs</w:t>
      </w:r>
      <w:r>
        <w:t>.</w:t>
      </w:r>
    </w:p>
    <w:p w14:paraId="07195CC1" w14:textId="14C57B34" w:rsidR="00FD2F83" w:rsidRDefault="00FD2F83" w:rsidP="00FD2F83">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1A16FD9F" w14:textId="01E72AB9" w:rsidR="00FD2F83" w:rsidRPr="00FD2F83" w:rsidRDefault="00FD2F83" w:rsidP="00FD2F83">
      <w:pPr>
        <w:pStyle w:val="ListBullet"/>
        <w:numPr>
          <w:ilvl w:val="0"/>
          <w:numId w:val="0"/>
        </w:numPr>
        <w:ind w:left="360"/>
      </w:pPr>
      <w:r>
        <w:t xml:space="preserve">The reports are to at least meet the requirements for PSURs as described in the European Medicines Agency’s Guideline on </w:t>
      </w:r>
      <w:r w:rsidR="00420CB8">
        <w:t>GVP</w:t>
      </w:r>
      <w:r>
        <w:t xml:space="preserve">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89A52FB" w14:textId="634FBBC3" w:rsidR="008E7846" w:rsidRDefault="00A80B5B" w:rsidP="00D23139">
      <w:pPr>
        <w:pStyle w:val="Heading2"/>
      </w:pPr>
      <w:bookmarkStart w:id="81" w:name="_Toc35259372"/>
      <w:r>
        <w:t>Attachment</w:t>
      </w:r>
      <w:r w:rsidR="00FD2F83">
        <w:t>s</w:t>
      </w:r>
      <w:r>
        <w:t xml:space="preserve"> 1</w:t>
      </w:r>
      <w:r w:rsidR="00FD2F83">
        <w:t xml:space="preserve"> and 2</w:t>
      </w:r>
      <w:r>
        <w:t xml:space="preserve">. </w:t>
      </w:r>
      <w:r w:rsidR="008E7846">
        <w:t xml:space="preserve">Product </w:t>
      </w:r>
      <w:r w:rsidR="00AA0ED0">
        <w:t>I</w:t>
      </w:r>
      <w:r w:rsidR="008E7846">
        <w:t>nformation</w:t>
      </w:r>
      <w:bookmarkEnd w:id="79"/>
      <w:bookmarkEnd w:id="80"/>
      <w:bookmarkEnd w:id="81"/>
    </w:p>
    <w:p w14:paraId="597DFF6B" w14:textId="6F69A631" w:rsidR="00770CAC" w:rsidRPr="009A17DA" w:rsidRDefault="006136D7" w:rsidP="009A17DA">
      <w:pPr>
        <w:rPr>
          <w:color w:val="000000"/>
          <w:lang w:eastAsia="en-AU"/>
        </w:rPr>
      </w:pPr>
      <w:r w:rsidRPr="002B3624">
        <w:t xml:space="preserve">The </w:t>
      </w:r>
      <w:r>
        <w:t>PI</w:t>
      </w:r>
      <w:r w:rsidR="009A17DA">
        <w:t>s</w:t>
      </w:r>
      <w:r w:rsidRPr="002B3624">
        <w:t xml:space="preserve"> for </w:t>
      </w:r>
      <w:r w:rsidR="00FD2F83" w:rsidRPr="00371085">
        <w:t>Pifeltro and Delstrigo</w:t>
      </w:r>
      <w:r w:rsidRPr="002B3624">
        <w:t xml:space="preserve"> </w:t>
      </w:r>
      <w:r>
        <w:t xml:space="preserve">approved with the submission which is described in </w:t>
      </w:r>
      <w:r w:rsidRPr="002B3624">
        <w:t>this AusPAR is at Attachment 1</w:t>
      </w:r>
      <w:r w:rsidR="009A17DA">
        <w:t xml:space="preserve"> and 2</w:t>
      </w:r>
      <w:r w:rsidRPr="002B3624">
        <w:t xml:space="preserve">. For the most recent </w:t>
      </w:r>
      <w:r>
        <w:t>PI</w:t>
      </w:r>
      <w:r w:rsidR="009A17DA">
        <w:t>s</w:t>
      </w:r>
      <w:r>
        <w:t>,</w:t>
      </w:r>
      <w:r w:rsidRPr="002B3624">
        <w:t xml:space="preserve"> please refer to the </w:t>
      </w:r>
      <w:r w:rsidRPr="007C6B9B">
        <w:t xml:space="preserve">TGA website at </w:t>
      </w:r>
      <w:r w:rsidR="007C6B9B" w:rsidRPr="007C6B9B">
        <w:t>&lt;</w:t>
      </w:r>
      <w:hyperlink r:id="rId45" w:history="1">
        <w:r w:rsidR="007C6B9B" w:rsidRPr="007C6B9B">
          <w:rPr>
            <w:rStyle w:val="Hyperlink"/>
          </w:rPr>
          <w:t>https://www.tga.gov.au/product-information-pi</w:t>
        </w:r>
      </w:hyperlink>
      <w:r w:rsidR="00FD2F83">
        <w:t>&gt;.</w:t>
      </w:r>
    </w:p>
    <w:p w14:paraId="51BC98E4" w14:textId="77777777" w:rsidR="00291957" w:rsidRDefault="00291957" w:rsidP="00291957">
      <w:pPr>
        <w:rPr>
          <w:lang w:eastAsia="ja-JP"/>
        </w:rPr>
      </w:pPr>
    </w:p>
    <w:p w14:paraId="4B4247AE" w14:textId="77777777" w:rsidR="00C80137" w:rsidRPr="001D043B" w:rsidRDefault="00C80137" w:rsidP="003A7F6C">
      <w:pPr>
        <w:pStyle w:val="TableTitle"/>
        <w:sectPr w:rsidR="00C80137" w:rsidRPr="001D043B" w:rsidSect="00B452CE">
          <w:headerReference w:type="even" r:id="rId46"/>
          <w:headerReference w:type="default" r:id="rId47"/>
          <w:headerReference w:type="first" r:id="rId48"/>
          <w:footerReference w:type="first" r:id="rId4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0A43C10" w14:textId="77777777" w:rsidTr="00A05FA4">
        <w:trPr>
          <w:trHeight w:hRule="exact" w:val="704"/>
        </w:trPr>
        <w:tc>
          <w:tcPr>
            <w:tcW w:w="9175" w:type="dxa"/>
          </w:tcPr>
          <w:p w14:paraId="48C4CAC8" w14:textId="77777777" w:rsidR="001C32CD" w:rsidRPr="00487162" w:rsidRDefault="001C32CD" w:rsidP="00A05FA4">
            <w:pPr>
              <w:pStyle w:val="TGASignoff"/>
            </w:pPr>
            <w:r w:rsidRPr="00487162">
              <w:lastRenderedPageBreak/>
              <w:t>Therapeutic Goods Administration</w:t>
            </w:r>
          </w:p>
        </w:tc>
      </w:tr>
      <w:tr w:rsidR="001C32CD" w:rsidRPr="004C239D" w14:paraId="4C5CFB77" w14:textId="77777777" w:rsidTr="00A05FA4">
        <w:trPr>
          <w:trHeight w:val="1221"/>
        </w:trPr>
        <w:tc>
          <w:tcPr>
            <w:tcW w:w="9175" w:type="dxa"/>
            <w:tcMar>
              <w:top w:w="28" w:type="dxa"/>
            </w:tcMar>
          </w:tcPr>
          <w:p w14:paraId="77A110BE" w14:textId="77777777" w:rsidR="001C32CD" w:rsidRPr="00487162" w:rsidRDefault="001C32CD" w:rsidP="00A05FA4">
            <w:pPr>
              <w:pStyle w:val="Address"/>
            </w:pPr>
            <w:r w:rsidRPr="00487162">
              <w:t>PO Box 100 Woden ACT 2606 Australia</w:t>
            </w:r>
          </w:p>
          <w:p w14:paraId="790C4E8B" w14:textId="77777777" w:rsidR="001C32CD" w:rsidRPr="00487162" w:rsidRDefault="001C32CD" w:rsidP="00A05FA4">
            <w:pPr>
              <w:pStyle w:val="Address"/>
            </w:pPr>
            <w:r w:rsidRPr="00487162">
              <w:t xml:space="preserve">Email: </w:t>
            </w:r>
            <w:hyperlink r:id="rId50" w:history="1">
              <w:r w:rsidRPr="004C239D">
                <w:rPr>
                  <w:rStyle w:val="Hyperlink"/>
                </w:rPr>
                <w:t>info@tga.gov.au</w:t>
              </w:r>
            </w:hyperlink>
            <w:r w:rsidRPr="00487162">
              <w:t xml:space="preserve">  Phone: 1800 020 653  Fax: 02 6232 8605</w:t>
            </w:r>
          </w:p>
          <w:p w14:paraId="682E1EB5" w14:textId="77777777" w:rsidR="001C32CD" w:rsidRPr="004C239D" w:rsidRDefault="001A20FB" w:rsidP="00A05FA4">
            <w:pPr>
              <w:pStyle w:val="Address"/>
              <w:spacing w:line="260" w:lineRule="atLeast"/>
              <w:rPr>
                <w:b/>
                <w:color w:val="0000FF"/>
                <w:u w:val="single"/>
              </w:rPr>
            </w:pPr>
            <w:hyperlink r:id="rId51" w:history="1">
              <w:r w:rsidR="007C6B9B" w:rsidRPr="007C6B9B">
                <w:rPr>
                  <w:rStyle w:val="Hyperlink"/>
                  <w:b/>
                </w:rPr>
                <w:t>https://www.tga.gov.au</w:t>
              </w:r>
            </w:hyperlink>
          </w:p>
        </w:tc>
      </w:tr>
    </w:tbl>
    <w:p w14:paraId="2627EBC9" w14:textId="77777777" w:rsidR="00774E1D" w:rsidRPr="008A5E0B" w:rsidRDefault="00774E1D" w:rsidP="004C239D"/>
    <w:sectPr w:rsidR="00774E1D" w:rsidRPr="008A5E0B" w:rsidSect="001C32CD">
      <w:headerReference w:type="even" r:id="rId52"/>
      <w:headerReference w:type="default" r:id="rId53"/>
      <w:footerReference w:type="default" r:id="rId54"/>
      <w:headerReference w:type="first" r:id="rId55"/>
      <w:footerReference w:type="first" r:id="rId56"/>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69753C" w16cid:durableId="21FFA94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6787E" w14:textId="77777777" w:rsidR="00CB798F" w:rsidRDefault="00CB798F" w:rsidP="00C40A36">
      <w:pPr>
        <w:spacing w:after="0"/>
      </w:pPr>
      <w:r>
        <w:separator/>
      </w:r>
    </w:p>
  </w:endnote>
  <w:endnote w:type="continuationSeparator" w:id="0">
    <w:p w14:paraId="2D561D62" w14:textId="77777777" w:rsidR="00CB798F" w:rsidRDefault="00CB798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92CDD" w14:textId="77777777" w:rsidR="00CB798F" w:rsidRDefault="00CB79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B798F" w:rsidRPr="00487162" w14:paraId="35DFE9FC" w14:textId="77777777" w:rsidTr="00DB750B">
      <w:trPr>
        <w:trHeight w:val="269"/>
      </w:trPr>
      <w:tc>
        <w:tcPr>
          <w:tcW w:w="7371" w:type="dxa"/>
          <w:tcMar>
            <w:top w:w="142" w:type="dxa"/>
            <w:bottom w:w="0" w:type="dxa"/>
          </w:tcMar>
        </w:tcPr>
        <w:p w14:paraId="137E05D6" w14:textId="70C57DE6" w:rsidR="00CB798F" w:rsidRPr="00487162" w:rsidRDefault="00CB798F" w:rsidP="00D768C3">
          <w:pPr>
            <w:pStyle w:val="Footer"/>
          </w:pPr>
          <w:r w:rsidRPr="00487162">
            <w:t>AusPA</w:t>
          </w:r>
          <w:r>
            <w:t xml:space="preserve">R - </w:t>
          </w:r>
          <w:r w:rsidRPr="00371085">
            <w:t>PIFELTRO and DELSTRIGO - Doravirine and FDC - Merck Sharp &amp; Dohme (Australia) Pty Ltd - PM-2017-04580-1-2 and PM-2017-04581-1-2</w:t>
          </w:r>
          <w:r>
            <w:br/>
            <w:t>FINAL 11 March 2020</w:t>
          </w:r>
        </w:p>
      </w:tc>
      <w:tc>
        <w:tcPr>
          <w:tcW w:w="1490" w:type="dxa"/>
          <w:tcMar>
            <w:top w:w="142" w:type="dxa"/>
            <w:bottom w:w="0" w:type="dxa"/>
          </w:tcMar>
        </w:tcPr>
        <w:p w14:paraId="64B2AE91" w14:textId="77187CF6" w:rsidR="00CB798F" w:rsidRPr="00487162" w:rsidRDefault="00CB798F" w:rsidP="00DB750B">
          <w:pPr>
            <w:pStyle w:val="Footer"/>
            <w:jc w:val="right"/>
          </w:pPr>
          <w:r w:rsidRPr="00487162">
            <w:t xml:space="preserve">Page </w:t>
          </w:r>
          <w:r>
            <w:fldChar w:fldCharType="begin"/>
          </w:r>
          <w:r>
            <w:instrText xml:space="preserve"> PAGE  \* Arabic </w:instrText>
          </w:r>
          <w:r>
            <w:fldChar w:fldCharType="separate"/>
          </w:r>
          <w:r w:rsidR="001A20FB">
            <w:rPr>
              <w:noProof/>
            </w:rPr>
            <w:t>2</w:t>
          </w:r>
          <w:r>
            <w:fldChar w:fldCharType="end"/>
          </w:r>
          <w:r w:rsidRPr="00487162">
            <w:t xml:space="preserve"> of </w:t>
          </w:r>
          <w:fldSimple w:instr=" NUMPAGES  \* Arabic ">
            <w:r w:rsidR="001A20FB">
              <w:rPr>
                <w:noProof/>
              </w:rPr>
              <w:t>44</w:t>
            </w:r>
          </w:fldSimple>
        </w:p>
      </w:tc>
    </w:tr>
  </w:tbl>
  <w:p w14:paraId="6A20454E" w14:textId="77777777" w:rsidR="00CB798F" w:rsidRDefault="00CB798F"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EFDF0" w14:textId="77777777" w:rsidR="00CB798F" w:rsidRDefault="00CB79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B798F" w:rsidRPr="00487162" w14:paraId="156E6B79" w14:textId="77777777" w:rsidTr="00E45619">
      <w:trPr>
        <w:trHeight w:val="269"/>
      </w:trPr>
      <w:tc>
        <w:tcPr>
          <w:tcW w:w="4519" w:type="dxa"/>
          <w:tcBorders>
            <w:top w:val="single" w:sz="4" w:space="0" w:color="auto"/>
          </w:tcBorders>
          <w:tcMar>
            <w:top w:w="142" w:type="dxa"/>
            <w:bottom w:w="0" w:type="dxa"/>
          </w:tcMar>
        </w:tcPr>
        <w:p w14:paraId="6DAC3857" w14:textId="77777777" w:rsidR="00CB798F" w:rsidRPr="00487162" w:rsidRDefault="00CB798F" w:rsidP="00FE1DEE">
          <w:pPr>
            <w:pStyle w:val="Footer"/>
          </w:pPr>
          <w:r w:rsidRPr="00487162">
            <w:t>Document title, Part #, Section # - Section title</w:t>
          </w:r>
        </w:p>
        <w:p w14:paraId="02FA4D35" w14:textId="77777777" w:rsidR="00CB798F" w:rsidRPr="00487162" w:rsidRDefault="00CB798F" w:rsidP="00FE1DEE">
          <w:pPr>
            <w:pStyle w:val="Footer"/>
          </w:pPr>
          <w:r w:rsidRPr="00487162">
            <w:t>V1.0 October 2010</w:t>
          </w:r>
        </w:p>
      </w:tc>
      <w:tc>
        <w:tcPr>
          <w:tcW w:w="4342" w:type="dxa"/>
          <w:tcBorders>
            <w:top w:val="single" w:sz="4" w:space="0" w:color="auto"/>
          </w:tcBorders>
          <w:tcMar>
            <w:top w:w="142" w:type="dxa"/>
            <w:bottom w:w="0" w:type="dxa"/>
          </w:tcMar>
        </w:tcPr>
        <w:p w14:paraId="5770976F" w14:textId="77777777" w:rsidR="00CB798F" w:rsidRPr="00487162" w:rsidRDefault="00CB798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481DCBE3" w14:textId="77777777" w:rsidR="00CB798F" w:rsidRDefault="00CB79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593A6" w14:textId="77777777" w:rsidR="00CB798F" w:rsidRPr="001C32CD" w:rsidRDefault="00CB798F"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B798F" w14:paraId="4A6B7412" w14:textId="77777777" w:rsidTr="0010601F">
      <w:trPr>
        <w:trHeight w:val="108"/>
      </w:trPr>
      <w:tc>
        <w:tcPr>
          <w:tcW w:w="8875" w:type="dxa"/>
          <w:gridSpan w:val="2"/>
          <w:tcBorders>
            <w:bottom w:val="single" w:sz="4" w:space="0" w:color="auto"/>
          </w:tcBorders>
          <w:tcMar>
            <w:right w:w="284" w:type="dxa"/>
          </w:tcMar>
        </w:tcPr>
        <w:p w14:paraId="0E5EB855" w14:textId="77777777" w:rsidR="00CB798F" w:rsidRDefault="00CB798F" w:rsidP="006E08B3">
          <w:pPr>
            <w:pStyle w:val="Heading3"/>
          </w:pPr>
          <w:r>
            <w:t>Copyright</w:t>
          </w:r>
        </w:p>
        <w:p w14:paraId="62D2607B" w14:textId="77777777" w:rsidR="00CB798F" w:rsidRDefault="00CB798F" w:rsidP="006E08B3">
          <w:r>
            <w:rPr>
              <w:rFonts w:cs="Arial"/>
            </w:rPr>
            <w:t>©</w:t>
          </w:r>
          <w:r>
            <w:t xml:space="preserve"> Commonwealth of Australia [add year]</w:t>
          </w:r>
        </w:p>
        <w:p w14:paraId="3BCC3317" w14:textId="77777777" w:rsidR="00CB798F" w:rsidRDefault="00CB798F" w:rsidP="006E08B3"/>
        <w:p w14:paraId="23D0BC1E" w14:textId="77777777" w:rsidR="00CB798F" w:rsidRDefault="00CB798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9CD9EAC" w14:textId="77777777" w:rsidR="00CB798F" w:rsidRDefault="00CB798F" w:rsidP="006E08B3"/>
        <w:p w14:paraId="004CE2D0" w14:textId="77777777" w:rsidR="00CB798F" w:rsidRDefault="00CB798F" w:rsidP="006E08B3">
          <w:pPr>
            <w:pStyle w:val="Heading3"/>
          </w:pPr>
          <w:r>
            <w:t>Confidentiality</w:t>
          </w:r>
        </w:p>
        <w:p w14:paraId="20A5ED20" w14:textId="77777777" w:rsidR="00CB798F" w:rsidRDefault="00CB798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886BADF" w14:textId="77777777" w:rsidR="00CB798F" w:rsidRDefault="00CB798F" w:rsidP="006E08B3"/>
        <w:p w14:paraId="03BBC180" w14:textId="77777777" w:rsidR="00CB798F" w:rsidRDefault="00CB798F" w:rsidP="006E08B3">
          <w:r>
            <w:t>For submission made by individuals, all personal details, other than your name, will be removed from your submission before it is published on the TGA’s Internet site.</w:t>
          </w:r>
        </w:p>
        <w:p w14:paraId="54FAFFB9" w14:textId="77777777" w:rsidR="00CB798F" w:rsidRDefault="00CB798F" w:rsidP="006E08B3"/>
        <w:p w14:paraId="3C314D33" w14:textId="77777777" w:rsidR="00CB798F" w:rsidRDefault="00CB798F" w:rsidP="006E08B3">
          <w:r>
            <w:t>In addition, a list of parties making submissions will be published. If you do not wish to be identified with your submission you must specifically request this in the space provided ib the submission coversheet.</w:t>
          </w:r>
        </w:p>
      </w:tc>
    </w:tr>
    <w:tr w:rsidR="00CB798F" w14:paraId="66329034" w14:textId="77777777" w:rsidTr="0010601F">
      <w:trPr>
        <w:trHeight w:val="417"/>
      </w:trPr>
      <w:tc>
        <w:tcPr>
          <w:tcW w:w="4519" w:type="dxa"/>
          <w:tcBorders>
            <w:top w:val="single" w:sz="4" w:space="0" w:color="auto"/>
          </w:tcBorders>
          <w:tcMar>
            <w:top w:w="142" w:type="dxa"/>
            <w:bottom w:w="0" w:type="dxa"/>
          </w:tcMar>
        </w:tcPr>
        <w:p w14:paraId="1750A883" w14:textId="77777777" w:rsidR="00CB798F" w:rsidRDefault="00CB798F" w:rsidP="006E08B3">
          <w:r>
            <w:t>Document title, Part #, Section # - Section title</w:t>
          </w:r>
        </w:p>
        <w:p w14:paraId="0C5D787E" w14:textId="77777777" w:rsidR="00CB798F" w:rsidRDefault="00CB798F" w:rsidP="006E08B3">
          <w:r>
            <w:t>V1.0 October 2010</w:t>
          </w:r>
        </w:p>
      </w:tc>
      <w:tc>
        <w:tcPr>
          <w:tcW w:w="4356" w:type="dxa"/>
          <w:tcBorders>
            <w:top w:val="single" w:sz="4" w:space="0" w:color="auto"/>
          </w:tcBorders>
          <w:tcMar>
            <w:top w:w="142" w:type="dxa"/>
            <w:bottom w:w="0" w:type="dxa"/>
          </w:tcMar>
        </w:tcPr>
        <w:p w14:paraId="78E43783" w14:textId="77777777" w:rsidR="00CB798F" w:rsidRDefault="00CB798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3CD2FF38" w14:textId="77777777" w:rsidR="00CB798F" w:rsidRDefault="00CB798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18BF3" w14:textId="77777777" w:rsidR="00CB798F" w:rsidRDefault="00CB798F" w:rsidP="00C40A36">
      <w:pPr>
        <w:spacing w:after="0"/>
      </w:pPr>
      <w:r>
        <w:separator/>
      </w:r>
    </w:p>
  </w:footnote>
  <w:footnote w:type="continuationSeparator" w:id="0">
    <w:p w14:paraId="59D1A91F" w14:textId="77777777" w:rsidR="00CB798F" w:rsidRDefault="00CB798F" w:rsidP="00C40A36">
      <w:pPr>
        <w:spacing w:after="0"/>
      </w:pPr>
      <w:r>
        <w:continuationSeparator/>
      </w:r>
    </w:p>
  </w:footnote>
  <w:footnote w:id="1">
    <w:p w14:paraId="78524DF9" w14:textId="77777777" w:rsidR="00CB798F" w:rsidRDefault="00CB798F" w:rsidP="00DE27C8">
      <w:pPr>
        <w:pStyle w:val="FootnoteText"/>
      </w:pPr>
      <w:r>
        <w:rPr>
          <w:rStyle w:val="FootnoteReference"/>
        </w:rPr>
        <w:footnoteRef/>
      </w:r>
      <w:r>
        <w:t xml:space="preserve"> UNSW Sydney, Kirby Institute (2017), HIV, viral hepatitis and sexually transmissible infections in Australia: </w:t>
      </w:r>
      <w:r w:rsidRPr="00DE27C8">
        <w:t>Annual Surveillance Report 2017</w:t>
      </w:r>
    </w:p>
  </w:footnote>
  <w:footnote w:id="2">
    <w:p w14:paraId="7368D68A" w14:textId="475D6A04" w:rsidR="00CB798F" w:rsidRDefault="00CB798F">
      <w:pPr>
        <w:pStyle w:val="FootnoteText"/>
      </w:pPr>
      <w:r>
        <w:rPr>
          <w:rStyle w:val="FootnoteReference"/>
        </w:rPr>
        <w:footnoteRef/>
      </w:r>
      <w:r>
        <w:t xml:space="preserve"> NSW government Ministry of Health (2015), NSW HIV Strategy 2016-2020.</w:t>
      </w:r>
    </w:p>
  </w:footnote>
  <w:footnote w:id="3">
    <w:p w14:paraId="5B1D05B3" w14:textId="381BE413" w:rsidR="00CB798F" w:rsidRDefault="00CB798F" w:rsidP="00854C4B">
      <w:pPr>
        <w:pStyle w:val="FootnoteText"/>
      </w:pPr>
      <w:r>
        <w:rPr>
          <w:rStyle w:val="FootnoteReference"/>
        </w:rPr>
        <w:footnoteRef/>
      </w:r>
      <w:r>
        <w:t xml:space="preserve"> </w:t>
      </w:r>
      <w:r w:rsidRPr="00854C4B">
        <w:t>Australasian Society for HIV, Viral Hepatitis and Sexual Health Medicine (ASHM)</w:t>
      </w:r>
      <w:r>
        <w:t xml:space="preserve">, </w:t>
      </w:r>
      <w:r w:rsidRPr="00854C4B">
        <w:t>Sub-Committee for Guidance on HIV Management</w:t>
      </w:r>
      <w:r>
        <w:t>, US DHHS Guidelines with Australian commentary. Available from the ASHM website.</w:t>
      </w:r>
    </w:p>
  </w:footnote>
  <w:footnote w:id="4">
    <w:p w14:paraId="4A1C75A5" w14:textId="77CBDAC9" w:rsidR="00CB798F" w:rsidRDefault="00CB798F" w:rsidP="00AB1875">
      <w:pPr>
        <w:pStyle w:val="FootnoteText"/>
      </w:pPr>
      <w:r>
        <w:rPr>
          <w:rStyle w:val="FootnoteReference"/>
        </w:rPr>
        <w:footnoteRef/>
      </w:r>
      <w:r>
        <w:t xml:space="preserve"> Australian pregnancy category B1: 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5">
    <w:p w14:paraId="1F8ACE15" w14:textId="36846B8B" w:rsidR="00CB798F" w:rsidRDefault="00CB798F" w:rsidP="00AB1875">
      <w:pPr>
        <w:pStyle w:val="FootnoteText"/>
      </w:pPr>
      <w:r>
        <w:rPr>
          <w:rStyle w:val="FootnoteReference"/>
        </w:rPr>
        <w:footnoteRef/>
      </w:r>
      <w:r>
        <w:t xml:space="preserve"> Australian pregnancy category B3: 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p>
  </w:footnote>
  <w:footnote w:id="6">
    <w:p w14:paraId="1E62DAF4" w14:textId="61A8FAC7" w:rsidR="00CB798F" w:rsidRPr="00D768C3" w:rsidRDefault="00CB798F">
      <w:pPr>
        <w:pStyle w:val="FootnoteText"/>
        <w:rPr>
          <w:lang w:val="en-GB"/>
        </w:rPr>
      </w:pPr>
      <w:r>
        <w:rPr>
          <w:rStyle w:val="FootnoteReference"/>
        </w:rPr>
        <w:footnoteRef/>
      </w:r>
      <w:r>
        <w:t xml:space="preserve"> QT studies are studies conducted to clinically evaluate the QT/QTc interval prolongation and proarrhythmic potential for non-antiarrhythmic drugs. </w:t>
      </w:r>
      <w:r w:rsidRPr="0050504B">
        <w:t>The QT interval is the time taken from the start of the QRS wave complex to the end of the corresponding T wave on an electrocardiograph and approximates from the start of cardiac ventricular contraction to the end of cardiac ventricular relaxation.</w:t>
      </w:r>
      <w:r>
        <w:t xml:space="preserve"> The QTc is the QT interval corrected for heart rate.</w:t>
      </w:r>
    </w:p>
  </w:footnote>
  <w:footnote w:id="7">
    <w:p w14:paraId="2CA615C0" w14:textId="3532C07F" w:rsidR="00CB798F" w:rsidRDefault="00CB798F">
      <w:pPr>
        <w:pStyle w:val="FootnoteText"/>
      </w:pPr>
      <w:r>
        <w:rPr>
          <w:rStyle w:val="FootnoteReference"/>
        </w:rPr>
        <w:footnoteRef/>
      </w:r>
      <w:r>
        <w:t xml:space="preserve"> The sponsor’s response to this query is beyond the scope of this AusPAR.</w:t>
      </w:r>
    </w:p>
  </w:footnote>
  <w:footnote w:id="8">
    <w:p w14:paraId="727D521C" w14:textId="77777777" w:rsidR="00CB798F" w:rsidRDefault="00CB798F" w:rsidP="003077CB">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4CC3F2C8" w14:textId="77777777" w:rsidR="00CB798F" w:rsidRDefault="00CB798F" w:rsidP="003077CB">
      <w:pPr>
        <w:pStyle w:val="FootnoteText"/>
      </w:pPr>
      <w:r w:rsidRPr="00F12492">
        <w:rPr>
          <w:i/>
        </w:rPr>
        <w:t>Routine pharmacovigilance</w:t>
      </w:r>
      <w:r>
        <w:t xml:space="preserve"> practices involve the following activities:</w:t>
      </w:r>
    </w:p>
    <w:p w14:paraId="1445D12E" w14:textId="77777777" w:rsidR="00CB798F" w:rsidRDefault="00CB798F" w:rsidP="003077CB">
      <w:pPr>
        <w:pStyle w:val="FootnoteText"/>
        <w:numPr>
          <w:ilvl w:val="0"/>
          <w:numId w:val="28"/>
        </w:numPr>
      </w:pPr>
      <w:r>
        <w:t>All suspected adverse reactions that are reported to the personnel of the company are collected and collated in an accessible manner;</w:t>
      </w:r>
    </w:p>
    <w:p w14:paraId="5576821D" w14:textId="77777777" w:rsidR="00CB798F" w:rsidRDefault="00CB798F" w:rsidP="003077CB">
      <w:pPr>
        <w:pStyle w:val="FootnoteText"/>
        <w:numPr>
          <w:ilvl w:val="0"/>
          <w:numId w:val="28"/>
        </w:numPr>
      </w:pPr>
      <w:r>
        <w:t>Reporting to regulatory authorities;</w:t>
      </w:r>
    </w:p>
    <w:p w14:paraId="3E6A796A" w14:textId="0D1A3CA2" w:rsidR="00CB798F" w:rsidRDefault="00CB798F" w:rsidP="003077CB">
      <w:pPr>
        <w:pStyle w:val="FootnoteText"/>
        <w:numPr>
          <w:ilvl w:val="0"/>
          <w:numId w:val="28"/>
        </w:numPr>
      </w:pPr>
      <w:r>
        <w:t>Continuous monitoring of the safety profiles of approved products including signal detection and updating of labelling;</w:t>
      </w:r>
    </w:p>
    <w:p w14:paraId="15C09A0C" w14:textId="77777777" w:rsidR="00CB798F" w:rsidRDefault="00CB798F" w:rsidP="003077CB">
      <w:pPr>
        <w:pStyle w:val="FootnoteText"/>
        <w:numPr>
          <w:ilvl w:val="0"/>
          <w:numId w:val="28"/>
        </w:numPr>
      </w:pPr>
      <w:r>
        <w:t>Submission of PSURs;</w:t>
      </w:r>
    </w:p>
    <w:p w14:paraId="18E27D3A" w14:textId="77777777" w:rsidR="00CB798F" w:rsidRPr="00F12492" w:rsidRDefault="00CB798F" w:rsidP="003077CB">
      <w:pPr>
        <w:pStyle w:val="FootnoteText"/>
        <w:numPr>
          <w:ilvl w:val="0"/>
          <w:numId w:val="28"/>
        </w:numPr>
        <w:rPr>
          <w:lang w:val="en-US"/>
        </w:rPr>
      </w:pPr>
      <w:r>
        <w:t>Meeting other local regulatory agency requirements.</w:t>
      </w:r>
    </w:p>
  </w:footnote>
  <w:footnote w:id="9">
    <w:p w14:paraId="43EADCC2" w14:textId="77777777" w:rsidR="00CB798F" w:rsidRDefault="00CB798F"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423CB48" w14:textId="77777777" w:rsidR="00CB798F" w:rsidRPr="00456765" w:rsidRDefault="00CB798F"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10">
    <w:p w14:paraId="1BF8367B" w14:textId="7035F28A" w:rsidR="00CB798F" w:rsidRPr="00D768C3" w:rsidRDefault="00CB798F">
      <w:pPr>
        <w:pStyle w:val="FootnoteText"/>
        <w:rPr>
          <w:lang w:val="en-GB"/>
        </w:rPr>
      </w:pPr>
      <w:r>
        <w:rPr>
          <w:rStyle w:val="FootnoteReference"/>
        </w:rPr>
        <w:footnoteRef/>
      </w:r>
      <w:r>
        <w:t xml:space="preserve"> </w:t>
      </w:r>
      <w:r w:rsidRPr="00E03DEB">
        <w:t>Panel on Antiretroviral Guidelines for Adults and Adolescents. Guidelines for the Use of Antiretroviral Agents in Adults and Adolescents with HIV. Department of Health and Human Services. Available at http://aidsinfo.nih.gov/contentfiles/lvguidelines/AdultandAdolescentGL.pdf.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1DF2D" w14:textId="77777777" w:rsidR="00CB798F" w:rsidRDefault="00CB79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7457E" w14:textId="77777777" w:rsidR="00CB798F" w:rsidRDefault="00CB798F"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2E557" w14:textId="77777777" w:rsidR="00CB798F" w:rsidRDefault="00CB798F">
    <w:pPr>
      <w:rPr>
        <w:noProof/>
        <w:lang w:eastAsia="en-AU"/>
      </w:rPr>
    </w:pPr>
    <w:r w:rsidRPr="00347824">
      <w:rPr>
        <w:noProof/>
        <w:lang w:eastAsia="en-AU"/>
      </w:rPr>
      <w:drawing>
        <wp:anchor distT="0" distB="0" distL="114300" distR="114300" simplePos="0" relativeHeight="251659264" behindDoc="1" locked="0" layoutInCell="1" allowOverlap="1" wp14:anchorId="1D5AF7A4" wp14:editId="45DB2006">
          <wp:simplePos x="0" y="0"/>
          <wp:positionH relativeFrom="column">
            <wp:posOffset>-1089660</wp:posOffset>
          </wp:positionH>
          <wp:positionV relativeFrom="paragraph">
            <wp:posOffset>-585470</wp:posOffset>
          </wp:positionV>
          <wp:extent cx="7572375" cy="10706100"/>
          <wp:effectExtent l="19050" t="0" r="0" b="0"/>
          <wp:wrapNone/>
          <wp:docPr id="1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8E51770" w14:textId="77777777" w:rsidR="00CB798F" w:rsidRDefault="00CB798F" w:rsidP="00593AD1">
    <w:pPr>
      <w:pStyle w:val="HeaderNoLine"/>
    </w:pPr>
    <w:r>
      <w:rPr>
        <w:noProof/>
        <w:lang w:eastAsia="en-AU"/>
      </w:rPr>
      <w:drawing>
        <wp:inline distT="0" distB="0" distL="0" distR="0" wp14:anchorId="02687108" wp14:editId="7BC4F421">
          <wp:extent cx="5400675" cy="7639050"/>
          <wp:effectExtent l="0" t="0" r="9525" b="0"/>
          <wp:docPr id="11" name="Picture 1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85029" w14:textId="77777777" w:rsidR="00CB798F" w:rsidRDefault="00CB79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2584F" w14:textId="77777777" w:rsidR="00CB798F" w:rsidRDefault="00CB798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85C4B" w14:textId="77777777" w:rsidR="00CB798F" w:rsidRDefault="00CB798F">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5A2CF" w14:textId="77777777" w:rsidR="00CB798F" w:rsidRDefault="00CB79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498D1" w14:textId="77777777" w:rsidR="00CB798F" w:rsidRDefault="00CB798F"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ECBFA" w14:textId="77777777" w:rsidR="00CB798F" w:rsidRDefault="00CB798F" w:rsidP="006E08B3">
    <w:r>
      <w:t>Therapeutic Goods Administration</w:t>
    </w:r>
  </w:p>
  <w:p w14:paraId="20A40F23" w14:textId="77777777" w:rsidR="00CB798F" w:rsidRDefault="00CB798F"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E9108CD"/>
    <w:multiLevelType w:val="hybridMultilevel"/>
    <w:tmpl w:val="C79E71DC"/>
    <w:lvl w:ilvl="0" w:tplc="4F165946">
      <w:start w:val="1"/>
      <w:numFmt w:val="bullet"/>
      <w:pStyle w:val="Bulletlis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33C19A7"/>
    <w:multiLevelType w:val="hybridMultilevel"/>
    <w:tmpl w:val="C9068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F1665AEE"/>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9"/>
  </w:num>
  <w:num w:numId="29">
    <w:abstractNumId w:val="6"/>
  </w:num>
  <w:num w:numId="30">
    <w:abstractNumId w:val="4"/>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3F5"/>
    <w:rsid w:val="00002031"/>
    <w:rsid w:val="00004734"/>
    <w:rsid w:val="00006B22"/>
    <w:rsid w:val="0001276A"/>
    <w:rsid w:val="000246AE"/>
    <w:rsid w:val="00025C67"/>
    <w:rsid w:val="00044546"/>
    <w:rsid w:val="00044772"/>
    <w:rsid w:val="0004541C"/>
    <w:rsid w:val="000538BD"/>
    <w:rsid w:val="0005559E"/>
    <w:rsid w:val="000604D6"/>
    <w:rsid w:val="000644BB"/>
    <w:rsid w:val="000734D8"/>
    <w:rsid w:val="00077775"/>
    <w:rsid w:val="00090471"/>
    <w:rsid w:val="00096AA7"/>
    <w:rsid w:val="000A3AED"/>
    <w:rsid w:val="000B0E75"/>
    <w:rsid w:val="000B3532"/>
    <w:rsid w:val="000B3A75"/>
    <w:rsid w:val="000C00C2"/>
    <w:rsid w:val="000C690F"/>
    <w:rsid w:val="000D1295"/>
    <w:rsid w:val="000D391B"/>
    <w:rsid w:val="000D3D6D"/>
    <w:rsid w:val="000D4FC7"/>
    <w:rsid w:val="000E6196"/>
    <w:rsid w:val="000F4869"/>
    <w:rsid w:val="000F5B42"/>
    <w:rsid w:val="000F6E6F"/>
    <w:rsid w:val="00103946"/>
    <w:rsid w:val="0010601F"/>
    <w:rsid w:val="0010788A"/>
    <w:rsid w:val="00107A31"/>
    <w:rsid w:val="00110EA5"/>
    <w:rsid w:val="00112F56"/>
    <w:rsid w:val="00124ACD"/>
    <w:rsid w:val="00125318"/>
    <w:rsid w:val="001305A2"/>
    <w:rsid w:val="00133238"/>
    <w:rsid w:val="00133A1B"/>
    <w:rsid w:val="0014197B"/>
    <w:rsid w:val="00142F06"/>
    <w:rsid w:val="001447CD"/>
    <w:rsid w:val="001516B1"/>
    <w:rsid w:val="00154EBB"/>
    <w:rsid w:val="00156316"/>
    <w:rsid w:val="00161181"/>
    <w:rsid w:val="00162D14"/>
    <w:rsid w:val="00163780"/>
    <w:rsid w:val="00165389"/>
    <w:rsid w:val="0017693F"/>
    <w:rsid w:val="0018110E"/>
    <w:rsid w:val="00181684"/>
    <w:rsid w:val="001843C6"/>
    <w:rsid w:val="001850E0"/>
    <w:rsid w:val="001A03AF"/>
    <w:rsid w:val="001A0918"/>
    <w:rsid w:val="001A20FB"/>
    <w:rsid w:val="001A2158"/>
    <w:rsid w:val="001A525F"/>
    <w:rsid w:val="001B09F9"/>
    <w:rsid w:val="001B5C90"/>
    <w:rsid w:val="001B6448"/>
    <w:rsid w:val="001B7727"/>
    <w:rsid w:val="001C32CD"/>
    <w:rsid w:val="001D2984"/>
    <w:rsid w:val="001E07CF"/>
    <w:rsid w:val="001E59F1"/>
    <w:rsid w:val="001F2CEE"/>
    <w:rsid w:val="001F49EB"/>
    <w:rsid w:val="001F6CBA"/>
    <w:rsid w:val="00201D4E"/>
    <w:rsid w:val="002076C9"/>
    <w:rsid w:val="00220B8A"/>
    <w:rsid w:val="002257F3"/>
    <w:rsid w:val="00233456"/>
    <w:rsid w:val="002339A5"/>
    <w:rsid w:val="002361C7"/>
    <w:rsid w:val="00257848"/>
    <w:rsid w:val="002578E8"/>
    <w:rsid w:val="0027084A"/>
    <w:rsid w:val="00280265"/>
    <w:rsid w:val="0028447B"/>
    <w:rsid w:val="00286434"/>
    <w:rsid w:val="00286C59"/>
    <w:rsid w:val="00291957"/>
    <w:rsid w:val="002942D1"/>
    <w:rsid w:val="0029501A"/>
    <w:rsid w:val="002A3721"/>
    <w:rsid w:val="002B1638"/>
    <w:rsid w:val="002B3624"/>
    <w:rsid w:val="002D0952"/>
    <w:rsid w:val="002D556C"/>
    <w:rsid w:val="002E40B3"/>
    <w:rsid w:val="002E4C9A"/>
    <w:rsid w:val="002E5F71"/>
    <w:rsid w:val="002F11F8"/>
    <w:rsid w:val="002F3F56"/>
    <w:rsid w:val="002F44B5"/>
    <w:rsid w:val="002F5122"/>
    <w:rsid w:val="003077CB"/>
    <w:rsid w:val="00311AC0"/>
    <w:rsid w:val="0031480E"/>
    <w:rsid w:val="003176FC"/>
    <w:rsid w:val="0032583B"/>
    <w:rsid w:val="00327883"/>
    <w:rsid w:val="00335504"/>
    <w:rsid w:val="00340C18"/>
    <w:rsid w:val="003442FD"/>
    <w:rsid w:val="00347824"/>
    <w:rsid w:val="00350567"/>
    <w:rsid w:val="003521E8"/>
    <w:rsid w:val="00370CE3"/>
    <w:rsid w:val="00371085"/>
    <w:rsid w:val="003728F3"/>
    <w:rsid w:val="003735BC"/>
    <w:rsid w:val="0037496E"/>
    <w:rsid w:val="00381ECD"/>
    <w:rsid w:val="00382533"/>
    <w:rsid w:val="00383221"/>
    <w:rsid w:val="00384BF6"/>
    <w:rsid w:val="00386150"/>
    <w:rsid w:val="003874CE"/>
    <w:rsid w:val="00390900"/>
    <w:rsid w:val="003A7F6C"/>
    <w:rsid w:val="003B1757"/>
    <w:rsid w:val="003B4D60"/>
    <w:rsid w:val="003B7E39"/>
    <w:rsid w:val="003C58DC"/>
    <w:rsid w:val="003C5B34"/>
    <w:rsid w:val="003D1E62"/>
    <w:rsid w:val="003E0B99"/>
    <w:rsid w:val="003E2486"/>
    <w:rsid w:val="003E3208"/>
    <w:rsid w:val="003F01C7"/>
    <w:rsid w:val="003F0B04"/>
    <w:rsid w:val="0040134E"/>
    <w:rsid w:val="00405D4F"/>
    <w:rsid w:val="00415132"/>
    <w:rsid w:val="00420CB8"/>
    <w:rsid w:val="00423BD3"/>
    <w:rsid w:val="004334C7"/>
    <w:rsid w:val="00440A2D"/>
    <w:rsid w:val="00441C3F"/>
    <w:rsid w:val="00444D1A"/>
    <w:rsid w:val="0045186A"/>
    <w:rsid w:val="004564A7"/>
    <w:rsid w:val="00456765"/>
    <w:rsid w:val="00457F50"/>
    <w:rsid w:val="004617BF"/>
    <w:rsid w:val="00461938"/>
    <w:rsid w:val="00462EE2"/>
    <w:rsid w:val="00463658"/>
    <w:rsid w:val="004637A0"/>
    <w:rsid w:val="004722CC"/>
    <w:rsid w:val="00490483"/>
    <w:rsid w:val="004936E4"/>
    <w:rsid w:val="00493ED2"/>
    <w:rsid w:val="00494E60"/>
    <w:rsid w:val="00497487"/>
    <w:rsid w:val="004A2771"/>
    <w:rsid w:val="004A6189"/>
    <w:rsid w:val="004A7390"/>
    <w:rsid w:val="004B7B76"/>
    <w:rsid w:val="004C239D"/>
    <w:rsid w:val="004C2DCA"/>
    <w:rsid w:val="004C61D2"/>
    <w:rsid w:val="004F0C4A"/>
    <w:rsid w:val="004F0F38"/>
    <w:rsid w:val="004F47D6"/>
    <w:rsid w:val="00500337"/>
    <w:rsid w:val="00501921"/>
    <w:rsid w:val="0050504B"/>
    <w:rsid w:val="00530354"/>
    <w:rsid w:val="0053625B"/>
    <w:rsid w:val="005434C6"/>
    <w:rsid w:val="00543B39"/>
    <w:rsid w:val="00546154"/>
    <w:rsid w:val="00550096"/>
    <w:rsid w:val="005513BE"/>
    <w:rsid w:val="00555280"/>
    <w:rsid w:val="00557FF9"/>
    <w:rsid w:val="00562327"/>
    <w:rsid w:val="0056396C"/>
    <w:rsid w:val="005711D5"/>
    <w:rsid w:val="00576378"/>
    <w:rsid w:val="00577130"/>
    <w:rsid w:val="00577945"/>
    <w:rsid w:val="00577E38"/>
    <w:rsid w:val="005806AC"/>
    <w:rsid w:val="00585322"/>
    <w:rsid w:val="005857C6"/>
    <w:rsid w:val="00592F6E"/>
    <w:rsid w:val="00593AD1"/>
    <w:rsid w:val="005A68B6"/>
    <w:rsid w:val="005C5570"/>
    <w:rsid w:val="005C79A4"/>
    <w:rsid w:val="005D5442"/>
    <w:rsid w:val="00603F32"/>
    <w:rsid w:val="00605AD4"/>
    <w:rsid w:val="006063E0"/>
    <w:rsid w:val="006136D7"/>
    <w:rsid w:val="00620216"/>
    <w:rsid w:val="006248F3"/>
    <w:rsid w:val="00625A6E"/>
    <w:rsid w:val="00632398"/>
    <w:rsid w:val="00640FC3"/>
    <w:rsid w:val="00642020"/>
    <w:rsid w:val="006430EE"/>
    <w:rsid w:val="0065337B"/>
    <w:rsid w:val="0065419D"/>
    <w:rsid w:val="006603BC"/>
    <w:rsid w:val="006604D8"/>
    <w:rsid w:val="00664A5B"/>
    <w:rsid w:val="0066735C"/>
    <w:rsid w:val="006763D2"/>
    <w:rsid w:val="00676723"/>
    <w:rsid w:val="00680C08"/>
    <w:rsid w:val="006916A0"/>
    <w:rsid w:val="006931B1"/>
    <w:rsid w:val="006A15C0"/>
    <w:rsid w:val="006A23F7"/>
    <w:rsid w:val="006A583B"/>
    <w:rsid w:val="006A58A8"/>
    <w:rsid w:val="006B4F6B"/>
    <w:rsid w:val="006C3E2A"/>
    <w:rsid w:val="006C642F"/>
    <w:rsid w:val="006D03E5"/>
    <w:rsid w:val="006D5D3E"/>
    <w:rsid w:val="006E08B3"/>
    <w:rsid w:val="006F17AC"/>
    <w:rsid w:val="006F25B8"/>
    <w:rsid w:val="006F3FD1"/>
    <w:rsid w:val="006F572E"/>
    <w:rsid w:val="007020C5"/>
    <w:rsid w:val="007046D6"/>
    <w:rsid w:val="00705DB0"/>
    <w:rsid w:val="00720460"/>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4C2F"/>
    <w:rsid w:val="007C6B9B"/>
    <w:rsid w:val="007E54E8"/>
    <w:rsid w:val="007F0A22"/>
    <w:rsid w:val="00805D27"/>
    <w:rsid w:val="00806DCB"/>
    <w:rsid w:val="00814C52"/>
    <w:rsid w:val="00815213"/>
    <w:rsid w:val="00821776"/>
    <w:rsid w:val="00821B84"/>
    <w:rsid w:val="008321F5"/>
    <w:rsid w:val="00832369"/>
    <w:rsid w:val="00833388"/>
    <w:rsid w:val="00834660"/>
    <w:rsid w:val="00836BC2"/>
    <w:rsid w:val="00837B86"/>
    <w:rsid w:val="0085156D"/>
    <w:rsid w:val="00852B28"/>
    <w:rsid w:val="00854C4B"/>
    <w:rsid w:val="0085641B"/>
    <w:rsid w:val="00857136"/>
    <w:rsid w:val="00875A6B"/>
    <w:rsid w:val="00885B11"/>
    <w:rsid w:val="00886D15"/>
    <w:rsid w:val="00887DD8"/>
    <w:rsid w:val="00891BA9"/>
    <w:rsid w:val="00896018"/>
    <w:rsid w:val="008960DD"/>
    <w:rsid w:val="0089635C"/>
    <w:rsid w:val="008A2B9D"/>
    <w:rsid w:val="008A3131"/>
    <w:rsid w:val="008A3D9F"/>
    <w:rsid w:val="008A5E0B"/>
    <w:rsid w:val="008A618C"/>
    <w:rsid w:val="008A6D59"/>
    <w:rsid w:val="008B4B03"/>
    <w:rsid w:val="008B596F"/>
    <w:rsid w:val="008C159F"/>
    <w:rsid w:val="008C1623"/>
    <w:rsid w:val="008C1850"/>
    <w:rsid w:val="008C51A9"/>
    <w:rsid w:val="008C51E2"/>
    <w:rsid w:val="008E48BE"/>
    <w:rsid w:val="008E7846"/>
    <w:rsid w:val="008F02E5"/>
    <w:rsid w:val="008F1CCC"/>
    <w:rsid w:val="008F2967"/>
    <w:rsid w:val="008F6943"/>
    <w:rsid w:val="008F6B81"/>
    <w:rsid w:val="00902A21"/>
    <w:rsid w:val="0091523F"/>
    <w:rsid w:val="00920330"/>
    <w:rsid w:val="009219D7"/>
    <w:rsid w:val="00922D53"/>
    <w:rsid w:val="00923B70"/>
    <w:rsid w:val="00924482"/>
    <w:rsid w:val="00930237"/>
    <w:rsid w:val="00937C17"/>
    <w:rsid w:val="00940A89"/>
    <w:rsid w:val="00941F77"/>
    <w:rsid w:val="00942974"/>
    <w:rsid w:val="00942D71"/>
    <w:rsid w:val="00943AC8"/>
    <w:rsid w:val="00946EA5"/>
    <w:rsid w:val="00954539"/>
    <w:rsid w:val="00960520"/>
    <w:rsid w:val="00963C08"/>
    <w:rsid w:val="00966069"/>
    <w:rsid w:val="00974524"/>
    <w:rsid w:val="009752A5"/>
    <w:rsid w:val="0098585A"/>
    <w:rsid w:val="009A17DA"/>
    <w:rsid w:val="009A4CED"/>
    <w:rsid w:val="009A690D"/>
    <w:rsid w:val="009B1D12"/>
    <w:rsid w:val="009B416B"/>
    <w:rsid w:val="009C4BD5"/>
    <w:rsid w:val="009D5417"/>
    <w:rsid w:val="009D7B77"/>
    <w:rsid w:val="009E0BB0"/>
    <w:rsid w:val="009E3FBB"/>
    <w:rsid w:val="009F7353"/>
    <w:rsid w:val="00A04F85"/>
    <w:rsid w:val="00A05FA4"/>
    <w:rsid w:val="00A102E4"/>
    <w:rsid w:val="00A1219C"/>
    <w:rsid w:val="00A12C42"/>
    <w:rsid w:val="00A14DF7"/>
    <w:rsid w:val="00A22D57"/>
    <w:rsid w:val="00A3246D"/>
    <w:rsid w:val="00A363CB"/>
    <w:rsid w:val="00A36FA7"/>
    <w:rsid w:val="00A44DDB"/>
    <w:rsid w:val="00A475B7"/>
    <w:rsid w:val="00A47AF7"/>
    <w:rsid w:val="00A47C3E"/>
    <w:rsid w:val="00A50226"/>
    <w:rsid w:val="00A5663B"/>
    <w:rsid w:val="00A60BAD"/>
    <w:rsid w:val="00A77F87"/>
    <w:rsid w:val="00A80B5B"/>
    <w:rsid w:val="00A84E36"/>
    <w:rsid w:val="00A964D1"/>
    <w:rsid w:val="00AA0ED0"/>
    <w:rsid w:val="00AB1875"/>
    <w:rsid w:val="00AC2B40"/>
    <w:rsid w:val="00AC2BB2"/>
    <w:rsid w:val="00AC2C3C"/>
    <w:rsid w:val="00AC512D"/>
    <w:rsid w:val="00AD0083"/>
    <w:rsid w:val="00AD3935"/>
    <w:rsid w:val="00AE1259"/>
    <w:rsid w:val="00AE65EB"/>
    <w:rsid w:val="00AE67A7"/>
    <w:rsid w:val="00AF1D94"/>
    <w:rsid w:val="00AF60C5"/>
    <w:rsid w:val="00B009C6"/>
    <w:rsid w:val="00B01548"/>
    <w:rsid w:val="00B130C5"/>
    <w:rsid w:val="00B13EBD"/>
    <w:rsid w:val="00B21D29"/>
    <w:rsid w:val="00B2445E"/>
    <w:rsid w:val="00B25034"/>
    <w:rsid w:val="00B33588"/>
    <w:rsid w:val="00B33863"/>
    <w:rsid w:val="00B34D43"/>
    <w:rsid w:val="00B37D17"/>
    <w:rsid w:val="00B4175E"/>
    <w:rsid w:val="00B41C85"/>
    <w:rsid w:val="00B452CE"/>
    <w:rsid w:val="00B54C25"/>
    <w:rsid w:val="00B76B91"/>
    <w:rsid w:val="00B77EB1"/>
    <w:rsid w:val="00B811C6"/>
    <w:rsid w:val="00B855B0"/>
    <w:rsid w:val="00B92E08"/>
    <w:rsid w:val="00BA2650"/>
    <w:rsid w:val="00BA5B1E"/>
    <w:rsid w:val="00BB6E2A"/>
    <w:rsid w:val="00BC622A"/>
    <w:rsid w:val="00BE0A78"/>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52E24"/>
    <w:rsid w:val="00C6316B"/>
    <w:rsid w:val="00C634A9"/>
    <w:rsid w:val="00C64586"/>
    <w:rsid w:val="00C70D53"/>
    <w:rsid w:val="00C73D0B"/>
    <w:rsid w:val="00C74F5C"/>
    <w:rsid w:val="00C772FF"/>
    <w:rsid w:val="00C80137"/>
    <w:rsid w:val="00C801AF"/>
    <w:rsid w:val="00C80256"/>
    <w:rsid w:val="00C94CD4"/>
    <w:rsid w:val="00C9747E"/>
    <w:rsid w:val="00CA6B59"/>
    <w:rsid w:val="00CB6BC0"/>
    <w:rsid w:val="00CB798F"/>
    <w:rsid w:val="00CC0A3D"/>
    <w:rsid w:val="00CC1B7C"/>
    <w:rsid w:val="00CC727F"/>
    <w:rsid w:val="00CE574B"/>
    <w:rsid w:val="00CF15C3"/>
    <w:rsid w:val="00CF2B6F"/>
    <w:rsid w:val="00CF2F3E"/>
    <w:rsid w:val="00CF58B6"/>
    <w:rsid w:val="00D0062D"/>
    <w:rsid w:val="00D017ED"/>
    <w:rsid w:val="00D040D3"/>
    <w:rsid w:val="00D04C65"/>
    <w:rsid w:val="00D153D8"/>
    <w:rsid w:val="00D201D2"/>
    <w:rsid w:val="00D224FE"/>
    <w:rsid w:val="00D23139"/>
    <w:rsid w:val="00D36E97"/>
    <w:rsid w:val="00D425BB"/>
    <w:rsid w:val="00D453FA"/>
    <w:rsid w:val="00D45C44"/>
    <w:rsid w:val="00D6493E"/>
    <w:rsid w:val="00D7195D"/>
    <w:rsid w:val="00D7301E"/>
    <w:rsid w:val="00D768C3"/>
    <w:rsid w:val="00D83AE1"/>
    <w:rsid w:val="00D8532E"/>
    <w:rsid w:val="00D855D4"/>
    <w:rsid w:val="00D902C9"/>
    <w:rsid w:val="00D93466"/>
    <w:rsid w:val="00DA1124"/>
    <w:rsid w:val="00DA64CB"/>
    <w:rsid w:val="00DB06B8"/>
    <w:rsid w:val="00DB6124"/>
    <w:rsid w:val="00DB750B"/>
    <w:rsid w:val="00DB75B7"/>
    <w:rsid w:val="00DC0A2F"/>
    <w:rsid w:val="00DC1948"/>
    <w:rsid w:val="00DC646A"/>
    <w:rsid w:val="00DC6E02"/>
    <w:rsid w:val="00DD28CD"/>
    <w:rsid w:val="00DE02AE"/>
    <w:rsid w:val="00DE27C8"/>
    <w:rsid w:val="00DE39D1"/>
    <w:rsid w:val="00DF1D7F"/>
    <w:rsid w:val="00DF4BE4"/>
    <w:rsid w:val="00E02382"/>
    <w:rsid w:val="00E02FB4"/>
    <w:rsid w:val="00E03DEB"/>
    <w:rsid w:val="00E13FC7"/>
    <w:rsid w:val="00E20571"/>
    <w:rsid w:val="00E235F7"/>
    <w:rsid w:val="00E23659"/>
    <w:rsid w:val="00E239D4"/>
    <w:rsid w:val="00E26130"/>
    <w:rsid w:val="00E40B22"/>
    <w:rsid w:val="00E44ED1"/>
    <w:rsid w:val="00E45619"/>
    <w:rsid w:val="00E4588F"/>
    <w:rsid w:val="00E46DA3"/>
    <w:rsid w:val="00E51BB1"/>
    <w:rsid w:val="00E55CB0"/>
    <w:rsid w:val="00E57FFC"/>
    <w:rsid w:val="00E60196"/>
    <w:rsid w:val="00E624A5"/>
    <w:rsid w:val="00E64BA4"/>
    <w:rsid w:val="00E7344E"/>
    <w:rsid w:val="00E82665"/>
    <w:rsid w:val="00EB0798"/>
    <w:rsid w:val="00EB40AD"/>
    <w:rsid w:val="00EB586E"/>
    <w:rsid w:val="00EB5FC8"/>
    <w:rsid w:val="00EC463D"/>
    <w:rsid w:val="00EC7A85"/>
    <w:rsid w:val="00ED2922"/>
    <w:rsid w:val="00ED3CAD"/>
    <w:rsid w:val="00ED3E05"/>
    <w:rsid w:val="00ED5A41"/>
    <w:rsid w:val="00EE1DE8"/>
    <w:rsid w:val="00EE27C2"/>
    <w:rsid w:val="00EE2A6A"/>
    <w:rsid w:val="00EF4BAD"/>
    <w:rsid w:val="00EF59DC"/>
    <w:rsid w:val="00F033EC"/>
    <w:rsid w:val="00F04F68"/>
    <w:rsid w:val="00F05004"/>
    <w:rsid w:val="00F12670"/>
    <w:rsid w:val="00F14B27"/>
    <w:rsid w:val="00F3148D"/>
    <w:rsid w:val="00F325C5"/>
    <w:rsid w:val="00F32FE0"/>
    <w:rsid w:val="00F33F46"/>
    <w:rsid w:val="00F35298"/>
    <w:rsid w:val="00F47333"/>
    <w:rsid w:val="00F47E37"/>
    <w:rsid w:val="00F53C07"/>
    <w:rsid w:val="00F54B65"/>
    <w:rsid w:val="00F640B6"/>
    <w:rsid w:val="00F66DF2"/>
    <w:rsid w:val="00F80E40"/>
    <w:rsid w:val="00F848D9"/>
    <w:rsid w:val="00F87654"/>
    <w:rsid w:val="00FA31EC"/>
    <w:rsid w:val="00FA5069"/>
    <w:rsid w:val="00FA5B82"/>
    <w:rsid w:val="00FA639E"/>
    <w:rsid w:val="00FC1FCA"/>
    <w:rsid w:val="00FC23F5"/>
    <w:rsid w:val="00FC25E4"/>
    <w:rsid w:val="00FC4EF7"/>
    <w:rsid w:val="00FD0824"/>
    <w:rsid w:val="00FD119B"/>
    <w:rsid w:val="00FD1EDC"/>
    <w:rsid w:val="00FD2F83"/>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FCE7836"/>
  <w15:docId w15:val="{FAB017DC-8FC1-4B0E-862B-6AC2BA5F9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E125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3F01C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3077C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3077CB"/>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3077CB"/>
    <w:pPr>
      <w:numPr>
        <w:numId w:val="30"/>
      </w:numPr>
      <w:spacing w:after="180"/>
    </w:pPr>
    <w:rPr>
      <w:kern w:val="2"/>
    </w:rPr>
  </w:style>
  <w:style w:type="character" w:customStyle="1" w:styleId="TabletextChar">
    <w:name w:val="Table text Char"/>
    <w:basedOn w:val="StandardChar"/>
    <w:link w:val="Tabletext"/>
    <w:rsid w:val="003077CB"/>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3077CB"/>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3077CB"/>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3077CB"/>
    <w:rPr>
      <w:rFonts w:ascii="Cambria" w:eastAsia="Times New Roman" w:hAnsi="Cambria" w:cs="Times New Roman"/>
      <w:b/>
      <w:snapToGrid w:val="0"/>
      <w:kern w:val="1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724603">
      <w:bodyDiv w:val="1"/>
      <w:marLeft w:val="0"/>
      <w:marRight w:val="0"/>
      <w:marTop w:val="0"/>
      <w:marBottom w:val="0"/>
      <w:divBdr>
        <w:top w:val="none" w:sz="0" w:space="0" w:color="auto"/>
        <w:left w:val="none" w:sz="0" w:space="0" w:color="auto"/>
        <w:bottom w:val="none" w:sz="0" w:space="0" w:color="auto"/>
        <w:right w:val="none" w:sz="0" w:space="0" w:color="auto"/>
      </w:divBdr>
      <w:divsChild>
        <w:div w:id="856507951">
          <w:marLeft w:val="0"/>
          <w:marRight w:val="0"/>
          <w:marTop w:val="0"/>
          <w:marBottom w:val="0"/>
          <w:divBdr>
            <w:top w:val="none" w:sz="0" w:space="0" w:color="auto"/>
            <w:left w:val="none" w:sz="0" w:space="0" w:color="auto"/>
            <w:bottom w:val="none" w:sz="0" w:space="0" w:color="auto"/>
            <w:right w:val="none" w:sz="0" w:space="0" w:color="auto"/>
          </w:divBdr>
          <w:divsChild>
            <w:div w:id="353775123">
              <w:marLeft w:val="0"/>
              <w:marRight w:val="0"/>
              <w:marTop w:val="0"/>
              <w:marBottom w:val="0"/>
              <w:divBdr>
                <w:top w:val="none" w:sz="0" w:space="0" w:color="auto"/>
                <w:left w:val="none" w:sz="0" w:space="0" w:color="auto"/>
                <w:bottom w:val="none" w:sz="0" w:space="0" w:color="auto"/>
                <w:right w:val="none" w:sz="0" w:space="0" w:color="auto"/>
              </w:divBdr>
              <w:divsChild>
                <w:div w:id="1845047557">
                  <w:marLeft w:val="0"/>
                  <w:marRight w:val="0"/>
                  <w:marTop w:val="0"/>
                  <w:marBottom w:val="0"/>
                  <w:divBdr>
                    <w:top w:val="none" w:sz="0" w:space="0" w:color="auto"/>
                    <w:left w:val="none" w:sz="0" w:space="0" w:color="auto"/>
                    <w:bottom w:val="none" w:sz="0" w:space="0" w:color="auto"/>
                    <w:right w:val="none" w:sz="0" w:space="0" w:color="auto"/>
                  </w:divBdr>
                  <w:divsChild>
                    <w:div w:id="499195802">
                      <w:marLeft w:val="0"/>
                      <w:marRight w:val="0"/>
                      <w:marTop w:val="0"/>
                      <w:marBottom w:val="0"/>
                      <w:divBdr>
                        <w:top w:val="none" w:sz="0" w:space="0" w:color="auto"/>
                        <w:left w:val="none" w:sz="0" w:space="0" w:color="auto"/>
                        <w:bottom w:val="none" w:sz="0" w:space="0" w:color="auto"/>
                        <w:right w:val="none" w:sz="0" w:space="0" w:color="auto"/>
                      </w:divBdr>
                      <w:divsChild>
                        <w:div w:id="1392145874">
                          <w:marLeft w:val="0"/>
                          <w:marRight w:val="0"/>
                          <w:marTop w:val="0"/>
                          <w:marBottom w:val="0"/>
                          <w:divBdr>
                            <w:top w:val="none" w:sz="0" w:space="0" w:color="auto"/>
                            <w:left w:val="none" w:sz="0" w:space="0" w:color="auto"/>
                            <w:bottom w:val="none" w:sz="0" w:space="0" w:color="auto"/>
                            <w:right w:val="none" w:sz="0" w:space="0" w:color="auto"/>
                          </w:divBdr>
                          <w:divsChild>
                            <w:div w:id="3720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168850">
      <w:bodyDiv w:val="1"/>
      <w:marLeft w:val="0"/>
      <w:marRight w:val="0"/>
      <w:marTop w:val="0"/>
      <w:marBottom w:val="0"/>
      <w:divBdr>
        <w:top w:val="none" w:sz="0" w:space="0" w:color="auto"/>
        <w:left w:val="none" w:sz="0" w:space="0" w:color="auto"/>
        <w:bottom w:val="none" w:sz="0" w:space="0" w:color="auto"/>
        <w:right w:val="none" w:sz="0" w:space="0" w:color="auto"/>
      </w:divBdr>
      <w:divsChild>
        <w:div w:id="706106362">
          <w:marLeft w:val="0"/>
          <w:marRight w:val="0"/>
          <w:marTop w:val="0"/>
          <w:marBottom w:val="0"/>
          <w:divBdr>
            <w:top w:val="none" w:sz="0" w:space="0" w:color="auto"/>
            <w:left w:val="none" w:sz="0" w:space="0" w:color="auto"/>
            <w:bottom w:val="none" w:sz="0" w:space="0" w:color="auto"/>
            <w:right w:val="none" w:sz="0" w:space="0" w:color="auto"/>
          </w:divBdr>
          <w:divsChild>
            <w:div w:id="2024629943">
              <w:marLeft w:val="0"/>
              <w:marRight w:val="0"/>
              <w:marTop w:val="0"/>
              <w:marBottom w:val="0"/>
              <w:divBdr>
                <w:top w:val="none" w:sz="0" w:space="0" w:color="auto"/>
                <w:left w:val="none" w:sz="0" w:space="0" w:color="auto"/>
                <w:bottom w:val="none" w:sz="0" w:space="0" w:color="auto"/>
                <w:right w:val="none" w:sz="0" w:space="0" w:color="auto"/>
              </w:divBdr>
              <w:divsChild>
                <w:div w:id="1229729251">
                  <w:marLeft w:val="0"/>
                  <w:marRight w:val="0"/>
                  <w:marTop w:val="0"/>
                  <w:marBottom w:val="0"/>
                  <w:divBdr>
                    <w:top w:val="none" w:sz="0" w:space="0" w:color="auto"/>
                    <w:left w:val="none" w:sz="0" w:space="0" w:color="auto"/>
                    <w:bottom w:val="none" w:sz="0" w:space="0" w:color="auto"/>
                    <w:right w:val="none" w:sz="0" w:space="0" w:color="auto"/>
                  </w:divBdr>
                  <w:divsChild>
                    <w:div w:id="917832549">
                      <w:marLeft w:val="0"/>
                      <w:marRight w:val="0"/>
                      <w:marTop w:val="0"/>
                      <w:marBottom w:val="0"/>
                      <w:divBdr>
                        <w:top w:val="none" w:sz="0" w:space="0" w:color="auto"/>
                        <w:left w:val="none" w:sz="0" w:space="0" w:color="auto"/>
                        <w:bottom w:val="none" w:sz="0" w:space="0" w:color="auto"/>
                        <w:right w:val="none" w:sz="0" w:space="0" w:color="auto"/>
                      </w:divBdr>
                      <w:divsChild>
                        <w:div w:id="836925690">
                          <w:marLeft w:val="0"/>
                          <w:marRight w:val="0"/>
                          <w:marTop w:val="0"/>
                          <w:marBottom w:val="0"/>
                          <w:divBdr>
                            <w:top w:val="none" w:sz="0" w:space="0" w:color="auto"/>
                            <w:left w:val="none" w:sz="0" w:space="0" w:color="auto"/>
                            <w:bottom w:val="none" w:sz="0" w:space="0" w:color="auto"/>
                            <w:right w:val="none" w:sz="0" w:space="0" w:color="auto"/>
                          </w:divBdr>
                          <w:divsChild>
                            <w:div w:id="6871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075199">
      <w:bodyDiv w:val="1"/>
      <w:marLeft w:val="0"/>
      <w:marRight w:val="0"/>
      <w:marTop w:val="0"/>
      <w:marBottom w:val="0"/>
      <w:divBdr>
        <w:top w:val="none" w:sz="0" w:space="0" w:color="auto"/>
        <w:left w:val="none" w:sz="0" w:space="0" w:color="auto"/>
        <w:bottom w:val="none" w:sz="0" w:space="0" w:color="auto"/>
        <w:right w:val="none" w:sz="0" w:space="0" w:color="auto"/>
      </w:divBdr>
      <w:divsChild>
        <w:div w:id="1315069510">
          <w:marLeft w:val="0"/>
          <w:marRight w:val="0"/>
          <w:marTop w:val="0"/>
          <w:marBottom w:val="0"/>
          <w:divBdr>
            <w:top w:val="none" w:sz="0" w:space="0" w:color="auto"/>
            <w:left w:val="none" w:sz="0" w:space="0" w:color="auto"/>
            <w:bottom w:val="none" w:sz="0" w:space="0" w:color="auto"/>
            <w:right w:val="none" w:sz="0" w:space="0" w:color="auto"/>
          </w:divBdr>
          <w:divsChild>
            <w:div w:id="239297114">
              <w:marLeft w:val="0"/>
              <w:marRight w:val="0"/>
              <w:marTop w:val="0"/>
              <w:marBottom w:val="0"/>
              <w:divBdr>
                <w:top w:val="none" w:sz="0" w:space="0" w:color="auto"/>
                <w:left w:val="none" w:sz="0" w:space="0" w:color="auto"/>
                <w:bottom w:val="none" w:sz="0" w:space="0" w:color="auto"/>
                <w:right w:val="none" w:sz="0" w:space="0" w:color="auto"/>
              </w:divBdr>
              <w:divsChild>
                <w:div w:id="3409724">
                  <w:marLeft w:val="0"/>
                  <w:marRight w:val="0"/>
                  <w:marTop w:val="0"/>
                  <w:marBottom w:val="0"/>
                  <w:divBdr>
                    <w:top w:val="none" w:sz="0" w:space="0" w:color="auto"/>
                    <w:left w:val="none" w:sz="0" w:space="0" w:color="auto"/>
                    <w:bottom w:val="none" w:sz="0" w:space="0" w:color="auto"/>
                    <w:right w:val="none" w:sz="0" w:space="0" w:color="auto"/>
                  </w:divBdr>
                  <w:divsChild>
                    <w:div w:id="90243742">
                      <w:marLeft w:val="0"/>
                      <w:marRight w:val="0"/>
                      <w:marTop w:val="300"/>
                      <w:marBottom w:val="0"/>
                      <w:divBdr>
                        <w:top w:val="none" w:sz="0" w:space="0" w:color="auto"/>
                        <w:left w:val="none" w:sz="0" w:space="0" w:color="auto"/>
                        <w:bottom w:val="none" w:sz="0" w:space="0" w:color="auto"/>
                        <w:right w:val="none" w:sz="0" w:space="0" w:color="auto"/>
                      </w:divBdr>
                      <w:divsChild>
                        <w:div w:id="322590439">
                          <w:marLeft w:val="0"/>
                          <w:marRight w:val="0"/>
                          <w:marTop w:val="0"/>
                          <w:marBottom w:val="0"/>
                          <w:divBdr>
                            <w:top w:val="none" w:sz="0" w:space="0" w:color="auto"/>
                            <w:left w:val="none" w:sz="0" w:space="0" w:color="auto"/>
                            <w:bottom w:val="none" w:sz="0" w:space="0" w:color="auto"/>
                            <w:right w:val="none" w:sz="0" w:space="0" w:color="auto"/>
                          </w:divBdr>
                          <w:divsChild>
                            <w:div w:id="1603760460">
                              <w:marLeft w:val="0"/>
                              <w:marRight w:val="0"/>
                              <w:marTop w:val="0"/>
                              <w:marBottom w:val="0"/>
                              <w:divBdr>
                                <w:top w:val="none" w:sz="0" w:space="0" w:color="auto"/>
                                <w:left w:val="none" w:sz="0" w:space="0" w:color="auto"/>
                                <w:bottom w:val="none" w:sz="0" w:space="0" w:color="auto"/>
                                <w:right w:val="none" w:sz="0" w:space="0" w:color="auto"/>
                              </w:divBdr>
                              <w:divsChild>
                                <w:div w:id="1060788426">
                                  <w:marLeft w:val="0"/>
                                  <w:marRight w:val="0"/>
                                  <w:marTop w:val="0"/>
                                  <w:marBottom w:val="0"/>
                                  <w:divBdr>
                                    <w:top w:val="none" w:sz="0" w:space="0" w:color="auto"/>
                                    <w:left w:val="none" w:sz="0" w:space="0" w:color="auto"/>
                                    <w:bottom w:val="none" w:sz="0" w:space="0" w:color="auto"/>
                                    <w:right w:val="none" w:sz="0" w:space="0" w:color="auto"/>
                                  </w:divBdr>
                                  <w:divsChild>
                                    <w:div w:id="923992803">
                                      <w:marLeft w:val="0"/>
                                      <w:marRight w:val="0"/>
                                      <w:marTop w:val="0"/>
                                      <w:marBottom w:val="0"/>
                                      <w:divBdr>
                                        <w:top w:val="none" w:sz="0" w:space="0" w:color="auto"/>
                                        <w:left w:val="none" w:sz="0" w:space="0" w:color="auto"/>
                                        <w:bottom w:val="none" w:sz="0" w:space="0" w:color="auto"/>
                                        <w:right w:val="none" w:sz="0" w:space="0" w:color="auto"/>
                                      </w:divBdr>
                                      <w:divsChild>
                                        <w:div w:id="15941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5.xml"/><Relationship Id="rId50" Type="http://schemas.openxmlformats.org/officeDocument/2006/relationships/hyperlink" Target="mailto:info@tga.gov.au" TargetMode="External"/><Relationship Id="rId55"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4.xml"/><Relationship Id="rId59"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3.jpeg"/><Relationship Id="rId41" Type="http://schemas.openxmlformats.org/officeDocument/2006/relationships/image" Target="media/image25.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tga.gov.au/product-information-pi" TargetMode="External"/><Relationship Id="rId53" Type="http://schemas.openxmlformats.org/officeDocument/2006/relationships/header" Target="header8.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microsoft.com/office/2007/relationships/hdphoto" Target="media/hdphoto1.wdp"/><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4.xml"/><Relationship Id="rId57"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eader" Target="header7.xml"/><Relationship Id="rId4" Type="http://schemas.openxmlformats.org/officeDocument/2006/relationships/styles" Target="style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6.xml"/><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https://www.tga.gov.au" TargetMode="Externa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12952\t0Q7LOBL.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947C1-F6A8-4FC7-992E-51ECDCF6CDD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5CD4410-E100-4950-B98F-F3394066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t0Q7LOBL</Template>
  <TotalTime>127</TotalTime>
  <Pages>44</Pages>
  <Words>10419</Words>
  <Characters>60538</Characters>
  <Application>Microsoft Office Word</Application>
  <DocSecurity>0</DocSecurity>
  <Lines>1593</Lines>
  <Paragraphs>933</Paragraphs>
  <ScaleCrop>false</ScaleCrop>
  <HeadingPairs>
    <vt:vector size="2" baseType="variant">
      <vt:variant>
        <vt:lpstr>Title</vt:lpstr>
      </vt:variant>
      <vt:variant>
        <vt:i4>1</vt:i4>
      </vt:variant>
    </vt:vector>
  </HeadingPairs>
  <TitlesOfParts>
    <vt:vector size="1" baseType="lpstr">
      <vt:lpstr>9.5</vt:lpstr>
    </vt:vector>
  </TitlesOfParts>
  <Company>Department of Health Therapeutic Goods Administration</Company>
  <LinksUpToDate>false</LinksUpToDate>
  <CharactersWithSpaces>70024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Doravirine and doravirine/lamivudine/tenofovir disoproxil fumarate</dc:title>
  <dc:subject>prescription medicines</dc:subject>
  <dc:creator>Therapeutic Goods Administration</dc:creator>
  <cp:lastPrinted>2019-08-14T04:30:00Z</cp:lastPrinted>
  <dcterms:created xsi:type="dcterms:W3CDTF">2020-03-16T01:16:00Z</dcterms:created>
  <dcterms:modified xsi:type="dcterms:W3CDTF">2020-03-16T03:28:00Z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78e74709-3fa1-4dc2-b08a-3bb43cf6a7d2</vt:lpwstr>
  </property>
  <property fmtid="{D5CDD505-2E9C-101B-9397-08002B2CF9AE}" pid="4" name="bjSaver">
    <vt:lpwstr>zgRl46JmsaZ7V/Etl6s1OJBfBd8FrWPs</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bjDocumentSecurityLabel">
    <vt:lpwstr>Not Classified</vt:lpwstr>
  </property>
</Properties>
</file>