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6D4B7" w14:textId="77777777" w:rsidR="001439E0" w:rsidRDefault="008A23E0">
      <w:pPr>
        <w:pStyle w:val="BodyText"/>
        <w:spacing w:before="71" w:line="211" w:lineRule="auto"/>
        <w:ind w:left="419" w:right="1276"/>
        <w:rPr>
          <w:rFonts w:ascii="Cambria" w:hAnsi="Cambria"/>
        </w:rPr>
      </w:pPr>
      <w:r>
        <w:rPr>
          <w:rFonts w:ascii="SimSun" w:hAnsi="SimSun"/>
          <w:sz w:val="40"/>
        </w:rPr>
        <w:t>▼</w:t>
      </w:r>
      <w:r>
        <w:rPr>
          <w:rFonts w:ascii="Cambria" w:hAnsi="Cambria"/>
          <w:position w:val="1"/>
        </w:rPr>
        <w:t xml:space="preserve">This medicinal product is subject to additional monitoring in Australia. This will allow quick </w:t>
      </w:r>
      <w:r>
        <w:rPr>
          <w:rFonts w:ascii="Cambria" w:hAnsi="Cambria"/>
        </w:rPr>
        <w:t xml:space="preserve">identification of new safety information. Healthcare professionals are asked to report any suspected adverse events at </w:t>
      </w:r>
      <w:hyperlink r:id="rId12">
        <w:r>
          <w:rPr>
            <w:rFonts w:ascii="Cambria" w:hAnsi="Cambria"/>
            <w:color w:val="0000FF"/>
            <w:u w:val="single" w:color="0000FF"/>
          </w:rPr>
          <w:t>www.tga.gov.au/reporting‐problems</w:t>
        </w:r>
      </w:hyperlink>
      <w:r>
        <w:rPr>
          <w:rFonts w:ascii="Cambria" w:hAnsi="Cambria"/>
        </w:rPr>
        <w:t>.</w:t>
      </w:r>
    </w:p>
    <w:p w14:paraId="7E26D4B8" w14:textId="77777777" w:rsidR="001439E0" w:rsidRDefault="001439E0">
      <w:pPr>
        <w:pStyle w:val="BodyText"/>
        <w:spacing w:before="0"/>
        <w:ind w:left="0"/>
        <w:jc w:val="left"/>
        <w:rPr>
          <w:rFonts w:ascii="Cambria"/>
          <w:sz w:val="20"/>
        </w:rPr>
      </w:pPr>
    </w:p>
    <w:p w14:paraId="7E26D4B9" w14:textId="77777777" w:rsidR="001439E0" w:rsidRDefault="008A23E0">
      <w:pPr>
        <w:pStyle w:val="Heading1"/>
        <w:spacing w:before="251" w:line="326" w:lineRule="auto"/>
        <w:ind w:left="2265" w:right="3122" w:firstLine="0"/>
        <w:jc w:val="center"/>
        <w:rPr>
          <w:sz w:val="18"/>
        </w:rPr>
      </w:pPr>
      <w:r>
        <w:t>AUSTRALIAN PRODUCT INFORMATION PIFELTRO</w:t>
      </w:r>
      <w:r>
        <w:rPr>
          <w:position w:val="10"/>
          <w:sz w:val="18"/>
        </w:rPr>
        <w:t>®</w:t>
      </w:r>
    </w:p>
    <w:p w14:paraId="7E26D4BA" w14:textId="77777777" w:rsidR="001439E0" w:rsidRDefault="008A23E0">
      <w:pPr>
        <w:spacing w:before="2"/>
        <w:ind w:left="4162" w:right="5018"/>
        <w:jc w:val="center"/>
        <w:rPr>
          <w:b/>
          <w:sz w:val="28"/>
        </w:rPr>
      </w:pPr>
      <w:r>
        <w:rPr>
          <w:b/>
          <w:sz w:val="28"/>
        </w:rPr>
        <w:t>(doravirine) Tablets</w:t>
      </w:r>
    </w:p>
    <w:p w14:paraId="7E26D4BB" w14:textId="77777777" w:rsidR="001439E0" w:rsidRDefault="001439E0">
      <w:pPr>
        <w:pStyle w:val="BodyText"/>
        <w:spacing w:before="0"/>
        <w:ind w:left="0"/>
        <w:jc w:val="left"/>
        <w:rPr>
          <w:b/>
          <w:sz w:val="30"/>
        </w:rPr>
      </w:pPr>
    </w:p>
    <w:p w14:paraId="7E26D4BC" w14:textId="77777777" w:rsidR="001439E0" w:rsidRDefault="008A23E0">
      <w:pPr>
        <w:pStyle w:val="ListParagraph"/>
        <w:numPr>
          <w:ilvl w:val="0"/>
          <w:numId w:val="4"/>
        </w:numPr>
        <w:tabs>
          <w:tab w:val="left" w:pos="851"/>
          <w:tab w:val="left" w:pos="852"/>
        </w:tabs>
        <w:spacing w:before="228"/>
        <w:ind w:hanging="431"/>
        <w:rPr>
          <w:b/>
          <w:sz w:val="28"/>
        </w:rPr>
      </w:pPr>
      <w:r>
        <w:rPr>
          <w:b/>
          <w:sz w:val="28"/>
        </w:rPr>
        <w:t>NAME OF THE</w:t>
      </w:r>
      <w:r>
        <w:rPr>
          <w:b/>
          <w:spacing w:val="-1"/>
          <w:sz w:val="28"/>
        </w:rPr>
        <w:t xml:space="preserve"> </w:t>
      </w:r>
      <w:r>
        <w:rPr>
          <w:b/>
          <w:sz w:val="28"/>
        </w:rPr>
        <w:t>MEDICINE</w:t>
      </w:r>
    </w:p>
    <w:p w14:paraId="7E26D4BD" w14:textId="77777777" w:rsidR="001439E0" w:rsidRDefault="008A23E0">
      <w:pPr>
        <w:pStyle w:val="BodyText"/>
        <w:spacing w:before="119"/>
        <w:jc w:val="left"/>
      </w:pPr>
      <w:r>
        <w:t>doravirine</w:t>
      </w:r>
    </w:p>
    <w:p w14:paraId="7E26D4BE" w14:textId="77777777" w:rsidR="001439E0" w:rsidRDefault="008A23E0">
      <w:pPr>
        <w:pStyle w:val="Heading1"/>
        <w:numPr>
          <w:ilvl w:val="0"/>
          <w:numId w:val="4"/>
        </w:numPr>
        <w:tabs>
          <w:tab w:val="left" w:pos="851"/>
          <w:tab w:val="left" w:pos="852"/>
        </w:tabs>
        <w:ind w:hanging="431"/>
      </w:pPr>
      <w:r>
        <w:t>QUALITATIVE AND QUANTITATIVE</w:t>
      </w:r>
      <w:r>
        <w:rPr>
          <w:spacing w:val="-1"/>
        </w:rPr>
        <w:t xml:space="preserve"> </w:t>
      </w:r>
      <w:r>
        <w:t>COMPOSITION</w:t>
      </w:r>
    </w:p>
    <w:p w14:paraId="7E26D4BF" w14:textId="77777777" w:rsidR="001439E0" w:rsidRDefault="008A23E0">
      <w:pPr>
        <w:pStyle w:val="BodyText"/>
        <w:ind w:right="1231"/>
        <w:jc w:val="left"/>
      </w:pPr>
      <w:r>
        <w:t>PIFELTRO® is a film-coated tablet containing the active substance doravirine for oral administration.</w:t>
      </w:r>
    </w:p>
    <w:p w14:paraId="7E26D4C0" w14:textId="77777777" w:rsidR="001439E0" w:rsidRDefault="008A23E0">
      <w:pPr>
        <w:pStyle w:val="BodyText"/>
        <w:spacing w:before="201"/>
        <w:jc w:val="left"/>
      </w:pPr>
      <w:r>
        <w:rPr>
          <w:u w:val="single"/>
        </w:rPr>
        <w:t>Active Ingredient</w:t>
      </w:r>
    </w:p>
    <w:p w14:paraId="7E26D4C1" w14:textId="77777777" w:rsidR="001439E0" w:rsidRDefault="008A23E0">
      <w:pPr>
        <w:pStyle w:val="BodyText"/>
        <w:spacing w:before="199" w:line="429" w:lineRule="auto"/>
        <w:ind w:right="6194"/>
        <w:jc w:val="left"/>
      </w:pPr>
      <w:r>
        <w:t xml:space="preserve">Each tablet contains 100 mg of doravirine. </w:t>
      </w:r>
      <w:r>
        <w:rPr>
          <w:u w:val="single"/>
        </w:rPr>
        <w:t>Inactive Ingredients (List of Excipients)</w:t>
      </w:r>
      <w:r>
        <w:t xml:space="preserve"> List of excipients with known</w:t>
      </w:r>
      <w:r>
        <w:rPr>
          <w:spacing w:val="-3"/>
        </w:rPr>
        <w:t xml:space="preserve"> </w:t>
      </w:r>
      <w:r>
        <w:t>effect:</w:t>
      </w:r>
    </w:p>
    <w:p w14:paraId="7E26D4C2" w14:textId="77777777" w:rsidR="001439E0" w:rsidRDefault="008A23E0">
      <w:pPr>
        <w:pStyle w:val="ListParagraph"/>
        <w:numPr>
          <w:ilvl w:val="1"/>
          <w:numId w:val="4"/>
        </w:numPr>
        <w:tabs>
          <w:tab w:val="left" w:pos="1139"/>
          <w:tab w:val="left" w:pos="1141"/>
        </w:tabs>
        <w:spacing w:line="269" w:lineRule="exact"/>
        <w:ind w:hanging="360"/>
      </w:pPr>
      <w:r>
        <w:t>lactose (as</w:t>
      </w:r>
      <w:r>
        <w:rPr>
          <w:spacing w:val="-2"/>
        </w:rPr>
        <w:t xml:space="preserve"> </w:t>
      </w:r>
      <w:r>
        <w:t>monohydrate).</w:t>
      </w:r>
    </w:p>
    <w:p w14:paraId="7E26D4C3" w14:textId="77777777" w:rsidR="001439E0" w:rsidRDefault="008A23E0">
      <w:pPr>
        <w:pStyle w:val="BodyText"/>
        <w:spacing w:before="199" w:line="429" w:lineRule="auto"/>
        <w:ind w:left="419" w:right="4286"/>
        <w:jc w:val="left"/>
      </w:pPr>
      <w:r>
        <w:t>For the full list of excipients, see section 6.1 List of excipients. Doravirine is practically insoluble in water.</w:t>
      </w:r>
    </w:p>
    <w:p w14:paraId="7E26D4C4" w14:textId="77777777" w:rsidR="001439E0" w:rsidRDefault="008A23E0">
      <w:pPr>
        <w:pStyle w:val="Heading1"/>
        <w:numPr>
          <w:ilvl w:val="0"/>
          <w:numId w:val="4"/>
        </w:numPr>
        <w:tabs>
          <w:tab w:val="left" w:pos="851"/>
          <w:tab w:val="left" w:pos="852"/>
        </w:tabs>
        <w:spacing w:before="0"/>
        <w:ind w:hanging="431"/>
      </w:pPr>
      <w:r>
        <w:t>PHARMACEUTICAL</w:t>
      </w:r>
      <w:r>
        <w:rPr>
          <w:spacing w:val="-1"/>
        </w:rPr>
        <w:t xml:space="preserve"> </w:t>
      </w:r>
      <w:r>
        <w:t>FORM</w:t>
      </w:r>
    </w:p>
    <w:p w14:paraId="7E26D4C5" w14:textId="77777777" w:rsidR="001439E0" w:rsidRDefault="008A23E0">
      <w:pPr>
        <w:pStyle w:val="BodyText"/>
        <w:ind w:right="1231"/>
        <w:jc w:val="left"/>
      </w:pPr>
      <w:r>
        <w:t>PIFELTRO (doravirine) 100 mg is a white, oval, film-coated tablet, debossed with the corporate logo and 700 on one side and plain on the other side.</w:t>
      </w:r>
    </w:p>
    <w:p w14:paraId="7E26D4C6" w14:textId="77777777" w:rsidR="001439E0" w:rsidRDefault="008A23E0">
      <w:pPr>
        <w:pStyle w:val="Heading1"/>
        <w:numPr>
          <w:ilvl w:val="0"/>
          <w:numId w:val="4"/>
        </w:numPr>
        <w:tabs>
          <w:tab w:val="left" w:pos="851"/>
          <w:tab w:val="left" w:pos="852"/>
        </w:tabs>
        <w:ind w:hanging="431"/>
      </w:pPr>
      <w:r>
        <w:t>CLINICAL</w:t>
      </w:r>
      <w:r>
        <w:rPr>
          <w:spacing w:val="-1"/>
        </w:rPr>
        <w:t xml:space="preserve"> </w:t>
      </w:r>
      <w:r>
        <w:t>PARTICULARS</w:t>
      </w:r>
    </w:p>
    <w:p w14:paraId="7E26D4C7" w14:textId="77777777" w:rsidR="001439E0" w:rsidRDefault="008A23E0">
      <w:pPr>
        <w:pStyle w:val="Heading2"/>
        <w:numPr>
          <w:ilvl w:val="1"/>
          <w:numId w:val="3"/>
        </w:numPr>
        <w:tabs>
          <w:tab w:val="left" w:pos="1139"/>
          <w:tab w:val="left" w:pos="1140"/>
        </w:tabs>
        <w:spacing w:before="240"/>
        <w:ind w:hanging="719"/>
      </w:pPr>
      <w:r>
        <w:t>THERAPEUTIC</w:t>
      </w:r>
      <w:r>
        <w:rPr>
          <w:spacing w:val="-2"/>
        </w:rPr>
        <w:t xml:space="preserve"> </w:t>
      </w:r>
      <w:r>
        <w:t>INDICATIONS</w:t>
      </w:r>
    </w:p>
    <w:p w14:paraId="7E26D4C8" w14:textId="3B73471F" w:rsidR="001439E0" w:rsidRDefault="008A23E0">
      <w:pPr>
        <w:pStyle w:val="BodyText"/>
        <w:spacing w:before="119"/>
        <w:ind w:right="1276"/>
      </w:pPr>
      <w:r>
        <w:t>PIFELTRO is indicated, in combination with other antiretroviral medicinal products, for the treatment of HIV-1</w:t>
      </w:r>
      <w:r w:rsidR="00ED3023">
        <w:t xml:space="preserve"> infection in adults who are antiretrovi</w:t>
      </w:r>
      <w:r w:rsidR="00F325B2">
        <w:t xml:space="preserve">ral therapy (ART) </w:t>
      </w:r>
      <w:r w:rsidR="00ED3023">
        <w:t>naïve with no known substitutions associated with</w:t>
      </w:r>
      <w:r>
        <w:t xml:space="preserve"> resistance to doravirine.</w:t>
      </w:r>
    </w:p>
    <w:p w14:paraId="7E26D4C9" w14:textId="77777777" w:rsidR="001439E0" w:rsidRDefault="001439E0">
      <w:pPr>
        <w:pStyle w:val="BodyText"/>
        <w:spacing w:before="10"/>
        <w:ind w:left="0"/>
        <w:jc w:val="left"/>
        <w:rPr>
          <w:sz w:val="20"/>
        </w:rPr>
      </w:pPr>
    </w:p>
    <w:p w14:paraId="7E26D4CA" w14:textId="77777777" w:rsidR="001439E0" w:rsidRDefault="008A23E0">
      <w:pPr>
        <w:pStyle w:val="Heading2"/>
        <w:numPr>
          <w:ilvl w:val="1"/>
          <w:numId w:val="3"/>
        </w:numPr>
        <w:tabs>
          <w:tab w:val="left" w:pos="1139"/>
          <w:tab w:val="left" w:pos="1140"/>
        </w:tabs>
        <w:ind w:hanging="719"/>
      </w:pPr>
      <w:r>
        <w:t>DOSE AND METHOD OF</w:t>
      </w:r>
      <w:r>
        <w:rPr>
          <w:spacing w:val="-5"/>
        </w:rPr>
        <w:t xml:space="preserve"> </w:t>
      </w:r>
      <w:r>
        <w:t>ADMINISTRATION</w:t>
      </w:r>
    </w:p>
    <w:p w14:paraId="7E26D4CB" w14:textId="77777777" w:rsidR="001439E0" w:rsidRDefault="008A23E0">
      <w:pPr>
        <w:pStyle w:val="BodyText"/>
        <w:spacing w:before="121"/>
        <w:jc w:val="left"/>
      </w:pPr>
      <w:r>
        <w:t>PIFELTRO is a tablet containing 100 mg of doravirine.</w:t>
      </w:r>
    </w:p>
    <w:p w14:paraId="7E26D4CC" w14:textId="77777777" w:rsidR="001439E0" w:rsidRDefault="008A23E0">
      <w:pPr>
        <w:pStyle w:val="Heading3"/>
        <w:spacing w:before="199"/>
      </w:pPr>
      <w:r>
        <w:t>Adult Patients</w:t>
      </w:r>
    </w:p>
    <w:p w14:paraId="73AC75FE" w14:textId="77777777" w:rsidR="009E2156" w:rsidRDefault="008A23E0" w:rsidP="009E2156">
      <w:pPr>
        <w:pStyle w:val="BodyText"/>
        <w:spacing w:before="121"/>
        <w:ind w:right="1231"/>
        <w:jc w:val="left"/>
      </w:pPr>
      <w:r>
        <w:t>The recommended dosage regimen of PIFELTRO in adults is one 100 mg tablet taken orally once daily with or without food.</w:t>
      </w:r>
    </w:p>
    <w:p w14:paraId="7E26D4CF" w14:textId="197D36D0" w:rsidR="001439E0" w:rsidRDefault="008A23E0" w:rsidP="009E2156">
      <w:pPr>
        <w:pStyle w:val="BodyText"/>
        <w:spacing w:before="121"/>
        <w:ind w:right="1231"/>
        <w:jc w:val="left"/>
      </w:pPr>
      <w:r>
        <w:rPr>
          <w:u w:val="single"/>
        </w:rPr>
        <w:t>Missed Dose</w:t>
      </w:r>
    </w:p>
    <w:p w14:paraId="7E26D4D0" w14:textId="77777777" w:rsidR="001439E0" w:rsidRDefault="008A23E0">
      <w:pPr>
        <w:pStyle w:val="BodyText"/>
        <w:spacing w:before="199"/>
        <w:ind w:right="1275"/>
      </w:pPr>
      <w:r>
        <w:lastRenderedPageBreak/>
        <w:t>If the patient misses a dose of PIFELTRO, the patient should take PIFELTRO as soon as possible</w:t>
      </w:r>
      <w:r>
        <w:rPr>
          <w:spacing w:val="-4"/>
        </w:rPr>
        <w:t xml:space="preserve"> </w:t>
      </w:r>
      <w:r>
        <w:t>unless</w:t>
      </w:r>
      <w:r>
        <w:rPr>
          <w:spacing w:val="-4"/>
        </w:rPr>
        <w:t xml:space="preserve"> </w:t>
      </w:r>
      <w:r>
        <w:t>it</w:t>
      </w:r>
      <w:r>
        <w:rPr>
          <w:spacing w:val="-3"/>
        </w:rPr>
        <w:t xml:space="preserve"> </w:t>
      </w:r>
      <w:r>
        <w:t>is</w:t>
      </w:r>
      <w:r>
        <w:rPr>
          <w:spacing w:val="-4"/>
        </w:rPr>
        <w:t xml:space="preserve"> </w:t>
      </w:r>
      <w:r>
        <w:t>almost</w:t>
      </w:r>
      <w:r>
        <w:rPr>
          <w:spacing w:val="-4"/>
        </w:rPr>
        <w:t xml:space="preserve"> </w:t>
      </w:r>
      <w:r>
        <w:t>time</w:t>
      </w:r>
      <w:r>
        <w:rPr>
          <w:spacing w:val="-4"/>
        </w:rPr>
        <w:t xml:space="preserve"> </w:t>
      </w:r>
      <w:r>
        <w:t>for</w:t>
      </w:r>
      <w:r>
        <w:rPr>
          <w:spacing w:val="-2"/>
        </w:rPr>
        <w:t xml:space="preserve"> </w:t>
      </w:r>
      <w:r>
        <w:t>the</w:t>
      </w:r>
      <w:r>
        <w:rPr>
          <w:spacing w:val="-4"/>
        </w:rPr>
        <w:t xml:space="preserve"> </w:t>
      </w:r>
      <w:r>
        <w:t>next</w:t>
      </w:r>
      <w:r>
        <w:rPr>
          <w:spacing w:val="-4"/>
        </w:rPr>
        <w:t xml:space="preserve"> </w:t>
      </w:r>
      <w:r>
        <w:t>dose.</w:t>
      </w:r>
      <w:r>
        <w:rPr>
          <w:spacing w:val="-3"/>
        </w:rPr>
        <w:t xml:space="preserve"> </w:t>
      </w:r>
      <w:r>
        <w:t>The</w:t>
      </w:r>
      <w:r>
        <w:rPr>
          <w:spacing w:val="-3"/>
        </w:rPr>
        <w:t xml:space="preserve"> </w:t>
      </w:r>
      <w:r>
        <w:t>patient</w:t>
      </w:r>
      <w:r>
        <w:rPr>
          <w:spacing w:val="-3"/>
        </w:rPr>
        <w:t xml:space="preserve"> </w:t>
      </w:r>
      <w:r>
        <w:t>should</w:t>
      </w:r>
      <w:r>
        <w:rPr>
          <w:spacing w:val="-2"/>
        </w:rPr>
        <w:t xml:space="preserve"> </w:t>
      </w:r>
      <w:r>
        <w:t>not</w:t>
      </w:r>
      <w:r>
        <w:rPr>
          <w:spacing w:val="-4"/>
        </w:rPr>
        <w:t xml:space="preserve"> </w:t>
      </w:r>
      <w:r>
        <w:t>take</w:t>
      </w:r>
      <w:r>
        <w:rPr>
          <w:spacing w:val="-4"/>
        </w:rPr>
        <w:t xml:space="preserve"> </w:t>
      </w:r>
      <w:r>
        <w:t>2</w:t>
      </w:r>
      <w:r>
        <w:rPr>
          <w:spacing w:val="-3"/>
        </w:rPr>
        <w:t xml:space="preserve"> </w:t>
      </w:r>
      <w:r>
        <w:t>doses</w:t>
      </w:r>
      <w:r>
        <w:rPr>
          <w:spacing w:val="-4"/>
        </w:rPr>
        <w:t xml:space="preserve"> </w:t>
      </w:r>
      <w:r>
        <w:t>at</w:t>
      </w:r>
      <w:r>
        <w:rPr>
          <w:spacing w:val="-3"/>
        </w:rPr>
        <w:t xml:space="preserve"> </w:t>
      </w:r>
      <w:r>
        <w:t>one time and instead take the next dose at the regularly scheduled</w:t>
      </w:r>
      <w:r>
        <w:rPr>
          <w:spacing w:val="-3"/>
        </w:rPr>
        <w:t xml:space="preserve"> </w:t>
      </w:r>
      <w:r>
        <w:t>time.</w:t>
      </w:r>
    </w:p>
    <w:p w14:paraId="7E26D4D1" w14:textId="77777777" w:rsidR="001439E0" w:rsidRDefault="008A23E0">
      <w:pPr>
        <w:pStyle w:val="Heading3"/>
        <w:spacing w:before="201"/>
        <w:jc w:val="both"/>
      </w:pPr>
      <w:proofErr w:type="spellStart"/>
      <w:r>
        <w:t>Paediatric</w:t>
      </w:r>
      <w:proofErr w:type="spellEnd"/>
      <w:r>
        <w:t xml:space="preserve"> Patients</w:t>
      </w:r>
    </w:p>
    <w:p w14:paraId="7E26D4D2" w14:textId="77777777" w:rsidR="001439E0" w:rsidRDefault="008A23E0">
      <w:pPr>
        <w:pStyle w:val="BodyText"/>
        <w:spacing w:before="119"/>
        <w:ind w:right="1276"/>
      </w:pPr>
      <w:r>
        <w:t>Safety</w:t>
      </w:r>
      <w:r>
        <w:rPr>
          <w:spacing w:val="-13"/>
        </w:rPr>
        <w:t xml:space="preserve"> </w:t>
      </w:r>
      <w:r>
        <w:t>and</w:t>
      </w:r>
      <w:r>
        <w:rPr>
          <w:spacing w:val="-12"/>
        </w:rPr>
        <w:t xml:space="preserve"> </w:t>
      </w:r>
      <w:r>
        <w:t>efficacy</w:t>
      </w:r>
      <w:r>
        <w:rPr>
          <w:spacing w:val="-12"/>
        </w:rPr>
        <w:t xml:space="preserve"> </w:t>
      </w:r>
      <w:r>
        <w:t>of</w:t>
      </w:r>
      <w:r>
        <w:rPr>
          <w:spacing w:val="-13"/>
        </w:rPr>
        <w:t xml:space="preserve"> </w:t>
      </w:r>
      <w:r>
        <w:t>PIFELTRO</w:t>
      </w:r>
      <w:r>
        <w:rPr>
          <w:spacing w:val="-13"/>
        </w:rPr>
        <w:t xml:space="preserve"> </w:t>
      </w:r>
      <w:r>
        <w:t>have</w:t>
      </w:r>
      <w:r>
        <w:rPr>
          <w:spacing w:val="-12"/>
        </w:rPr>
        <w:t xml:space="preserve"> </w:t>
      </w:r>
      <w:r>
        <w:t>not</w:t>
      </w:r>
      <w:r>
        <w:rPr>
          <w:spacing w:val="-12"/>
        </w:rPr>
        <w:t xml:space="preserve"> </w:t>
      </w:r>
      <w:r>
        <w:t>been</w:t>
      </w:r>
      <w:r>
        <w:rPr>
          <w:spacing w:val="-14"/>
        </w:rPr>
        <w:t xml:space="preserve"> </w:t>
      </w:r>
      <w:r>
        <w:t>established</w:t>
      </w:r>
      <w:r>
        <w:rPr>
          <w:spacing w:val="-12"/>
        </w:rPr>
        <w:t xml:space="preserve"> </w:t>
      </w:r>
      <w:r>
        <w:t>in</w:t>
      </w:r>
      <w:r>
        <w:rPr>
          <w:spacing w:val="-12"/>
        </w:rPr>
        <w:t xml:space="preserve"> </w:t>
      </w:r>
      <w:r>
        <w:t>patients</w:t>
      </w:r>
      <w:r>
        <w:rPr>
          <w:spacing w:val="-12"/>
        </w:rPr>
        <w:t xml:space="preserve"> </w:t>
      </w:r>
      <w:r>
        <w:t>younger</w:t>
      </w:r>
      <w:r>
        <w:rPr>
          <w:spacing w:val="-13"/>
        </w:rPr>
        <w:t xml:space="preserve"> </w:t>
      </w:r>
      <w:r>
        <w:t>than</w:t>
      </w:r>
      <w:r>
        <w:rPr>
          <w:spacing w:val="-12"/>
        </w:rPr>
        <w:t xml:space="preserve"> </w:t>
      </w:r>
      <w:r>
        <w:t>18</w:t>
      </w:r>
      <w:r>
        <w:rPr>
          <w:spacing w:val="-12"/>
        </w:rPr>
        <w:t xml:space="preserve"> </w:t>
      </w:r>
      <w:r>
        <w:t xml:space="preserve">years of age (see section 5.2, </w:t>
      </w:r>
      <w:r>
        <w:rPr>
          <w:i/>
        </w:rPr>
        <w:t>Special</w:t>
      </w:r>
      <w:r>
        <w:rPr>
          <w:i/>
          <w:spacing w:val="-3"/>
        </w:rPr>
        <w:t xml:space="preserve"> </w:t>
      </w:r>
      <w:r>
        <w:rPr>
          <w:i/>
        </w:rPr>
        <w:t>populations</w:t>
      </w:r>
      <w:r>
        <w:t>).</w:t>
      </w:r>
    </w:p>
    <w:p w14:paraId="7E26D4D3" w14:textId="77777777" w:rsidR="001439E0" w:rsidRDefault="008A23E0">
      <w:pPr>
        <w:pStyle w:val="Heading3"/>
        <w:spacing w:before="201"/>
        <w:ind w:left="419"/>
        <w:jc w:val="both"/>
      </w:pPr>
      <w:r>
        <w:t>Elderly Patients</w:t>
      </w:r>
    </w:p>
    <w:p w14:paraId="7E26D4D4" w14:textId="77777777" w:rsidR="001439E0" w:rsidRDefault="008A23E0">
      <w:pPr>
        <w:pStyle w:val="BodyText"/>
        <w:spacing w:before="119"/>
        <w:ind w:left="419" w:right="1275"/>
      </w:pPr>
      <w:r>
        <w:t>There are limited data available on the use of doravirine in patients aged 65 years and over. There is no evidence that elderly patients require a different dose than younger adult</w:t>
      </w:r>
      <w:r>
        <w:rPr>
          <w:spacing w:val="-43"/>
        </w:rPr>
        <w:t xml:space="preserve"> </w:t>
      </w:r>
      <w:r>
        <w:t xml:space="preserve">patients (see sections 4.4 and 5.2, </w:t>
      </w:r>
      <w:r>
        <w:rPr>
          <w:i/>
        </w:rPr>
        <w:t>Special populations</w:t>
      </w:r>
      <w:r>
        <w:t>). No dose adjustment of PIFELTRO is</w:t>
      </w:r>
      <w:r>
        <w:rPr>
          <w:spacing w:val="-30"/>
        </w:rPr>
        <w:t xml:space="preserve"> </w:t>
      </w:r>
      <w:r>
        <w:t>needed in elderly</w:t>
      </w:r>
      <w:r>
        <w:rPr>
          <w:spacing w:val="-1"/>
        </w:rPr>
        <w:t xml:space="preserve"> </w:t>
      </w:r>
      <w:r>
        <w:t>patients.</w:t>
      </w:r>
    </w:p>
    <w:p w14:paraId="7E26D4D5" w14:textId="77777777" w:rsidR="001439E0" w:rsidRDefault="008A23E0">
      <w:pPr>
        <w:pStyle w:val="Heading3"/>
        <w:ind w:left="419"/>
        <w:jc w:val="both"/>
      </w:pPr>
      <w:r>
        <w:t>Renal Impairment</w:t>
      </w:r>
    </w:p>
    <w:p w14:paraId="7E26D4D6" w14:textId="2F7CEBBB" w:rsidR="001439E0" w:rsidRDefault="008A23E0">
      <w:pPr>
        <w:pStyle w:val="BodyText"/>
        <w:ind w:left="419" w:right="1276"/>
      </w:pPr>
      <w:r>
        <w:t>No dose adjustment of PIFELTRO is required in patients with mild, moderate or severe</w:t>
      </w:r>
      <w:r w:rsidR="009243C8">
        <w:t xml:space="preserve"> (</w:t>
      </w:r>
      <w:proofErr w:type="spellStart"/>
      <w:r w:rsidR="005B7C8E">
        <w:t>eGFR</w:t>
      </w:r>
      <w:proofErr w:type="spellEnd"/>
      <w:r w:rsidR="005B7C8E">
        <w:t xml:space="preserve"> 15</w:t>
      </w:r>
      <w:r w:rsidR="00567B25">
        <w:t>-</w:t>
      </w:r>
      <w:r w:rsidR="00311740">
        <w:t>&lt;30</w:t>
      </w:r>
      <w:r w:rsidR="005B7C8E">
        <w:t xml:space="preserve"> mL</w:t>
      </w:r>
      <w:r w:rsidR="00F41DD5">
        <w:t>/min/</w:t>
      </w:r>
      <w:r w:rsidR="00DB5457">
        <w:t>1.73</w:t>
      </w:r>
      <w:r w:rsidR="007C1535">
        <w:t xml:space="preserve"> </w:t>
      </w:r>
      <w:r w:rsidR="00DB5457">
        <w:t>m</w:t>
      </w:r>
      <w:r w:rsidR="00DB5457">
        <w:rPr>
          <w:vertAlign w:val="superscript"/>
        </w:rPr>
        <w:t>2</w:t>
      </w:r>
      <w:r w:rsidR="00DB5457">
        <w:t>)</w:t>
      </w:r>
      <w:r>
        <w:t xml:space="preserve"> renal impairment. PIFELTRO has not been adequately studied in patients with end-stage renal disease and has not been studied in dialysis patients (see section 4.4 and 5.2, </w:t>
      </w:r>
      <w:r>
        <w:rPr>
          <w:i/>
        </w:rPr>
        <w:t>Special populations</w:t>
      </w:r>
      <w:r>
        <w:t>).</w:t>
      </w:r>
    </w:p>
    <w:p w14:paraId="7E26D4D7" w14:textId="77777777" w:rsidR="001439E0" w:rsidRDefault="008A23E0">
      <w:pPr>
        <w:pStyle w:val="Heading3"/>
        <w:spacing w:before="201"/>
        <w:ind w:left="419"/>
        <w:jc w:val="both"/>
      </w:pPr>
      <w:r>
        <w:t>Hepatic</w:t>
      </w:r>
      <w:r>
        <w:rPr>
          <w:spacing w:val="-4"/>
        </w:rPr>
        <w:t xml:space="preserve"> </w:t>
      </w:r>
      <w:r>
        <w:t>Impairment</w:t>
      </w:r>
    </w:p>
    <w:p w14:paraId="7E26D4D8" w14:textId="77777777" w:rsidR="001439E0" w:rsidRDefault="008A23E0">
      <w:pPr>
        <w:pStyle w:val="BodyText"/>
        <w:ind w:left="419" w:right="1274"/>
      </w:pPr>
      <w:r>
        <w:t xml:space="preserve">No dose adjustment of PIFELTRO is required in patients with mild (Child-Pugh Class A) or moderate (Child-Pugh Class B) hepatic impairment. PIFELTRO has not been studied in patients with severe hepatic impairment (Child-Pugh Class C) (see section 4.4 and 5.2, </w:t>
      </w:r>
      <w:r>
        <w:rPr>
          <w:i/>
        </w:rPr>
        <w:t>Special</w:t>
      </w:r>
      <w:r>
        <w:rPr>
          <w:i/>
          <w:spacing w:val="-1"/>
        </w:rPr>
        <w:t xml:space="preserve"> </w:t>
      </w:r>
      <w:r>
        <w:rPr>
          <w:i/>
        </w:rPr>
        <w:t>populations</w:t>
      </w:r>
      <w:r>
        <w:t>).</w:t>
      </w:r>
    </w:p>
    <w:p w14:paraId="7E26D4D9" w14:textId="77777777" w:rsidR="001439E0" w:rsidRDefault="008A23E0">
      <w:pPr>
        <w:pStyle w:val="Heading3"/>
        <w:ind w:left="419"/>
        <w:jc w:val="both"/>
      </w:pPr>
      <w:r>
        <w:t>Co-administration with Moderate CYP3A Inducers</w:t>
      </w:r>
    </w:p>
    <w:p w14:paraId="7E26D4DA" w14:textId="77777777" w:rsidR="001439E0" w:rsidRDefault="008A23E0">
      <w:pPr>
        <w:pStyle w:val="BodyText"/>
        <w:ind w:left="419" w:right="1275"/>
      </w:pPr>
      <w:r>
        <w:t xml:space="preserve">If PIFELTRO is co-administered with </w:t>
      </w:r>
      <w:proofErr w:type="spellStart"/>
      <w:r>
        <w:t>rifabutin</w:t>
      </w:r>
      <w:proofErr w:type="spellEnd"/>
      <w:r>
        <w:t>, one tablet of PIFELTRO should be taken</w:t>
      </w:r>
      <w:r>
        <w:rPr>
          <w:spacing w:val="-42"/>
        </w:rPr>
        <w:t xml:space="preserve"> </w:t>
      </w:r>
      <w:r>
        <w:t xml:space="preserve">twice daily (approximately 12 hours apart) (see section 4.5 and 5.2, </w:t>
      </w:r>
      <w:r>
        <w:rPr>
          <w:i/>
        </w:rPr>
        <w:t>Drug interaction</w:t>
      </w:r>
      <w:r>
        <w:rPr>
          <w:i/>
          <w:spacing w:val="-11"/>
        </w:rPr>
        <w:t xml:space="preserve"> </w:t>
      </w:r>
      <w:r>
        <w:rPr>
          <w:i/>
        </w:rPr>
        <w:t>studies</w:t>
      </w:r>
      <w:r>
        <w:t>).</w:t>
      </w:r>
    </w:p>
    <w:p w14:paraId="7E26D4DB" w14:textId="0812ADC6" w:rsidR="001439E0" w:rsidRDefault="008A23E0">
      <w:pPr>
        <w:pStyle w:val="BodyText"/>
        <w:spacing w:before="200"/>
        <w:ind w:right="1276"/>
      </w:pPr>
      <w:r>
        <w:t>Co-administration</w:t>
      </w:r>
      <w:r>
        <w:rPr>
          <w:spacing w:val="-8"/>
        </w:rPr>
        <w:t xml:space="preserve"> </w:t>
      </w:r>
      <w:r>
        <w:t>of</w:t>
      </w:r>
      <w:r>
        <w:rPr>
          <w:spacing w:val="-7"/>
        </w:rPr>
        <w:t xml:space="preserve"> </w:t>
      </w:r>
      <w:r>
        <w:t>doravirine</w:t>
      </w:r>
      <w:r>
        <w:rPr>
          <w:spacing w:val="-7"/>
        </w:rPr>
        <w:t xml:space="preserve"> </w:t>
      </w:r>
      <w:r>
        <w:t>with</w:t>
      </w:r>
      <w:r>
        <w:rPr>
          <w:spacing w:val="-6"/>
        </w:rPr>
        <w:t xml:space="preserve"> </w:t>
      </w:r>
      <w:r>
        <w:t>other</w:t>
      </w:r>
      <w:r>
        <w:rPr>
          <w:spacing w:val="-7"/>
        </w:rPr>
        <w:t xml:space="preserve"> </w:t>
      </w:r>
      <w:r>
        <w:t>moderate</w:t>
      </w:r>
      <w:r>
        <w:rPr>
          <w:spacing w:val="-7"/>
        </w:rPr>
        <w:t xml:space="preserve"> </w:t>
      </w:r>
      <w:r>
        <w:t>CYP3A</w:t>
      </w:r>
      <w:r>
        <w:rPr>
          <w:spacing w:val="-8"/>
        </w:rPr>
        <w:t xml:space="preserve"> </w:t>
      </w:r>
      <w:r>
        <w:t>inducers</w:t>
      </w:r>
      <w:r>
        <w:rPr>
          <w:spacing w:val="-7"/>
        </w:rPr>
        <w:t xml:space="preserve"> </w:t>
      </w:r>
      <w:r>
        <w:t>has</w:t>
      </w:r>
      <w:r>
        <w:rPr>
          <w:spacing w:val="-7"/>
        </w:rPr>
        <w:t xml:space="preserve"> </w:t>
      </w:r>
      <w:r>
        <w:t>not</w:t>
      </w:r>
      <w:r>
        <w:rPr>
          <w:spacing w:val="-7"/>
        </w:rPr>
        <w:t xml:space="preserve"> </w:t>
      </w:r>
      <w:r>
        <w:t>been</w:t>
      </w:r>
      <w:r>
        <w:rPr>
          <w:spacing w:val="-7"/>
        </w:rPr>
        <w:t xml:space="preserve"> </w:t>
      </w:r>
      <w:r>
        <w:t xml:space="preserve">evaluated. If co-administration with other moderate CYP3A inducers (e.g. </w:t>
      </w:r>
      <w:proofErr w:type="spellStart"/>
      <w:r>
        <w:t>dabrafenib</w:t>
      </w:r>
      <w:proofErr w:type="spellEnd"/>
      <w:r>
        <w:t xml:space="preserve">, </w:t>
      </w:r>
      <w:proofErr w:type="spellStart"/>
      <w:r>
        <w:t>lesinurad</w:t>
      </w:r>
      <w:proofErr w:type="spellEnd"/>
      <w:r>
        <w:t xml:space="preserve">, </w:t>
      </w:r>
      <w:proofErr w:type="spellStart"/>
      <w:r>
        <w:t>bosentan</w:t>
      </w:r>
      <w:proofErr w:type="spellEnd"/>
      <w:r>
        <w:t xml:space="preserve">, </w:t>
      </w:r>
      <w:proofErr w:type="spellStart"/>
      <w:r>
        <w:t>thioridazine</w:t>
      </w:r>
      <w:proofErr w:type="spellEnd"/>
      <w:r>
        <w:t xml:space="preserve">, </w:t>
      </w:r>
      <w:proofErr w:type="spellStart"/>
      <w:r>
        <w:t>nafcillin</w:t>
      </w:r>
      <w:proofErr w:type="spellEnd"/>
      <w:r>
        <w:t xml:space="preserve">, </w:t>
      </w:r>
      <w:proofErr w:type="spellStart"/>
      <w:r>
        <w:t>modafinil</w:t>
      </w:r>
      <w:proofErr w:type="spellEnd"/>
      <w:r>
        <w:t xml:space="preserve">, </w:t>
      </w:r>
      <w:proofErr w:type="spellStart"/>
      <w:r>
        <w:t>telotristat</w:t>
      </w:r>
      <w:proofErr w:type="spellEnd"/>
      <w:r>
        <w:t xml:space="preserve"> ethyl) cannot be avoided, an additional 100 mg dose of doravirine should be administered 12 hours following the initial dose of doravirine (see section</w:t>
      </w:r>
      <w:r>
        <w:rPr>
          <w:spacing w:val="-1"/>
        </w:rPr>
        <w:t xml:space="preserve"> </w:t>
      </w:r>
      <w:r>
        <w:t>4.5).</w:t>
      </w:r>
    </w:p>
    <w:p w14:paraId="7E26D4DC" w14:textId="77777777" w:rsidR="001439E0" w:rsidRDefault="001439E0">
      <w:pPr>
        <w:pStyle w:val="BodyText"/>
        <w:spacing w:before="10"/>
        <w:ind w:left="0"/>
        <w:jc w:val="left"/>
        <w:rPr>
          <w:sz w:val="20"/>
        </w:rPr>
      </w:pPr>
    </w:p>
    <w:p w14:paraId="7E26D4DD" w14:textId="77777777" w:rsidR="001439E0" w:rsidRDefault="008A23E0">
      <w:pPr>
        <w:pStyle w:val="Heading2"/>
        <w:numPr>
          <w:ilvl w:val="1"/>
          <w:numId w:val="3"/>
        </w:numPr>
        <w:tabs>
          <w:tab w:val="left" w:pos="1140"/>
        </w:tabs>
        <w:ind w:hanging="719"/>
        <w:jc w:val="both"/>
      </w:pPr>
      <w:r>
        <w:t>CONTRAINDICATIONS</w:t>
      </w:r>
    </w:p>
    <w:p w14:paraId="7E26D4DE" w14:textId="77777777" w:rsidR="001439E0" w:rsidRDefault="008A23E0">
      <w:pPr>
        <w:pStyle w:val="BodyText"/>
        <w:ind w:right="1276"/>
      </w:pPr>
      <w:r>
        <w:t>PIFELTRO should not be co-administered with drugs that are strong cytochrome P450 (CYP)3A enzyme inducers as significant decreases in doravirine plasma concentrations may occur, which may decrease the effectiveness of PIFELTRO (see section 5.2). These drugs include, but are not limited to, the following:</w:t>
      </w:r>
    </w:p>
    <w:p w14:paraId="7E26D4DF" w14:textId="77777777" w:rsidR="001439E0" w:rsidRDefault="008A23E0">
      <w:pPr>
        <w:pStyle w:val="ListParagraph"/>
        <w:numPr>
          <w:ilvl w:val="2"/>
          <w:numId w:val="3"/>
        </w:numPr>
        <w:tabs>
          <w:tab w:val="left" w:pos="1139"/>
          <w:tab w:val="left" w:pos="1141"/>
        </w:tabs>
        <w:spacing w:before="199"/>
        <w:ind w:hanging="360"/>
      </w:pPr>
      <w:r>
        <w:t>the anticonvulsants carbamazepine, oxcarbazepine, phenobarbital,</w:t>
      </w:r>
      <w:r>
        <w:rPr>
          <w:spacing w:val="-3"/>
        </w:rPr>
        <w:t xml:space="preserve"> </w:t>
      </w:r>
      <w:r>
        <w:t>phenytoin</w:t>
      </w:r>
    </w:p>
    <w:p w14:paraId="7E26D4E0" w14:textId="77777777" w:rsidR="001439E0" w:rsidRDefault="008A23E0">
      <w:pPr>
        <w:pStyle w:val="ListParagraph"/>
        <w:numPr>
          <w:ilvl w:val="2"/>
          <w:numId w:val="3"/>
        </w:numPr>
        <w:tabs>
          <w:tab w:val="left" w:pos="1139"/>
          <w:tab w:val="left" w:pos="1141"/>
        </w:tabs>
        <w:spacing w:before="37"/>
        <w:ind w:hanging="360"/>
      </w:pPr>
      <w:r>
        <w:t xml:space="preserve">the </w:t>
      </w:r>
      <w:proofErr w:type="spellStart"/>
      <w:r>
        <w:t>antimycobacterials</w:t>
      </w:r>
      <w:proofErr w:type="spellEnd"/>
      <w:r>
        <w:rPr>
          <w:spacing w:val="-1"/>
        </w:rPr>
        <w:t xml:space="preserve"> </w:t>
      </w:r>
      <w:r>
        <w:t>rifampicin</w:t>
      </w:r>
    </w:p>
    <w:p w14:paraId="7E26D4E1" w14:textId="77777777" w:rsidR="001439E0" w:rsidRDefault="008A23E0">
      <w:pPr>
        <w:pStyle w:val="ListParagraph"/>
        <w:numPr>
          <w:ilvl w:val="2"/>
          <w:numId w:val="3"/>
        </w:numPr>
        <w:tabs>
          <w:tab w:val="left" w:pos="1139"/>
          <w:tab w:val="left" w:pos="1141"/>
        </w:tabs>
        <w:spacing w:before="36"/>
        <w:ind w:hanging="360"/>
      </w:pPr>
      <w:r>
        <w:t xml:space="preserve">St. John’s </w:t>
      </w:r>
      <w:proofErr w:type="spellStart"/>
      <w:r>
        <w:t>wort</w:t>
      </w:r>
      <w:proofErr w:type="spellEnd"/>
      <w:r>
        <w:t xml:space="preserve"> (</w:t>
      </w:r>
      <w:proofErr w:type="spellStart"/>
      <w:r>
        <w:rPr>
          <w:i/>
        </w:rPr>
        <w:t>Hypericum</w:t>
      </w:r>
      <w:proofErr w:type="spellEnd"/>
      <w:r>
        <w:rPr>
          <w:i/>
          <w:spacing w:val="-3"/>
        </w:rPr>
        <w:t xml:space="preserve"> </w:t>
      </w:r>
      <w:proofErr w:type="spellStart"/>
      <w:r>
        <w:rPr>
          <w:i/>
        </w:rPr>
        <w:t>perforatum</w:t>
      </w:r>
      <w:proofErr w:type="spellEnd"/>
      <w:r>
        <w:t>)</w:t>
      </w:r>
    </w:p>
    <w:p w14:paraId="7E26D4E2" w14:textId="77777777" w:rsidR="001439E0" w:rsidRDefault="008A23E0">
      <w:pPr>
        <w:pStyle w:val="ListParagraph"/>
        <w:numPr>
          <w:ilvl w:val="2"/>
          <w:numId w:val="3"/>
        </w:numPr>
        <w:tabs>
          <w:tab w:val="left" w:pos="1139"/>
          <w:tab w:val="left" w:pos="1141"/>
        </w:tabs>
        <w:spacing w:before="36"/>
        <w:ind w:hanging="360"/>
      </w:pPr>
      <w:proofErr w:type="spellStart"/>
      <w:r>
        <w:t>mitotane</w:t>
      </w:r>
      <w:proofErr w:type="spellEnd"/>
    </w:p>
    <w:p w14:paraId="7E26D4E3" w14:textId="77777777" w:rsidR="001439E0" w:rsidRDefault="008A23E0">
      <w:pPr>
        <w:pStyle w:val="ListParagraph"/>
        <w:numPr>
          <w:ilvl w:val="2"/>
          <w:numId w:val="3"/>
        </w:numPr>
        <w:tabs>
          <w:tab w:val="left" w:pos="1139"/>
          <w:tab w:val="left" w:pos="1141"/>
        </w:tabs>
        <w:spacing w:before="36"/>
        <w:ind w:hanging="360"/>
      </w:pPr>
      <w:r>
        <w:t>enzalutamide</w:t>
      </w:r>
    </w:p>
    <w:p w14:paraId="7E26D4E4" w14:textId="77777777" w:rsidR="001439E0" w:rsidRDefault="008A23E0">
      <w:pPr>
        <w:pStyle w:val="ListParagraph"/>
        <w:numPr>
          <w:ilvl w:val="2"/>
          <w:numId w:val="3"/>
        </w:numPr>
        <w:tabs>
          <w:tab w:val="left" w:pos="1139"/>
          <w:tab w:val="left" w:pos="1141"/>
        </w:tabs>
        <w:spacing w:before="36"/>
        <w:ind w:hanging="360"/>
      </w:pPr>
      <w:proofErr w:type="spellStart"/>
      <w:r>
        <w:t>lumacaftor</w:t>
      </w:r>
      <w:proofErr w:type="spellEnd"/>
    </w:p>
    <w:p w14:paraId="7E26D4E5" w14:textId="77777777" w:rsidR="001439E0" w:rsidRDefault="008A23E0">
      <w:pPr>
        <w:pStyle w:val="BodyText"/>
        <w:spacing w:before="117" w:line="276" w:lineRule="auto"/>
        <w:ind w:left="419" w:right="1608"/>
        <w:jc w:val="left"/>
      </w:pPr>
      <w:r>
        <w:t>PIFELTRO is contraindicated in patients who are hypersensitive to any component of this medicine.</w:t>
      </w:r>
    </w:p>
    <w:p w14:paraId="7E26D4E7" w14:textId="77777777" w:rsidR="001439E0" w:rsidRDefault="008A23E0" w:rsidP="009E2156">
      <w:pPr>
        <w:pStyle w:val="Heading2"/>
        <w:pageBreakBefore/>
        <w:numPr>
          <w:ilvl w:val="1"/>
          <w:numId w:val="3"/>
        </w:numPr>
        <w:tabs>
          <w:tab w:val="left" w:pos="1139"/>
          <w:tab w:val="left" w:pos="1140"/>
        </w:tabs>
        <w:spacing w:before="80"/>
        <w:ind w:left="1140"/>
      </w:pPr>
      <w:r>
        <w:lastRenderedPageBreak/>
        <w:t>SPECIAL WARNINGS AND PRECAUTIONS FOR</w:t>
      </w:r>
      <w:r>
        <w:rPr>
          <w:spacing w:val="-3"/>
        </w:rPr>
        <w:t xml:space="preserve"> </w:t>
      </w:r>
      <w:r>
        <w:t>USE</w:t>
      </w:r>
    </w:p>
    <w:p w14:paraId="7E26D4E8" w14:textId="77777777" w:rsidR="001439E0" w:rsidRDefault="008A23E0">
      <w:pPr>
        <w:pStyle w:val="Heading3"/>
        <w:spacing w:before="120"/>
      </w:pPr>
      <w:r>
        <w:t>Drug Interactions</w:t>
      </w:r>
    </w:p>
    <w:p w14:paraId="7E26D4E9" w14:textId="77777777" w:rsidR="001439E0" w:rsidRDefault="008A23E0">
      <w:pPr>
        <w:pStyle w:val="BodyText"/>
        <w:ind w:right="1231"/>
        <w:jc w:val="left"/>
      </w:pPr>
      <w:r>
        <w:t xml:space="preserve">Caution should be given to prescribing PIFELTRO with drugs that may reduce the exposure of doravirine (see section 4.3, 4.5 and 5.2, </w:t>
      </w:r>
      <w:r>
        <w:rPr>
          <w:i/>
        </w:rPr>
        <w:t>Special populations</w:t>
      </w:r>
      <w:r>
        <w:t>).</w:t>
      </w:r>
    </w:p>
    <w:p w14:paraId="7E26D4EA" w14:textId="77777777" w:rsidR="001439E0" w:rsidRDefault="008A23E0">
      <w:pPr>
        <w:pStyle w:val="Heading3"/>
      </w:pPr>
      <w:r>
        <w:t>Immune Reconstitution Syndrome</w:t>
      </w:r>
    </w:p>
    <w:p w14:paraId="7E26D4EB" w14:textId="77777777" w:rsidR="001439E0" w:rsidRDefault="008A23E0">
      <w:pPr>
        <w:pStyle w:val="BodyText"/>
        <w:ind w:right="1275"/>
      </w:pPr>
      <w:r>
        <w:t xml:space="preserve">Immune reconstitution syndrome has been reported in patients treated with combination antiretroviral therapy. During the initial phase of combination antiretroviral treatment, patients whose immune system responds may develop an inflammatory response to indolent or residual opportunistic infections (such as Mycobacterium </w:t>
      </w:r>
      <w:proofErr w:type="spellStart"/>
      <w:r>
        <w:t>avium</w:t>
      </w:r>
      <w:proofErr w:type="spellEnd"/>
      <w:r>
        <w:t xml:space="preserve"> infection, cytomegalovirus, Pneumocystis </w:t>
      </w:r>
      <w:proofErr w:type="spellStart"/>
      <w:r>
        <w:t>jirovecii</w:t>
      </w:r>
      <w:proofErr w:type="spellEnd"/>
      <w:r>
        <w:t xml:space="preserve"> pneumonia (PCP), or tuberculosis), which may necessitate further evaluation and treatment.</w:t>
      </w:r>
    </w:p>
    <w:p w14:paraId="7E26D4EC" w14:textId="77777777" w:rsidR="001439E0" w:rsidRDefault="008A23E0">
      <w:pPr>
        <w:pStyle w:val="BodyText"/>
        <w:spacing w:before="199"/>
        <w:ind w:right="1275"/>
      </w:pPr>
      <w:r>
        <w:t>Autoimmune</w:t>
      </w:r>
      <w:r>
        <w:rPr>
          <w:spacing w:val="-5"/>
        </w:rPr>
        <w:t xml:space="preserve"> </w:t>
      </w:r>
      <w:r>
        <w:t>disorders</w:t>
      </w:r>
      <w:r>
        <w:rPr>
          <w:spacing w:val="-5"/>
        </w:rPr>
        <w:t xml:space="preserve"> </w:t>
      </w:r>
      <w:r>
        <w:t>(such</w:t>
      </w:r>
      <w:r>
        <w:rPr>
          <w:spacing w:val="-5"/>
        </w:rPr>
        <w:t xml:space="preserve"> </w:t>
      </w:r>
      <w:r>
        <w:t>as</w:t>
      </w:r>
      <w:r>
        <w:rPr>
          <w:spacing w:val="-5"/>
        </w:rPr>
        <w:t xml:space="preserve"> </w:t>
      </w:r>
      <w:r>
        <w:t>Graves’</w:t>
      </w:r>
      <w:r>
        <w:rPr>
          <w:spacing w:val="-5"/>
        </w:rPr>
        <w:t xml:space="preserve"> </w:t>
      </w:r>
      <w:r>
        <w:t>disease,</w:t>
      </w:r>
      <w:r>
        <w:rPr>
          <w:spacing w:val="-5"/>
        </w:rPr>
        <w:t xml:space="preserve"> </w:t>
      </w:r>
      <w:proofErr w:type="spellStart"/>
      <w:r>
        <w:t>polymyositis</w:t>
      </w:r>
      <w:proofErr w:type="spellEnd"/>
      <w:r>
        <w:t>,</w:t>
      </w:r>
      <w:r>
        <w:rPr>
          <w:spacing w:val="-5"/>
        </w:rPr>
        <w:t xml:space="preserve"> </w:t>
      </w:r>
      <w:r>
        <w:t>and</w:t>
      </w:r>
      <w:r>
        <w:rPr>
          <w:spacing w:val="-5"/>
        </w:rPr>
        <w:t xml:space="preserve"> </w:t>
      </w:r>
      <w:proofErr w:type="spellStart"/>
      <w:r>
        <w:t>Guillain-Barré</w:t>
      </w:r>
      <w:proofErr w:type="spellEnd"/>
      <w:r>
        <w:rPr>
          <w:spacing w:val="-5"/>
        </w:rPr>
        <w:t xml:space="preserve"> </w:t>
      </w:r>
      <w:r>
        <w:t>syndrome) have</w:t>
      </w:r>
      <w:r>
        <w:rPr>
          <w:spacing w:val="-6"/>
        </w:rPr>
        <w:t xml:space="preserve"> </w:t>
      </w:r>
      <w:r>
        <w:t>also</w:t>
      </w:r>
      <w:r>
        <w:rPr>
          <w:spacing w:val="-5"/>
        </w:rPr>
        <w:t xml:space="preserve"> </w:t>
      </w:r>
      <w:r>
        <w:t>been</w:t>
      </w:r>
      <w:r>
        <w:rPr>
          <w:spacing w:val="-6"/>
        </w:rPr>
        <w:t xml:space="preserve"> </w:t>
      </w:r>
      <w:r>
        <w:t>reported</w:t>
      </w:r>
      <w:r>
        <w:rPr>
          <w:spacing w:val="-5"/>
        </w:rPr>
        <w:t xml:space="preserve"> </w:t>
      </w:r>
      <w:r>
        <w:t>to</w:t>
      </w:r>
      <w:r>
        <w:rPr>
          <w:spacing w:val="-6"/>
        </w:rPr>
        <w:t xml:space="preserve"> </w:t>
      </w:r>
      <w:r>
        <w:t>occur</w:t>
      </w:r>
      <w:r>
        <w:rPr>
          <w:spacing w:val="-5"/>
        </w:rPr>
        <w:t xml:space="preserve"> </w:t>
      </w:r>
      <w:r>
        <w:t>in</w:t>
      </w:r>
      <w:r>
        <w:rPr>
          <w:spacing w:val="-6"/>
        </w:rPr>
        <w:t xml:space="preserve"> </w:t>
      </w:r>
      <w:r>
        <w:t>the</w:t>
      </w:r>
      <w:r>
        <w:rPr>
          <w:spacing w:val="-6"/>
        </w:rPr>
        <w:t xml:space="preserve"> </w:t>
      </w:r>
      <w:r>
        <w:t>setting</w:t>
      </w:r>
      <w:r>
        <w:rPr>
          <w:spacing w:val="-6"/>
        </w:rPr>
        <w:t xml:space="preserve"> </w:t>
      </w:r>
      <w:r>
        <w:t>of</w:t>
      </w:r>
      <w:r>
        <w:rPr>
          <w:spacing w:val="-6"/>
        </w:rPr>
        <w:t xml:space="preserve"> </w:t>
      </w:r>
      <w:r>
        <w:t>immune</w:t>
      </w:r>
      <w:r>
        <w:rPr>
          <w:spacing w:val="-5"/>
        </w:rPr>
        <w:t xml:space="preserve"> </w:t>
      </w:r>
      <w:r>
        <w:t>reconstitution;</w:t>
      </w:r>
      <w:r>
        <w:rPr>
          <w:spacing w:val="-5"/>
        </w:rPr>
        <w:t xml:space="preserve"> </w:t>
      </w:r>
      <w:r>
        <w:t>however,</w:t>
      </w:r>
      <w:r>
        <w:rPr>
          <w:spacing w:val="-6"/>
        </w:rPr>
        <w:t xml:space="preserve"> </w:t>
      </w:r>
      <w:r>
        <w:t>the</w:t>
      </w:r>
      <w:r>
        <w:rPr>
          <w:spacing w:val="-5"/>
        </w:rPr>
        <w:t xml:space="preserve"> </w:t>
      </w:r>
      <w:r>
        <w:t>time</w:t>
      </w:r>
      <w:r>
        <w:rPr>
          <w:spacing w:val="-6"/>
        </w:rPr>
        <w:t xml:space="preserve"> </w:t>
      </w:r>
      <w:r>
        <w:t>to onset is more variable and can occur many months after initiation of</w:t>
      </w:r>
      <w:r>
        <w:rPr>
          <w:spacing w:val="-6"/>
        </w:rPr>
        <w:t xml:space="preserve"> </w:t>
      </w:r>
      <w:r>
        <w:t>treatment.</w:t>
      </w:r>
    </w:p>
    <w:p w14:paraId="7E26D4ED" w14:textId="77777777" w:rsidR="001439E0" w:rsidRDefault="008A23E0">
      <w:pPr>
        <w:pStyle w:val="Heading3"/>
        <w:spacing w:before="201"/>
      </w:pPr>
      <w:r>
        <w:t>Use in hepatic impairment</w:t>
      </w:r>
    </w:p>
    <w:p w14:paraId="7E26D4EE" w14:textId="77777777" w:rsidR="001439E0" w:rsidRDefault="008A23E0">
      <w:pPr>
        <w:pStyle w:val="BodyText"/>
        <w:spacing w:before="119"/>
        <w:ind w:right="1274"/>
      </w:pPr>
      <w:r>
        <w:t xml:space="preserve">No dose adjustment of PIFELTRO is required in patients with mild (Child-Pugh Class A) or moderate (Child-Pugh Class B) hepatic impairment. PIFELTRO has not been studied in patients with severe hepatic impairment (Child-Pugh Class C) (see section 5.2, </w:t>
      </w:r>
      <w:r>
        <w:rPr>
          <w:i/>
        </w:rPr>
        <w:t>Special populations)</w:t>
      </w:r>
      <w:r>
        <w:t>.</w:t>
      </w:r>
    </w:p>
    <w:p w14:paraId="7E26D4EF" w14:textId="77777777" w:rsidR="001439E0" w:rsidRDefault="008A23E0">
      <w:pPr>
        <w:pStyle w:val="Heading3"/>
      </w:pPr>
      <w:r>
        <w:t>Use in renal impairment</w:t>
      </w:r>
    </w:p>
    <w:p w14:paraId="7E26D4F0" w14:textId="257E3997" w:rsidR="001439E0" w:rsidRDefault="008A23E0">
      <w:pPr>
        <w:pStyle w:val="BodyText"/>
        <w:spacing w:before="121"/>
        <w:ind w:right="1276"/>
      </w:pPr>
      <w:r>
        <w:t>No dose adjustment of PIFELTRO is required in patients with mild, moderate or severe</w:t>
      </w:r>
      <w:r w:rsidR="003C1C06">
        <w:t xml:space="preserve"> (</w:t>
      </w:r>
      <w:proofErr w:type="spellStart"/>
      <w:r w:rsidR="003C1C06">
        <w:t>eGFR</w:t>
      </w:r>
      <w:proofErr w:type="spellEnd"/>
      <w:r w:rsidR="003C1C06">
        <w:t xml:space="preserve"> 15</w:t>
      </w:r>
      <w:r w:rsidR="00567B25">
        <w:t>-</w:t>
      </w:r>
      <w:r w:rsidR="00F844F2">
        <w:t>&lt;30</w:t>
      </w:r>
      <w:r w:rsidR="003C1C06">
        <w:t xml:space="preserve"> mL/min/1.73 m</w:t>
      </w:r>
      <w:r w:rsidR="003C1C06">
        <w:rPr>
          <w:vertAlign w:val="superscript"/>
        </w:rPr>
        <w:t>2</w:t>
      </w:r>
      <w:r w:rsidR="003C1C06">
        <w:t>)</w:t>
      </w:r>
      <w:r>
        <w:t xml:space="preserve"> renal impairment. PIFELTRO has not been adequately studied in patients with end-stage renal disease and has not been studied in dialysis patients (see section 5.2, </w:t>
      </w:r>
      <w:r>
        <w:rPr>
          <w:i/>
        </w:rPr>
        <w:t>Special populations</w:t>
      </w:r>
      <w:r>
        <w:t>).</w:t>
      </w:r>
    </w:p>
    <w:p w14:paraId="7E26D4F1" w14:textId="77777777" w:rsidR="001439E0" w:rsidRDefault="008A23E0">
      <w:pPr>
        <w:pStyle w:val="Heading3"/>
        <w:spacing w:before="199"/>
      </w:pPr>
      <w:r>
        <w:t>Use in the elderly</w:t>
      </w:r>
    </w:p>
    <w:p w14:paraId="7E26D4F2" w14:textId="77777777" w:rsidR="001439E0" w:rsidRDefault="008A23E0">
      <w:pPr>
        <w:pStyle w:val="BodyText"/>
        <w:spacing w:before="121"/>
        <w:ind w:right="1276"/>
      </w:pPr>
      <w:r>
        <w:t>There are limited data available on the use of doravirine in patients aged 65 years and over. There is no evidence that elderly patients require a different dose than younger adult</w:t>
      </w:r>
      <w:r>
        <w:rPr>
          <w:spacing w:val="-43"/>
        </w:rPr>
        <w:t xml:space="preserve"> </w:t>
      </w:r>
      <w:r>
        <w:t>patients (see</w:t>
      </w:r>
      <w:r>
        <w:rPr>
          <w:spacing w:val="-6"/>
        </w:rPr>
        <w:t xml:space="preserve"> </w:t>
      </w:r>
      <w:r>
        <w:t>section</w:t>
      </w:r>
      <w:r>
        <w:rPr>
          <w:spacing w:val="-6"/>
        </w:rPr>
        <w:t xml:space="preserve"> </w:t>
      </w:r>
      <w:r>
        <w:t>5.2,</w:t>
      </w:r>
      <w:r>
        <w:rPr>
          <w:spacing w:val="-5"/>
        </w:rPr>
        <w:t xml:space="preserve"> </w:t>
      </w:r>
      <w:r>
        <w:rPr>
          <w:i/>
        </w:rPr>
        <w:t>Special</w:t>
      </w:r>
      <w:r>
        <w:rPr>
          <w:i/>
          <w:spacing w:val="-5"/>
        </w:rPr>
        <w:t xml:space="preserve"> </w:t>
      </w:r>
      <w:r>
        <w:rPr>
          <w:i/>
        </w:rPr>
        <w:t>populations</w:t>
      </w:r>
      <w:r>
        <w:t>).</w:t>
      </w:r>
      <w:r>
        <w:rPr>
          <w:spacing w:val="-6"/>
        </w:rPr>
        <w:t xml:space="preserve"> </w:t>
      </w:r>
      <w:r>
        <w:t>No</w:t>
      </w:r>
      <w:r>
        <w:rPr>
          <w:spacing w:val="-5"/>
        </w:rPr>
        <w:t xml:space="preserve"> </w:t>
      </w:r>
      <w:r>
        <w:t>dose</w:t>
      </w:r>
      <w:r>
        <w:rPr>
          <w:spacing w:val="-6"/>
        </w:rPr>
        <w:t xml:space="preserve"> </w:t>
      </w:r>
      <w:r>
        <w:t>adjustment</w:t>
      </w:r>
      <w:r>
        <w:rPr>
          <w:spacing w:val="-5"/>
        </w:rPr>
        <w:t xml:space="preserve"> </w:t>
      </w:r>
      <w:r>
        <w:t>of</w:t>
      </w:r>
      <w:r>
        <w:rPr>
          <w:spacing w:val="-5"/>
        </w:rPr>
        <w:t xml:space="preserve"> </w:t>
      </w:r>
      <w:r>
        <w:t>PIFELTRO</w:t>
      </w:r>
      <w:r>
        <w:rPr>
          <w:spacing w:val="-5"/>
        </w:rPr>
        <w:t xml:space="preserve"> </w:t>
      </w:r>
      <w:r>
        <w:t>is</w:t>
      </w:r>
      <w:r>
        <w:rPr>
          <w:spacing w:val="-5"/>
        </w:rPr>
        <w:t xml:space="preserve"> </w:t>
      </w:r>
      <w:r>
        <w:t>needed</w:t>
      </w:r>
      <w:r>
        <w:rPr>
          <w:spacing w:val="-6"/>
        </w:rPr>
        <w:t xml:space="preserve"> </w:t>
      </w:r>
      <w:r>
        <w:t>in</w:t>
      </w:r>
      <w:r>
        <w:rPr>
          <w:spacing w:val="-6"/>
        </w:rPr>
        <w:t xml:space="preserve"> </w:t>
      </w:r>
      <w:r>
        <w:t>elderly patients.</w:t>
      </w:r>
    </w:p>
    <w:p w14:paraId="7E26D4F3" w14:textId="77777777" w:rsidR="001439E0" w:rsidRDefault="008A23E0">
      <w:pPr>
        <w:pStyle w:val="Heading3"/>
      </w:pPr>
      <w:proofErr w:type="spellStart"/>
      <w:r>
        <w:t>Paediatric</w:t>
      </w:r>
      <w:proofErr w:type="spellEnd"/>
      <w:r>
        <w:t xml:space="preserve"> use</w:t>
      </w:r>
    </w:p>
    <w:p w14:paraId="7E26D4F4" w14:textId="77777777" w:rsidR="001439E0" w:rsidRDefault="008A23E0">
      <w:pPr>
        <w:pStyle w:val="BodyText"/>
        <w:ind w:right="1231"/>
        <w:jc w:val="left"/>
      </w:pPr>
      <w:r>
        <w:t>Safety</w:t>
      </w:r>
      <w:r>
        <w:rPr>
          <w:spacing w:val="-13"/>
        </w:rPr>
        <w:t xml:space="preserve"> </w:t>
      </w:r>
      <w:r>
        <w:t>and</w:t>
      </w:r>
      <w:r>
        <w:rPr>
          <w:spacing w:val="-12"/>
        </w:rPr>
        <w:t xml:space="preserve"> </w:t>
      </w:r>
      <w:r>
        <w:t>efficacy</w:t>
      </w:r>
      <w:r>
        <w:rPr>
          <w:spacing w:val="-12"/>
        </w:rPr>
        <w:t xml:space="preserve"> </w:t>
      </w:r>
      <w:r>
        <w:t>of</w:t>
      </w:r>
      <w:r>
        <w:rPr>
          <w:spacing w:val="-13"/>
        </w:rPr>
        <w:t xml:space="preserve"> </w:t>
      </w:r>
      <w:r>
        <w:t>PIFELTRO</w:t>
      </w:r>
      <w:r>
        <w:rPr>
          <w:spacing w:val="-13"/>
        </w:rPr>
        <w:t xml:space="preserve"> </w:t>
      </w:r>
      <w:r>
        <w:t>have</w:t>
      </w:r>
      <w:r>
        <w:rPr>
          <w:spacing w:val="-12"/>
        </w:rPr>
        <w:t xml:space="preserve"> </w:t>
      </w:r>
      <w:r>
        <w:t>not</w:t>
      </w:r>
      <w:r>
        <w:rPr>
          <w:spacing w:val="-12"/>
        </w:rPr>
        <w:t xml:space="preserve"> </w:t>
      </w:r>
      <w:r>
        <w:t>been</w:t>
      </w:r>
      <w:r>
        <w:rPr>
          <w:spacing w:val="-14"/>
        </w:rPr>
        <w:t xml:space="preserve"> </w:t>
      </w:r>
      <w:r>
        <w:t>established</w:t>
      </w:r>
      <w:r>
        <w:rPr>
          <w:spacing w:val="-12"/>
        </w:rPr>
        <w:t xml:space="preserve"> </w:t>
      </w:r>
      <w:r>
        <w:t>in</w:t>
      </w:r>
      <w:r>
        <w:rPr>
          <w:spacing w:val="-12"/>
        </w:rPr>
        <w:t xml:space="preserve"> </w:t>
      </w:r>
      <w:r>
        <w:t>patients</w:t>
      </w:r>
      <w:r>
        <w:rPr>
          <w:spacing w:val="-12"/>
        </w:rPr>
        <w:t xml:space="preserve"> </w:t>
      </w:r>
      <w:r>
        <w:t>younger</w:t>
      </w:r>
      <w:r>
        <w:rPr>
          <w:spacing w:val="-13"/>
        </w:rPr>
        <w:t xml:space="preserve"> </w:t>
      </w:r>
      <w:r>
        <w:t>than</w:t>
      </w:r>
      <w:r>
        <w:rPr>
          <w:spacing w:val="-12"/>
        </w:rPr>
        <w:t xml:space="preserve"> </w:t>
      </w:r>
      <w:r>
        <w:t>18</w:t>
      </w:r>
      <w:r>
        <w:rPr>
          <w:spacing w:val="-12"/>
        </w:rPr>
        <w:t xml:space="preserve"> </w:t>
      </w:r>
      <w:r>
        <w:t xml:space="preserve">years of age (see section 5.2, </w:t>
      </w:r>
      <w:r>
        <w:rPr>
          <w:i/>
        </w:rPr>
        <w:t>Special</w:t>
      </w:r>
      <w:r>
        <w:rPr>
          <w:i/>
          <w:spacing w:val="-3"/>
        </w:rPr>
        <w:t xml:space="preserve"> </w:t>
      </w:r>
      <w:r>
        <w:rPr>
          <w:i/>
        </w:rPr>
        <w:t>populations</w:t>
      </w:r>
      <w:r>
        <w:t>).</w:t>
      </w:r>
    </w:p>
    <w:p w14:paraId="7E26D4F5" w14:textId="77777777" w:rsidR="001439E0" w:rsidRDefault="008A23E0">
      <w:pPr>
        <w:pStyle w:val="Heading3"/>
      </w:pPr>
      <w:r>
        <w:t>Effects on laboratory tests</w:t>
      </w:r>
    </w:p>
    <w:p w14:paraId="7E26D4F6" w14:textId="77777777" w:rsidR="001439E0" w:rsidRDefault="008A23E0">
      <w:pPr>
        <w:spacing w:before="120"/>
        <w:ind w:left="420"/>
      </w:pPr>
      <w:r>
        <w:t xml:space="preserve">See Section 4.8, </w:t>
      </w:r>
      <w:r>
        <w:rPr>
          <w:i/>
        </w:rPr>
        <w:t>Laboratory abnormalities</w:t>
      </w:r>
      <w:r>
        <w:t>.</w:t>
      </w:r>
    </w:p>
    <w:p w14:paraId="7E26D4F7" w14:textId="77777777" w:rsidR="001439E0" w:rsidRDefault="001439E0">
      <w:pPr>
        <w:pStyle w:val="BodyText"/>
        <w:spacing w:before="9"/>
        <w:ind w:left="0"/>
        <w:jc w:val="left"/>
        <w:rPr>
          <w:sz w:val="20"/>
        </w:rPr>
      </w:pPr>
    </w:p>
    <w:p w14:paraId="7E26D4F8" w14:textId="77777777" w:rsidR="001439E0" w:rsidRDefault="008A23E0">
      <w:pPr>
        <w:pStyle w:val="Heading2"/>
        <w:numPr>
          <w:ilvl w:val="1"/>
          <w:numId w:val="3"/>
        </w:numPr>
        <w:tabs>
          <w:tab w:val="left" w:pos="1139"/>
          <w:tab w:val="left" w:pos="1140"/>
        </w:tabs>
        <w:ind w:left="420" w:right="1277" w:firstLine="0"/>
      </w:pPr>
      <w:r>
        <w:t>INTERACTIONS WITH OTHER MEDICINES AND OTHER FORMS OF INTERACTIONS</w:t>
      </w:r>
    </w:p>
    <w:p w14:paraId="7E26D4F9" w14:textId="77777777" w:rsidR="001439E0" w:rsidRDefault="008A23E0">
      <w:pPr>
        <w:pStyle w:val="Heading3"/>
        <w:spacing w:before="121"/>
      </w:pPr>
      <w:r>
        <w:t>Established and Other Potentially Significant Drug Interactions</w:t>
      </w:r>
    </w:p>
    <w:p w14:paraId="7E26D4FA" w14:textId="573F4DA3" w:rsidR="001439E0" w:rsidRDefault="008A23E0">
      <w:pPr>
        <w:pStyle w:val="BodyText"/>
        <w:spacing w:before="119"/>
        <w:ind w:left="419" w:right="1275"/>
      </w:pPr>
      <w:r>
        <w:t xml:space="preserve">Doravirine is primarily metabolized by CYP3A, and drugs that induce or inhibit CYP3A may affect the clearance of doravirine. Co-administration of PIFELTRO and drugs that induce CYP3A may result in decreased plasma concentrations of doravirine and reduce the therapeutic effect of doravirine (see section 4.3, 4.4 and 5.2, </w:t>
      </w:r>
      <w:r>
        <w:rPr>
          <w:i/>
        </w:rPr>
        <w:t>Drug Interaction Studies</w:t>
      </w:r>
      <w:r>
        <w:t>). Co- administration</w:t>
      </w:r>
      <w:r>
        <w:rPr>
          <w:spacing w:val="-11"/>
        </w:rPr>
        <w:t xml:space="preserve"> </w:t>
      </w:r>
      <w:r>
        <w:t>of</w:t>
      </w:r>
      <w:r>
        <w:rPr>
          <w:spacing w:val="-11"/>
        </w:rPr>
        <w:t xml:space="preserve"> </w:t>
      </w:r>
      <w:r>
        <w:t>TRADEMARK</w:t>
      </w:r>
      <w:r>
        <w:rPr>
          <w:spacing w:val="-11"/>
        </w:rPr>
        <w:t xml:space="preserve"> </w:t>
      </w:r>
      <w:r>
        <w:t>with</w:t>
      </w:r>
      <w:r>
        <w:rPr>
          <w:spacing w:val="-9"/>
        </w:rPr>
        <w:t xml:space="preserve"> </w:t>
      </w:r>
      <w:r>
        <w:t>strong</w:t>
      </w:r>
      <w:r>
        <w:rPr>
          <w:spacing w:val="-10"/>
        </w:rPr>
        <w:t xml:space="preserve"> </w:t>
      </w:r>
      <w:r>
        <w:t>inducers</w:t>
      </w:r>
      <w:r>
        <w:rPr>
          <w:spacing w:val="-11"/>
        </w:rPr>
        <w:t xml:space="preserve"> </w:t>
      </w:r>
      <w:r>
        <w:t>of</w:t>
      </w:r>
      <w:r>
        <w:rPr>
          <w:spacing w:val="-11"/>
        </w:rPr>
        <w:t xml:space="preserve"> </w:t>
      </w:r>
      <w:r>
        <w:t>CYP3A</w:t>
      </w:r>
      <w:r>
        <w:rPr>
          <w:spacing w:val="-11"/>
        </w:rPr>
        <w:t xml:space="preserve"> </w:t>
      </w:r>
      <w:r>
        <w:t>is</w:t>
      </w:r>
      <w:r>
        <w:rPr>
          <w:spacing w:val="-10"/>
        </w:rPr>
        <w:t xml:space="preserve"> </w:t>
      </w:r>
      <w:r>
        <w:t>contraindicated</w:t>
      </w:r>
      <w:r>
        <w:rPr>
          <w:spacing w:val="-11"/>
        </w:rPr>
        <w:t xml:space="preserve"> </w:t>
      </w:r>
      <w:r>
        <w:t>(see</w:t>
      </w:r>
      <w:r>
        <w:rPr>
          <w:spacing w:val="-11"/>
        </w:rPr>
        <w:t xml:space="preserve"> </w:t>
      </w:r>
      <w:r>
        <w:t>section 4.3). Co- administration of PIFELTRO and drugs that are inhibitors of CYP3A may result in increased plasma concentrations of</w:t>
      </w:r>
      <w:r>
        <w:rPr>
          <w:spacing w:val="-2"/>
        </w:rPr>
        <w:t xml:space="preserve"> </w:t>
      </w:r>
      <w:r>
        <w:t>doravirine</w:t>
      </w:r>
      <w:bookmarkStart w:id="0" w:name="_Hlk534809628"/>
      <w:r>
        <w:t>.</w:t>
      </w:r>
    </w:p>
    <w:bookmarkEnd w:id="0"/>
    <w:p w14:paraId="7E26D4FB" w14:textId="77777777" w:rsidR="001439E0" w:rsidRDefault="001439E0">
      <w:pPr>
        <w:sectPr w:rsidR="001439E0">
          <w:headerReference w:type="even" r:id="rId13"/>
          <w:headerReference w:type="default" r:id="rId14"/>
          <w:footerReference w:type="even" r:id="rId15"/>
          <w:footerReference w:type="default" r:id="rId16"/>
          <w:headerReference w:type="first" r:id="rId17"/>
          <w:footerReference w:type="first" r:id="rId18"/>
          <w:pgSz w:w="11910" w:h="16840"/>
          <w:pgMar w:top="1360" w:right="160" w:bottom="1100" w:left="1020" w:header="0" w:footer="839" w:gutter="0"/>
          <w:cols w:space="720"/>
        </w:sectPr>
      </w:pPr>
    </w:p>
    <w:p w14:paraId="7E26D4FC" w14:textId="77777777" w:rsidR="001439E0" w:rsidRDefault="008A23E0">
      <w:pPr>
        <w:pStyle w:val="BodyText"/>
        <w:spacing w:before="80"/>
        <w:ind w:right="1231"/>
        <w:jc w:val="left"/>
      </w:pPr>
      <w:r>
        <w:lastRenderedPageBreak/>
        <w:t>Doravirine at a dose of 100 mg once daily is not likely to have a clinically relevant effect on the plasma concentrations of drugs metabolized by CYP enzymes.</w:t>
      </w:r>
    </w:p>
    <w:p w14:paraId="7E26D4FD" w14:textId="77777777" w:rsidR="001439E0" w:rsidRDefault="008A23E0">
      <w:pPr>
        <w:pStyle w:val="BodyText"/>
        <w:spacing w:before="199"/>
        <w:ind w:right="1231"/>
        <w:jc w:val="left"/>
      </w:pPr>
      <w:r>
        <w:t>Table 1 shows the established and other potentially significant drug interactions with PIFELTRO but is not inclusive.</w:t>
      </w:r>
    </w:p>
    <w:p w14:paraId="7E26D4FE" w14:textId="77777777" w:rsidR="001439E0" w:rsidRDefault="008A23E0">
      <w:pPr>
        <w:pStyle w:val="Heading3"/>
        <w:ind w:left="428" w:right="1286"/>
        <w:jc w:val="center"/>
      </w:pPr>
      <w:r>
        <w:t>Table 1: Established and Other Potentially Significant Drug Interactions: Alterations in Dose or Regimen May Be Recommended Based on Drug Interaction Studies or Predicted Interaction</w:t>
      </w:r>
    </w:p>
    <w:p w14:paraId="7E26D4FF" w14:textId="77777777" w:rsidR="001439E0" w:rsidRDefault="001439E0">
      <w:pPr>
        <w:pStyle w:val="BodyText"/>
        <w:spacing w:before="5" w:after="1"/>
        <w:ind w:left="0"/>
        <w:jc w:val="left"/>
        <w:rPr>
          <w:b/>
          <w:sz w:val="17"/>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284"/>
        <w:gridCol w:w="461"/>
        <w:gridCol w:w="5725"/>
      </w:tblGrid>
      <w:tr w:rsidR="001439E0" w14:paraId="7E26D504" w14:textId="77777777">
        <w:trPr>
          <w:trHeight w:val="957"/>
        </w:trPr>
        <w:tc>
          <w:tcPr>
            <w:tcW w:w="2088" w:type="dxa"/>
          </w:tcPr>
          <w:p w14:paraId="7E26D500" w14:textId="77777777" w:rsidR="001439E0" w:rsidRDefault="008A23E0">
            <w:pPr>
              <w:pStyle w:val="TableParagraph"/>
              <w:spacing w:before="4" w:line="276" w:lineRule="auto"/>
              <w:ind w:left="107" w:right="206"/>
              <w:rPr>
                <w:b/>
                <w:sz w:val="20"/>
              </w:rPr>
            </w:pPr>
            <w:r>
              <w:rPr>
                <w:b/>
                <w:sz w:val="20"/>
              </w:rPr>
              <w:t>Concomitant Drug Class:</w:t>
            </w:r>
          </w:p>
          <w:p w14:paraId="7E26D501" w14:textId="77777777" w:rsidR="001439E0" w:rsidRDefault="008A23E0">
            <w:pPr>
              <w:pStyle w:val="TableParagraph"/>
              <w:spacing w:before="81"/>
              <w:ind w:left="107"/>
              <w:rPr>
                <w:b/>
                <w:sz w:val="20"/>
              </w:rPr>
            </w:pPr>
            <w:r>
              <w:rPr>
                <w:b/>
                <w:sz w:val="20"/>
              </w:rPr>
              <w:t>Drug Name</w:t>
            </w:r>
          </w:p>
        </w:tc>
        <w:tc>
          <w:tcPr>
            <w:tcW w:w="1745" w:type="dxa"/>
            <w:gridSpan w:val="2"/>
          </w:tcPr>
          <w:p w14:paraId="7E26D502" w14:textId="77777777" w:rsidR="001439E0" w:rsidRDefault="008A23E0">
            <w:pPr>
              <w:pStyle w:val="TableParagraph"/>
              <w:spacing w:before="4" w:line="276" w:lineRule="auto"/>
              <w:ind w:left="107" w:right="252"/>
              <w:rPr>
                <w:b/>
                <w:sz w:val="20"/>
              </w:rPr>
            </w:pPr>
            <w:r>
              <w:rPr>
                <w:b/>
                <w:sz w:val="20"/>
              </w:rPr>
              <w:t>Effect on Concentration</w:t>
            </w:r>
          </w:p>
        </w:tc>
        <w:tc>
          <w:tcPr>
            <w:tcW w:w="5725" w:type="dxa"/>
          </w:tcPr>
          <w:p w14:paraId="7E26D503" w14:textId="77777777" w:rsidR="001439E0" w:rsidRDefault="008A23E0">
            <w:pPr>
              <w:pStyle w:val="TableParagraph"/>
              <w:spacing w:before="4"/>
              <w:ind w:left="107"/>
              <w:rPr>
                <w:b/>
                <w:sz w:val="20"/>
              </w:rPr>
            </w:pPr>
            <w:r>
              <w:rPr>
                <w:b/>
                <w:sz w:val="20"/>
              </w:rPr>
              <w:t>Clinical Comment</w:t>
            </w:r>
          </w:p>
        </w:tc>
      </w:tr>
      <w:tr w:rsidR="001439E0" w14:paraId="7E26D506" w14:textId="77777777">
        <w:trPr>
          <w:trHeight w:val="348"/>
        </w:trPr>
        <w:tc>
          <w:tcPr>
            <w:tcW w:w="9558" w:type="dxa"/>
            <w:gridSpan w:val="4"/>
          </w:tcPr>
          <w:p w14:paraId="7E26D505" w14:textId="77777777" w:rsidR="001439E0" w:rsidRDefault="008A23E0">
            <w:pPr>
              <w:pStyle w:val="TableParagraph"/>
              <w:spacing w:before="4"/>
              <w:ind w:left="107"/>
              <w:rPr>
                <w:b/>
                <w:sz w:val="20"/>
              </w:rPr>
            </w:pPr>
            <w:r>
              <w:rPr>
                <w:b/>
                <w:sz w:val="20"/>
              </w:rPr>
              <w:t>HIV-Antiviral Agents</w:t>
            </w:r>
          </w:p>
        </w:tc>
      </w:tr>
      <w:tr w:rsidR="001439E0" w14:paraId="7E26D50B" w14:textId="77777777">
        <w:trPr>
          <w:trHeight w:val="1036"/>
        </w:trPr>
        <w:tc>
          <w:tcPr>
            <w:tcW w:w="2088" w:type="dxa"/>
          </w:tcPr>
          <w:p w14:paraId="7E26D507" w14:textId="77777777" w:rsidR="001439E0" w:rsidRDefault="008A23E0">
            <w:pPr>
              <w:pStyle w:val="TableParagraph"/>
              <w:spacing w:before="4"/>
              <w:ind w:left="107"/>
              <w:rPr>
                <w:sz w:val="20"/>
              </w:rPr>
            </w:pPr>
            <w:proofErr w:type="spellStart"/>
            <w:r>
              <w:rPr>
                <w:sz w:val="20"/>
              </w:rPr>
              <w:t>efavirenz</w:t>
            </w:r>
            <w:proofErr w:type="spellEnd"/>
            <w:r>
              <w:rPr>
                <w:sz w:val="20"/>
              </w:rPr>
              <w:t>*</w:t>
            </w:r>
          </w:p>
          <w:p w14:paraId="7E26D508" w14:textId="77777777" w:rsidR="001439E0" w:rsidRDefault="008A23E0">
            <w:pPr>
              <w:pStyle w:val="TableParagraph"/>
              <w:spacing w:before="4" w:line="340" w:lineRule="atLeast"/>
              <w:ind w:left="107" w:right="1028"/>
              <w:rPr>
                <w:sz w:val="20"/>
              </w:rPr>
            </w:pPr>
            <w:proofErr w:type="spellStart"/>
            <w:r>
              <w:rPr>
                <w:sz w:val="20"/>
              </w:rPr>
              <w:t>etravirine</w:t>
            </w:r>
            <w:proofErr w:type="spellEnd"/>
            <w:r>
              <w:rPr>
                <w:sz w:val="20"/>
              </w:rPr>
              <w:t xml:space="preserve"> </w:t>
            </w:r>
            <w:proofErr w:type="spellStart"/>
            <w:r>
              <w:rPr>
                <w:sz w:val="20"/>
              </w:rPr>
              <w:t>nevirapine</w:t>
            </w:r>
            <w:proofErr w:type="spellEnd"/>
          </w:p>
        </w:tc>
        <w:tc>
          <w:tcPr>
            <w:tcW w:w="1745" w:type="dxa"/>
            <w:gridSpan w:val="2"/>
          </w:tcPr>
          <w:p w14:paraId="7E26D509" w14:textId="77777777" w:rsidR="001439E0" w:rsidRDefault="008A23E0">
            <w:pPr>
              <w:pStyle w:val="TableParagraph"/>
              <w:spacing w:before="4"/>
              <w:ind w:left="107"/>
              <w:rPr>
                <w:sz w:val="20"/>
              </w:rPr>
            </w:pPr>
            <w:r>
              <w:rPr>
                <w:sz w:val="20"/>
              </w:rPr>
              <w:t>↓ doravirine</w:t>
            </w:r>
          </w:p>
        </w:tc>
        <w:tc>
          <w:tcPr>
            <w:tcW w:w="5725" w:type="dxa"/>
          </w:tcPr>
          <w:p w14:paraId="7E26D50A" w14:textId="77777777" w:rsidR="001439E0" w:rsidRDefault="008A23E0">
            <w:pPr>
              <w:pStyle w:val="TableParagraph"/>
              <w:spacing w:before="4" w:line="276" w:lineRule="auto"/>
              <w:ind w:left="107" w:right="140"/>
              <w:rPr>
                <w:sz w:val="20"/>
              </w:rPr>
            </w:pPr>
            <w:r>
              <w:rPr>
                <w:sz w:val="20"/>
              </w:rPr>
              <w:t xml:space="preserve">Concomitant use of PIFELTRO with </w:t>
            </w:r>
            <w:proofErr w:type="spellStart"/>
            <w:r>
              <w:rPr>
                <w:sz w:val="20"/>
              </w:rPr>
              <w:t>efavirenz</w:t>
            </w:r>
            <w:proofErr w:type="spellEnd"/>
            <w:r>
              <w:rPr>
                <w:sz w:val="20"/>
              </w:rPr>
              <w:t xml:space="preserve">, </w:t>
            </w:r>
            <w:proofErr w:type="spellStart"/>
            <w:r>
              <w:rPr>
                <w:sz w:val="20"/>
              </w:rPr>
              <w:t>etravirine</w:t>
            </w:r>
            <w:proofErr w:type="spellEnd"/>
            <w:r>
              <w:rPr>
                <w:sz w:val="20"/>
              </w:rPr>
              <w:t xml:space="preserve"> and </w:t>
            </w:r>
            <w:proofErr w:type="spellStart"/>
            <w:r>
              <w:rPr>
                <w:sz w:val="20"/>
              </w:rPr>
              <w:t>nevirapine</w:t>
            </w:r>
            <w:proofErr w:type="spellEnd"/>
            <w:r>
              <w:rPr>
                <w:sz w:val="20"/>
              </w:rPr>
              <w:t xml:space="preserve"> may decrease plasma concentrations of doravirine (CYP3A induction).</w:t>
            </w:r>
          </w:p>
        </w:tc>
      </w:tr>
      <w:tr w:rsidR="001439E0" w14:paraId="7E26D513" w14:textId="77777777">
        <w:trPr>
          <w:trHeight w:val="1433"/>
        </w:trPr>
        <w:tc>
          <w:tcPr>
            <w:tcW w:w="2088" w:type="dxa"/>
            <w:tcBorders>
              <w:bottom w:val="nil"/>
            </w:tcBorders>
          </w:tcPr>
          <w:p w14:paraId="7E26D50C" w14:textId="77777777" w:rsidR="001439E0" w:rsidRDefault="008A23E0">
            <w:pPr>
              <w:pStyle w:val="TableParagraph"/>
              <w:spacing w:before="1" w:line="276" w:lineRule="auto"/>
              <w:ind w:left="107" w:right="333"/>
              <w:rPr>
                <w:sz w:val="20"/>
              </w:rPr>
            </w:pPr>
            <w:r>
              <w:rPr>
                <w:sz w:val="20"/>
              </w:rPr>
              <w:t>ritonavir</w:t>
            </w:r>
            <w:r>
              <w:rPr>
                <w:position w:val="7"/>
                <w:sz w:val="13"/>
              </w:rPr>
              <w:t>†</w:t>
            </w:r>
            <w:r>
              <w:rPr>
                <w:sz w:val="20"/>
              </w:rPr>
              <w:t>- boosted PIs (</w:t>
            </w:r>
            <w:proofErr w:type="spellStart"/>
            <w:r>
              <w:rPr>
                <w:sz w:val="20"/>
              </w:rPr>
              <w:t>atazanavir</w:t>
            </w:r>
            <w:proofErr w:type="spellEnd"/>
            <w:r>
              <w:rPr>
                <w:sz w:val="20"/>
              </w:rPr>
              <w:t xml:space="preserve">, </w:t>
            </w:r>
            <w:proofErr w:type="spellStart"/>
            <w:r>
              <w:rPr>
                <w:sz w:val="20"/>
              </w:rPr>
              <w:t>darunavir</w:t>
            </w:r>
            <w:proofErr w:type="spellEnd"/>
            <w:r>
              <w:rPr>
                <w:sz w:val="20"/>
              </w:rPr>
              <w:t>,</w:t>
            </w:r>
          </w:p>
          <w:p w14:paraId="7E26D50D" w14:textId="77777777" w:rsidR="001439E0" w:rsidRDefault="008A23E0">
            <w:pPr>
              <w:pStyle w:val="TableParagraph"/>
              <w:spacing w:before="79" w:line="276" w:lineRule="auto"/>
              <w:ind w:left="107" w:right="294"/>
              <w:rPr>
                <w:sz w:val="20"/>
              </w:rPr>
            </w:pPr>
            <w:proofErr w:type="spellStart"/>
            <w:r>
              <w:rPr>
                <w:sz w:val="20"/>
              </w:rPr>
              <w:t>fosamprenavir</w:t>
            </w:r>
            <w:proofErr w:type="spellEnd"/>
            <w:r>
              <w:rPr>
                <w:sz w:val="20"/>
              </w:rPr>
              <w:t xml:space="preserve">, </w:t>
            </w:r>
            <w:proofErr w:type="spellStart"/>
            <w:r>
              <w:rPr>
                <w:sz w:val="20"/>
              </w:rPr>
              <w:t>indinavir</w:t>
            </w:r>
            <w:proofErr w:type="spellEnd"/>
            <w:r>
              <w:rPr>
                <w:sz w:val="20"/>
              </w:rPr>
              <w:t xml:space="preserve">, </w:t>
            </w:r>
            <w:proofErr w:type="spellStart"/>
            <w:r>
              <w:rPr>
                <w:sz w:val="20"/>
              </w:rPr>
              <w:t>lopinavir</w:t>
            </w:r>
            <w:proofErr w:type="spellEnd"/>
            <w:r>
              <w:rPr>
                <w:sz w:val="20"/>
              </w:rPr>
              <w:t>,</w:t>
            </w:r>
          </w:p>
        </w:tc>
        <w:tc>
          <w:tcPr>
            <w:tcW w:w="1745" w:type="dxa"/>
            <w:gridSpan w:val="2"/>
            <w:tcBorders>
              <w:bottom w:val="nil"/>
            </w:tcBorders>
          </w:tcPr>
          <w:p w14:paraId="7E26D50E" w14:textId="77777777" w:rsidR="001439E0" w:rsidRDefault="008A23E0">
            <w:pPr>
              <w:pStyle w:val="TableParagraph"/>
              <w:spacing w:before="5"/>
              <w:ind w:left="107"/>
              <w:rPr>
                <w:sz w:val="20"/>
              </w:rPr>
            </w:pPr>
            <w:r>
              <w:rPr>
                <w:sz w:val="20"/>
              </w:rPr>
              <w:t>↑ doravirine</w:t>
            </w:r>
          </w:p>
          <w:p w14:paraId="7E26D50F" w14:textId="77777777" w:rsidR="001439E0" w:rsidRDefault="001439E0">
            <w:pPr>
              <w:pStyle w:val="TableParagraph"/>
              <w:rPr>
                <w:b/>
              </w:rPr>
            </w:pPr>
          </w:p>
          <w:p w14:paraId="7E26D510" w14:textId="77777777" w:rsidR="001439E0" w:rsidRDefault="001439E0">
            <w:pPr>
              <w:pStyle w:val="TableParagraph"/>
              <w:spacing w:before="10"/>
              <w:rPr>
                <w:b/>
                <w:sz w:val="17"/>
              </w:rPr>
            </w:pPr>
          </w:p>
          <w:p w14:paraId="7E26D511" w14:textId="3D3479B9" w:rsidR="001439E0" w:rsidRDefault="008A23E0">
            <w:pPr>
              <w:pStyle w:val="TableParagraph"/>
              <w:ind w:left="107"/>
              <w:rPr>
                <w:sz w:val="20"/>
              </w:rPr>
            </w:pPr>
            <w:r>
              <w:rPr>
                <w:sz w:val="20"/>
              </w:rPr>
              <w:t>↔ boosted PIs</w:t>
            </w:r>
          </w:p>
        </w:tc>
        <w:tc>
          <w:tcPr>
            <w:tcW w:w="5725" w:type="dxa"/>
            <w:tcBorders>
              <w:bottom w:val="nil"/>
            </w:tcBorders>
          </w:tcPr>
          <w:p w14:paraId="7E26D512" w14:textId="77777777" w:rsidR="001439E0" w:rsidRDefault="008A23E0">
            <w:pPr>
              <w:pStyle w:val="TableParagraph"/>
              <w:spacing w:before="5" w:line="276" w:lineRule="auto"/>
              <w:ind w:left="107" w:right="314"/>
              <w:rPr>
                <w:sz w:val="20"/>
              </w:rPr>
            </w:pPr>
            <w:r>
              <w:rPr>
                <w:sz w:val="20"/>
              </w:rPr>
              <w:t xml:space="preserve">Concomitant use of PIFELTRO with ritonavir-boosted PIs or ritonavir-boosted </w:t>
            </w:r>
            <w:proofErr w:type="spellStart"/>
            <w:r>
              <w:rPr>
                <w:sz w:val="20"/>
              </w:rPr>
              <w:t>elvitegravir</w:t>
            </w:r>
            <w:proofErr w:type="spellEnd"/>
            <w:r>
              <w:rPr>
                <w:sz w:val="20"/>
              </w:rPr>
              <w:t xml:space="preserve"> may cause an increase in the plasma concentrations of doravirine (inhibition of CYP3A enzymes).</w:t>
            </w:r>
          </w:p>
        </w:tc>
      </w:tr>
      <w:tr w:rsidR="001439E0" w14:paraId="7E26D517" w14:textId="77777777">
        <w:trPr>
          <w:trHeight w:val="345"/>
        </w:trPr>
        <w:tc>
          <w:tcPr>
            <w:tcW w:w="2088" w:type="dxa"/>
            <w:tcBorders>
              <w:top w:val="nil"/>
              <w:bottom w:val="nil"/>
            </w:tcBorders>
          </w:tcPr>
          <w:p w14:paraId="7E26D514" w14:textId="77777777" w:rsidR="001439E0" w:rsidRDefault="008A23E0">
            <w:pPr>
              <w:pStyle w:val="TableParagraph"/>
              <w:spacing w:before="54"/>
              <w:ind w:left="107"/>
              <w:rPr>
                <w:sz w:val="20"/>
              </w:rPr>
            </w:pPr>
            <w:proofErr w:type="spellStart"/>
            <w:r>
              <w:rPr>
                <w:sz w:val="20"/>
              </w:rPr>
              <w:t>saquinavir</w:t>
            </w:r>
            <w:proofErr w:type="spellEnd"/>
            <w:r>
              <w:rPr>
                <w:sz w:val="20"/>
              </w:rPr>
              <w:t>,</w:t>
            </w:r>
          </w:p>
        </w:tc>
        <w:tc>
          <w:tcPr>
            <w:tcW w:w="1745" w:type="dxa"/>
            <w:gridSpan w:val="2"/>
            <w:tcBorders>
              <w:top w:val="nil"/>
              <w:bottom w:val="nil"/>
            </w:tcBorders>
          </w:tcPr>
          <w:p w14:paraId="7E26D515" w14:textId="77777777" w:rsidR="001439E0" w:rsidRDefault="001439E0">
            <w:pPr>
              <w:pStyle w:val="TableParagraph"/>
              <w:rPr>
                <w:rFonts w:ascii="Times New Roman"/>
                <w:sz w:val="20"/>
              </w:rPr>
            </w:pPr>
          </w:p>
        </w:tc>
        <w:tc>
          <w:tcPr>
            <w:tcW w:w="5725" w:type="dxa"/>
            <w:tcBorders>
              <w:top w:val="nil"/>
              <w:bottom w:val="nil"/>
            </w:tcBorders>
          </w:tcPr>
          <w:p w14:paraId="7E26D516" w14:textId="77777777" w:rsidR="001439E0" w:rsidRDefault="001439E0">
            <w:pPr>
              <w:pStyle w:val="TableParagraph"/>
              <w:rPr>
                <w:rFonts w:ascii="Times New Roman"/>
                <w:sz w:val="20"/>
              </w:rPr>
            </w:pPr>
          </w:p>
        </w:tc>
      </w:tr>
      <w:tr w:rsidR="001439E0" w14:paraId="7E26D51B" w14:textId="77777777">
        <w:trPr>
          <w:trHeight w:val="516"/>
        </w:trPr>
        <w:tc>
          <w:tcPr>
            <w:tcW w:w="2088" w:type="dxa"/>
            <w:tcBorders>
              <w:top w:val="nil"/>
              <w:bottom w:val="nil"/>
            </w:tcBorders>
          </w:tcPr>
          <w:p w14:paraId="7E26D518" w14:textId="77777777" w:rsidR="001439E0" w:rsidRDefault="008A23E0">
            <w:pPr>
              <w:pStyle w:val="TableParagraph"/>
              <w:spacing w:before="54"/>
              <w:ind w:left="107"/>
              <w:rPr>
                <w:sz w:val="20"/>
              </w:rPr>
            </w:pPr>
            <w:proofErr w:type="spellStart"/>
            <w:r>
              <w:rPr>
                <w:sz w:val="20"/>
              </w:rPr>
              <w:t>tipranavir</w:t>
            </w:r>
            <w:proofErr w:type="spellEnd"/>
            <w:r>
              <w:rPr>
                <w:sz w:val="20"/>
              </w:rPr>
              <w:t>)</w:t>
            </w:r>
          </w:p>
        </w:tc>
        <w:tc>
          <w:tcPr>
            <w:tcW w:w="1745" w:type="dxa"/>
            <w:gridSpan w:val="2"/>
            <w:tcBorders>
              <w:top w:val="nil"/>
              <w:bottom w:val="nil"/>
            </w:tcBorders>
          </w:tcPr>
          <w:p w14:paraId="7E26D519" w14:textId="77777777" w:rsidR="001439E0" w:rsidRDefault="001439E0">
            <w:pPr>
              <w:pStyle w:val="TableParagraph"/>
              <w:rPr>
                <w:rFonts w:ascii="Times New Roman"/>
                <w:sz w:val="20"/>
              </w:rPr>
            </w:pPr>
          </w:p>
        </w:tc>
        <w:tc>
          <w:tcPr>
            <w:tcW w:w="5725" w:type="dxa"/>
            <w:tcBorders>
              <w:top w:val="nil"/>
              <w:bottom w:val="nil"/>
            </w:tcBorders>
          </w:tcPr>
          <w:p w14:paraId="7E26D51A" w14:textId="77777777" w:rsidR="001439E0" w:rsidRDefault="001439E0">
            <w:pPr>
              <w:pStyle w:val="TableParagraph"/>
              <w:rPr>
                <w:rFonts w:ascii="Times New Roman"/>
                <w:sz w:val="20"/>
              </w:rPr>
            </w:pPr>
          </w:p>
        </w:tc>
      </w:tr>
      <w:tr w:rsidR="001439E0" w14:paraId="7E26D523" w14:textId="77777777">
        <w:trPr>
          <w:trHeight w:val="1788"/>
        </w:trPr>
        <w:tc>
          <w:tcPr>
            <w:tcW w:w="2088" w:type="dxa"/>
            <w:tcBorders>
              <w:top w:val="nil"/>
            </w:tcBorders>
          </w:tcPr>
          <w:p w14:paraId="7E26D51C" w14:textId="77777777" w:rsidR="001439E0" w:rsidRDefault="001439E0">
            <w:pPr>
              <w:pStyle w:val="TableParagraph"/>
              <w:spacing w:before="7"/>
              <w:rPr>
                <w:b/>
                <w:sz w:val="19"/>
              </w:rPr>
            </w:pPr>
          </w:p>
          <w:p w14:paraId="7E26D51D" w14:textId="77777777" w:rsidR="001439E0" w:rsidRDefault="008A23E0">
            <w:pPr>
              <w:pStyle w:val="TableParagraph"/>
              <w:spacing w:line="276" w:lineRule="auto"/>
              <w:ind w:left="107" w:right="461"/>
              <w:rPr>
                <w:sz w:val="20"/>
              </w:rPr>
            </w:pPr>
            <w:r>
              <w:rPr>
                <w:sz w:val="20"/>
              </w:rPr>
              <w:t xml:space="preserve">ritonavir-boosted </w:t>
            </w:r>
            <w:proofErr w:type="spellStart"/>
            <w:r>
              <w:rPr>
                <w:sz w:val="20"/>
              </w:rPr>
              <w:t>elvitegravir</w:t>
            </w:r>
            <w:proofErr w:type="spellEnd"/>
          </w:p>
        </w:tc>
        <w:tc>
          <w:tcPr>
            <w:tcW w:w="1745" w:type="dxa"/>
            <w:gridSpan w:val="2"/>
            <w:tcBorders>
              <w:top w:val="nil"/>
            </w:tcBorders>
          </w:tcPr>
          <w:p w14:paraId="7E26D51E" w14:textId="77777777" w:rsidR="001439E0" w:rsidRDefault="001439E0">
            <w:pPr>
              <w:pStyle w:val="TableParagraph"/>
              <w:rPr>
                <w:b/>
              </w:rPr>
            </w:pPr>
          </w:p>
          <w:p w14:paraId="7E26D51F" w14:textId="77777777" w:rsidR="001439E0" w:rsidRDefault="001439E0">
            <w:pPr>
              <w:pStyle w:val="TableParagraph"/>
              <w:spacing w:before="6"/>
              <w:rPr>
                <w:b/>
                <w:sz w:val="18"/>
              </w:rPr>
            </w:pPr>
          </w:p>
          <w:p w14:paraId="7E26D520" w14:textId="7D4910CE" w:rsidR="001439E0" w:rsidRDefault="008A23E0">
            <w:pPr>
              <w:pStyle w:val="TableParagraph"/>
              <w:spacing w:before="1"/>
              <w:ind w:left="107"/>
              <w:rPr>
                <w:sz w:val="20"/>
              </w:rPr>
            </w:pPr>
            <w:r>
              <w:rPr>
                <w:sz w:val="20"/>
              </w:rPr>
              <w:t xml:space="preserve">↔ </w:t>
            </w:r>
            <w:proofErr w:type="spellStart"/>
            <w:r>
              <w:rPr>
                <w:sz w:val="20"/>
              </w:rPr>
              <w:t>elvitegravir</w:t>
            </w:r>
            <w:proofErr w:type="spellEnd"/>
          </w:p>
        </w:tc>
        <w:tc>
          <w:tcPr>
            <w:tcW w:w="5725" w:type="dxa"/>
            <w:tcBorders>
              <w:top w:val="nil"/>
            </w:tcBorders>
          </w:tcPr>
          <w:p w14:paraId="7E26D521" w14:textId="77777777" w:rsidR="001439E0" w:rsidRDefault="001439E0">
            <w:pPr>
              <w:pStyle w:val="TableParagraph"/>
              <w:spacing w:before="7"/>
              <w:rPr>
                <w:b/>
                <w:sz w:val="19"/>
              </w:rPr>
            </w:pPr>
          </w:p>
          <w:p w14:paraId="7E26D522" w14:textId="77777777" w:rsidR="001439E0" w:rsidRDefault="008A23E0">
            <w:pPr>
              <w:pStyle w:val="TableParagraph"/>
              <w:spacing w:line="276" w:lineRule="auto"/>
              <w:ind w:left="107" w:right="363"/>
              <w:rPr>
                <w:sz w:val="20"/>
              </w:rPr>
            </w:pPr>
            <w:r>
              <w:rPr>
                <w:sz w:val="20"/>
              </w:rPr>
              <w:t xml:space="preserve">No dose adjustment is required when PIFELTRO is co- administered with ritonavir-boosted PIs or ritonavir-boosted </w:t>
            </w:r>
            <w:proofErr w:type="spellStart"/>
            <w:r>
              <w:rPr>
                <w:sz w:val="20"/>
              </w:rPr>
              <w:t>elvitegravir</w:t>
            </w:r>
            <w:proofErr w:type="spellEnd"/>
            <w:r>
              <w:rPr>
                <w:sz w:val="20"/>
              </w:rPr>
              <w:t>.</w:t>
            </w:r>
          </w:p>
        </w:tc>
      </w:tr>
      <w:tr w:rsidR="001439E0" w14:paraId="7E26D52B" w14:textId="77777777">
        <w:trPr>
          <w:trHeight w:val="1260"/>
        </w:trPr>
        <w:tc>
          <w:tcPr>
            <w:tcW w:w="2088" w:type="dxa"/>
            <w:tcBorders>
              <w:bottom w:val="nil"/>
            </w:tcBorders>
          </w:tcPr>
          <w:p w14:paraId="7E26D524" w14:textId="77777777" w:rsidR="001439E0" w:rsidRDefault="008A23E0">
            <w:pPr>
              <w:pStyle w:val="TableParagraph"/>
              <w:spacing w:before="4" w:line="276" w:lineRule="auto"/>
              <w:ind w:left="107" w:right="338"/>
              <w:rPr>
                <w:sz w:val="20"/>
              </w:rPr>
            </w:pPr>
            <w:proofErr w:type="spellStart"/>
            <w:r>
              <w:rPr>
                <w:sz w:val="20"/>
              </w:rPr>
              <w:t>cobicistat</w:t>
            </w:r>
            <w:proofErr w:type="spellEnd"/>
            <w:r>
              <w:rPr>
                <w:sz w:val="20"/>
              </w:rPr>
              <w:t>-boosted PIs (</w:t>
            </w:r>
            <w:proofErr w:type="spellStart"/>
            <w:r>
              <w:rPr>
                <w:sz w:val="20"/>
              </w:rPr>
              <w:t>darunavir</w:t>
            </w:r>
            <w:proofErr w:type="spellEnd"/>
            <w:r>
              <w:rPr>
                <w:sz w:val="20"/>
              </w:rPr>
              <w:t>,</w:t>
            </w:r>
          </w:p>
          <w:p w14:paraId="7E26D525" w14:textId="77777777" w:rsidR="001439E0" w:rsidRDefault="008A23E0">
            <w:pPr>
              <w:pStyle w:val="TableParagraph"/>
              <w:spacing w:before="81"/>
              <w:ind w:left="107"/>
              <w:rPr>
                <w:sz w:val="20"/>
              </w:rPr>
            </w:pPr>
            <w:proofErr w:type="spellStart"/>
            <w:r>
              <w:rPr>
                <w:sz w:val="20"/>
              </w:rPr>
              <w:t>atazanavir</w:t>
            </w:r>
            <w:proofErr w:type="spellEnd"/>
            <w:r>
              <w:rPr>
                <w:sz w:val="20"/>
              </w:rPr>
              <w:t>)</w:t>
            </w:r>
          </w:p>
        </w:tc>
        <w:tc>
          <w:tcPr>
            <w:tcW w:w="1745" w:type="dxa"/>
            <w:gridSpan w:val="2"/>
            <w:tcBorders>
              <w:bottom w:val="nil"/>
            </w:tcBorders>
          </w:tcPr>
          <w:p w14:paraId="7E26D526" w14:textId="77777777" w:rsidR="001439E0" w:rsidRDefault="008A23E0">
            <w:pPr>
              <w:pStyle w:val="TableParagraph"/>
              <w:spacing w:before="4"/>
              <w:ind w:left="107"/>
              <w:rPr>
                <w:sz w:val="20"/>
              </w:rPr>
            </w:pPr>
            <w:r>
              <w:rPr>
                <w:sz w:val="20"/>
              </w:rPr>
              <w:t>↑ doravirine</w:t>
            </w:r>
          </w:p>
          <w:p w14:paraId="7E26D527" w14:textId="77777777" w:rsidR="001439E0" w:rsidRDefault="001439E0">
            <w:pPr>
              <w:pStyle w:val="TableParagraph"/>
              <w:rPr>
                <w:b/>
              </w:rPr>
            </w:pPr>
          </w:p>
          <w:p w14:paraId="7E26D528" w14:textId="77777777" w:rsidR="001439E0" w:rsidRDefault="001439E0">
            <w:pPr>
              <w:pStyle w:val="TableParagraph"/>
              <w:spacing w:before="10"/>
              <w:rPr>
                <w:b/>
                <w:sz w:val="17"/>
              </w:rPr>
            </w:pPr>
          </w:p>
          <w:p w14:paraId="7E26D529" w14:textId="2B075D39" w:rsidR="001439E0" w:rsidRDefault="008A23E0">
            <w:pPr>
              <w:pStyle w:val="TableParagraph"/>
              <w:ind w:left="107"/>
              <w:rPr>
                <w:sz w:val="20"/>
              </w:rPr>
            </w:pPr>
            <w:r>
              <w:rPr>
                <w:sz w:val="20"/>
              </w:rPr>
              <w:t>↔ boosted PIs</w:t>
            </w:r>
          </w:p>
        </w:tc>
        <w:tc>
          <w:tcPr>
            <w:tcW w:w="5725" w:type="dxa"/>
            <w:tcBorders>
              <w:bottom w:val="nil"/>
            </w:tcBorders>
          </w:tcPr>
          <w:p w14:paraId="7E26D52A" w14:textId="77777777" w:rsidR="001439E0" w:rsidRDefault="008A23E0">
            <w:pPr>
              <w:pStyle w:val="TableParagraph"/>
              <w:spacing w:before="4" w:line="276" w:lineRule="auto"/>
              <w:ind w:left="107" w:right="191"/>
              <w:rPr>
                <w:sz w:val="20"/>
              </w:rPr>
            </w:pPr>
            <w:r>
              <w:rPr>
                <w:sz w:val="20"/>
              </w:rPr>
              <w:t xml:space="preserve">Concomitant use of PIFELTRO with </w:t>
            </w:r>
            <w:proofErr w:type="spellStart"/>
            <w:r>
              <w:rPr>
                <w:sz w:val="20"/>
              </w:rPr>
              <w:t>cobicistat</w:t>
            </w:r>
            <w:proofErr w:type="spellEnd"/>
            <w:r>
              <w:rPr>
                <w:sz w:val="20"/>
              </w:rPr>
              <w:t xml:space="preserve">-boosted PIs or </w:t>
            </w:r>
            <w:proofErr w:type="spellStart"/>
            <w:r>
              <w:rPr>
                <w:sz w:val="20"/>
              </w:rPr>
              <w:t>cobicistat</w:t>
            </w:r>
            <w:proofErr w:type="spellEnd"/>
            <w:r>
              <w:rPr>
                <w:sz w:val="20"/>
              </w:rPr>
              <w:t xml:space="preserve">-boosted </w:t>
            </w:r>
            <w:proofErr w:type="spellStart"/>
            <w:r>
              <w:rPr>
                <w:sz w:val="20"/>
              </w:rPr>
              <w:t>elvitegravir</w:t>
            </w:r>
            <w:proofErr w:type="spellEnd"/>
            <w:r>
              <w:rPr>
                <w:sz w:val="20"/>
              </w:rPr>
              <w:t xml:space="preserve"> may cause an increase in the plasma concentrations of doravirine (inhibition of CYP3A enzymes).</w:t>
            </w:r>
          </w:p>
        </w:tc>
      </w:tr>
      <w:tr w:rsidR="001439E0" w14:paraId="7E26D533" w14:textId="77777777">
        <w:trPr>
          <w:trHeight w:val="1099"/>
        </w:trPr>
        <w:tc>
          <w:tcPr>
            <w:tcW w:w="2088" w:type="dxa"/>
            <w:tcBorders>
              <w:top w:val="nil"/>
            </w:tcBorders>
          </w:tcPr>
          <w:p w14:paraId="7E26D52C" w14:textId="77777777" w:rsidR="001439E0" w:rsidRDefault="001439E0">
            <w:pPr>
              <w:pStyle w:val="TableParagraph"/>
              <w:rPr>
                <w:b/>
              </w:rPr>
            </w:pPr>
          </w:p>
          <w:p w14:paraId="7E26D52D" w14:textId="77777777" w:rsidR="001439E0" w:rsidRDefault="008A23E0">
            <w:pPr>
              <w:pStyle w:val="TableParagraph"/>
              <w:spacing w:before="132" w:line="276" w:lineRule="auto"/>
              <w:ind w:left="107" w:right="338"/>
              <w:rPr>
                <w:sz w:val="20"/>
              </w:rPr>
            </w:pPr>
            <w:proofErr w:type="spellStart"/>
            <w:r>
              <w:rPr>
                <w:sz w:val="20"/>
              </w:rPr>
              <w:t>cobicistat</w:t>
            </w:r>
            <w:proofErr w:type="spellEnd"/>
            <w:r>
              <w:rPr>
                <w:sz w:val="20"/>
              </w:rPr>
              <w:t xml:space="preserve">-boosted </w:t>
            </w:r>
            <w:proofErr w:type="spellStart"/>
            <w:r>
              <w:rPr>
                <w:sz w:val="20"/>
              </w:rPr>
              <w:t>elvitegravir</w:t>
            </w:r>
            <w:proofErr w:type="spellEnd"/>
          </w:p>
        </w:tc>
        <w:tc>
          <w:tcPr>
            <w:tcW w:w="1745" w:type="dxa"/>
            <w:gridSpan w:val="2"/>
            <w:tcBorders>
              <w:top w:val="nil"/>
            </w:tcBorders>
          </w:tcPr>
          <w:p w14:paraId="7E26D52E" w14:textId="77777777" w:rsidR="001439E0" w:rsidRDefault="001439E0">
            <w:pPr>
              <w:pStyle w:val="TableParagraph"/>
              <w:rPr>
                <w:b/>
              </w:rPr>
            </w:pPr>
          </w:p>
          <w:p w14:paraId="7E26D52F" w14:textId="77777777" w:rsidR="001439E0" w:rsidRDefault="001439E0">
            <w:pPr>
              <w:pStyle w:val="TableParagraph"/>
              <w:spacing w:before="6"/>
              <w:rPr>
                <w:b/>
                <w:sz w:val="18"/>
              </w:rPr>
            </w:pPr>
          </w:p>
          <w:p w14:paraId="7E26D530" w14:textId="6B8633E2" w:rsidR="001439E0" w:rsidRDefault="008A23E0">
            <w:pPr>
              <w:pStyle w:val="TableParagraph"/>
              <w:spacing w:before="1"/>
              <w:ind w:left="107"/>
              <w:rPr>
                <w:sz w:val="20"/>
              </w:rPr>
            </w:pPr>
            <w:r>
              <w:rPr>
                <w:sz w:val="20"/>
              </w:rPr>
              <w:t xml:space="preserve">↔ </w:t>
            </w:r>
            <w:proofErr w:type="spellStart"/>
            <w:r>
              <w:rPr>
                <w:sz w:val="20"/>
              </w:rPr>
              <w:t>elvitegravir</w:t>
            </w:r>
            <w:proofErr w:type="spellEnd"/>
          </w:p>
        </w:tc>
        <w:tc>
          <w:tcPr>
            <w:tcW w:w="5725" w:type="dxa"/>
            <w:tcBorders>
              <w:top w:val="nil"/>
            </w:tcBorders>
          </w:tcPr>
          <w:p w14:paraId="7E26D531" w14:textId="77777777" w:rsidR="001439E0" w:rsidRDefault="001439E0">
            <w:pPr>
              <w:pStyle w:val="TableParagraph"/>
              <w:spacing w:before="7"/>
              <w:rPr>
                <w:b/>
                <w:sz w:val="19"/>
              </w:rPr>
            </w:pPr>
          </w:p>
          <w:p w14:paraId="7E26D532" w14:textId="77777777" w:rsidR="001439E0" w:rsidRDefault="008A23E0">
            <w:pPr>
              <w:pStyle w:val="TableParagraph"/>
              <w:spacing w:line="276" w:lineRule="auto"/>
              <w:ind w:left="107" w:right="118"/>
              <w:rPr>
                <w:sz w:val="20"/>
              </w:rPr>
            </w:pPr>
            <w:r>
              <w:rPr>
                <w:sz w:val="20"/>
              </w:rPr>
              <w:t xml:space="preserve">No dose adjustment is required when PIFELTRO is co- administered with </w:t>
            </w:r>
            <w:proofErr w:type="spellStart"/>
            <w:r>
              <w:rPr>
                <w:sz w:val="20"/>
              </w:rPr>
              <w:t>cobicistat</w:t>
            </w:r>
            <w:proofErr w:type="spellEnd"/>
            <w:r>
              <w:rPr>
                <w:sz w:val="20"/>
              </w:rPr>
              <w:t xml:space="preserve">-boosted PIs or </w:t>
            </w:r>
            <w:proofErr w:type="spellStart"/>
            <w:r>
              <w:rPr>
                <w:sz w:val="20"/>
              </w:rPr>
              <w:t>cobicistat</w:t>
            </w:r>
            <w:proofErr w:type="spellEnd"/>
            <w:r>
              <w:rPr>
                <w:sz w:val="20"/>
              </w:rPr>
              <w:t xml:space="preserve">-boosted </w:t>
            </w:r>
            <w:proofErr w:type="spellStart"/>
            <w:r>
              <w:rPr>
                <w:sz w:val="20"/>
              </w:rPr>
              <w:t>elvitegravir</w:t>
            </w:r>
            <w:proofErr w:type="spellEnd"/>
            <w:r>
              <w:rPr>
                <w:sz w:val="20"/>
              </w:rPr>
              <w:t>.</w:t>
            </w:r>
          </w:p>
        </w:tc>
      </w:tr>
      <w:tr w:rsidR="001439E0" w14:paraId="7E26D53D" w14:textId="77777777">
        <w:trPr>
          <w:trHeight w:val="1830"/>
        </w:trPr>
        <w:tc>
          <w:tcPr>
            <w:tcW w:w="2088" w:type="dxa"/>
          </w:tcPr>
          <w:p w14:paraId="7E26D534" w14:textId="77777777" w:rsidR="001439E0" w:rsidRDefault="008A23E0">
            <w:pPr>
              <w:pStyle w:val="TableParagraph"/>
              <w:spacing w:before="4" w:line="276" w:lineRule="auto"/>
              <w:ind w:left="107" w:right="628"/>
              <w:rPr>
                <w:sz w:val="20"/>
              </w:rPr>
            </w:pPr>
            <w:proofErr w:type="spellStart"/>
            <w:r>
              <w:rPr>
                <w:sz w:val="20"/>
              </w:rPr>
              <w:t>unboosted</w:t>
            </w:r>
            <w:proofErr w:type="spellEnd"/>
            <w:r>
              <w:rPr>
                <w:sz w:val="20"/>
              </w:rPr>
              <w:t xml:space="preserve"> PIs (</w:t>
            </w:r>
            <w:proofErr w:type="spellStart"/>
            <w:r>
              <w:rPr>
                <w:sz w:val="20"/>
              </w:rPr>
              <w:t>atazanavir</w:t>
            </w:r>
            <w:proofErr w:type="spellEnd"/>
            <w:r>
              <w:rPr>
                <w:sz w:val="20"/>
              </w:rPr>
              <w:t xml:space="preserve">, </w:t>
            </w:r>
            <w:proofErr w:type="spellStart"/>
            <w:r>
              <w:rPr>
                <w:sz w:val="20"/>
              </w:rPr>
              <w:t>fosamprenavir</w:t>
            </w:r>
            <w:proofErr w:type="spellEnd"/>
            <w:r>
              <w:rPr>
                <w:sz w:val="20"/>
              </w:rPr>
              <w:t xml:space="preserve">, </w:t>
            </w:r>
            <w:proofErr w:type="spellStart"/>
            <w:r>
              <w:rPr>
                <w:sz w:val="20"/>
              </w:rPr>
              <w:t>indinavir</w:t>
            </w:r>
            <w:proofErr w:type="spellEnd"/>
            <w:r>
              <w:rPr>
                <w:sz w:val="20"/>
              </w:rPr>
              <w:t>,</w:t>
            </w:r>
          </w:p>
          <w:p w14:paraId="7E26D535" w14:textId="77777777" w:rsidR="001439E0" w:rsidRDefault="008A23E0">
            <w:pPr>
              <w:pStyle w:val="TableParagraph"/>
              <w:spacing w:before="80"/>
              <w:ind w:left="107"/>
              <w:rPr>
                <w:sz w:val="20"/>
              </w:rPr>
            </w:pPr>
            <w:r>
              <w:rPr>
                <w:sz w:val="20"/>
              </w:rPr>
              <w:t>nelfinavir)</w:t>
            </w:r>
          </w:p>
        </w:tc>
        <w:tc>
          <w:tcPr>
            <w:tcW w:w="1745" w:type="dxa"/>
            <w:gridSpan w:val="2"/>
          </w:tcPr>
          <w:p w14:paraId="7E26D536" w14:textId="77777777" w:rsidR="001439E0" w:rsidRDefault="008A23E0">
            <w:pPr>
              <w:pStyle w:val="TableParagraph"/>
              <w:spacing w:before="4"/>
              <w:ind w:left="107"/>
              <w:rPr>
                <w:sz w:val="20"/>
              </w:rPr>
            </w:pPr>
            <w:r>
              <w:rPr>
                <w:sz w:val="20"/>
              </w:rPr>
              <w:t>↑ doravirine</w:t>
            </w:r>
          </w:p>
          <w:p w14:paraId="7E26D537" w14:textId="77777777" w:rsidR="001439E0" w:rsidRDefault="001439E0">
            <w:pPr>
              <w:pStyle w:val="TableParagraph"/>
              <w:rPr>
                <w:b/>
              </w:rPr>
            </w:pPr>
          </w:p>
          <w:p w14:paraId="7E26D538" w14:textId="77777777" w:rsidR="001439E0" w:rsidRDefault="001439E0">
            <w:pPr>
              <w:pStyle w:val="TableParagraph"/>
              <w:spacing w:before="9"/>
              <w:rPr>
                <w:b/>
                <w:sz w:val="17"/>
              </w:rPr>
            </w:pPr>
          </w:p>
          <w:p w14:paraId="7E26D539" w14:textId="351FBFDC" w:rsidR="001439E0" w:rsidRDefault="008A23E0">
            <w:pPr>
              <w:pStyle w:val="TableParagraph"/>
              <w:spacing w:line="278" w:lineRule="auto"/>
              <w:ind w:left="107" w:right="418"/>
              <w:rPr>
                <w:sz w:val="20"/>
              </w:rPr>
            </w:pPr>
            <w:r>
              <w:rPr>
                <w:sz w:val="20"/>
              </w:rPr>
              <w:t xml:space="preserve">↔ </w:t>
            </w:r>
            <w:proofErr w:type="spellStart"/>
            <w:r>
              <w:rPr>
                <w:sz w:val="20"/>
              </w:rPr>
              <w:t>unboosted</w:t>
            </w:r>
            <w:proofErr w:type="spellEnd"/>
            <w:r>
              <w:rPr>
                <w:sz w:val="20"/>
              </w:rPr>
              <w:t xml:space="preserve"> PIs</w:t>
            </w:r>
          </w:p>
        </w:tc>
        <w:tc>
          <w:tcPr>
            <w:tcW w:w="5725" w:type="dxa"/>
          </w:tcPr>
          <w:p w14:paraId="7E26D53A" w14:textId="77777777" w:rsidR="001439E0" w:rsidRDefault="008A23E0">
            <w:pPr>
              <w:pStyle w:val="TableParagraph"/>
              <w:spacing w:before="4" w:line="276" w:lineRule="auto"/>
              <w:ind w:left="107" w:right="207"/>
              <w:rPr>
                <w:sz w:val="20"/>
              </w:rPr>
            </w:pPr>
            <w:r>
              <w:rPr>
                <w:sz w:val="20"/>
              </w:rPr>
              <w:t xml:space="preserve">Concomitant use of PIFELTRO with </w:t>
            </w:r>
            <w:proofErr w:type="spellStart"/>
            <w:r>
              <w:rPr>
                <w:sz w:val="20"/>
              </w:rPr>
              <w:t>unboosted</w:t>
            </w:r>
            <w:proofErr w:type="spellEnd"/>
            <w:r>
              <w:rPr>
                <w:sz w:val="20"/>
              </w:rPr>
              <w:t xml:space="preserve"> PIs may cause an increase in the plasma concentrations of doravirine (inhibition of CYP3A enzymes).</w:t>
            </w:r>
          </w:p>
          <w:p w14:paraId="7E26D53B" w14:textId="77777777" w:rsidR="001439E0" w:rsidRDefault="001439E0">
            <w:pPr>
              <w:pStyle w:val="TableParagraph"/>
              <w:rPr>
                <w:b/>
              </w:rPr>
            </w:pPr>
          </w:p>
          <w:p w14:paraId="7E26D53C" w14:textId="77777777" w:rsidR="001439E0" w:rsidRDefault="008A23E0">
            <w:pPr>
              <w:pStyle w:val="TableParagraph"/>
              <w:spacing w:before="170" w:line="278" w:lineRule="auto"/>
              <w:ind w:left="107" w:right="719"/>
              <w:rPr>
                <w:sz w:val="20"/>
              </w:rPr>
            </w:pPr>
            <w:r>
              <w:rPr>
                <w:sz w:val="20"/>
              </w:rPr>
              <w:t xml:space="preserve">No dose adjustment is required when PIFELTRO is co- administered with </w:t>
            </w:r>
            <w:proofErr w:type="spellStart"/>
            <w:r>
              <w:rPr>
                <w:sz w:val="20"/>
              </w:rPr>
              <w:t>unboosted</w:t>
            </w:r>
            <w:proofErr w:type="spellEnd"/>
            <w:r>
              <w:rPr>
                <w:sz w:val="20"/>
              </w:rPr>
              <w:t xml:space="preserve"> PIs.</w:t>
            </w:r>
          </w:p>
        </w:tc>
      </w:tr>
      <w:tr w:rsidR="001439E0" w14:paraId="7E26D53F" w14:textId="77777777">
        <w:trPr>
          <w:trHeight w:val="348"/>
        </w:trPr>
        <w:tc>
          <w:tcPr>
            <w:tcW w:w="9558" w:type="dxa"/>
            <w:gridSpan w:val="4"/>
          </w:tcPr>
          <w:p w14:paraId="7E26D53E" w14:textId="77777777" w:rsidR="001439E0" w:rsidRDefault="008A23E0" w:rsidP="009E2156">
            <w:pPr>
              <w:pStyle w:val="TableParagraph"/>
              <w:pageBreakBefore/>
              <w:spacing w:before="4"/>
              <w:ind w:left="108"/>
              <w:rPr>
                <w:b/>
                <w:sz w:val="20"/>
              </w:rPr>
            </w:pPr>
            <w:proofErr w:type="spellStart"/>
            <w:r>
              <w:rPr>
                <w:b/>
                <w:sz w:val="20"/>
              </w:rPr>
              <w:lastRenderedPageBreak/>
              <w:t>Antiobiotics</w:t>
            </w:r>
            <w:proofErr w:type="spellEnd"/>
          </w:p>
        </w:tc>
      </w:tr>
      <w:tr w:rsidR="001439E0" w14:paraId="7E26D546" w14:textId="77777777">
        <w:trPr>
          <w:trHeight w:val="1758"/>
        </w:trPr>
        <w:tc>
          <w:tcPr>
            <w:tcW w:w="2088" w:type="dxa"/>
          </w:tcPr>
          <w:p w14:paraId="7E26D541" w14:textId="77777777" w:rsidR="001439E0" w:rsidRDefault="008A23E0">
            <w:pPr>
              <w:pStyle w:val="TableParagraph"/>
              <w:spacing w:before="4"/>
              <w:ind w:left="107"/>
              <w:rPr>
                <w:sz w:val="20"/>
              </w:rPr>
            </w:pPr>
            <w:proofErr w:type="spellStart"/>
            <w:r>
              <w:rPr>
                <w:sz w:val="20"/>
              </w:rPr>
              <w:t>nafcillin</w:t>
            </w:r>
            <w:proofErr w:type="spellEnd"/>
          </w:p>
        </w:tc>
        <w:tc>
          <w:tcPr>
            <w:tcW w:w="1745" w:type="dxa"/>
            <w:gridSpan w:val="2"/>
          </w:tcPr>
          <w:p w14:paraId="7E26D542" w14:textId="77777777" w:rsidR="001439E0" w:rsidRDefault="008A23E0">
            <w:pPr>
              <w:pStyle w:val="TableParagraph"/>
              <w:spacing w:before="4" w:line="276" w:lineRule="auto"/>
              <w:ind w:left="107" w:right="340"/>
              <w:rPr>
                <w:sz w:val="20"/>
              </w:rPr>
            </w:pPr>
            <w:r>
              <w:rPr>
                <w:sz w:val="20"/>
              </w:rPr>
              <w:t>Interaction not studied.</w:t>
            </w:r>
          </w:p>
          <w:p w14:paraId="7E26D543" w14:textId="77777777" w:rsidR="001439E0" w:rsidRDefault="008A23E0">
            <w:pPr>
              <w:pStyle w:val="TableParagraph"/>
              <w:spacing w:before="79"/>
              <w:ind w:left="107"/>
              <w:rPr>
                <w:sz w:val="20"/>
              </w:rPr>
            </w:pPr>
            <w:r>
              <w:rPr>
                <w:sz w:val="20"/>
              </w:rPr>
              <w:t>Expected:</w:t>
            </w:r>
          </w:p>
          <w:p w14:paraId="7E26D544" w14:textId="77777777" w:rsidR="001439E0" w:rsidRDefault="008A23E0">
            <w:pPr>
              <w:pStyle w:val="TableParagraph"/>
              <w:spacing w:before="40" w:line="278" w:lineRule="auto"/>
              <w:ind w:left="107" w:right="507"/>
              <w:rPr>
                <w:sz w:val="20"/>
              </w:rPr>
            </w:pPr>
            <w:r>
              <w:rPr>
                <w:sz w:val="20"/>
              </w:rPr>
              <w:t>↓doravirine (Induction of CYP3A)</w:t>
            </w:r>
          </w:p>
        </w:tc>
        <w:tc>
          <w:tcPr>
            <w:tcW w:w="5725" w:type="dxa"/>
          </w:tcPr>
          <w:p w14:paraId="7E26D545" w14:textId="77777777" w:rsidR="001439E0" w:rsidRDefault="008A23E0">
            <w:pPr>
              <w:pStyle w:val="TableParagraph"/>
              <w:spacing w:before="3" w:line="276" w:lineRule="auto"/>
              <w:ind w:left="107" w:right="121"/>
            </w:pPr>
            <w:r>
              <w:t xml:space="preserve">Co-administration should be avoided. If co- administration cannot be avoided, </w:t>
            </w:r>
            <w:r>
              <w:rPr>
                <w:color w:val="1A1A1A"/>
              </w:rPr>
              <w:t>one tablet of doravirine should be taken twice daily (approximately 12 hours apart)</w:t>
            </w:r>
            <w:r>
              <w:t>.</w:t>
            </w:r>
          </w:p>
        </w:tc>
      </w:tr>
      <w:tr w:rsidR="001439E0" w14:paraId="7E26D548" w14:textId="77777777">
        <w:trPr>
          <w:trHeight w:val="348"/>
        </w:trPr>
        <w:tc>
          <w:tcPr>
            <w:tcW w:w="9558" w:type="dxa"/>
            <w:gridSpan w:val="4"/>
          </w:tcPr>
          <w:p w14:paraId="7E26D547" w14:textId="77777777" w:rsidR="001439E0" w:rsidRDefault="008A23E0">
            <w:pPr>
              <w:pStyle w:val="TableParagraph"/>
              <w:spacing w:before="4"/>
              <w:ind w:left="107"/>
              <w:rPr>
                <w:b/>
                <w:sz w:val="20"/>
              </w:rPr>
            </w:pPr>
            <w:r>
              <w:rPr>
                <w:b/>
                <w:sz w:val="20"/>
              </w:rPr>
              <w:t>Antidiarrheal</w:t>
            </w:r>
          </w:p>
        </w:tc>
      </w:tr>
      <w:tr w:rsidR="001439E0" w14:paraId="7E26D54E" w14:textId="77777777">
        <w:trPr>
          <w:trHeight w:val="1758"/>
        </w:trPr>
        <w:tc>
          <w:tcPr>
            <w:tcW w:w="2088" w:type="dxa"/>
          </w:tcPr>
          <w:p w14:paraId="7E26D549" w14:textId="77777777" w:rsidR="001439E0" w:rsidRDefault="008A23E0">
            <w:pPr>
              <w:pStyle w:val="TableParagraph"/>
              <w:spacing w:before="4"/>
              <w:ind w:left="107"/>
              <w:rPr>
                <w:sz w:val="20"/>
              </w:rPr>
            </w:pPr>
            <w:proofErr w:type="spellStart"/>
            <w:r>
              <w:rPr>
                <w:sz w:val="20"/>
              </w:rPr>
              <w:t>Telotristat</w:t>
            </w:r>
            <w:proofErr w:type="spellEnd"/>
            <w:r>
              <w:rPr>
                <w:sz w:val="20"/>
              </w:rPr>
              <w:t xml:space="preserve"> ethyl</w:t>
            </w:r>
          </w:p>
        </w:tc>
        <w:tc>
          <w:tcPr>
            <w:tcW w:w="1745" w:type="dxa"/>
            <w:gridSpan w:val="2"/>
          </w:tcPr>
          <w:p w14:paraId="7E26D54A" w14:textId="77777777" w:rsidR="001439E0" w:rsidRDefault="008A23E0">
            <w:pPr>
              <w:pStyle w:val="TableParagraph"/>
              <w:spacing w:before="4" w:line="276" w:lineRule="auto"/>
              <w:ind w:left="107" w:right="340"/>
              <w:rPr>
                <w:sz w:val="20"/>
              </w:rPr>
            </w:pPr>
            <w:r>
              <w:rPr>
                <w:sz w:val="20"/>
              </w:rPr>
              <w:t>Interaction not studied.</w:t>
            </w:r>
          </w:p>
          <w:p w14:paraId="7E26D54B" w14:textId="77777777" w:rsidR="001439E0" w:rsidRDefault="008A23E0">
            <w:pPr>
              <w:pStyle w:val="TableParagraph"/>
              <w:spacing w:before="79"/>
              <w:ind w:left="107"/>
              <w:rPr>
                <w:sz w:val="20"/>
              </w:rPr>
            </w:pPr>
            <w:r>
              <w:rPr>
                <w:sz w:val="20"/>
              </w:rPr>
              <w:t>Expected:</w:t>
            </w:r>
          </w:p>
          <w:p w14:paraId="7E26D54C" w14:textId="77777777" w:rsidR="001439E0" w:rsidRDefault="008A23E0">
            <w:pPr>
              <w:pStyle w:val="TableParagraph"/>
              <w:spacing w:before="39" w:line="278" w:lineRule="auto"/>
              <w:ind w:left="107" w:right="507"/>
              <w:rPr>
                <w:sz w:val="20"/>
              </w:rPr>
            </w:pPr>
            <w:r>
              <w:rPr>
                <w:sz w:val="20"/>
              </w:rPr>
              <w:t>↓doravirine (Induction of CYP3A)</w:t>
            </w:r>
          </w:p>
        </w:tc>
        <w:tc>
          <w:tcPr>
            <w:tcW w:w="5725" w:type="dxa"/>
          </w:tcPr>
          <w:p w14:paraId="7E26D54D" w14:textId="77777777" w:rsidR="001439E0" w:rsidRDefault="008A23E0">
            <w:pPr>
              <w:pStyle w:val="TableParagraph"/>
              <w:spacing w:before="3" w:line="276" w:lineRule="auto"/>
              <w:ind w:left="107" w:right="121"/>
            </w:pPr>
            <w:r>
              <w:t xml:space="preserve">Co-administration should be avoided. If co- administration cannot be avoided, </w:t>
            </w:r>
            <w:r>
              <w:rPr>
                <w:color w:val="1A1A1A"/>
              </w:rPr>
              <w:t>one tablet of doravirine should be taken twice daily (approximately 12 hours apart)</w:t>
            </w:r>
            <w:r>
              <w:t>.</w:t>
            </w:r>
          </w:p>
        </w:tc>
      </w:tr>
      <w:tr w:rsidR="001439E0" w14:paraId="7E26D550" w14:textId="77777777">
        <w:trPr>
          <w:trHeight w:val="348"/>
        </w:trPr>
        <w:tc>
          <w:tcPr>
            <w:tcW w:w="9558" w:type="dxa"/>
            <w:gridSpan w:val="4"/>
          </w:tcPr>
          <w:p w14:paraId="7E26D54F" w14:textId="77777777" w:rsidR="001439E0" w:rsidRDefault="008A23E0">
            <w:pPr>
              <w:pStyle w:val="TableParagraph"/>
              <w:spacing w:before="4"/>
              <w:ind w:left="107"/>
              <w:rPr>
                <w:b/>
                <w:sz w:val="20"/>
              </w:rPr>
            </w:pPr>
            <w:proofErr w:type="spellStart"/>
            <w:r>
              <w:rPr>
                <w:b/>
                <w:sz w:val="20"/>
              </w:rPr>
              <w:t>Antigout</w:t>
            </w:r>
            <w:proofErr w:type="spellEnd"/>
            <w:r>
              <w:rPr>
                <w:b/>
                <w:sz w:val="20"/>
              </w:rPr>
              <w:t xml:space="preserve"> and </w:t>
            </w:r>
            <w:proofErr w:type="spellStart"/>
            <w:r>
              <w:rPr>
                <w:b/>
                <w:sz w:val="20"/>
              </w:rPr>
              <w:t>Uricosuric</w:t>
            </w:r>
            <w:proofErr w:type="spellEnd"/>
            <w:r>
              <w:rPr>
                <w:b/>
                <w:sz w:val="20"/>
              </w:rPr>
              <w:t xml:space="preserve"> Agents</w:t>
            </w:r>
          </w:p>
        </w:tc>
      </w:tr>
      <w:tr w:rsidR="001439E0" w14:paraId="7E26D556" w14:textId="77777777">
        <w:trPr>
          <w:trHeight w:val="1758"/>
        </w:trPr>
        <w:tc>
          <w:tcPr>
            <w:tcW w:w="2088" w:type="dxa"/>
          </w:tcPr>
          <w:p w14:paraId="7E26D551" w14:textId="77777777" w:rsidR="001439E0" w:rsidRDefault="008A23E0">
            <w:pPr>
              <w:pStyle w:val="TableParagraph"/>
              <w:spacing w:before="4"/>
              <w:ind w:left="107"/>
              <w:rPr>
                <w:sz w:val="20"/>
              </w:rPr>
            </w:pPr>
            <w:proofErr w:type="spellStart"/>
            <w:r>
              <w:rPr>
                <w:sz w:val="20"/>
              </w:rPr>
              <w:t>lesinurad</w:t>
            </w:r>
            <w:proofErr w:type="spellEnd"/>
          </w:p>
        </w:tc>
        <w:tc>
          <w:tcPr>
            <w:tcW w:w="1745" w:type="dxa"/>
            <w:gridSpan w:val="2"/>
          </w:tcPr>
          <w:p w14:paraId="7E26D552" w14:textId="77777777" w:rsidR="001439E0" w:rsidRDefault="008A23E0">
            <w:pPr>
              <w:pStyle w:val="TableParagraph"/>
              <w:spacing w:before="4" w:line="276" w:lineRule="auto"/>
              <w:ind w:left="107" w:right="340"/>
              <w:rPr>
                <w:sz w:val="20"/>
              </w:rPr>
            </w:pPr>
            <w:r>
              <w:rPr>
                <w:sz w:val="20"/>
              </w:rPr>
              <w:t>Interaction not studied.</w:t>
            </w:r>
          </w:p>
          <w:p w14:paraId="7E26D553" w14:textId="77777777" w:rsidR="001439E0" w:rsidRDefault="008A23E0">
            <w:pPr>
              <w:pStyle w:val="TableParagraph"/>
              <w:spacing w:before="79"/>
              <w:ind w:left="107"/>
              <w:rPr>
                <w:sz w:val="20"/>
              </w:rPr>
            </w:pPr>
            <w:r>
              <w:rPr>
                <w:sz w:val="20"/>
              </w:rPr>
              <w:t>Expected:</w:t>
            </w:r>
          </w:p>
          <w:p w14:paraId="7E26D554" w14:textId="77777777" w:rsidR="001439E0" w:rsidRDefault="008A23E0">
            <w:pPr>
              <w:pStyle w:val="TableParagraph"/>
              <w:spacing w:before="39" w:line="278" w:lineRule="auto"/>
              <w:ind w:left="107" w:right="507"/>
              <w:rPr>
                <w:sz w:val="20"/>
              </w:rPr>
            </w:pPr>
            <w:r>
              <w:rPr>
                <w:sz w:val="20"/>
              </w:rPr>
              <w:t>↓doravirine (Induction of CYP3A)</w:t>
            </w:r>
          </w:p>
        </w:tc>
        <w:tc>
          <w:tcPr>
            <w:tcW w:w="5725" w:type="dxa"/>
          </w:tcPr>
          <w:p w14:paraId="7E26D555" w14:textId="77777777" w:rsidR="001439E0" w:rsidRDefault="008A23E0">
            <w:pPr>
              <w:pStyle w:val="TableParagraph"/>
              <w:spacing w:before="3" w:line="276" w:lineRule="auto"/>
              <w:ind w:left="107" w:right="121"/>
            </w:pPr>
            <w:r>
              <w:t xml:space="preserve">Co-administration should be avoided. If co- administration cannot be avoided, </w:t>
            </w:r>
            <w:r>
              <w:rPr>
                <w:color w:val="1A1A1A"/>
              </w:rPr>
              <w:t>one tablet of doravirine should be taken twice daily (approximately 12 hours apart)</w:t>
            </w:r>
            <w:r>
              <w:t>.</w:t>
            </w:r>
          </w:p>
        </w:tc>
      </w:tr>
      <w:tr w:rsidR="001439E0" w14:paraId="7E26D558" w14:textId="77777777">
        <w:trPr>
          <w:trHeight w:val="347"/>
        </w:trPr>
        <w:tc>
          <w:tcPr>
            <w:tcW w:w="9558" w:type="dxa"/>
            <w:gridSpan w:val="4"/>
          </w:tcPr>
          <w:p w14:paraId="7E26D557" w14:textId="77777777" w:rsidR="001439E0" w:rsidRDefault="008A23E0">
            <w:pPr>
              <w:pStyle w:val="TableParagraph"/>
              <w:spacing w:before="4"/>
              <w:ind w:left="107"/>
              <w:rPr>
                <w:b/>
                <w:sz w:val="20"/>
              </w:rPr>
            </w:pPr>
            <w:proofErr w:type="spellStart"/>
            <w:r>
              <w:rPr>
                <w:b/>
                <w:sz w:val="20"/>
              </w:rPr>
              <w:t>Antimycobacterials</w:t>
            </w:r>
            <w:proofErr w:type="spellEnd"/>
          </w:p>
        </w:tc>
      </w:tr>
      <w:tr w:rsidR="001439E0" w14:paraId="7E26D561" w14:textId="77777777">
        <w:trPr>
          <w:trHeight w:val="2091"/>
        </w:trPr>
        <w:tc>
          <w:tcPr>
            <w:tcW w:w="2088" w:type="dxa"/>
          </w:tcPr>
          <w:p w14:paraId="7E26D559" w14:textId="77777777" w:rsidR="001439E0" w:rsidRDefault="008A23E0">
            <w:pPr>
              <w:pStyle w:val="TableParagraph"/>
              <w:spacing w:before="5"/>
              <w:ind w:left="107"/>
              <w:rPr>
                <w:sz w:val="20"/>
              </w:rPr>
            </w:pPr>
            <w:proofErr w:type="spellStart"/>
            <w:r>
              <w:rPr>
                <w:sz w:val="20"/>
              </w:rPr>
              <w:t>rifabutin</w:t>
            </w:r>
            <w:proofErr w:type="spellEnd"/>
            <w:r>
              <w:rPr>
                <w:sz w:val="20"/>
              </w:rPr>
              <w:t>*</w:t>
            </w:r>
          </w:p>
        </w:tc>
        <w:tc>
          <w:tcPr>
            <w:tcW w:w="1745" w:type="dxa"/>
            <w:gridSpan w:val="2"/>
          </w:tcPr>
          <w:p w14:paraId="7E26D55A" w14:textId="77777777" w:rsidR="001439E0" w:rsidRDefault="008A23E0">
            <w:pPr>
              <w:pStyle w:val="TableParagraph"/>
              <w:spacing w:before="5"/>
              <w:ind w:left="107"/>
              <w:rPr>
                <w:sz w:val="20"/>
              </w:rPr>
            </w:pPr>
            <w:r>
              <w:rPr>
                <w:sz w:val="20"/>
              </w:rPr>
              <w:t>↓ doravirine</w:t>
            </w:r>
          </w:p>
          <w:p w14:paraId="7E26D55B" w14:textId="77777777" w:rsidR="001439E0" w:rsidRDefault="001439E0">
            <w:pPr>
              <w:pStyle w:val="TableParagraph"/>
              <w:rPr>
                <w:b/>
              </w:rPr>
            </w:pPr>
          </w:p>
          <w:p w14:paraId="7E26D55C" w14:textId="77777777" w:rsidR="001439E0" w:rsidRDefault="001439E0">
            <w:pPr>
              <w:pStyle w:val="TableParagraph"/>
              <w:spacing w:before="10"/>
              <w:rPr>
                <w:b/>
                <w:sz w:val="17"/>
              </w:rPr>
            </w:pPr>
          </w:p>
          <w:p w14:paraId="7E26D55D" w14:textId="617E1D54" w:rsidR="001439E0" w:rsidRDefault="008A23E0">
            <w:pPr>
              <w:pStyle w:val="TableParagraph"/>
              <w:ind w:left="107"/>
              <w:rPr>
                <w:sz w:val="20"/>
              </w:rPr>
            </w:pPr>
            <w:r>
              <w:rPr>
                <w:sz w:val="20"/>
              </w:rPr>
              <w:t xml:space="preserve">↔ </w:t>
            </w:r>
            <w:proofErr w:type="spellStart"/>
            <w:r>
              <w:rPr>
                <w:sz w:val="20"/>
              </w:rPr>
              <w:t>rifabutin</w:t>
            </w:r>
            <w:proofErr w:type="spellEnd"/>
          </w:p>
        </w:tc>
        <w:tc>
          <w:tcPr>
            <w:tcW w:w="5725" w:type="dxa"/>
          </w:tcPr>
          <w:p w14:paraId="7E26D55E" w14:textId="77777777" w:rsidR="001439E0" w:rsidRDefault="008A23E0">
            <w:pPr>
              <w:pStyle w:val="TableParagraph"/>
              <w:spacing w:line="276" w:lineRule="auto"/>
              <w:ind w:left="107" w:right="84"/>
              <w:rPr>
                <w:sz w:val="20"/>
              </w:rPr>
            </w:pPr>
            <w:r>
              <w:rPr>
                <w:sz w:val="20"/>
              </w:rPr>
              <w:t xml:space="preserve">Concomitant use of PIFELTRO with </w:t>
            </w:r>
            <w:proofErr w:type="spellStart"/>
            <w:r>
              <w:rPr>
                <w:sz w:val="20"/>
              </w:rPr>
              <w:t>rifabutin</w:t>
            </w:r>
            <w:proofErr w:type="spellEnd"/>
            <w:r>
              <w:rPr>
                <w:sz w:val="20"/>
              </w:rPr>
              <w:t xml:space="preserve"> may cause a decrease in the plasma concentrations of doravirine (induction of CYP3A enzymes).</w:t>
            </w:r>
          </w:p>
          <w:p w14:paraId="7E26D55F" w14:textId="77777777" w:rsidR="001439E0" w:rsidRDefault="001439E0">
            <w:pPr>
              <w:pStyle w:val="TableParagraph"/>
              <w:rPr>
                <w:b/>
              </w:rPr>
            </w:pPr>
          </w:p>
          <w:p w14:paraId="7E26D560" w14:textId="77777777" w:rsidR="001439E0" w:rsidRDefault="008A23E0">
            <w:pPr>
              <w:pStyle w:val="TableParagraph"/>
              <w:spacing w:before="172" w:line="276" w:lineRule="auto"/>
              <w:ind w:left="107" w:right="374"/>
              <w:rPr>
                <w:sz w:val="20"/>
              </w:rPr>
            </w:pPr>
            <w:r>
              <w:rPr>
                <w:color w:val="1A1A1A"/>
                <w:sz w:val="20"/>
              </w:rPr>
              <w:t xml:space="preserve">If PIFELTRO is co-administered with </w:t>
            </w:r>
            <w:proofErr w:type="spellStart"/>
            <w:r>
              <w:rPr>
                <w:color w:val="1A1A1A"/>
                <w:sz w:val="20"/>
              </w:rPr>
              <w:t>rifabutin</w:t>
            </w:r>
            <w:proofErr w:type="spellEnd"/>
            <w:r>
              <w:rPr>
                <w:color w:val="1A1A1A"/>
                <w:sz w:val="20"/>
              </w:rPr>
              <w:t xml:space="preserve">, one tablet of PIFELTRO should be taken twice daily (approximately 12 hours apart) </w:t>
            </w:r>
            <w:r>
              <w:rPr>
                <w:sz w:val="20"/>
              </w:rPr>
              <w:t>(see section 4.2).</w:t>
            </w:r>
          </w:p>
        </w:tc>
      </w:tr>
      <w:tr w:rsidR="001439E0" w14:paraId="7E26D563" w14:textId="77777777">
        <w:trPr>
          <w:trHeight w:val="345"/>
        </w:trPr>
        <w:tc>
          <w:tcPr>
            <w:tcW w:w="9558" w:type="dxa"/>
            <w:gridSpan w:val="4"/>
          </w:tcPr>
          <w:p w14:paraId="7E26D562" w14:textId="77777777" w:rsidR="001439E0" w:rsidRDefault="008A23E0">
            <w:pPr>
              <w:pStyle w:val="TableParagraph"/>
              <w:spacing w:before="1"/>
              <w:ind w:left="107"/>
              <w:rPr>
                <w:b/>
                <w:sz w:val="20"/>
              </w:rPr>
            </w:pPr>
            <w:r>
              <w:rPr>
                <w:b/>
                <w:sz w:val="20"/>
              </w:rPr>
              <w:t>Antipsychotics</w:t>
            </w:r>
          </w:p>
        </w:tc>
      </w:tr>
      <w:tr w:rsidR="001439E0" w14:paraId="7E26D569" w14:textId="77777777">
        <w:trPr>
          <w:trHeight w:val="1758"/>
        </w:trPr>
        <w:tc>
          <w:tcPr>
            <w:tcW w:w="2088" w:type="dxa"/>
          </w:tcPr>
          <w:p w14:paraId="7E26D564" w14:textId="77777777" w:rsidR="001439E0" w:rsidRDefault="008A23E0">
            <w:pPr>
              <w:pStyle w:val="TableParagraph"/>
              <w:spacing w:before="4"/>
              <w:ind w:left="107"/>
              <w:rPr>
                <w:sz w:val="20"/>
              </w:rPr>
            </w:pPr>
            <w:proofErr w:type="spellStart"/>
            <w:r>
              <w:rPr>
                <w:sz w:val="20"/>
              </w:rPr>
              <w:t>thioridazine</w:t>
            </w:r>
            <w:proofErr w:type="spellEnd"/>
          </w:p>
        </w:tc>
        <w:tc>
          <w:tcPr>
            <w:tcW w:w="1745" w:type="dxa"/>
            <w:gridSpan w:val="2"/>
          </w:tcPr>
          <w:p w14:paraId="7E26D565" w14:textId="77777777" w:rsidR="001439E0" w:rsidRDefault="008A23E0">
            <w:pPr>
              <w:pStyle w:val="TableParagraph"/>
              <w:spacing w:before="4" w:line="276" w:lineRule="auto"/>
              <w:ind w:left="107" w:right="340"/>
              <w:rPr>
                <w:sz w:val="20"/>
              </w:rPr>
            </w:pPr>
            <w:r>
              <w:rPr>
                <w:sz w:val="20"/>
              </w:rPr>
              <w:t>Interaction not studied.</w:t>
            </w:r>
          </w:p>
          <w:p w14:paraId="7E26D566" w14:textId="77777777" w:rsidR="001439E0" w:rsidRDefault="008A23E0">
            <w:pPr>
              <w:pStyle w:val="TableParagraph"/>
              <w:spacing w:before="79"/>
              <w:ind w:left="107"/>
              <w:rPr>
                <w:sz w:val="20"/>
              </w:rPr>
            </w:pPr>
            <w:r>
              <w:rPr>
                <w:sz w:val="20"/>
              </w:rPr>
              <w:t>Expected:</w:t>
            </w:r>
          </w:p>
          <w:p w14:paraId="7E26D567" w14:textId="77777777" w:rsidR="001439E0" w:rsidRDefault="008A23E0">
            <w:pPr>
              <w:pStyle w:val="TableParagraph"/>
              <w:tabs>
                <w:tab w:val="left" w:pos="1469"/>
              </w:tabs>
              <w:spacing w:before="39" w:line="278" w:lineRule="auto"/>
              <w:ind w:left="107" w:right="96"/>
              <w:rPr>
                <w:sz w:val="20"/>
              </w:rPr>
            </w:pPr>
            <w:r>
              <w:rPr>
                <w:sz w:val="20"/>
              </w:rPr>
              <w:t>↓doravirine (Induction</w:t>
            </w:r>
            <w:r>
              <w:rPr>
                <w:sz w:val="20"/>
              </w:rPr>
              <w:tab/>
            </w:r>
            <w:r>
              <w:rPr>
                <w:spacing w:val="-9"/>
                <w:sz w:val="20"/>
              </w:rPr>
              <w:t xml:space="preserve">of </w:t>
            </w:r>
            <w:r>
              <w:rPr>
                <w:sz w:val="20"/>
              </w:rPr>
              <w:t>CYP3A)</w:t>
            </w:r>
          </w:p>
        </w:tc>
        <w:tc>
          <w:tcPr>
            <w:tcW w:w="5725" w:type="dxa"/>
          </w:tcPr>
          <w:p w14:paraId="7E26D568" w14:textId="77777777" w:rsidR="001439E0" w:rsidRDefault="008A23E0">
            <w:pPr>
              <w:pStyle w:val="TableParagraph"/>
              <w:spacing w:line="276" w:lineRule="auto"/>
              <w:ind w:left="107" w:right="121"/>
            </w:pPr>
            <w:r>
              <w:t xml:space="preserve">Co-administration should be avoided. If co- administration cannot be avoided, </w:t>
            </w:r>
            <w:r>
              <w:rPr>
                <w:color w:val="1A1A1A"/>
              </w:rPr>
              <w:t>one tablet of doravirine should be taken twice daily (approximately 12 hours apart)</w:t>
            </w:r>
            <w:r>
              <w:t>.</w:t>
            </w:r>
          </w:p>
        </w:tc>
      </w:tr>
      <w:tr w:rsidR="001439E0" w14:paraId="7E26D56B" w14:textId="77777777">
        <w:trPr>
          <w:trHeight w:val="348"/>
        </w:trPr>
        <w:tc>
          <w:tcPr>
            <w:tcW w:w="9558" w:type="dxa"/>
            <w:gridSpan w:val="4"/>
          </w:tcPr>
          <w:p w14:paraId="7E26D56A" w14:textId="77777777" w:rsidR="001439E0" w:rsidRDefault="008A23E0">
            <w:pPr>
              <w:pStyle w:val="TableParagraph"/>
              <w:spacing w:before="4"/>
              <w:ind w:left="107"/>
              <w:rPr>
                <w:b/>
                <w:sz w:val="20"/>
              </w:rPr>
            </w:pPr>
            <w:r>
              <w:rPr>
                <w:b/>
                <w:sz w:val="20"/>
              </w:rPr>
              <w:t>Azole Antifungal Agents</w:t>
            </w:r>
          </w:p>
        </w:tc>
      </w:tr>
      <w:tr w:rsidR="001439E0" w14:paraId="7E26D574" w14:textId="77777777">
        <w:trPr>
          <w:trHeight w:val="1830"/>
        </w:trPr>
        <w:tc>
          <w:tcPr>
            <w:tcW w:w="2088" w:type="dxa"/>
          </w:tcPr>
          <w:p w14:paraId="7E26D56C" w14:textId="77777777" w:rsidR="001439E0" w:rsidRDefault="008A23E0">
            <w:pPr>
              <w:pStyle w:val="TableParagraph"/>
              <w:spacing w:before="4" w:line="360" w:lineRule="auto"/>
              <w:ind w:left="107" w:right="694"/>
              <w:rPr>
                <w:sz w:val="20"/>
              </w:rPr>
            </w:pPr>
            <w:r>
              <w:rPr>
                <w:sz w:val="20"/>
              </w:rPr>
              <w:t xml:space="preserve">fluconazole </w:t>
            </w:r>
            <w:proofErr w:type="spellStart"/>
            <w:r>
              <w:rPr>
                <w:sz w:val="20"/>
              </w:rPr>
              <w:t>itraconazole</w:t>
            </w:r>
            <w:proofErr w:type="spellEnd"/>
            <w:r>
              <w:rPr>
                <w:sz w:val="20"/>
              </w:rPr>
              <w:t xml:space="preserve"> ketoconazole* </w:t>
            </w:r>
            <w:proofErr w:type="spellStart"/>
            <w:r>
              <w:rPr>
                <w:sz w:val="20"/>
              </w:rPr>
              <w:t>posaconazole</w:t>
            </w:r>
            <w:proofErr w:type="spellEnd"/>
            <w:r>
              <w:rPr>
                <w:sz w:val="20"/>
              </w:rPr>
              <w:t xml:space="preserve"> </w:t>
            </w:r>
            <w:proofErr w:type="spellStart"/>
            <w:r>
              <w:rPr>
                <w:sz w:val="20"/>
              </w:rPr>
              <w:t>voriconazole</w:t>
            </w:r>
            <w:proofErr w:type="spellEnd"/>
          </w:p>
        </w:tc>
        <w:tc>
          <w:tcPr>
            <w:tcW w:w="1745" w:type="dxa"/>
            <w:gridSpan w:val="2"/>
          </w:tcPr>
          <w:p w14:paraId="7E26D56D" w14:textId="77777777" w:rsidR="001439E0" w:rsidRDefault="008A23E0">
            <w:pPr>
              <w:pStyle w:val="TableParagraph"/>
              <w:spacing w:before="4"/>
              <w:ind w:left="107"/>
              <w:rPr>
                <w:sz w:val="20"/>
              </w:rPr>
            </w:pPr>
            <w:r>
              <w:rPr>
                <w:sz w:val="20"/>
              </w:rPr>
              <w:t>↑ doravirine</w:t>
            </w:r>
          </w:p>
          <w:p w14:paraId="7E26D56E" w14:textId="77777777" w:rsidR="001439E0" w:rsidRDefault="001439E0">
            <w:pPr>
              <w:pStyle w:val="TableParagraph"/>
              <w:rPr>
                <w:b/>
              </w:rPr>
            </w:pPr>
          </w:p>
          <w:p w14:paraId="7E26D56F" w14:textId="77777777" w:rsidR="001439E0" w:rsidRDefault="001439E0">
            <w:pPr>
              <w:pStyle w:val="TableParagraph"/>
              <w:spacing w:before="9"/>
              <w:rPr>
                <w:b/>
                <w:sz w:val="17"/>
              </w:rPr>
            </w:pPr>
          </w:p>
          <w:p w14:paraId="7E26D570" w14:textId="3F97C27E" w:rsidR="001439E0" w:rsidRDefault="008A23E0">
            <w:pPr>
              <w:pStyle w:val="TableParagraph"/>
              <w:spacing w:line="278" w:lineRule="auto"/>
              <w:ind w:left="107" w:right="84"/>
              <w:rPr>
                <w:sz w:val="20"/>
              </w:rPr>
            </w:pPr>
            <w:r>
              <w:rPr>
                <w:sz w:val="20"/>
              </w:rPr>
              <w:t>↔ azole antifungal agents</w:t>
            </w:r>
          </w:p>
        </w:tc>
        <w:tc>
          <w:tcPr>
            <w:tcW w:w="5725" w:type="dxa"/>
          </w:tcPr>
          <w:p w14:paraId="7E26D571" w14:textId="77777777" w:rsidR="001439E0" w:rsidRDefault="008A23E0">
            <w:pPr>
              <w:pStyle w:val="TableParagraph"/>
              <w:spacing w:before="4" w:line="276" w:lineRule="auto"/>
              <w:ind w:left="107" w:right="307"/>
              <w:rPr>
                <w:sz w:val="20"/>
              </w:rPr>
            </w:pPr>
            <w:r>
              <w:rPr>
                <w:sz w:val="20"/>
              </w:rPr>
              <w:t>Concomitant use of PIFELTRO with azole antifungal agents may cause an increase in the plasma concentrations of PIFELTRO (inhibition of CYP3A enzymes).</w:t>
            </w:r>
          </w:p>
          <w:p w14:paraId="7E26D572" w14:textId="77777777" w:rsidR="001439E0" w:rsidRDefault="001439E0">
            <w:pPr>
              <w:pStyle w:val="TableParagraph"/>
              <w:rPr>
                <w:b/>
              </w:rPr>
            </w:pPr>
          </w:p>
          <w:p w14:paraId="7E26D573" w14:textId="77777777" w:rsidR="001439E0" w:rsidRDefault="008A23E0">
            <w:pPr>
              <w:pStyle w:val="TableParagraph"/>
              <w:spacing w:before="170" w:line="278" w:lineRule="auto"/>
              <w:ind w:left="107" w:right="134"/>
              <w:rPr>
                <w:sz w:val="20"/>
              </w:rPr>
            </w:pPr>
            <w:r>
              <w:rPr>
                <w:sz w:val="20"/>
              </w:rPr>
              <w:t>No doravirine dose adjustment is required when PIFELTRO is co-administered with azole antifungal agents.</w:t>
            </w:r>
          </w:p>
        </w:tc>
      </w:tr>
      <w:tr w:rsidR="001439E0" w14:paraId="7E26D576" w14:textId="77777777">
        <w:trPr>
          <w:trHeight w:val="348"/>
        </w:trPr>
        <w:tc>
          <w:tcPr>
            <w:tcW w:w="9558" w:type="dxa"/>
            <w:gridSpan w:val="4"/>
          </w:tcPr>
          <w:p w14:paraId="7E26D575" w14:textId="77777777" w:rsidR="001439E0" w:rsidRDefault="008A23E0" w:rsidP="009E2156">
            <w:pPr>
              <w:pStyle w:val="TableParagraph"/>
              <w:pageBreakBefore/>
              <w:spacing w:before="4"/>
              <w:ind w:left="108"/>
              <w:rPr>
                <w:b/>
                <w:sz w:val="20"/>
              </w:rPr>
            </w:pPr>
            <w:r>
              <w:rPr>
                <w:b/>
                <w:sz w:val="20"/>
              </w:rPr>
              <w:lastRenderedPageBreak/>
              <w:t>Endothelin Receptor Antagonists</w:t>
            </w:r>
          </w:p>
        </w:tc>
      </w:tr>
      <w:tr w:rsidR="001439E0" w14:paraId="7E26D57D" w14:textId="77777777">
        <w:trPr>
          <w:trHeight w:val="518"/>
        </w:trPr>
        <w:tc>
          <w:tcPr>
            <w:tcW w:w="2088" w:type="dxa"/>
            <w:tcBorders>
              <w:bottom w:val="nil"/>
            </w:tcBorders>
          </w:tcPr>
          <w:p w14:paraId="7E26D578" w14:textId="77777777" w:rsidR="001439E0" w:rsidRDefault="008A23E0">
            <w:pPr>
              <w:pStyle w:val="TableParagraph"/>
              <w:spacing w:before="4"/>
              <w:ind w:left="107"/>
              <w:rPr>
                <w:sz w:val="20"/>
              </w:rPr>
            </w:pPr>
            <w:proofErr w:type="spellStart"/>
            <w:r>
              <w:rPr>
                <w:sz w:val="20"/>
              </w:rPr>
              <w:t>bosentan</w:t>
            </w:r>
            <w:proofErr w:type="spellEnd"/>
          </w:p>
        </w:tc>
        <w:tc>
          <w:tcPr>
            <w:tcW w:w="1284" w:type="dxa"/>
            <w:tcBorders>
              <w:bottom w:val="nil"/>
              <w:right w:val="nil"/>
            </w:tcBorders>
          </w:tcPr>
          <w:p w14:paraId="7E26D579" w14:textId="77777777" w:rsidR="001439E0" w:rsidRDefault="008A23E0">
            <w:pPr>
              <w:pStyle w:val="TableParagraph"/>
              <w:ind w:left="107" w:right="218"/>
              <w:rPr>
                <w:sz w:val="20"/>
              </w:rPr>
            </w:pPr>
            <w:r>
              <w:rPr>
                <w:sz w:val="20"/>
              </w:rPr>
              <w:t>Interaction studied.</w:t>
            </w:r>
          </w:p>
        </w:tc>
        <w:tc>
          <w:tcPr>
            <w:tcW w:w="461" w:type="dxa"/>
            <w:tcBorders>
              <w:left w:val="nil"/>
              <w:bottom w:val="nil"/>
            </w:tcBorders>
          </w:tcPr>
          <w:p w14:paraId="7E26D57A" w14:textId="77777777" w:rsidR="001439E0" w:rsidRDefault="008A23E0">
            <w:pPr>
              <w:pStyle w:val="TableParagraph"/>
              <w:ind w:left="59" w:right="77"/>
              <w:jc w:val="center"/>
              <w:rPr>
                <w:sz w:val="20"/>
              </w:rPr>
            </w:pPr>
            <w:r>
              <w:rPr>
                <w:sz w:val="20"/>
              </w:rPr>
              <w:t>not</w:t>
            </w:r>
          </w:p>
        </w:tc>
        <w:tc>
          <w:tcPr>
            <w:tcW w:w="5725" w:type="dxa"/>
            <w:tcBorders>
              <w:bottom w:val="nil"/>
            </w:tcBorders>
          </w:tcPr>
          <w:p w14:paraId="7E26D57B" w14:textId="77777777" w:rsidR="001439E0" w:rsidRDefault="008A23E0">
            <w:pPr>
              <w:pStyle w:val="TableParagraph"/>
              <w:spacing w:before="4"/>
              <w:ind w:left="107"/>
              <w:rPr>
                <w:sz w:val="20"/>
              </w:rPr>
            </w:pPr>
            <w:r>
              <w:rPr>
                <w:sz w:val="20"/>
              </w:rPr>
              <w:t>Co-administration should be avoided. If co-administration</w:t>
            </w:r>
          </w:p>
          <w:p w14:paraId="7E26D57C" w14:textId="77777777" w:rsidR="001439E0" w:rsidRDefault="008A23E0">
            <w:pPr>
              <w:pStyle w:val="TableParagraph"/>
              <w:spacing w:before="34"/>
              <w:ind w:left="107"/>
              <w:rPr>
                <w:sz w:val="20"/>
              </w:rPr>
            </w:pPr>
            <w:r>
              <w:rPr>
                <w:sz w:val="20"/>
              </w:rPr>
              <w:t>cannot be avoided, one tablet of doravirine should be taken</w:t>
            </w:r>
          </w:p>
        </w:tc>
      </w:tr>
      <w:tr w:rsidR="001439E0" w14:paraId="7E26D583" w14:textId="77777777">
        <w:trPr>
          <w:trHeight w:val="851"/>
        </w:trPr>
        <w:tc>
          <w:tcPr>
            <w:tcW w:w="2088" w:type="dxa"/>
            <w:tcBorders>
              <w:top w:val="nil"/>
              <w:bottom w:val="nil"/>
            </w:tcBorders>
          </w:tcPr>
          <w:p w14:paraId="7E26D57E" w14:textId="77777777" w:rsidR="001439E0" w:rsidRDefault="001439E0">
            <w:pPr>
              <w:pStyle w:val="TableParagraph"/>
              <w:rPr>
                <w:rFonts w:ascii="Times New Roman"/>
                <w:sz w:val="20"/>
              </w:rPr>
            </w:pPr>
          </w:p>
        </w:tc>
        <w:tc>
          <w:tcPr>
            <w:tcW w:w="1284" w:type="dxa"/>
            <w:tcBorders>
              <w:top w:val="nil"/>
              <w:bottom w:val="nil"/>
              <w:right w:val="nil"/>
            </w:tcBorders>
          </w:tcPr>
          <w:p w14:paraId="7E26D57F" w14:textId="77777777" w:rsidR="001439E0" w:rsidRDefault="008A23E0">
            <w:pPr>
              <w:pStyle w:val="TableParagraph"/>
              <w:spacing w:before="141"/>
              <w:ind w:left="107"/>
              <w:rPr>
                <w:sz w:val="20"/>
              </w:rPr>
            </w:pPr>
            <w:r>
              <w:rPr>
                <w:sz w:val="20"/>
              </w:rPr>
              <w:t>Expected:</w:t>
            </w:r>
          </w:p>
          <w:p w14:paraId="7E26D580" w14:textId="77777777" w:rsidR="001439E0" w:rsidRDefault="008A23E0">
            <w:pPr>
              <w:pStyle w:val="TableParagraph"/>
              <w:spacing w:before="1"/>
              <w:ind w:left="107" w:right="51"/>
              <w:rPr>
                <w:sz w:val="20"/>
              </w:rPr>
            </w:pPr>
            <w:r>
              <w:rPr>
                <w:sz w:val="20"/>
              </w:rPr>
              <w:t>↓ doravirine (Induction of</w:t>
            </w:r>
          </w:p>
        </w:tc>
        <w:tc>
          <w:tcPr>
            <w:tcW w:w="461" w:type="dxa"/>
            <w:tcBorders>
              <w:top w:val="nil"/>
              <w:left w:val="nil"/>
              <w:bottom w:val="nil"/>
            </w:tcBorders>
          </w:tcPr>
          <w:p w14:paraId="7E26D581" w14:textId="77777777" w:rsidR="001439E0" w:rsidRDefault="001439E0">
            <w:pPr>
              <w:pStyle w:val="TableParagraph"/>
              <w:rPr>
                <w:rFonts w:ascii="Times New Roman"/>
                <w:sz w:val="20"/>
              </w:rPr>
            </w:pPr>
          </w:p>
        </w:tc>
        <w:tc>
          <w:tcPr>
            <w:tcW w:w="5725" w:type="dxa"/>
            <w:tcBorders>
              <w:top w:val="nil"/>
              <w:bottom w:val="nil"/>
            </w:tcBorders>
          </w:tcPr>
          <w:p w14:paraId="7E26D582" w14:textId="77777777" w:rsidR="001439E0" w:rsidRDefault="008A23E0">
            <w:pPr>
              <w:pStyle w:val="TableParagraph"/>
              <w:spacing w:before="14"/>
              <w:ind w:left="107"/>
              <w:rPr>
                <w:sz w:val="20"/>
              </w:rPr>
            </w:pPr>
            <w:r>
              <w:rPr>
                <w:sz w:val="20"/>
              </w:rPr>
              <w:t>twice daily (approximately 12 hours apart).</w:t>
            </w:r>
          </w:p>
        </w:tc>
      </w:tr>
      <w:tr w:rsidR="001439E0" w14:paraId="7E26D588" w14:textId="77777777">
        <w:trPr>
          <w:trHeight w:val="278"/>
        </w:trPr>
        <w:tc>
          <w:tcPr>
            <w:tcW w:w="2088" w:type="dxa"/>
            <w:tcBorders>
              <w:top w:val="nil"/>
            </w:tcBorders>
          </w:tcPr>
          <w:p w14:paraId="7E26D584" w14:textId="77777777" w:rsidR="001439E0" w:rsidRDefault="001439E0">
            <w:pPr>
              <w:pStyle w:val="TableParagraph"/>
              <w:rPr>
                <w:rFonts w:ascii="Times New Roman"/>
                <w:sz w:val="20"/>
              </w:rPr>
            </w:pPr>
          </w:p>
        </w:tc>
        <w:tc>
          <w:tcPr>
            <w:tcW w:w="1284" w:type="dxa"/>
            <w:tcBorders>
              <w:top w:val="nil"/>
              <w:right w:val="nil"/>
            </w:tcBorders>
          </w:tcPr>
          <w:p w14:paraId="7E26D585" w14:textId="77777777" w:rsidR="001439E0" w:rsidRDefault="008A23E0">
            <w:pPr>
              <w:pStyle w:val="TableParagraph"/>
              <w:spacing w:before="14"/>
              <w:ind w:left="107"/>
              <w:rPr>
                <w:sz w:val="20"/>
              </w:rPr>
            </w:pPr>
            <w:r>
              <w:rPr>
                <w:sz w:val="20"/>
              </w:rPr>
              <w:t>CYP3A)</w:t>
            </w:r>
          </w:p>
        </w:tc>
        <w:tc>
          <w:tcPr>
            <w:tcW w:w="461" w:type="dxa"/>
            <w:tcBorders>
              <w:top w:val="nil"/>
              <w:left w:val="nil"/>
            </w:tcBorders>
          </w:tcPr>
          <w:p w14:paraId="7E26D586" w14:textId="77777777" w:rsidR="001439E0" w:rsidRDefault="001439E0">
            <w:pPr>
              <w:pStyle w:val="TableParagraph"/>
              <w:rPr>
                <w:rFonts w:ascii="Times New Roman"/>
                <w:sz w:val="20"/>
              </w:rPr>
            </w:pPr>
          </w:p>
        </w:tc>
        <w:tc>
          <w:tcPr>
            <w:tcW w:w="5725" w:type="dxa"/>
            <w:tcBorders>
              <w:top w:val="nil"/>
            </w:tcBorders>
          </w:tcPr>
          <w:p w14:paraId="7E26D587" w14:textId="77777777" w:rsidR="001439E0" w:rsidRDefault="001439E0">
            <w:pPr>
              <w:pStyle w:val="TableParagraph"/>
              <w:rPr>
                <w:rFonts w:ascii="Times New Roman"/>
                <w:sz w:val="20"/>
              </w:rPr>
            </w:pPr>
          </w:p>
        </w:tc>
      </w:tr>
      <w:tr w:rsidR="001439E0" w14:paraId="7E26D58A" w14:textId="77777777">
        <w:trPr>
          <w:trHeight w:val="348"/>
        </w:trPr>
        <w:tc>
          <w:tcPr>
            <w:tcW w:w="9558" w:type="dxa"/>
            <w:gridSpan w:val="4"/>
          </w:tcPr>
          <w:p w14:paraId="7E26D589" w14:textId="77777777" w:rsidR="001439E0" w:rsidRDefault="008A23E0">
            <w:pPr>
              <w:pStyle w:val="TableParagraph"/>
              <w:spacing w:before="5"/>
              <w:ind w:left="107"/>
              <w:rPr>
                <w:b/>
                <w:sz w:val="20"/>
              </w:rPr>
            </w:pPr>
            <w:r>
              <w:rPr>
                <w:b/>
                <w:sz w:val="20"/>
              </w:rPr>
              <w:t>Kinase Inhibitors</w:t>
            </w:r>
          </w:p>
        </w:tc>
      </w:tr>
      <w:tr w:rsidR="001439E0" w14:paraId="7E26D590" w14:textId="77777777">
        <w:trPr>
          <w:trHeight w:val="571"/>
        </w:trPr>
        <w:tc>
          <w:tcPr>
            <w:tcW w:w="2088" w:type="dxa"/>
            <w:tcBorders>
              <w:bottom w:val="nil"/>
            </w:tcBorders>
          </w:tcPr>
          <w:p w14:paraId="7E26D58B" w14:textId="77777777" w:rsidR="001439E0" w:rsidRDefault="008A23E0">
            <w:pPr>
              <w:pStyle w:val="TableParagraph"/>
              <w:spacing w:before="4"/>
              <w:ind w:left="107"/>
              <w:rPr>
                <w:sz w:val="20"/>
              </w:rPr>
            </w:pPr>
            <w:proofErr w:type="spellStart"/>
            <w:r>
              <w:rPr>
                <w:sz w:val="20"/>
              </w:rPr>
              <w:t>dabrafenib</w:t>
            </w:r>
            <w:proofErr w:type="spellEnd"/>
          </w:p>
        </w:tc>
        <w:tc>
          <w:tcPr>
            <w:tcW w:w="1284" w:type="dxa"/>
            <w:tcBorders>
              <w:bottom w:val="nil"/>
              <w:right w:val="nil"/>
            </w:tcBorders>
          </w:tcPr>
          <w:p w14:paraId="7E26D58C" w14:textId="77777777" w:rsidR="001439E0" w:rsidRDefault="008A23E0">
            <w:pPr>
              <w:pStyle w:val="TableParagraph"/>
              <w:ind w:left="107" w:right="218"/>
              <w:rPr>
                <w:sz w:val="20"/>
              </w:rPr>
            </w:pPr>
            <w:r>
              <w:rPr>
                <w:sz w:val="20"/>
              </w:rPr>
              <w:t>Interaction studied.</w:t>
            </w:r>
          </w:p>
        </w:tc>
        <w:tc>
          <w:tcPr>
            <w:tcW w:w="461" w:type="dxa"/>
            <w:tcBorders>
              <w:left w:val="nil"/>
              <w:bottom w:val="nil"/>
            </w:tcBorders>
          </w:tcPr>
          <w:p w14:paraId="7E26D58D" w14:textId="77777777" w:rsidR="001439E0" w:rsidRDefault="008A23E0">
            <w:pPr>
              <w:pStyle w:val="TableParagraph"/>
              <w:ind w:left="59" w:right="77"/>
              <w:jc w:val="center"/>
              <w:rPr>
                <w:sz w:val="20"/>
              </w:rPr>
            </w:pPr>
            <w:r>
              <w:rPr>
                <w:sz w:val="20"/>
              </w:rPr>
              <w:t>not</w:t>
            </w:r>
          </w:p>
        </w:tc>
        <w:tc>
          <w:tcPr>
            <w:tcW w:w="5725" w:type="dxa"/>
            <w:tcBorders>
              <w:bottom w:val="nil"/>
            </w:tcBorders>
          </w:tcPr>
          <w:p w14:paraId="7E26D58E" w14:textId="77777777" w:rsidR="001439E0" w:rsidRDefault="008A23E0">
            <w:pPr>
              <w:pStyle w:val="TableParagraph"/>
              <w:spacing w:before="3"/>
              <w:ind w:left="107"/>
            </w:pPr>
            <w:r>
              <w:t>Co-administration should be avoided. If co-</w:t>
            </w:r>
          </w:p>
          <w:p w14:paraId="7E26D58F" w14:textId="77777777" w:rsidR="001439E0" w:rsidRDefault="008A23E0">
            <w:pPr>
              <w:pStyle w:val="TableParagraph"/>
              <w:spacing w:before="39"/>
              <w:ind w:left="107"/>
            </w:pPr>
            <w:r>
              <w:t xml:space="preserve">administration cannot be avoided, </w:t>
            </w:r>
            <w:r>
              <w:rPr>
                <w:color w:val="1A1A1A"/>
              </w:rPr>
              <w:t>one tablet of</w:t>
            </w:r>
          </w:p>
        </w:tc>
      </w:tr>
      <w:tr w:rsidR="001439E0" w14:paraId="7E26D596" w14:textId="77777777">
        <w:trPr>
          <w:trHeight w:val="799"/>
        </w:trPr>
        <w:tc>
          <w:tcPr>
            <w:tcW w:w="2088" w:type="dxa"/>
            <w:tcBorders>
              <w:top w:val="nil"/>
              <w:bottom w:val="nil"/>
            </w:tcBorders>
          </w:tcPr>
          <w:p w14:paraId="7E26D591" w14:textId="77777777" w:rsidR="001439E0" w:rsidRDefault="001439E0">
            <w:pPr>
              <w:pStyle w:val="TableParagraph"/>
              <w:rPr>
                <w:rFonts w:ascii="Times New Roman"/>
                <w:sz w:val="20"/>
              </w:rPr>
            </w:pPr>
          </w:p>
        </w:tc>
        <w:tc>
          <w:tcPr>
            <w:tcW w:w="1284" w:type="dxa"/>
            <w:tcBorders>
              <w:top w:val="nil"/>
              <w:bottom w:val="nil"/>
              <w:right w:val="nil"/>
            </w:tcBorders>
          </w:tcPr>
          <w:p w14:paraId="7E26D592" w14:textId="77777777" w:rsidR="001439E0" w:rsidRDefault="008A23E0">
            <w:pPr>
              <w:pStyle w:val="TableParagraph"/>
              <w:spacing w:before="89"/>
              <w:ind w:left="107"/>
              <w:rPr>
                <w:sz w:val="20"/>
              </w:rPr>
            </w:pPr>
            <w:r>
              <w:rPr>
                <w:sz w:val="20"/>
              </w:rPr>
              <w:t>Expected:</w:t>
            </w:r>
          </w:p>
          <w:p w14:paraId="7E26D593" w14:textId="77777777" w:rsidR="001439E0" w:rsidRDefault="008A23E0">
            <w:pPr>
              <w:pStyle w:val="TableParagraph"/>
              <w:spacing w:before="1"/>
              <w:ind w:left="107" w:right="51"/>
              <w:rPr>
                <w:sz w:val="20"/>
              </w:rPr>
            </w:pPr>
            <w:r>
              <w:rPr>
                <w:sz w:val="20"/>
              </w:rPr>
              <w:t>↓ doravirine (Induction of</w:t>
            </w:r>
          </w:p>
        </w:tc>
        <w:tc>
          <w:tcPr>
            <w:tcW w:w="461" w:type="dxa"/>
            <w:tcBorders>
              <w:top w:val="nil"/>
              <w:left w:val="nil"/>
              <w:bottom w:val="nil"/>
            </w:tcBorders>
          </w:tcPr>
          <w:p w14:paraId="7E26D594" w14:textId="77777777" w:rsidR="001439E0" w:rsidRDefault="001439E0">
            <w:pPr>
              <w:pStyle w:val="TableParagraph"/>
              <w:rPr>
                <w:rFonts w:ascii="Times New Roman"/>
                <w:sz w:val="20"/>
              </w:rPr>
            </w:pPr>
          </w:p>
        </w:tc>
        <w:tc>
          <w:tcPr>
            <w:tcW w:w="5725" w:type="dxa"/>
            <w:tcBorders>
              <w:top w:val="nil"/>
              <w:bottom w:val="nil"/>
            </w:tcBorders>
          </w:tcPr>
          <w:p w14:paraId="7E26D595" w14:textId="77777777" w:rsidR="001439E0" w:rsidRDefault="008A23E0">
            <w:pPr>
              <w:pStyle w:val="TableParagraph"/>
              <w:spacing w:before="15" w:line="276" w:lineRule="auto"/>
              <w:ind w:left="107" w:right="121"/>
            </w:pPr>
            <w:r>
              <w:rPr>
                <w:color w:val="1A1A1A"/>
              </w:rPr>
              <w:t>doravirine should be taken twice daily (approximately 12 hours apart)</w:t>
            </w:r>
            <w:r>
              <w:t>.</w:t>
            </w:r>
          </w:p>
        </w:tc>
      </w:tr>
      <w:tr w:rsidR="001439E0" w14:paraId="7E26D59B" w14:textId="77777777">
        <w:trPr>
          <w:trHeight w:val="279"/>
        </w:trPr>
        <w:tc>
          <w:tcPr>
            <w:tcW w:w="2088" w:type="dxa"/>
            <w:tcBorders>
              <w:top w:val="nil"/>
            </w:tcBorders>
          </w:tcPr>
          <w:p w14:paraId="7E26D597" w14:textId="77777777" w:rsidR="001439E0" w:rsidRDefault="001439E0">
            <w:pPr>
              <w:pStyle w:val="TableParagraph"/>
              <w:rPr>
                <w:rFonts w:ascii="Times New Roman"/>
                <w:sz w:val="20"/>
              </w:rPr>
            </w:pPr>
          </w:p>
        </w:tc>
        <w:tc>
          <w:tcPr>
            <w:tcW w:w="1284" w:type="dxa"/>
            <w:tcBorders>
              <w:top w:val="nil"/>
              <w:right w:val="nil"/>
            </w:tcBorders>
          </w:tcPr>
          <w:p w14:paraId="7E26D598" w14:textId="77777777" w:rsidR="001439E0" w:rsidRDefault="008A23E0">
            <w:pPr>
              <w:pStyle w:val="TableParagraph"/>
              <w:spacing w:before="14"/>
              <w:ind w:left="107"/>
              <w:rPr>
                <w:sz w:val="20"/>
              </w:rPr>
            </w:pPr>
            <w:r>
              <w:rPr>
                <w:sz w:val="20"/>
              </w:rPr>
              <w:t>CYP3A)</w:t>
            </w:r>
          </w:p>
        </w:tc>
        <w:tc>
          <w:tcPr>
            <w:tcW w:w="461" w:type="dxa"/>
            <w:tcBorders>
              <w:top w:val="nil"/>
              <w:left w:val="nil"/>
            </w:tcBorders>
          </w:tcPr>
          <w:p w14:paraId="7E26D599" w14:textId="77777777" w:rsidR="001439E0" w:rsidRDefault="001439E0">
            <w:pPr>
              <w:pStyle w:val="TableParagraph"/>
              <w:rPr>
                <w:rFonts w:ascii="Times New Roman"/>
                <w:sz w:val="20"/>
              </w:rPr>
            </w:pPr>
          </w:p>
        </w:tc>
        <w:tc>
          <w:tcPr>
            <w:tcW w:w="5725" w:type="dxa"/>
            <w:tcBorders>
              <w:top w:val="nil"/>
            </w:tcBorders>
          </w:tcPr>
          <w:p w14:paraId="7E26D59A" w14:textId="77777777" w:rsidR="001439E0" w:rsidRDefault="001439E0">
            <w:pPr>
              <w:pStyle w:val="TableParagraph"/>
              <w:rPr>
                <w:rFonts w:ascii="Times New Roman"/>
                <w:sz w:val="20"/>
              </w:rPr>
            </w:pPr>
          </w:p>
        </w:tc>
      </w:tr>
      <w:tr w:rsidR="001439E0" w14:paraId="7E26D59D" w14:textId="77777777">
        <w:trPr>
          <w:trHeight w:val="347"/>
        </w:trPr>
        <w:tc>
          <w:tcPr>
            <w:tcW w:w="9558" w:type="dxa"/>
            <w:gridSpan w:val="4"/>
          </w:tcPr>
          <w:p w14:paraId="7E26D59C" w14:textId="77777777" w:rsidR="001439E0" w:rsidRDefault="008A23E0">
            <w:pPr>
              <w:pStyle w:val="TableParagraph"/>
              <w:spacing w:before="4"/>
              <w:ind w:left="107"/>
              <w:rPr>
                <w:b/>
                <w:sz w:val="20"/>
              </w:rPr>
            </w:pPr>
            <w:proofErr w:type="spellStart"/>
            <w:r>
              <w:rPr>
                <w:b/>
                <w:sz w:val="20"/>
              </w:rPr>
              <w:t>Pscychostimulants</w:t>
            </w:r>
            <w:proofErr w:type="spellEnd"/>
          </w:p>
        </w:tc>
      </w:tr>
      <w:tr w:rsidR="001439E0" w14:paraId="7E26D5A3" w14:textId="77777777">
        <w:trPr>
          <w:trHeight w:val="571"/>
        </w:trPr>
        <w:tc>
          <w:tcPr>
            <w:tcW w:w="2088" w:type="dxa"/>
            <w:tcBorders>
              <w:bottom w:val="nil"/>
            </w:tcBorders>
          </w:tcPr>
          <w:p w14:paraId="7E26D59E" w14:textId="77777777" w:rsidR="001439E0" w:rsidRDefault="008A23E0">
            <w:pPr>
              <w:pStyle w:val="TableParagraph"/>
              <w:spacing w:before="5"/>
              <w:ind w:left="107"/>
              <w:rPr>
                <w:sz w:val="20"/>
              </w:rPr>
            </w:pPr>
            <w:proofErr w:type="spellStart"/>
            <w:r>
              <w:rPr>
                <w:sz w:val="20"/>
              </w:rPr>
              <w:t>modafinil</w:t>
            </w:r>
            <w:proofErr w:type="spellEnd"/>
          </w:p>
        </w:tc>
        <w:tc>
          <w:tcPr>
            <w:tcW w:w="1284" w:type="dxa"/>
            <w:tcBorders>
              <w:bottom w:val="nil"/>
              <w:right w:val="nil"/>
            </w:tcBorders>
          </w:tcPr>
          <w:p w14:paraId="7E26D59F" w14:textId="77777777" w:rsidR="001439E0" w:rsidRDefault="008A23E0">
            <w:pPr>
              <w:pStyle w:val="TableParagraph"/>
              <w:ind w:left="107" w:right="218"/>
              <w:rPr>
                <w:sz w:val="20"/>
              </w:rPr>
            </w:pPr>
            <w:r>
              <w:rPr>
                <w:sz w:val="20"/>
              </w:rPr>
              <w:t>Interaction studied.</w:t>
            </w:r>
          </w:p>
        </w:tc>
        <w:tc>
          <w:tcPr>
            <w:tcW w:w="461" w:type="dxa"/>
            <w:tcBorders>
              <w:left w:val="nil"/>
              <w:bottom w:val="nil"/>
            </w:tcBorders>
          </w:tcPr>
          <w:p w14:paraId="7E26D5A0" w14:textId="77777777" w:rsidR="001439E0" w:rsidRDefault="008A23E0">
            <w:pPr>
              <w:pStyle w:val="TableParagraph"/>
              <w:ind w:left="59" w:right="77"/>
              <w:jc w:val="center"/>
              <w:rPr>
                <w:sz w:val="20"/>
              </w:rPr>
            </w:pPr>
            <w:r>
              <w:rPr>
                <w:sz w:val="20"/>
              </w:rPr>
              <w:t>not</w:t>
            </w:r>
          </w:p>
        </w:tc>
        <w:tc>
          <w:tcPr>
            <w:tcW w:w="5725" w:type="dxa"/>
            <w:tcBorders>
              <w:bottom w:val="nil"/>
            </w:tcBorders>
          </w:tcPr>
          <w:p w14:paraId="7E26D5A1" w14:textId="77777777" w:rsidR="001439E0" w:rsidRDefault="008A23E0">
            <w:pPr>
              <w:pStyle w:val="TableParagraph"/>
              <w:spacing w:before="4"/>
              <w:ind w:left="107"/>
            </w:pPr>
            <w:r>
              <w:t>Co-administration should be avoided. If co-</w:t>
            </w:r>
          </w:p>
          <w:p w14:paraId="7E26D5A2" w14:textId="77777777" w:rsidR="001439E0" w:rsidRDefault="008A23E0">
            <w:pPr>
              <w:pStyle w:val="TableParagraph"/>
              <w:spacing w:before="38"/>
              <w:ind w:left="107"/>
            </w:pPr>
            <w:r>
              <w:t xml:space="preserve">administration cannot be avoided, </w:t>
            </w:r>
            <w:r>
              <w:rPr>
                <w:color w:val="1A1A1A"/>
              </w:rPr>
              <w:t>one tablet of</w:t>
            </w:r>
          </w:p>
        </w:tc>
      </w:tr>
      <w:tr w:rsidR="001439E0" w14:paraId="7E26D5A9" w14:textId="77777777">
        <w:trPr>
          <w:trHeight w:val="799"/>
        </w:trPr>
        <w:tc>
          <w:tcPr>
            <w:tcW w:w="2088" w:type="dxa"/>
            <w:tcBorders>
              <w:top w:val="nil"/>
              <w:bottom w:val="nil"/>
            </w:tcBorders>
          </w:tcPr>
          <w:p w14:paraId="7E26D5A4" w14:textId="77777777" w:rsidR="001439E0" w:rsidRDefault="001439E0">
            <w:pPr>
              <w:pStyle w:val="TableParagraph"/>
              <w:rPr>
                <w:rFonts w:ascii="Times New Roman"/>
                <w:sz w:val="20"/>
              </w:rPr>
            </w:pPr>
          </w:p>
        </w:tc>
        <w:tc>
          <w:tcPr>
            <w:tcW w:w="1284" w:type="dxa"/>
            <w:tcBorders>
              <w:top w:val="nil"/>
              <w:bottom w:val="nil"/>
              <w:right w:val="nil"/>
            </w:tcBorders>
          </w:tcPr>
          <w:p w14:paraId="7E26D5A5" w14:textId="77777777" w:rsidR="001439E0" w:rsidRDefault="008A23E0">
            <w:pPr>
              <w:pStyle w:val="TableParagraph"/>
              <w:spacing w:before="89"/>
              <w:ind w:left="107"/>
              <w:rPr>
                <w:sz w:val="20"/>
              </w:rPr>
            </w:pPr>
            <w:r>
              <w:rPr>
                <w:sz w:val="20"/>
              </w:rPr>
              <w:t>Expected:</w:t>
            </w:r>
          </w:p>
          <w:p w14:paraId="7E26D5A6" w14:textId="77777777" w:rsidR="001439E0" w:rsidRDefault="008A23E0">
            <w:pPr>
              <w:pStyle w:val="TableParagraph"/>
              <w:spacing w:before="1"/>
              <w:ind w:left="107" w:right="51"/>
              <w:rPr>
                <w:sz w:val="20"/>
              </w:rPr>
            </w:pPr>
            <w:r>
              <w:rPr>
                <w:sz w:val="20"/>
              </w:rPr>
              <w:t>↓ doravirine (Induction of</w:t>
            </w:r>
          </w:p>
        </w:tc>
        <w:tc>
          <w:tcPr>
            <w:tcW w:w="461" w:type="dxa"/>
            <w:tcBorders>
              <w:top w:val="nil"/>
              <w:left w:val="nil"/>
              <w:bottom w:val="nil"/>
            </w:tcBorders>
          </w:tcPr>
          <w:p w14:paraId="7E26D5A7" w14:textId="77777777" w:rsidR="001439E0" w:rsidRDefault="001439E0">
            <w:pPr>
              <w:pStyle w:val="TableParagraph"/>
              <w:rPr>
                <w:rFonts w:ascii="Times New Roman"/>
                <w:sz w:val="20"/>
              </w:rPr>
            </w:pPr>
          </w:p>
        </w:tc>
        <w:tc>
          <w:tcPr>
            <w:tcW w:w="5725" w:type="dxa"/>
            <w:tcBorders>
              <w:top w:val="nil"/>
              <w:bottom w:val="nil"/>
            </w:tcBorders>
          </w:tcPr>
          <w:p w14:paraId="7E26D5A8" w14:textId="77777777" w:rsidR="001439E0" w:rsidRDefault="008A23E0">
            <w:pPr>
              <w:pStyle w:val="TableParagraph"/>
              <w:spacing w:before="15" w:line="276" w:lineRule="auto"/>
              <w:ind w:left="107" w:right="121"/>
            </w:pPr>
            <w:r>
              <w:rPr>
                <w:color w:val="1A1A1A"/>
              </w:rPr>
              <w:t>doravirine should be taken twice daily (approximately 12 hours apart)</w:t>
            </w:r>
            <w:r>
              <w:t>.</w:t>
            </w:r>
          </w:p>
        </w:tc>
      </w:tr>
      <w:tr w:rsidR="001439E0" w14:paraId="7E26D5AE" w14:textId="77777777">
        <w:trPr>
          <w:trHeight w:val="279"/>
        </w:trPr>
        <w:tc>
          <w:tcPr>
            <w:tcW w:w="2088" w:type="dxa"/>
            <w:tcBorders>
              <w:top w:val="nil"/>
            </w:tcBorders>
          </w:tcPr>
          <w:p w14:paraId="7E26D5AA" w14:textId="77777777" w:rsidR="001439E0" w:rsidRDefault="001439E0">
            <w:pPr>
              <w:pStyle w:val="TableParagraph"/>
              <w:rPr>
                <w:rFonts w:ascii="Times New Roman"/>
                <w:sz w:val="20"/>
              </w:rPr>
            </w:pPr>
          </w:p>
        </w:tc>
        <w:tc>
          <w:tcPr>
            <w:tcW w:w="1284" w:type="dxa"/>
            <w:tcBorders>
              <w:top w:val="nil"/>
              <w:right w:val="nil"/>
            </w:tcBorders>
          </w:tcPr>
          <w:p w14:paraId="7E26D5AB" w14:textId="77777777" w:rsidR="001439E0" w:rsidRDefault="008A23E0">
            <w:pPr>
              <w:pStyle w:val="TableParagraph"/>
              <w:spacing w:before="14"/>
              <w:ind w:left="107"/>
              <w:rPr>
                <w:sz w:val="20"/>
              </w:rPr>
            </w:pPr>
            <w:r>
              <w:rPr>
                <w:sz w:val="20"/>
              </w:rPr>
              <w:t>CYP3A)</w:t>
            </w:r>
          </w:p>
        </w:tc>
        <w:tc>
          <w:tcPr>
            <w:tcW w:w="461" w:type="dxa"/>
            <w:tcBorders>
              <w:top w:val="nil"/>
              <w:left w:val="nil"/>
            </w:tcBorders>
          </w:tcPr>
          <w:p w14:paraId="7E26D5AC" w14:textId="77777777" w:rsidR="001439E0" w:rsidRDefault="001439E0">
            <w:pPr>
              <w:pStyle w:val="TableParagraph"/>
              <w:rPr>
                <w:rFonts w:ascii="Times New Roman"/>
                <w:sz w:val="20"/>
              </w:rPr>
            </w:pPr>
          </w:p>
        </w:tc>
        <w:tc>
          <w:tcPr>
            <w:tcW w:w="5725" w:type="dxa"/>
            <w:tcBorders>
              <w:top w:val="nil"/>
            </w:tcBorders>
          </w:tcPr>
          <w:p w14:paraId="7E26D5AD" w14:textId="77777777" w:rsidR="001439E0" w:rsidRDefault="001439E0">
            <w:pPr>
              <w:pStyle w:val="TableParagraph"/>
              <w:rPr>
                <w:rFonts w:ascii="Times New Roman"/>
                <w:sz w:val="20"/>
              </w:rPr>
            </w:pPr>
          </w:p>
        </w:tc>
      </w:tr>
      <w:tr w:rsidR="001439E0" w14:paraId="7E26D5B4" w14:textId="77777777">
        <w:trPr>
          <w:trHeight w:val="1400"/>
        </w:trPr>
        <w:tc>
          <w:tcPr>
            <w:tcW w:w="9558" w:type="dxa"/>
            <w:gridSpan w:val="4"/>
          </w:tcPr>
          <w:p w14:paraId="7E26D5AF" w14:textId="77777777" w:rsidR="001439E0" w:rsidRDefault="008A23E0">
            <w:pPr>
              <w:pStyle w:val="TableParagraph"/>
              <w:spacing w:before="4"/>
              <w:ind w:left="107"/>
              <w:rPr>
                <w:sz w:val="20"/>
              </w:rPr>
            </w:pPr>
            <w:r>
              <w:rPr>
                <w:sz w:val="20"/>
              </w:rPr>
              <w:t>↑ = increase, ↓ = decrease, ↔ = no change</w:t>
            </w:r>
          </w:p>
          <w:p w14:paraId="7E26D5B0" w14:textId="77777777" w:rsidR="001439E0" w:rsidRDefault="008A23E0">
            <w:pPr>
              <w:pStyle w:val="TableParagraph"/>
              <w:spacing w:before="4" w:line="230" w:lineRule="exact"/>
              <w:ind w:left="107"/>
              <w:rPr>
                <w:sz w:val="20"/>
              </w:rPr>
            </w:pPr>
            <w:r>
              <w:rPr>
                <w:sz w:val="20"/>
              </w:rPr>
              <w:t>*The interaction between PIFELTRO and the drug was evaluated in a clinical study.</w:t>
            </w:r>
          </w:p>
          <w:p w14:paraId="7E26D5B1" w14:textId="77777777" w:rsidR="001439E0" w:rsidRDefault="008A23E0">
            <w:pPr>
              <w:pStyle w:val="TableParagraph"/>
              <w:ind w:left="107"/>
              <w:rPr>
                <w:sz w:val="20"/>
              </w:rPr>
            </w:pPr>
            <w:r>
              <w:rPr>
                <w:position w:val="7"/>
                <w:sz w:val="13"/>
              </w:rPr>
              <w:t>†</w:t>
            </w:r>
            <w:r>
              <w:rPr>
                <w:sz w:val="20"/>
              </w:rPr>
              <w:t>The interaction was evaluated with ritonavir only.</w:t>
            </w:r>
          </w:p>
          <w:p w14:paraId="7E26D5B2" w14:textId="77777777" w:rsidR="001439E0" w:rsidRDefault="008A23E0">
            <w:pPr>
              <w:pStyle w:val="TableParagraph"/>
              <w:spacing w:before="4"/>
              <w:ind w:left="107"/>
              <w:rPr>
                <w:sz w:val="20"/>
              </w:rPr>
            </w:pPr>
            <w:r>
              <w:rPr>
                <w:sz w:val="20"/>
              </w:rPr>
              <w:t>All other drug-drug interactions shown are anticipated based on the known metabolic and elimination pathways.</w:t>
            </w:r>
          </w:p>
          <w:p w14:paraId="7E26D5B3" w14:textId="77777777" w:rsidR="001439E0" w:rsidRDefault="008A23E0">
            <w:pPr>
              <w:pStyle w:val="TableParagraph"/>
              <w:spacing w:before="4" w:line="209" w:lineRule="exact"/>
              <w:ind w:left="107"/>
              <w:rPr>
                <w:sz w:val="20"/>
              </w:rPr>
            </w:pPr>
            <w:r>
              <w:rPr>
                <w:sz w:val="20"/>
              </w:rPr>
              <w:t>PIs=Protease Inhibitors</w:t>
            </w:r>
          </w:p>
        </w:tc>
      </w:tr>
    </w:tbl>
    <w:p w14:paraId="7E26D5B5" w14:textId="77777777" w:rsidR="001439E0" w:rsidRDefault="001439E0">
      <w:pPr>
        <w:pStyle w:val="BodyText"/>
        <w:spacing w:before="0"/>
        <w:ind w:left="0"/>
        <w:jc w:val="left"/>
        <w:rPr>
          <w:b/>
          <w:sz w:val="20"/>
        </w:rPr>
      </w:pPr>
    </w:p>
    <w:p w14:paraId="7E26D5B6" w14:textId="77777777" w:rsidR="001439E0" w:rsidRDefault="001439E0">
      <w:pPr>
        <w:pStyle w:val="BodyText"/>
        <w:spacing w:before="3"/>
        <w:ind w:left="0"/>
        <w:jc w:val="left"/>
        <w:rPr>
          <w:b/>
          <w:sz w:val="19"/>
        </w:rPr>
      </w:pPr>
    </w:p>
    <w:p w14:paraId="7E26D5B7" w14:textId="77777777" w:rsidR="001439E0" w:rsidRDefault="008A23E0">
      <w:pPr>
        <w:spacing w:before="1"/>
        <w:ind w:left="420"/>
        <w:rPr>
          <w:b/>
        </w:rPr>
      </w:pPr>
      <w:r>
        <w:rPr>
          <w:b/>
        </w:rPr>
        <w:t>Drugs with No Observed or Predicted Interactions with PIFELTRO</w:t>
      </w:r>
    </w:p>
    <w:p w14:paraId="7E26D5B8" w14:textId="77777777" w:rsidR="001439E0" w:rsidRDefault="008A23E0">
      <w:pPr>
        <w:pStyle w:val="BodyText"/>
        <w:ind w:right="1274"/>
      </w:pPr>
      <w:r>
        <w:t xml:space="preserve">Drug-drug interactions with PIFELTRO and the following drugs were evaluated in clinical studies and no dose adjustment is needed for either drug (see section 5.2, Drug </w:t>
      </w:r>
      <w:r>
        <w:rPr>
          <w:i/>
        </w:rPr>
        <w:t>Interaction Studies</w:t>
      </w:r>
      <w:r>
        <w:t xml:space="preserve">): </w:t>
      </w:r>
      <w:proofErr w:type="spellStart"/>
      <w:r>
        <w:t>aluminium</w:t>
      </w:r>
      <w:proofErr w:type="spellEnd"/>
      <w:r>
        <w:t xml:space="preserve"> hydroxide/magnesium hydroxide/</w:t>
      </w:r>
      <w:proofErr w:type="spellStart"/>
      <w:r>
        <w:t>simethicone</w:t>
      </w:r>
      <w:proofErr w:type="spellEnd"/>
      <w:r>
        <w:t xml:space="preserve">-containing antacid, pantoprazole, atorvastatin, an oral contraceptive containing </w:t>
      </w:r>
      <w:proofErr w:type="spellStart"/>
      <w:r>
        <w:t>ethinylestradiol</w:t>
      </w:r>
      <w:proofErr w:type="spellEnd"/>
      <w:r>
        <w:t xml:space="preserve"> and </w:t>
      </w:r>
      <w:proofErr w:type="spellStart"/>
      <w:r>
        <w:t>levonorgestrel</w:t>
      </w:r>
      <w:proofErr w:type="spellEnd"/>
      <w:r>
        <w:t xml:space="preserve">, metformin, methadone, midazolam, </w:t>
      </w:r>
      <w:proofErr w:type="spellStart"/>
      <w:r>
        <w:t>sofosbuvir</w:t>
      </w:r>
      <w:proofErr w:type="spellEnd"/>
      <w:r>
        <w:t>/</w:t>
      </w:r>
      <w:proofErr w:type="spellStart"/>
      <w:r>
        <w:t>ledipasvir</w:t>
      </w:r>
      <w:proofErr w:type="spellEnd"/>
      <w:r>
        <w:t xml:space="preserve">, </w:t>
      </w:r>
      <w:proofErr w:type="spellStart"/>
      <w:r>
        <w:t>elbasvir</w:t>
      </w:r>
      <w:proofErr w:type="spellEnd"/>
      <w:r>
        <w:t>/</w:t>
      </w:r>
      <w:proofErr w:type="spellStart"/>
      <w:r>
        <w:t>grazoprevir</w:t>
      </w:r>
      <w:proofErr w:type="spellEnd"/>
      <w:r>
        <w:t xml:space="preserve">, </w:t>
      </w:r>
      <w:proofErr w:type="spellStart"/>
      <w:r>
        <w:t>dolutegravir</w:t>
      </w:r>
      <w:proofErr w:type="spellEnd"/>
      <w:r>
        <w:t>, lamivudine, or tenofovir DF.</w:t>
      </w:r>
    </w:p>
    <w:p w14:paraId="7E26D5B9" w14:textId="77777777" w:rsidR="001439E0" w:rsidRDefault="008A23E0">
      <w:pPr>
        <w:pStyle w:val="BodyText"/>
        <w:spacing w:before="200"/>
        <w:ind w:left="419" w:right="1277"/>
      </w:pPr>
      <w:r>
        <w:t xml:space="preserve">No clinically relevant drug-drug interaction is expected when PIFELTRO is co-administered with </w:t>
      </w:r>
      <w:proofErr w:type="spellStart"/>
      <w:r>
        <w:t>abacavir</w:t>
      </w:r>
      <w:proofErr w:type="spellEnd"/>
      <w:r>
        <w:t xml:space="preserve">, emtricitabine, </w:t>
      </w:r>
      <w:proofErr w:type="spellStart"/>
      <w:r>
        <w:t>enfuvirtide</w:t>
      </w:r>
      <w:proofErr w:type="spellEnd"/>
      <w:r>
        <w:t xml:space="preserve">, </w:t>
      </w:r>
      <w:proofErr w:type="spellStart"/>
      <w:r>
        <w:t>raltegravir</w:t>
      </w:r>
      <w:proofErr w:type="spellEnd"/>
      <w:r>
        <w:t xml:space="preserve">, </w:t>
      </w:r>
      <w:proofErr w:type="spellStart"/>
      <w:r>
        <w:t>maraviroc</w:t>
      </w:r>
      <w:proofErr w:type="spellEnd"/>
      <w:r>
        <w:t xml:space="preserve">, tenofovir alafenamide, buprenorphine, naloxone, </w:t>
      </w:r>
      <w:proofErr w:type="spellStart"/>
      <w:r>
        <w:t>daclatasvir</w:t>
      </w:r>
      <w:proofErr w:type="spellEnd"/>
      <w:r>
        <w:t xml:space="preserve">, </w:t>
      </w:r>
      <w:proofErr w:type="spellStart"/>
      <w:r>
        <w:t>simeprevir</w:t>
      </w:r>
      <w:proofErr w:type="spellEnd"/>
      <w:r>
        <w:t xml:space="preserve">, diltiazem, verapamil, </w:t>
      </w:r>
      <w:proofErr w:type="spellStart"/>
      <w:r>
        <w:t>rosuvastatin</w:t>
      </w:r>
      <w:proofErr w:type="spellEnd"/>
      <w:r>
        <w:t xml:space="preserve">, simvastatin, </w:t>
      </w:r>
      <w:proofErr w:type="spellStart"/>
      <w:r>
        <w:t>canagliflozin</w:t>
      </w:r>
      <w:proofErr w:type="spellEnd"/>
      <w:r>
        <w:t xml:space="preserve">, </w:t>
      </w:r>
      <w:proofErr w:type="spellStart"/>
      <w:r>
        <w:t>liraglutide</w:t>
      </w:r>
      <w:proofErr w:type="spellEnd"/>
      <w:r>
        <w:t xml:space="preserve">, </w:t>
      </w:r>
      <w:proofErr w:type="spellStart"/>
      <w:r>
        <w:t>sitagliptin</w:t>
      </w:r>
      <w:proofErr w:type="spellEnd"/>
      <w:r>
        <w:t xml:space="preserve">, </w:t>
      </w:r>
      <w:proofErr w:type="spellStart"/>
      <w:r>
        <w:t>lisinopril</w:t>
      </w:r>
      <w:proofErr w:type="spellEnd"/>
      <w:r>
        <w:t>, or omeprazole.</w:t>
      </w:r>
    </w:p>
    <w:p w14:paraId="7E26D5BA" w14:textId="77777777" w:rsidR="001439E0" w:rsidRDefault="001439E0">
      <w:pPr>
        <w:pStyle w:val="BodyText"/>
        <w:spacing w:before="0"/>
        <w:ind w:left="0"/>
        <w:jc w:val="left"/>
        <w:rPr>
          <w:sz w:val="24"/>
        </w:rPr>
      </w:pPr>
    </w:p>
    <w:p w14:paraId="7E26D5BC" w14:textId="77777777" w:rsidR="001439E0" w:rsidRDefault="008A23E0">
      <w:pPr>
        <w:pStyle w:val="Heading2"/>
        <w:numPr>
          <w:ilvl w:val="1"/>
          <w:numId w:val="3"/>
        </w:numPr>
        <w:tabs>
          <w:tab w:val="left" w:pos="1139"/>
          <w:tab w:val="left" w:pos="1140"/>
        </w:tabs>
        <w:spacing w:before="141"/>
        <w:ind w:hanging="719"/>
      </w:pPr>
      <w:r>
        <w:t>FERTILITY, PREGNANCY AND</w:t>
      </w:r>
      <w:r>
        <w:rPr>
          <w:spacing w:val="-1"/>
        </w:rPr>
        <w:t xml:space="preserve"> </w:t>
      </w:r>
      <w:r>
        <w:t>LACTATION</w:t>
      </w:r>
    </w:p>
    <w:p w14:paraId="7E26D5BD" w14:textId="77777777" w:rsidR="001439E0" w:rsidRDefault="008A23E0">
      <w:pPr>
        <w:pStyle w:val="Heading3"/>
        <w:spacing w:before="120"/>
      </w:pPr>
      <w:r>
        <w:t>Effects on fertility</w:t>
      </w:r>
    </w:p>
    <w:p w14:paraId="7E26D5BE" w14:textId="77777777" w:rsidR="001439E0" w:rsidRDefault="008A23E0">
      <w:pPr>
        <w:pStyle w:val="BodyText"/>
        <w:ind w:right="1276"/>
      </w:pPr>
      <w:r>
        <w:t>There were no effects on fertility, mating performance or early embryonic development when doravirine was administered to rats up to the highest dose tested (450 mg/kg/day). Systemic exposures (AUC) to doravirine were 5-7 times the exposure in humans at the recommended human dose (RHD).</w:t>
      </w:r>
    </w:p>
    <w:p w14:paraId="7E26D5C0" w14:textId="77777777" w:rsidR="001439E0" w:rsidRDefault="008A23E0" w:rsidP="009E2156">
      <w:pPr>
        <w:pStyle w:val="Heading3"/>
        <w:pageBreakBefore/>
        <w:spacing w:before="80"/>
        <w:jc w:val="both"/>
      </w:pPr>
      <w:r>
        <w:lastRenderedPageBreak/>
        <w:t>Use in pregnancy (Category B1)</w:t>
      </w:r>
    </w:p>
    <w:p w14:paraId="7E26D5C1" w14:textId="77777777" w:rsidR="001439E0" w:rsidRDefault="008A23E0">
      <w:pPr>
        <w:pStyle w:val="BodyText"/>
      </w:pPr>
      <w:r>
        <w:rPr>
          <w:u w:val="single"/>
        </w:rPr>
        <w:t>Antiretroviral Pregnancy Registry</w:t>
      </w:r>
    </w:p>
    <w:p w14:paraId="7E26D5C2" w14:textId="77777777" w:rsidR="001439E0" w:rsidRDefault="008A23E0">
      <w:pPr>
        <w:pStyle w:val="BodyText"/>
        <w:spacing w:before="199"/>
        <w:ind w:right="1276"/>
      </w:pPr>
      <w:r>
        <w:t>To monitor maternal-</w:t>
      </w:r>
      <w:proofErr w:type="spellStart"/>
      <w:r>
        <w:t>foetal</w:t>
      </w:r>
      <w:proofErr w:type="spellEnd"/>
      <w:r>
        <w:t xml:space="preserve"> outcomes of pregnant patients exposed to PIFELTRO, an International Antiretroviral Pregnancy Registry has been established. Physicians are encouraged to register patients via email at </w:t>
      </w:r>
      <w:hyperlink r:id="rId19">
        <w:r>
          <w:t xml:space="preserve">SM_APR@INCResearch.com </w:t>
        </w:r>
      </w:hyperlink>
      <w:r>
        <w:t>or via facsimile</w:t>
      </w:r>
      <w:r>
        <w:rPr>
          <w:spacing w:val="53"/>
        </w:rPr>
        <w:t xml:space="preserve"> </w:t>
      </w:r>
      <w:r>
        <w:t>at</w:t>
      </w:r>
    </w:p>
    <w:p w14:paraId="7E26D5C3" w14:textId="77777777" w:rsidR="001439E0" w:rsidRDefault="008A23E0">
      <w:pPr>
        <w:pStyle w:val="BodyText"/>
        <w:spacing w:before="1"/>
      </w:pPr>
      <w:r>
        <w:t>+1-910-256-0637.</w:t>
      </w:r>
    </w:p>
    <w:p w14:paraId="7E26D5C4" w14:textId="77777777" w:rsidR="001439E0" w:rsidRDefault="008A23E0">
      <w:pPr>
        <w:pStyle w:val="BodyText"/>
        <w:spacing w:before="199"/>
        <w:ind w:right="1275"/>
      </w:pPr>
      <w:r>
        <w:t>No adequate human data are available to establish whether or not PIFELTRO poses a risk</w:t>
      </w:r>
      <w:r>
        <w:rPr>
          <w:spacing w:val="-35"/>
        </w:rPr>
        <w:t xml:space="preserve"> </w:t>
      </w:r>
      <w:r>
        <w:t>to pregnancy outcomes. Doravirine use in women during pregnancy has not been</w:t>
      </w:r>
      <w:r>
        <w:rPr>
          <w:spacing w:val="-9"/>
        </w:rPr>
        <w:t xml:space="preserve"> </w:t>
      </w:r>
      <w:r>
        <w:t>evaluated.</w:t>
      </w:r>
    </w:p>
    <w:p w14:paraId="7E26D5C5" w14:textId="77777777" w:rsidR="001439E0" w:rsidRDefault="008A23E0">
      <w:pPr>
        <w:pStyle w:val="BodyText"/>
        <w:spacing w:before="200"/>
        <w:ind w:right="1276"/>
      </w:pPr>
      <w:r>
        <w:t>Reproduction studies with orally administered doravirine have been performed in rats and rabbits</w:t>
      </w:r>
      <w:r>
        <w:rPr>
          <w:spacing w:val="-14"/>
        </w:rPr>
        <w:t xml:space="preserve"> </w:t>
      </w:r>
      <w:r>
        <w:t>at</w:t>
      </w:r>
      <w:r>
        <w:rPr>
          <w:spacing w:val="-13"/>
        </w:rPr>
        <w:t xml:space="preserve"> </w:t>
      </w:r>
      <w:r>
        <w:t>exposures</w:t>
      </w:r>
      <w:r>
        <w:rPr>
          <w:spacing w:val="-13"/>
        </w:rPr>
        <w:t xml:space="preserve"> </w:t>
      </w:r>
      <w:r>
        <w:t>approximately</w:t>
      </w:r>
      <w:r>
        <w:rPr>
          <w:spacing w:val="-13"/>
        </w:rPr>
        <w:t xml:space="preserve"> </w:t>
      </w:r>
      <w:r>
        <w:t>8</w:t>
      </w:r>
      <w:r>
        <w:rPr>
          <w:spacing w:val="-12"/>
        </w:rPr>
        <w:t xml:space="preserve"> </w:t>
      </w:r>
      <w:r>
        <w:t>times</w:t>
      </w:r>
      <w:r>
        <w:rPr>
          <w:spacing w:val="-14"/>
        </w:rPr>
        <w:t xml:space="preserve"> </w:t>
      </w:r>
      <w:r>
        <w:t>the</w:t>
      </w:r>
      <w:r>
        <w:rPr>
          <w:spacing w:val="-13"/>
        </w:rPr>
        <w:t xml:space="preserve"> </w:t>
      </w:r>
      <w:r>
        <w:t>exposure</w:t>
      </w:r>
      <w:r>
        <w:rPr>
          <w:spacing w:val="-13"/>
        </w:rPr>
        <w:t xml:space="preserve"> </w:t>
      </w:r>
      <w:r>
        <w:t>in</w:t>
      </w:r>
      <w:r>
        <w:rPr>
          <w:spacing w:val="-13"/>
        </w:rPr>
        <w:t xml:space="preserve"> </w:t>
      </w:r>
      <w:r>
        <w:t>humans</w:t>
      </w:r>
      <w:r>
        <w:rPr>
          <w:spacing w:val="-13"/>
        </w:rPr>
        <w:t xml:space="preserve"> </w:t>
      </w:r>
      <w:r>
        <w:t>at</w:t>
      </w:r>
      <w:r>
        <w:rPr>
          <w:spacing w:val="-13"/>
        </w:rPr>
        <w:t xml:space="preserve"> </w:t>
      </w:r>
      <w:r>
        <w:t>the</w:t>
      </w:r>
      <w:r>
        <w:rPr>
          <w:spacing w:val="-14"/>
        </w:rPr>
        <w:t xml:space="preserve"> </w:t>
      </w:r>
      <w:r>
        <w:t>RHD</w:t>
      </w:r>
      <w:r>
        <w:rPr>
          <w:spacing w:val="-13"/>
        </w:rPr>
        <w:t xml:space="preserve"> </w:t>
      </w:r>
      <w:r>
        <w:t>with</w:t>
      </w:r>
      <w:r>
        <w:rPr>
          <w:spacing w:val="-13"/>
        </w:rPr>
        <w:t xml:space="preserve"> </w:t>
      </w:r>
      <w:r>
        <w:t>no</w:t>
      </w:r>
      <w:r>
        <w:rPr>
          <w:spacing w:val="-12"/>
        </w:rPr>
        <w:t xml:space="preserve"> </w:t>
      </w:r>
      <w:r>
        <w:t>effects on embryo-</w:t>
      </w:r>
      <w:proofErr w:type="spellStart"/>
      <w:r>
        <w:t>foetal</w:t>
      </w:r>
      <w:proofErr w:type="spellEnd"/>
      <w:r>
        <w:t xml:space="preserve"> (rats and rabbits) or pre/postnatal (rats)</w:t>
      </w:r>
      <w:r>
        <w:rPr>
          <w:spacing w:val="-3"/>
        </w:rPr>
        <w:t xml:space="preserve"> </w:t>
      </w:r>
      <w:r>
        <w:t>development.</w:t>
      </w:r>
    </w:p>
    <w:p w14:paraId="7E26D5C6" w14:textId="77777777" w:rsidR="001439E0" w:rsidRDefault="008A23E0">
      <w:pPr>
        <w:pStyle w:val="BodyText"/>
        <w:spacing w:before="200"/>
        <w:ind w:right="1276"/>
      </w:pPr>
      <w:r>
        <w:t xml:space="preserve">Doravirine was administered orally at up to 300 mg/kg/day to pregnant rabbits on gestation days 7 to 20, and up to 450 mg/kg/day to rats on gestation days 6 to 20, and also to rats on gestation day 6 to lactation/postpartum day 20. Studies in pregnant rats and rabbits showed that doravirine is transferred to the </w:t>
      </w:r>
      <w:proofErr w:type="spellStart"/>
      <w:r>
        <w:t>foetus</w:t>
      </w:r>
      <w:proofErr w:type="spellEnd"/>
      <w:r>
        <w:t xml:space="preserve"> through the placenta, with </w:t>
      </w:r>
      <w:proofErr w:type="spellStart"/>
      <w:r>
        <w:t>foetal</w:t>
      </w:r>
      <w:proofErr w:type="spellEnd"/>
      <w:r>
        <w:t xml:space="preserve"> plasma concentrations</w:t>
      </w:r>
      <w:r>
        <w:rPr>
          <w:spacing w:val="-12"/>
        </w:rPr>
        <w:t xml:space="preserve"> </w:t>
      </w:r>
      <w:r>
        <w:t>of</w:t>
      </w:r>
      <w:r>
        <w:rPr>
          <w:spacing w:val="-11"/>
        </w:rPr>
        <w:t xml:space="preserve"> </w:t>
      </w:r>
      <w:r>
        <w:t>up</w:t>
      </w:r>
      <w:r>
        <w:rPr>
          <w:spacing w:val="-11"/>
        </w:rPr>
        <w:t xml:space="preserve"> </w:t>
      </w:r>
      <w:r>
        <w:t>to</w:t>
      </w:r>
      <w:r>
        <w:rPr>
          <w:spacing w:val="-11"/>
        </w:rPr>
        <w:t xml:space="preserve"> </w:t>
      </w:r>
      <w:r>
        <w:t>40%</w:t>
      </w:r>
      <w:r>
        <w:rPr>
          <w:spacing w:val="-11"/>
        </w:rPr>
        <w:t xml:space="preserve"> </w:t>
      </w:r>
      <w:r>
        <w:t>(rabbits)</w:t>
      </w:r>
      <w:r>
        <w:rPr>
          <w:spacing w:val="-12"/>
        </w:rPr>
        <w:t xml:space="preserve"> </w:t>
      </w:r>
      <w:r>
        <w:t>and</w:t>
      </w:r>
      <w:r>
        <w:rPr>
          <w:spacing w:val="-11"/>
        </w:rPr>
        <w:t xml:space="preserve"> </w:t>
      </w:r>
      <w:r>
        <w:t>52%</w:t>
      </w:r>
      <w:r>
        <w:rPr>
          <w:spacing w:val="-11"/>
        </w:rPr>
        <w:t xml:space="preserve"> </w:t>
      </w:r>
      <w:r>
        <w:t>(rats)</w:t>
      </w:r>
      <w:r>
        <w:rPr>
          <w:spacing w:val="-12"/>
        </w:rPr>
        <w:t xml:space="preserve"> </w:t>
      </w:r>
      <w:r>
        <w:t>that</w:t>
      </w:r>
      <w:r>
        <w:rPr>
          <w:spacing w:val="-11"/>
        </w:rPr>
        <w:t xml:space="preserve"> </w:t>
      </w:r>
      <w:r>
        <w:t>of</w:t>
      </w:r>
      <w:r>
        <w:rPr>
          <w:spacing w:val="-11"/>
        </w:rPr>
        <w:t xml:space="preserve"> </w:t>
      </w:r>
      <w:r>
        <w:t>maternal</w:t>
      </w:r>
      <w:r>
        <w:rPr>
          <w:spacing w:val="-11"/>
        </w:rPr>
        <w:t xml:space="preserve"> </w:t>
      </w:r>
      <w:r>
        <w:t>concentrations</w:t>
      </w:r>
      <w:r>
        <w:rPr>
          <w:spacing w:val="-11"/>
        </w:rPr>
        <w:t xml:space="preserve"> </w:t>
      </w:r>
      <w:r>
        <w:t>observed on gestation day</w:t>
      </w:r>
      <w:r>
        <w:rPr>
          <w:spacing w:val="-2"/>
        </w:rPr>
        <w:t xml:space="preserve"> </w:t>
      </w:r>
      <w:r>
        <w:t>20.</w:t>
      </w:r>
    </w:p>
    <w:p w14:paraId="7E26D5C7" w14:textId="77777777" w:rsidR="001439E0" w:rsidRDefault="008A23E0">
      <w:pPr>
        <w:pStyle w:val="Heading3"/>
        <w:jc w:val="both"/>
      </w:pPr>
      <w:r>
        <w:t>Use in lactation</w:t>
      </w:r>
    </w:p>
    <w:p w14:paraId="7E26D5C8" w14:textId="77777777" w:rsidR="001439E0" w:rsidRDefault="008A23E0">
      <w:pPr>
        <w:pStyle w:val="BodyText"/>
        <w:spacing w:before="121"/>
        <w:ind w:right="1278"/>
      </w:pPr>
      <w:r>
        <w:t>It is unknown whether doravirine is excreted in human milk. Because of the potential for HIV- 1 transmission and the potential for serious adverse reactions in nursing infants, mothers should be instructed not to breastfeed if they are receiving PIFELTRO.</w:t>
      </w:r>
    </w:p>
    <w:p w14:paraId="7E26D5C9" w14:textId="77777777" w:rsidR="001439E0" w:rsidRDefault="008A23E0">
      <w:pPr>
        <w:pStyle w:val="BodyText"/>
        <w:spacing w:before="200"/>
        <w:ind w:right="1276"/>
      </w:pPr>
      <w:r>
        <w:t>Doravirine was excreted into the milk of lactating rats following oral administration (450 mg/kg/day) from gestation day 6 to lactation day 14, with milk concentrations approximately</w:t>
      </w:r>
    </w:p>
    <w:p w14:paraId="7E26D5CA" w14:textId="77777777" w:rsidR="001439E0" w:rsidRDefault="008A23E0">
      <w:pPr>
        <w:pStyle w:val="BodyText"/>
        <w:spacing w:before="0"/>
        <w:ind w:right="1276"/>
      </w:pPr>
      <w:r>
        <w:t>1.5</w:t>
      </w:r>
      <w:r>
        <w:rPr>
          <w:spacing w:val="-9"/>
        </w:rPr>
        <w:t xml:space="preserve"> </w:t>
      </w:r>
      <w:r>
        <w:t>times</w:t>
      </w:r>
      <w:r>
        <w:rPr>
          <w:spacing w:val="-8"/>
        </w:rPr>
        <w:t xml:space="preserve"> </w:t>
      </w:r>
      <w:r>
        <w:t>that</w:t>
      </w:r>
      <w:r>
        <w:rPr>
          <w:spacing w:val="-8"/>
        </w:rPr>
        <w:t xml:space="preserve"> </w:t>
      </w:r>
      <w:r>
        <w:t>of</w:t>
      </w:r>
      <w:r>
        <w:rPr>
          <w:spacing w:val="-8"/>
        </w:rPr>
        <w:t xml:space="preserve"> </w:t>
      </w:r>
      <w:r>
        <w:t>maternal</w:t>
      </w:r>
      <w:r>
        <w:rPr>
          <w:spacing w:val="-8"/>
        </w:rPr>
        <w:t xml:space="preserve"> </w:t>
      </w:r>
      <w:r>
        <w:t>plasma</w:t>
      </w:r>
      <w:r>
        <w:rPr>
          <w:spacing w:val="-9"/>
        </w:rPr>
        <w:t xml:space="preserve"> </w:t>
      </w:r>
      <w:r>
        <w:t>concentrations</w:t>
      </w:r>
      <w:r>
        <w:rPr>
          <w:spacing w:val="-8"/>
        </w:rPr>
        <w:t xml:space="preserve"> </w:t>
      </w:r>
      <w:r>
        <w:t>observed</w:t>
      </w:r>
      <w:r>
        <w:rPr>
          <w:spacing w:val="-8"/>
        </w:rPr>
        <w:t xml:space="preserve"> </w:t>
      </w:r>
      <w:r>
        <w:t>2</w:t>
      </w:r>
      <w:r>
        <w:rPr>
          <w:spacing w:val="-7"/>
        </w:rPr>
        <w:t xml:space="preserve"> </w:t>
      </w:r>
      <w:r>
        <w:t>hours</w:t>
      </w:r>
      <w:r>
        <w:rPr>
          <w:spacing w:val="-8"/>
        </w:rPr>
        <w:t xml:space="preserve"> </w:t>
      </w:r>
      <w:r>
        <w:t>post</w:t>
      </w:r>
      <w:r>
        <w:rPr>
          <w:spacing w:val="-8"/>
        </w:rPr>
        <w:t xml:space="preserve"> </w:t>
      </w:r>
      <w:r>
        <w:t>dose</w:t>
      </w:r>
      <w:r>
        <w:rPr>
          <w:spacing w:val="-9"/>
        </w:rPr>
        <w:t xml:space="preserve"> </w:t>
      </w:r>
      <w:r>
        <w:t>on</w:t>
      </w:r>
      <w:r>
        <w:rPr>
          <w:spacing w:val="-8"/>
        </w:rPr>
        <w:t xml:space="preserve"> </w:t>
      </w:r>
      <w:r>
        <w:t>lactation</w:t>
      </w:r>
      <w:r>
        <w:rPr>
          <w:spacing w:val="-8"/>
        </w:rPr>
        <w:t xml:space="preserve"> </w:t>
      </w:r>
      <w:r>
        <w:t>day 14.</w:t>
      </w:r>
    </w:p>
    <w:p w14:paraId="7E26D5CB" w14:textId="77777777" w:rsidR="001439E0" w:rsidRDefault="001439E0">
      <w:pPr>
        <w:pStyle w:val="BodyText"/>
        <w:spacing w:before="10"/>
        <w:ind w:left="0"/>
        <w:jc w:val="left"/>
        <w:rPr>
          <w:sz w:val="20"/>
        </w:rPr>
      </w:pPr>
    </w:p>
    <w:p w14:paraId="7E26D5CC" w14:textId="77777777" w:rsidR="001439E0" w:rsidRDefault="008A23E0">
      <w:pPr>
        <w:pStyle w:val="Heading2"/>
        <w:numPr>
          <w:ilvl w:val="1"/>
          <w:numId w:val="2"/>
        </w:numPr>
        <w:tabs>
          <w:tab w:val="left" w:pos="1140"/>
        </w:tabs>
        <w:ind w:hanging="719"/>
        <w:jc w:val="both"/>
      </w:pPr>
      <w:r>
        <w:t>EFFECTS ON ABILITY TO DRIVE AND USE</w:t>
      </w:r>
      <w:r>
        <w:rPr>
          <w:spacing w:val="-7"/>
        </w:rPr>
        <w:t xml:space="preserve"> </w:t>
      </w:r>
      <w:r>
        <w:t>MACHINES</w:t>
      </w:r>
    </w:p>
    <w:p w14:paraId="7E26D5CD" w14:textId="77777777" w:rsidR="001439E0" w:rsidRDefault="008A23E0">
      <w:pPr>
        <w:pStyle w:val="BodyText"/>
        <w:spacing w:before="119"/>
        <w:ind w:right="1277"/>
      </w:pPr>
      <w:r>
        <w:t>No</w:t>
      </w:r>
      <w:r>
        <w:rPr>
          <w:spacing w:val="-7"/>
        </w:rPr>
        <w:t xml:space="preserve"> </w:t>
      </w:r>
      <w:r>
        <w:t>studies</w:t>
      </w:r>
      <w:r>
        <w:rPr>
          <w:spacing w:val="-6"/>
        </w:rPr>
        <w:t xml:space="preserve"> </w:t>
      </w:r>
      <w:r>
        <w:t>on</w:t>
      </w:r>
      <w:r>
        <w:rPr>
          <w:spacing w:val="-6"/>
        </w:rPr>
        <w:t xml:space="preserve"> </w:t>
      </w:r>
      <w:r>
        <w:t>the</w:t>
      </w:r>
      <w:r>
        <w:rPr>
          <w:spacing w:val="-6"/>
        </w:rPr>
        <w:t xml:space="preserve"> </w:t>
      </w:r>
      <w:r>
        <w:t>effects</w:t>
      </w:r>
      <w:r>
        <w:rPr>
          <w:spacing w:val="-7"/>
        </w:rPr>
        <w:t xml:space="preserve"> </w:t>
      </w:r>
      <w:r>
        <w:t>of</w:t>
      </w:r>
      <w:r>
        <w:rPr>
          <w:spacing w:val="-6"/>
        </w:rPr>
        <w:t xml:space="preserve"> </w:t>
      </w:r>
      <w:r>
        <w:t>PIFELTRO</w:t>
      </w:r>
      <w:r>
        <w:rPr>
          <w:spacing w:val="-6"/>
        </w:rPr>
        <w:t xml:space="preserve"> </w:t>
      </w:r>
      <w:r>
        <w:t>on</w:t>
      </w:r>
      <w:r>
        <w:rPr>
          <w:spacing w:val="-6"/>
        </w:rPr>
        <w:t xml:space="preserve"> </w:t>
      </w:r>
      <w:r>
        <w:t>the</w:t>
      </w:r>
      <w:r>
        <w:rPr>
          <w:spacing w:val="-6"/>
        </w:rPr>
        <w:t xml:space="preserve"> </w:t>
      </w:r>
      <w:r>
        <w:t>ability</w:t>
      </w:r>
      <w:r>
        <w:rPr>
          <w:spacing w:val="-7"/>
        </w:rPr>
        <w:t xml:space="preserve"> </w:t>
      </w:r>
      <w:r>
        <w:t>to</w:t>
      </w:r>
      <w:r>
        <w:rPr>
          <w:spacing w:val="-6"/>
        </w:rPr>
        <w:t xml:space="preserve"> </w:t>
      </w:r>
      <w:r>
        <w:t>drive</w:t>
      </w:r>
      <w:r>
        <w:rPr>
          <w:spacing w:val="-6"/>
        </w:rPr>
        <w:t xml:space="preserve"> </w:t>
      </w:r>
      <w:r>
        <w:t>or</w:t>
      </w:r>
      <w:r>
        <w:rPr>
          <w:spacing w:val="-6"/>
        </w:rPr>
        <w:t xml:space="preserve"> </w:t>
      </w:r>
      <w:r>
        <w:t>operate</w:t>
      </w:r>
      <w:r>
        <w:rPr>
          <w:spacing w:val="-6"/>
        </w:rPr>
        <w:t xml:space="preserve"> </w:t>
      </w:r>
      <w:r>
        <w:t>machinery</w:t>
      </w:r>
      <w:r>
        <w:rPr>
          <w:spacing w:val="-7"/>
        </w:rPr>
        <w:t xml:space="preserve"> </w:t>
      </w:r>
      <w:r>
        <w:t>have</w:t>
      </w:r>
      <w:r>
        <w:rPr>
          <w:spacing w:val="-6"/>
        </w:rPr>
        <w:t xml:space="preserve"> </w:t>
      </w:r>
      <w:r>
        <w:t>been performed. Patients should be informed that dizziness has been reported during treatment with PIFELTRO. This should be considered when assessing a patient’s ability to drive or operate</w:t>
      </w:r>
      <w:r>
        <w:rPr>
          <w:spacing w:val="-1"/>
        </w:rPr>
        <w:t xml:space="preserve"> </w:t>
      </w:r>
      <w:r>
        <w:t>machinery.</w:t>
      </w:r>
    </w:p>
    <w:p w14:paraId="7E26D5CE" w14:textId="77777777" w:rsidR="001439E0" w:rsidRDefault="001439E0">
      <w:pPr>
        <w:pStyle w:val="BodyText"/>
        <w:spacing w:before="10"/>
        <w:ind w:left="0"/>
        <w:jc w:val="left"/>
        <w:rPr>
          <w:sz w:val="20"/>
        </w:rPr>
      </w:pPr>
    </w:p>
    <w:p w14:paraId="7E26D5CF" w14:textId="77777777" w:rsidR="001439E0" w:rsidRDefault="008A23E0">
      <w:pPr>
        <w:pStyle w:val="Heading2"/>
        <w:numPr>
          <w:ilvl w:val="1"/>
          <w:numId w:val="2"/>
        </w:numPr>
        <w:tabs>
          <w:tab w:val="left" w:pos="1140"/>
        </w:tabs>
        <w:ind w:hanging="719"/>
        <w:jc w:val="both"/>
      </w:pPr>
      <w:r>
        <w:t>ADVERSE EFFECTS (UNDESIRABLE</w:t>
      </w:r>
      <w:r>
        <w:rPr>
          <w:spacing w:val="-3"/>
        </w:rPr>
        <w:t xml:space="preserve"> </w:t>
      </w:r>
      <w:r>
        <w:t>EFFECTS)</w:t>
      </w:r>
    </w:p>
    <w:p w14:paraId="7E26D5D0" w14:textId="77777777" w:rsidR="001439E0" w:rsidRDefault="008A23E0">
      <w:pPr>
        <w:pStyle w:val="Heading3"/>
        <w:spacing w:before="121"/>
        <w:jc w:val="both"/>
      </w:pPr>
      <w:r>
        <w:t>Clinical Trials Experience</w:t>
      </w:r>
    </w:p>
    <w:p w14:paraId="7E26D5D1" w14:textId="77777777" w:rsidR="001439E0" w:rsidRDefault="008A23E0">
      <w:pPr>
        <w:pStyle w:val="BodyText"/>
        <w:spacing w:before="119"/>
      </w:pPr>
      <w:r>
        <w:rPr>
          <w:u w:val="single"/>
        </w:rPr>
        <w:t>Treatment-Emergent Adverse Drug Reactions</w:t>
      </w:r>
    </w:p>
    <w:p w14:paraId="7E26D5D2" w14:textId="77777777" w:rsidR="001439E0" w:rsidRDefault="008A23E0">
      <w:pPr>
        <w:pStyle w:val="BodyText"/>
        <w:spacing w:before="201"/>
        <w:ind w:right="1275"/>
      </w:pPr>
      <w:r>
        <w:t xml:space="preserve">The safety assessment of PIFELTRO in antiretroviral treatment-naïve, HIV-1 infected subjects, is based on the analyses of data through 48 weeks from two Phase 3, randomized, international, </w:t>
      </w:r>
      <w:proofErr w:type="spellStart"/>
      <w:r>
        <w:t>multicentre</w:t>
      </w:r>
      <w:proofErr w:type="spellEnd"/>
      <w:r>
        <w:t>, double-blind, active-controlled trials (DRIVE-FORWARD (Protocol</w:t>
      </w:r>
    </w:p>
    <w:p w14:paraId="7E26D5D3" w14:textId="77777777" w:rsidR="001439E0" w:rsidRDefault="008A23E0">
      <w:pPr>
        <w:pStyle w:val="BodyText"/>
        <w:spacing w:before="0" w:line="252" w:lineRule="exact"/>
      </w:pPr>
      <w:r>
        <w:t>018) and DRIVE-AHEAD (Protocol 021)).</w:t>
      </w:r>
    </w:p>
    <w:p w14:paraId="7E26D5D4" w14:textId="77777777" w:rsidR="001439E0" w:rsidRDefault="008A23E0">
      <w:pPr>
        <w:pStyle w:val="BodyText"/>
        <w:spacing w:before="201"/>
        <w:ind w:right="1274"/>
      </w:pPr>
      <w:r>
        <w:t xml:space="preserve">In DRIVE-FORWARD, 766 adult subjects received either PIFELTRO 100 mg (n=383) or </w:t>
      </w:r>
      <w:proofErr w:type="spellStart"/>
      <w:r>
        <w:t>darunavir</w:t>
      </w:r>
      <w:proofErr w:type="spellEnd"/>
      <w:r>
        <w:t xml:space="preserve"> 800 mg + ritonavir 100 mg (</w:t>
      </w:r>
      <w:proofErr w:type="spellStart"/>
      <w:r>
        <w:t>DRV+r</w:t>
      </w:r>
      <w:proofErr w:type="spellEnd"/>
      <w:r>
        <w:t xml:space="preserve">) (n=383) once daily, each in combination with emtricitabine/tenofovir DF (FTC/TDF) or </w:t>
      </w:r>
      <w:proofErr w:type="spellStart"/>
      <w:r>
        <w:t>abacavir</w:t>
      </w:r>
      <w:proofErr w:type="spellEnd"/>
      <w:r>
        <w:t xml:space="preserve">/lamivudine (ABC/3TC). By Week 48, 1.6% in the PIFELTRO group and 3.1% in the </w:t>
      </w:r>
      <w:proofErr w:type="spellStart"/>
      <w:r>
        <w:t>DRV+r</w:t>
      </w:r>
      <w:proofErr w:type="spellEnd"/>
      <w:r>
        <w:t xml:space="preserve"> group had adverse events leading to discontinuation of study medication.</w:t>
      </w:r>
    </w:p>
    <w:p w14:paraId="7E26D5D5" w14:textId="77777777" w:rsidR="001439E0" w:rsidRDefault="001439E0">
      <w:pPr>
        <w:sectPr w:rsidR="001439E0">
          <w:pgSz w:w="11910" w:h="16840"/>
          <w:pgMar w:top="1360" w:right="160" w:bottom="1100" w:left="1020" w:header="0" w:footer="839" w:gutter="0"/>
          <w:cols w:space="720"/>
        </w:sectPr>
      </w:pPr>
    </w:p>
    <w:p w14:paraId="7E26D5D6" w14:textId="77777777" w:rsidR="001439E0" w:rsidRDefault="008A23E0">
      <w:pPr>
        <w:pStyle w:val="BodyText"/>
        <w:tabs>
          <w:tab w:val="left" w:pos="4255"/>
          <w:tab w:val="left" w:pos="5326"/>
          <w:tab w:val="left" w:pos="7707"/>
          <w:tab w:val="left" w:pos="9252"/>
        </w:tabs>
        <w:spacing w:before="80"/>
        <w:ind w:right="1274"/>
      </w:pPr>
      <w:r>
        <w:lastRenderedPageBreak/>
        <w:t>In DRIVE-AHEAD, 728 adult subjects received either DELSTRIGO®- (doravirine/lamivudine/tenofovir</w:t>
      </w:r>
      <w:r>
        <w:tab/>
        <w:t>DF</w:t>
      </w:r>
      <w:r>
        <w:tab/>
        <w:t>(DOR/3TC/TDF)</w:t>
      </w:r>
      <w:r>
        <w:tab/>
        <w:t>(n=364)</w:t>
      </w:r>
      <w:r>
        <w:tab/>
      </w:r>
      <w:r>
        <w:rPr>
          <w:spacing w:val="-9"/>
        </w:rPr>
        <w:t xml:space="preserve">or </w:t>
      </w:r>
      <w:proofErr w:type="spellStart"/>
      <w:r>
        <w:t>efavirenz</w:t>
      </w:r>
      <w:proofErr w:type="spellEnd"/>
      <w:r>
        <w:t>/emtricitabine/tenofovir DF (EFV/FTC/TDF) once daily (n=364). By Week 48, 3.0% in the DELSTRIGO-DOR/3TC/TDF group and 6.6% in the EFV/FTC/TDF group had adverse events leading to discontinuation of study</w:t>
      </w:r>
      <w:r>
        <w:rPr>
          <w:spacing w:val="-2"/>
        </w:rPr>
        <w:t xml:space="preserve"> </w:t>
      </w:r>
      <w:r>
        <w:t>medication.</w:t>
      </w:r>
    </w:p>
    <w:p w14:paraId="7E26D5D7" w14:textId="77777777" w:rsidR="001439E0" w:rsidRDefault="008A23E0">
      <w:pPr>
        <w:spacing w:before="200"/>
        <w:ind w:left="419" w:right="1274"/>
        <w:jc w:val="both"/>
        <w:rPr>
          <w:sz w:val="20"/>
        </w:rPr>
      </w:pPr>
      <w:r>
        <w:rPr>
          <w:sz w:val="20"/>
        </w:rPr>
        <w:t xml:space="preserve">In DRIVE FORWARD and DRIVE AHEAD, the frequency of serious adverse reactions was less than 1% in PIFELTRO and DELSTRIGO -treated subjects versus less than 1% </w:t>
      </w:r>
      <w:proofErr w:type="spellStart"/>
      <w:r>
        <w:rPr>
          <w:sz w:val="20"/>
        </w:rPr>
        <w:t>DRV+r</w:t>
      </w:r>
      <w:proofErr w:type="spellEnd"/>
      <w:r>
        <w:rPr>
          <w:sz w:val="20"/>
        </w:rPr>
        <w:t xml:space="preserve"> and 1% in EFV/FTC/TDF -treated subjects.</w:t>
      </w:r>
    </w:p>
    <w:p w14:paraId="7E26D5D8" w14:textId="77777777" w:rsidR="001439E0" w:rsidRDefault="001439E0">
      <w:pPr>
        <w:pStyle w:val="BodyText"/>
        <w:spacing w:before="4"/>
        <w:ind w:left="0"/>
        <w:jc w:val="left"/>
        <w:rPr>
          <w:sz w:val="17"/>
        </w:rPr>
      </w:pPr>
    </w:p>
    <w:p w14:paraId="7E26D5D9" w14:textId="77777777" w:rsidR="001439E0" w:rsidRDefault="008A23E0">
      <w:pPr>
        <w:pStyle w:val="BodyText"/>
        <w:spacing w:before="0"/>
        <w:ind w:right="1277"/>
      </w:pPr>
      <w:r>
        <w:t>Adverse reactions reported in greater than or equal to 2% of subjects in any treatment group in</w:t>
      </w:r>
      <w:r>
        <w:rPr>
          <w:spacing w:val="-9"/>
        </w:rPr>
        <w:t xml:space="preserve"> </w:t>
      </w:r>
      <w:r>
        <w:t>adults</w:t>
      </w:r>
      <w:r>
        <w:rPr>
          <w:spacing w:val="-8"/>
        </w:rPr>
        <w:t xml:space="preserve"> </w:t>
      </w:r>
      <w:r>
        <w:t>with</w:t>
      </w:r>
      <w:r>
        <w:rPr>
          <w:spacing w:val="-9"/>
        </w:rPr>
        <w:t xml:space="preserve"> </w:t>
      </w:r>
      <w:r>
        <w:t>no</w:t>
      </w:r>
      <w:r>
        <w:rPr>
          <w:spacing w:val="-8"/>
        </w:rPr>
        <w:t xml:space="preserve"> </w:t>
      </w:r>
      <w:r>
        <w:t>antiretroviral</w:t>
      </w:r>
      <w:r>
        <w:rPr>
          <w:spacing w:val="-9"/>
        </w:rPr>
        <w:t xml:space="preserve"> </w:t>
      </w:r>
      <w:r>
        <w:t>treatment</w:t>
      </w:r>
      <w:r>
        <w:rPr>
          <w:spacing w:val="-8"/>
        </w:rPr>
        <w:t xml:space="preserve"> </w:t>
      </w:r>
      <w:r>
        <w:t>history</w:t>
      </w:r>
      <w:r>
        <w:rPr>
          <w:spacing w:val="-9"/>
        </w:rPr>
        <w:t xml:space="preserve"> </w:t>
      </w:r>
      <w:r>
        <w:t>in</w:t>
      </w:r>
      <w:r>
        <w:rPr>
          <w:spacing w:val="-8"/>
        </w:rPr>
        <w:t xml:space="preserve"> </w:t>
      </w:r>
      <w:r>
        <w:t>DRIVE-FORWARD</w:t>
      </w:r>
      <w:r>
        <w:rPr>
          <w:spacing w:val="-9"/>
        </w:rPr>
        <w:t xml:space="preserve"> </w:t>
      </w:r>
      <w:r>
        <w:t>and</w:t>
      </w:r>
      <w:r>
        <w:rPr>
          <w:spacing w:val="-8"/>
        </w:rPr>
        <w:t xml:space="preserve"> </w:t>
      </w:r>
      <w:r>
        <w:t>DRIVE-AHEAD</w:t>
      </w:r>
      <w:r>
        <w:rPr>
          <w:spacing w:val="-8"/>
        </w:rPr>
        <w:t xml:space="preserve"> </w:t>
      </w:r>
      <w:r>
        <w:t>are presented in Table</w:t>
      </w:r>
      <w:r>
        <w:rPr>
          <w:spacing w:val="-2"/>
        </w:rPr>
        <w:t xml:space="preserve"> </w:t>
      </w:r>
      <w:r>
        <w:t>2.</w:t>
      </w:r>
    </w:p>
    <w:p w14:paraId="7E26D5DA" w14:textId="77777777" w:rsidR="001439E0" w:rsidRDefault="008A23E0">
      <w:pPr>
        <w:pStyle w:val="Heading3"/>
        <w:spacing w:before="195"/>
        <w:ind w:left="428" w:right="1283"/>
        <w:jc w:val="center"/>
      </w:pPr>
      <w:r>
        <w:t>Table 2: Adverse Reactions</w:t>
      </w:r>
      <w:r>
        <w:rPr>
          <w:position w:val="8"/>
          <w:sz w:val="14"/>
          <w:szCs w:val="14"/>
        </w:rPr>
        <w:t xml:space="preserve">Ϸ </w:t>
      </w:r>
      <w:r>
        <w:t>(All Grades) Reported in ≥2%</w:t>
      </w:r>
      <w:r>
        <w:rPr>
          <w:b w:val="0"/>
          <w:bCs w:val="0"/>
          <w:position w:val="7"/>
          <w:sz w:val="14"/>
          <w:szCs w:val="14"/>
        </w:rPr>
        <w:t xml:space="preserve">† </w:t>
      </w:r>
      <w:r>
        <w:t>of Subjects in Any Treatment Group in Adults with No Antiretroviral Treatment History in DRIVE- FORWARD and DRIVE-AHEAD (Week 48)</w:t>
      </w:r>
    </w:p>
    <w:p w14:paraId="7E26D5DB" w14:textId="77777777" w:rsidR="001439E0" w:rsidRDefault="001439E0">
      <w:pPr>
        <w:pStyle w:val="BodyText"/>
        <w:spacing w:before="5"/>
        <w:ind w:left="0"/>
        <w:jc w:val="left"/>
        <w:rPr>
          <w:b/>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349"/>
        <w:gridCol w:w="1906"/>
        <w:gridCol w:w="1761"/>
        <w:gridCol w:w="1753"/>
      </w:tblGrid>
      <w:tr w:rsidR="001439E0" w14:paraId="7E26D5DF" w14:textId="77777777">
        <w:trPr>
          <w:trHeight w:val="183"/>
        </w:trPr>
        <w:tc>
          <w:tcPr>
            <w:tcW w:w="1810" w:type="dxa"/>
            <w:vMerge w:val="restart"/>
          </w:tcPr>
          <w:p w14:paraId="7E26D5DC" w14:textId="77777777" w:rsidR="001439E0" w:rsidRDefault="001439E0">
            <w:pPr>
              <w:pStyle w:val="TableParagraph"/>
              <w:rPr>
                <w:rFonts w:ascii="Times New Roman"/>
                <w:sz w:val="18"/>
              </w:rPr>
            </w:pPr>
          </w:p>
        </w:tc>
        <w:tc>
          <w:tcPr>
            <w:tcW w:w="4255" w:type="dxa"/>
            <w:gridSpan w:val="2"/>
          </w:tcPr>
          <w:p w14:paraId="7E26D5DD" w14:textId="77777777" w:rsidR="001439E0" w:rsidRDefault="008A23E0">
            <w:pPr>
              <w:pStyle w:val="TableParagraph"/>
              <w:spacing w:line="163" w:lineRule="exact"/>
              <w:ind w:left="1415" w:right="1412"/>
              <w:jc w:val="center"/>
              <w:rPr>
                <w:b/>
                <w:sz w:val="16"/>
              </w:rPr>
            </w:pPr>
            <w:r>
              <w:rPr>
                <w:b/>
                <w:sz w:val="16"/>
              </w:rPr>
              <w:t>DRIVE-FORWARD</w:t>
            </w:r>
          </w:p>
        </w:tc>
        <w:tc>
          <w:tcPr>
            <w:tcW w:w="3514" w:type="dxa"/>
            <w:gridSpan w:val="2"/>
          </w:tcPr>
          <w:p w14:paraId="7E26D5DE" w14:textId="77777777" w:rsidR="001439E0" w:rsidRDefault="008A23E0">
            <w:pPr>
              <w:pStyle w:val="TableParagraph"/>
              <w:spacing w:line="163" w:lineRule="exact"/>
              <w:ind w:left="1176" w:right="1175"/>
              <w:jc w:val="center"/>
              <w:rPr>
                <w:b/>
                <w:sz w:val="16"/>
              </w:rPr>
            </w:pPr>
            <w:r>
              <w:rPr>
                <w:b/>
                <w:sz w:val="16"/>
              </w:rPr>
              <w:t>DRIVE-AHEAD</w:t>
            </w:r>
          </w:p>
        </w:tc>
      </w:tr>
      <w:tr w:rsidR="001439E0" w14:paraId="7E26D5EF" w14:textId="77777777">
        <w:trPr>
          <w:trHeight w:val="736"/>
        </w:trPr>
        <w:tc>
          <w:tcPr>
            <w:tcW w:w="1810" w:type="dxa"/>
            <w:vMerge/>
            <w:tcBorders>
              <w:top w:val="nil"/>
            </w:tcBorders>
          </w:tcPr>
          <w:p w14:paraId="7E26D5E0" w14:textId="77777777" w:rsidR="001439E0" w:rsidRDefault="001439E0">
            <w:pPr>
              <w:rPr>
                <w:sz w:val="2"/>
                <w:szCs w:val="2"/>
              </w:rPr>
            </w:pPr>
          </w:p>
        </w:tc>
        <w:tc>
          <w:tcPr>
            <w:tcW w:w="2349" w:type="dxa"/>
          </w:tcPr>
          <w:p w14:paraId="7E26D5E1" w14:textId="77777777" w:rsidR="001439E0" w:rsidRDefault="001439E0">
            <w:pPr>
              <w:pStyle w:val="TableParagraph"/>
              <w:rPr>
                <w:b/>
                <w:sz w:val="16"/>
              </w:rPr>
            </w:pPr>
          </w:p>
          <w:p w14:paraId="7E26D5E2" w14:textId="77777777" w:rsidR="001439E0" w:rsidRDefault="008A23E0">
            <w:pPr>
              <w:pStyle w:val="TableParagraph"/>
              <w:spacing w:line="184" w:lineRule="exact"/>
              <w:ind w:left="736" w:right="732"/>
              <w:jc w:val="center"/>
              <w:rPr>
                <w:b/>
                <w:sz w:val="16"/>
              </w:rPr>
            </w:pPr>
            <w:r>
              <w:rPr>
                <w:b/>
                <w:sz w:val="16"/>
              </w:rPr>
              <w:t>PIFELTRO</w:t>
            </w:r>
          </w:p>
          <w:p w14:paraId="7E26D5E3" w14:textId="77777777" w:rsidR="001439E0" w:rsidRDefault="008A23E0">
            <w:pPr>
              <w:pStyle w:val="TableParagraph"/>
              <w:ind w:left="737" w:right="732"/>
              <w:jc w:val="center"/>
              <w:rPr>
                <w:b/>
                <w:sz w:val="16"/>
              </w:rPr>
            </w:pPr>
            <w:r>
              <w:rPr>
                <w:b/>
                <w:sz w:val="16"/>
              </w:rPr>
              <w:t>+2 NRTIs</w:t>
            </w:r>
          </w:p>
          <w:p w14:paraId="7E26D5E4" w14:textId="77777777" w:rsidR="001439E0" w:rsidRDefault="008A23E0">
            <w:pPr>
              <w:pStyle w:val="TableParagraph"/>
              <w:spacing w:before="1" w:line="163" w:lineRule="exact"/>
              <w:ind w:left="739" w:right="732"/>
              <w:jc w:val="center"/>
              <w:rPr>
                <w:b/>
                <w:sz w:val="16"/>
              </w:rPr>
            </w:pPr>
            <w:r>
              <w:rPr>
                <w:b/>
                <w:sz w:val="16"/>
              </w:rPr>
              <w:t>Once Daily</w:t>
            </w:r>
          </w:p>
        </w:tc>
        <w:tc>
          <w:tcPr>
            <w:tcW w:w="1906" w:type="dxa"/>
          </w:tcPr>
          <w:p w14:paraId="7E26D5E5" w14:textId="77777777" w:rsidR="001439E0" w:rsidRDefault="001439E0">
            <w:pPr>
              <w:pStyle w:val="TableParagraph"/>
              <w:rPr>
                <w:b/>
                <w:sz w:val="16"/>
              </w:rPr>
            </w:pPr>
          </w:p>
          <w:p w14:paraId="7E26D5E6" w14:textId="77777777" w:rsidR="001439E0" w:rsidRDefault="008A23E0">
            <w:pPr>
              <w:pStyle w:val="TableParagraph"/>
              <w:spacing w:line="184" w:lineRule="exact"/>
              <w:ind w:left="515" w:right="510"/>
              <w:jc w:val="center"/>
              <w:rPr>
                <w:b/>
                <w:sz w:val="16"/>
              </w:rPr>
            </w:pPr>
            <w:proofErr w:type="spellStart"/>
            <w:r>
              <w:rPr>
                <w:b/>
                <w:sz w:val="16"/>
              </w:rPr>
              <w:t>DRV+r</w:t>
            </w:r>
            <w:proofErr w:type="spellEnd"/>
          </w:p>
          <w:p w14:paraId="7E26D5E7" w14:textId="77777777" w:rsidR="001439E0" w:rsidRDefault="008A23E0">
            <w:pPr>
              <w:pStyle w:val="TableParagraph"/>
              <w:ind w:left="513" w:right="510"/>
              <w:jc w:val="center"/>
              <w:rPr>
                <w:b/>
                <w:sz w:val="16"/>
              </w:rPr>
            </w:pPr>
            <w:r>
              <w:rPr>
                <w:b/>
                <w:sz w:val="16"/>
              </w:rPr>
              <w:t>+2 NRTIs</w:t>
            </w:r>
          </w:p>
          <w:p w14:paraId="7E26D5E8" w14:textId="77777777" w:rsidR="001439E0" w:rsidRDefault="008A23E0">
            <w:pPr>
              <w:pStyle w:val="TableParagraph"/>
              <w:spacing w:before="1" w:line="163" w:lineRule="exact"/>
              <w:ind w:left="517" w:right="510"/>
              <w:jc w:val="center"/>
              <w:rPr>
                <w:b/>
                <w:sz w:val="16"/>
              </w:rPr>
            </w:pPr>
            <w:r>
              <w:rPr>
                <w:b/>
                <w:sz w:val="16"/>
              </w:rPr>
              <w:t>Once Daily</w:t>
            </w:r>
          </w:p>
        </w:tc>
        <w:tc>
          <w:tcPr>
            <w:tcW w:w="1761" w:type="dxa"/>
          </w:tcPr>
          <w:p w14:paraId="7E26D5E9" w14:textId="77777777" w:rsidR="001439E0" w:rsidRDefault="001439E0">
            <w:pPr>
              <w:pStyle w:val="TableParagraph"/>
              <w:rPr>
                <w:b/>
                <w:sz w:val="16"/>
              </w:rPr>
            </w:pPr>
          </w:p>
          <w:p w14:paraId="7E26D5EA" w14:textId="77777777" w:rsidR="001439E0" w:rsidRDefault="008A23E0">
            <w:pPr>
              <w:pStyle w:val="TableParagraph"/>
              <w:ind w:left="348" w:firstLine="36"/>
              <w:rPr>
                <w:b/>
                <w:sz w:val="16"/>
              </w:rPr>
            </w:pPr>
            <w:r>
              <w:rPr>
                <w:b/>
                <w:sz w:val="16"/>
              </w:rPr>
              <w:t xml:space="preserve">DELSTRIGO- </w:t>
            </w:r>
            <w:r>
              <w:rPr>
                <w:b/>
                <w:w w:val="95"/>
                <w:sz w:val="16"/>
              </w:rPr>
              <w:t>DOR/3TC/TDF</w:t>
            </w:r>
          </w:p>
          <w:p w14:paraId="7E26D5EB" w14:textId="77777777" w:rsidR="001439E0" w:rsidRDefault="008A23E0">
            <w:pPr>
              <w:pStyle w:val="TableParagraph"/>
              <w:spacing w:before="1" w:line="163" w:lineRule="exact"/>
              <w:ind w:left="463"/>
              <w:rPr>
                <w:b/>
                <w:sz w:val="16"/>
              </w:rPr>
            </w:pPr>
            <w:r>
              <w:rPr>
                <w:b/>
                <w:sz w:val="16"/>
              </w:rPr>
              <w:t>Once Daily</w:t>
            </w:r>
          </w:p>
        </w:tc>
        <w:tc>
          <w:tcPr>
            <w:tcW w:w="1753" w:type="dxa"/>
          </w:tcPr>
          <w:p w14:paraId="7E26D5EC" w14:textId="77777777" w:rsidR="001439E0" w:rsidRDefault="001439E0">
            <w:pPr>
              <w:pStyle w:val="TableParagraph"/>
              <w:rPr>
                <w:b/>
                <w:sz w:val="18"/>
              </w:rPr>
            </w:pPr>
          </w:p>
          <w:p w14:paraId="7E26D5ED" w14:textId="77777777" w:rsidR="001439E0" w:rsidRDefault="008A23E0">
            <w:pPr>
              <w:pStyle w:val="TableParagraph"/>
              <w:spacing w:before="161"/>
              <w:ind w:left="362"/>
              <w:rPr>
                <w:b/>
                <w:sz w:val="16"/>
              </w:rPr>
            </w:pPr>
            <w:r>
              <w:rPr>
                <w:b/>
                <w:sz w:val="16"/>
              </w:rPr>
              <w:t>EFV/FTC/TDF</w:t>
            </w:r>
          </w:p>
          <w:p w14:paraId="7E26D5EE" w14:textId="77777777" w:rsidR="001439E0" w:rsidRDefault="008A23E0">
            <w:pPr>
              <w:pStyle w:val="TableParagraph"/>
              <w:spacing w:before="1" w:line="163" w:lineRule="exact"/>
              <w:ind w:left="459"/>
              <w:rPr>
                <w:b/>
                <w:sz w:val="16"/>
              </w:rPr>
            </w:pPr>
            <w:r>
              <w:rPr>
                <w:b/>
                <w:sz w:val="16"/>
              </w:rPr>
              <w:t>Once Daily</w:t>
            </w:r>
          </w:p>
        </w:tc>
      </w:tr>
      <w:tr w:rsidR="001439E0" w14:paraId="7E26D5F5" w14:textId="77777777">
        <w:trPr>
          <w:trHeight w:val="184"/>
        </w:trPr>
        <w:tc>
          <w:tcPr>
            <w:tcW w:w="1810" w:type="dxa"/>
            <w:vMerge/>
            <w:tcBorders>
              <w:top w:val="nil"/>
            </w:tcBorders>
          </w:tcPr>
          <w:p w14:paraId="7E26D5F0" w14:textId="77777777" w:rsidR="001439E0" w:rsidRDefault="001439E0">
            <w:pPr>
              <w:rPr>
                <w:sz w:val="2"/>
                <w:szCs w:val="2"/>
              </w:rPr>
            </w:pPr>
          </w:p>
        </w:tc>
        <w:tc>
          <w:tcPr>
            <w:tcW w:w="2349" w:type="dxa"/>
          </w:tcPr>
          <w:p w14:paraId="7E26D5F1" w14:textId="77777777" w:rsidR="001439E0" w:rsidRDefault="008A23E0">
            <w:pPr>
              <w:pStyle w:val="TableParagraph"/>
              <w:spacing w:line="164" w:lineRule="exact"/>
              <w:ind w:left="736" w:right="732"/>
              <w:jc w:val="center"/>
              <w:rPr>
                <w:b/>
                <w:sz w:val="16"/>
              </w:rPr>
            </w:pPr>
            <w:r>
              <w:rPr>
                <w:b/>
                <w:sz w:val="16"/>
              </w:rPr>
              <w:t>N=383</w:t>
            </w:r>
          </w:p>
        </w:tc>
        <w:tc>
          <w:tcPr>
            <w:tcW w:w="1906" w:type="dxa"/>
          </w:tcPr>
          <w:p w14:paraId="7E26D5F2" w14:textId="77777777" w:rsidR="001439E0" w:rsidRDefault="008A23E0">
            <w:pPr>
              <w:pStyle w:val="TableParagraph"/>
              <w:spacing w:line="164" w:lineRule="exact"/>
              <w:ind w:left="514" w:right="510"/>
              <w:jc w:val="center"/>
              <w:rPr>
                <w:b/>
                <w:sz w:val="16"/>
              </w:rPr>
            </w:pPr>
            <w:r>
              <w:rPr>
                <w:b/>
                <w:sz w:val="16"/>
              </w:rPr>
              <w:t>N=383</w:t>
            </w:r>
          </w:p>
        </w:tc>
        <w:tc>
          <w:tcPr>
            <w:tcW w:w="1761" w:type="dxa"/>
          </w:tcPr>
          <w:p w14:paraId="7E26D5F3" w14:textId="77777777" w:rsidR="001439E0" w:rsidRDefault="008A23E0">
            <w:pPr>
              <w:pStyle w:val="TableParagraph"/>
              <w:spacing w:line="164" w:lineRule="exact"/>
              <w:ind w:left="618" w:right="616"/>
              <w:jc w:val="center"/>
              <w:rPr>
                <w:b/>
                <w:sz w:val="16"/>
              </w:rPr>
            </w:pPr>
            <w:r>
              <w:rPr>
                <w:b/>
                <w:sz w:val="16"/>
              </w:rPr>
              <w:t>N=364</w:t>
            </w:r>
          </w:p>
        </w:tc>
        <w:tc>
          <w:tcPr>
            <w:tcW w:w="1753" w:type="dxa"/>
          </w:tcPr>
          <w:p w14:paraId="7E26D5F4" w14:textId="77777777" w:rsidR="001439E0" w:rsidRDefault="008A23E0">
            <w:pPr>
              <w:pStyle w:val="TableParagraph"/>
              <w:spacing w:line="164" w:lineRule="exact"/>
              <w:ind w:left="614" w:right="613"/>
              <w:jc w:val="center"/>
              <w:rPr>
                <w:b/>
                <w:sz w:val="16"/>
              </w:rPr>
            </w:pPr>
            <w:r>
              <w:rPr>
                <w:b/>
                <w:sz w:val="16"/>
              </w:rPr>
              <w:t>N=364</w:t>
            </w:r>
          </w:p>
        </w:tc>
      </w:tr>
      <w:tr w:rsidR="001439E0" w14:paraId="7E26D615" w14:textId="77777777">
        <w:trPr>
          <w:trHeight w:val="1422"/>
        </w:trPr>
        <w:tc>
          <w:tcPr>
            <w:tcW w:w="1810" w:type="dxa"/>
          </w:tcPr>
          <w:p w14:paraId="7E26D5F6" w14:textId="77777777" w:rsidR="001439E0" w:rsidRDefault="008A23E0">
            <w:pPr>
              <w:pStyle w:val="TableParagraph"/>
              <w:spacing w:before="68"/>
              <w:ind w:left="107" w:right="454"/>
              <w:rPr>
                <w:b/>
                <w:sz w:val="16"/>
              </w:rPr>
            </w:pPr>
            <w:r>
              <w:rPr>
                <w:b/>
                <w:sz w:val="16"/>
              </w:rPr>
              <w:t>Gastrointestinal Disorders</w:t>
            </w:r>
          </w:p>
          <w:p w14:paraId="7E26D5F7" w14:textId="77777777" w:rsidR="001439E0" w:rsidRDefault="001439E0">
            <w:pPr>
              <w:pStyle w:val="TableParagraph"/>
              <w:spacing w:before="10"/>
              <w:rPr>
                <w:b/>
                <w:sz w:val="15"/>
              </w:rPr>
            </w:pPr>
          </w:p>
          <w:p w14:paraId="7E26D5F8" w14:textId="77777777" w:rsidR="001439E0" w:rsidRDefault="008A23E0">
            <w:pPr>
              <w:pStyle w:val="TableParagraph"/>
              <w:ind w:left="107" w:right="570"/>
              <w:rPr>
                <w:sz w:val="16"/>
              </w:rPr>
            </w:pPr>
            <w:r>
              <w:rPr>
                <w:sz w:val="16"/>
              </w:rPr>
              <w:t xml:space="preserve">Abdominal pain </w:t>
            </w:r>
            <w:proofErr w:type="spellStart"/>
            <w:r>
              <w:rPr>
                <w:sz w:val="16"/>
              </w:rPr>
              <w:t>upperDiarrhea</w:t>
            </w:r>
            <w:proofErr w:type="spellEnd"/>
            <w:r>
              <w:rPr>
                <w:sz w:val="16"/>
              </w:rPr>
              <w:t xml:space="preserve"> Nausea Vomiting</w:t>
            </w:r>
          </w:p>
        </w:tc>
        <w:tc>
          <w:tcPr>
            <w:tcW w:w="2349" w:type="dxa"/>
          </w:tcPr>
          <w:p w14:paraId="7E26D5F9" w14:textId="77777777" w:rsidR="001439E0" w:rsidRDefault="001439E0">
            <w:pPr>
              <w:pStyle w:val="TableParagraph"/>
              <w:rPr>
                <w:b/>
                <w:sz w:val="18"/>
              </w:rPr>
            </w:pPr>
          </w:p>
          <w:p w14:paraId="7E26D5FA" w14:textId="77777777" w:rsidR="001439E0" w:rsidRDefault="001439E0">
            <w:pPr>
              <w:pStyle w:val="TableParagraph"/>
              <w:rPr>
                <w:b/>
                <w:sz w:val="18"/>
              </w:rPr>
            </w:pPr>
          </w:p>
          <w:p w14:paraId="7E26D5FB" w14:textId="77777777" w:rsidR="001439E0" w:rsidRDefault="001439E0">
            <w:pPr>
              <w:pStyle w:val="TableParagraph"/>
              <w:spacing w:before="8"/>
              <w:rPr>
                <w:b/>
                <w:sz w:val="23"/>
              </w:rPr>
            </w:pPr>
          </w:p>
          <w:p w14:paraId="7E26D5FC" w14:textId="77777777" w:rsidR="001439E0" w:rsidRDefault="008A23E0">
            <w:pPr>
              <w:pStyle w:val="TableParagraph"/>
              <w:spacing w:before="1" w:line="184" w:lineRule="exact"/>
              <w:ind w:left="739" w:right="730"/>
              <w:jc w:val="center"/>
              <w:rPr>
                <w:b/>
                <w:sz w:val="16"/>
              </w:rPr>
            </w:pPr>
            <w:r>
              <w:rPr>
                <w:b/>
                <w:sz w:val="16"/>
              </w:rPr>
              <w:t>2%</w:t>
            </w:r>
          </w:p>
          <w:p w14:paraId="7E26D5FD" w14:textId="77777777" w:rsidR="001439E0" w:rsidRDefault="008A23E0">
            <w:pPr>
              <w:pStyle w:val="TableParagraph"/>
              <w:ind w:left="739" w:right="730"/>
              <w:jc w:val="center"/>
              <w:rPr>
                <w:b/>
                <w:sz w:val="16"/>
              </w:rPr>
            </w:pPr>
            <w:r>
              <w:rPr>
                <w:b/>
                <w:sz w:val="16"/>
              </w:rPr>
              <w:t>5%</w:t>
            </w:r>
          </w:p>
          <w:p w14:paraId="7E26D5FE" w14:textId="77777777" w:rsidR="001439E0" w:rsidRDefault="008A23E0">
            <w:pPr>
              <w:pStyle w:val="TableParagraph"/>
              <w:spacing w:line="184" w:lineRule="exact"/>
              <w:ind w:left="739" w:right="730"/>
              <w:jc w:val="center"/>
              <w:rPr>
                <w:b/>
                <w:sz w:val="16"/>
              </w:rPr>
            </w:pPr>
            <w:r>
              <w:rPr>
                <w:b/>
                <w:sz w:val="16"/>
              </w:rPr>
              <w:t>7%</w:t>
            </w:r>
          </w:p>
          <w:p w14:paraId="7E26D5FF" w14:textId="77777777" w:rsidR="001439E0" w:rsidRDefault="008A23E0">
            <w:pPr>
              <w:pStyle w:val="TableParagraph"/>
              <w:spacing w:line="163" w:lineRule="exact"/>
              <w:ind w:left="739" w:right="730"/>
              <w:jc w:val="center"/>
              <w:rPr>
                <w:b/>
                <w:sz w:val="16"/>
              </w:rPr>
            </w:pPr>
            <w:r>
              <w:rPr>
                <w:b/>
                <w:sz w:val="16"/>
              </w:rPr>
              <w:t>2%</w:t>
            </w:r>
          </w:p>
        </w:tc>
        <w:tc>
          <w:tcPr>
            <w:tcW w:w="1906" w:type="dxa"/>
          </w:tcPr>
          <w:p w14:paraId="7E26D600" w14:textId="77777777" w:rsidR="001439E0" w:rsidRDefault="001439E0">
            <w:pPr>
              <w:pStyle w:val="TableParagraph"/>
              <w:rPr>
                <w:b/>
                <w:sz w:val="18"/>
              </w:rPr>
            </w:pPr>
          </w:p>
          <w:p w14:paraId="7E26D601" w14:textId="77777777" w:rsidR="001439E0" w:rsidRDefault="001439E0">
            <w:pPr>
              <w:pStyle w:val="TableParagraph"/>
              <w:rPr>
                <w:b/>
                <w:sz w:val="18"/>
              </w:rPr>
            </w:pPr>
          </w:p>
          <w:p w14:paraId="7E26D602" w14:textId="77777777" w:rsidR="001439E0" w:rsidRDefault="001439E0">
            <w:pPr>
              <w:pStyle w:val="TableParagraph"/>
              <w:spacing w:before="8"/>
              <w:rPr>
                <w:b/>
                <w:sz w:val="23"/>
              </w:rPr>
            </w:pPr>
          </w:p>
          <w:p w14:paraId="7E26D603" w14:textId="77777777" w:rsidR="001439E0" w:rsidRDefault="008A23E0">
            <w:pPr>
              <w:pStyle w:val="TableParagraph"/>
              <w:spacing w:before="1" w:line="184" w:lineRule="exact"/>
              <w:ind w:left="517" w:right="510"/>
              <w:jc w:val="center"/>
              <w:rPr>
                <w:b/>
                <w:sz w:val="16"/>
              </w:rPr>
            </w:pPr>
            <w:r>
              <w:rPr>
                <w:b/>
                <w:sz w:val="16"/>
              </w:rPr>
              <w:t>&lt;1%</w:t>
            </w:r>
          </w:p>
          <w:p w14:paraId="7E26D604" w14:textId="77777777" w:rsidR="001439E0" w:rsidRDefault="008A23E0">
            <w:pPr>
              <w:pStyle w:val="TableParagraph"/>
              <w:ind w:left="517" w:right="510"/>
              <w:jc w:val="center"/>
              <w:rPr>
                <w:b/>
                <w:sz w:val="16"/>
              </w:rPr>
            </w:pPr>
            <w:r>
              <w:rPr>
                <w:b/>
                <w:sz w:val="16"/>
              </w:rPr>
              <w:t>13%</w:t>
            </w:r>
          </w:p>
          <w:p w14:paraId="7E26D605" w14:textId="77777777" w:rsidR="001439E0" w:rsidRDefault="008A23E0">
            <w:pPr>
              <w:pStyle w:val="TableParagraph"/>
              <w:spacing w:line="184" w:lineRule="exact"/>
              <w:ind w:left="517" w:right="508"/>
              <w:jc w:val="center"/>
              <w:rPr>
                <w:b/>
                <w:sz w:val="16"/>
              </w:rPr>
            </w:pPr>
            <w:r>
              <w:rPr>
                <w:b/>
                <w:sz w:val="16"/>
              </w:rPr>
              <w:t>8%</w:t>
            </w:r>
          </w:p>
          <w:p w14:paraId="7E26D606" w14:textId="77777777" w:rsidR="001439E0" w:rsidRDefault="008A23E0">
            <w:pPr>
              <w:pStyle w:val="TableParagraph"/>
              <w:spacing w:line="163" w:lineRule="exact"/>
              <w:ind w:left="517" w:right="508"/>
              <w:jc w:val="center"/>
              <w:rPr>
                <w:b/>
                <w:sz w:val="16"/>
              </w:rPr>
            </w:pPr>
            <w:r>
              <w:rPr>
                <w:b/>
                <w:sz w:val="16"/>
              </w:rPr>
              <w:t>1%</w:t>
            </w:r>
          </w:p>
        </w:tc>
        <w:tc>
          <w:tcPr>
            <w:tcW w:w="1761" w:type="dxa"/>
          </w:tcPr>
          <w:p w14:paraId="7E26D607" w14:textId="77777777" w:rsidR="001439E0" w:rsidRDefault="001439E0">
            <w:pPr>
              <w:pStyle w:val="TableParagraph"/>
              <w:rPr>
                <w:b/>
                <w:sz w:val="18"/>
              </w:rPr>
            </w:pPr>
          </w:p>
          <w:p w14:paraId="7E26D608" w14:textId="77777777" w:rsidR="001439E0" w:rsidRDefault="001439E0">
            <w:pPr>
              <w:pStyle w:val="TableParagraph"/>
              <w:rPr>
                <w:b/>
                <w:sz w:val="18"/>
              </w:rPr>
            </w:pPr>
          </w:p>
          <w:p w14:paraId="7E26D609" w14:textId="77777777" w:rsidR="001439E0" w:rsidRDefault="001439E0">
            <w:pPr>
              <w:pStyle w:val="TableParagraph"/>
              <w:spacing w:before="8"/>
              <w:rPr>
                <w:b/>
                <w:sz w:val="23"/>
              </w:rPr>
            </w:pPr>
          </w:p>
          <w:p w14:paraId="7E26D60A" w14:textId="77777777" w:rsidR="001439E0" w:rsidRDefault="008A23E0">
            <w:pPr>
              <w:pStyle w:val="TableParagraph"/>
              <w:spacing w:before="1" w:line="184" w:lineRule="exact"/>
              <w:ind w:left="618" w:right="613"/>
              <w:jc w:val="center"/>
              <w:rPr>
                <w:b/>
                <w:sz w:val="16"/>
              </w:rPr>
            </w:pPr>
            <w:r>
              <w:rPr>
                <w:b/>
                <w:sz w:val="16"/>
              </w:rPr>
              <w:t>&lt;1%</w:t>
            </w:r>
          </w:p>
          <w:p w14:paraId="7E26D60B" w14:textId="77777777" w:rsidR="001439E0" w:rsidRDefault="008A23E0">
            <w:pPr>
              <w:pStyle w:val="TableParagraph"/>
              <w:ind w:left="618" w:right="611"/>
              <w:jc w:val="center"/>
              <w:rPr>
                <w:b/>
                <w:sz w:val="16"/>
              </w:rPr>
            </w:pPr>
            <w:r>
              <w:rPr>
                <w:b/>
                <w:sz w:val="16"/>
              </w:rPr>
              <w:t>3%</w:t>
            </w:r>
          </w:p>
          <w:p w14:paraId="7E26D60C" w14:textId="77777777" w:rsidR="001439E0" w:rsidRDefault="008A23E0">
            <w:pPr>
              <w:pStyle w:val="TableParagraph"/>
              <w:spacing w:line="184" w:lineRule="exact"/>
              <w:ind w:left="618" w:right="611"/>
              <w:jc w:val="center"/>
              <w:rPr>
                <w:b/>
                <w:sz w:val="16"/>
              </w:rPr>
            </w:pPr>
            <w:r>
              <w:rPr>
                <w:b/>
                <w:sz w:val="16"/>
              </w:rPr>
              <w:t>5%</w:t>
            </w:r>
          </w:p>
          <w:p w14:paraId="7E26D60D" w14:textId="77777777" w:rsidR="001439E0" w:rsidRDefault="008A23E0">
            <w:pPr>
              <w:pStyle w:val="TableParagraph"/>
              <w:spacing w:line="163" w:lineRule="exact"/>
              <w:ind w:left="618" w:right="611"/>
              <w:jc w:val="center"/>
              <w:rPr>
                <w:b/>
                <w:sz w:val="16"/>
              </w:rPr>
            </w:pPr>
            <w:r>
              <w:rPr>
                <w:b/>
                <w:sz w:val="16"/>
              </w:rPr>
              <w:t>2%</w:t>
            </w:r>
          </w:p>
        </w:tc>
        <w:tc>
          <w:tcPr>
            <w:tcW w:w="1753" w:type="dxa"/>
          </w:tcPr>
          <w:p w14:paraId="7E26D60E" w14:textId="77777777" w:rsidR="001439E0" w:rsidRDefault="001439E0">
            <w:pPr>
              <w:pStyle w:val="TableParagraph"/>
              <w:rPr>
                <w:b/>
                <w:sz w:val="18"/>
              </w:rPr>
            </w:pPr>
          </w:p>
          <w:p w14:paraId="7E26D60F" w14:textId="77777777" w:rsidR="001439E0" w:rsidRDefault="001439E0">
            <w:pPr>
              <w:pStyle w:val="TableParagraph"/>
              <w:rPr>
                <w:b/>
                <w:sz w:val="18"/>
              </w:rPr>
            </w:pPr>
          </w:p>
          <w:p w14:paraId="7E26D610" w14:textId="77777777" w:rsidR="001439E0" w:rsidRDefault="001439E0">
            <w:pPr>
              <w:pStyle w:val="TableParagraph"/>
              <w:spacing w:before="8"/>
              <w:rPr>
                <w:b/>
                <w:sz w:val="23"/>
              </w:rPr>
            </w:pPr>
          </w:p>
          <w:p w14:paraId="7E26D611" w14:textId="77777777" w:rsidR="001439E0" w:rsidRDefault="008A23E0">
            <w:pPr>
              <w:pStyle w:val="TableParagraph"/>
              <w:spacing w:before="1" w:line="184" w:lineRule="exact"/>
              <w:ind w:left="614" w:right="610"/>
              <w:jc w:val="center"/>
              <w:rPr>
                <w:b/>
                <w:sz w:val="16"/>
              </w:rPr>
            </w:pPr>
            <w:r>
              <w:rPr>
                <w:b/>
                <w:sz w:val="16"/>
              </w:rPr>
              <w:t>&lt;1%</w:t>
            </w:r>
          </w:p>
          <w:p w14:paraId="7E26D612" w14:textId="77777777" w:rsidR="001439E0" w:rsidRDefault="008A23E0">
            <w:pPr>
              <w:pStyle w:val="TableParagraph"/>
              <w:ind w:left="614" w:right="607"/>
              <w:jc w:val="center"/>
              <w:rPr>
                <w:b/>
                <w:sz w:val="16"/>
              </w:rPr>
            </w:pPr>
            <w:r>
              <w:rPr>
                <w:b/>
                <w:sz w:val="16"/>
              </w:rPr>
              <w:t>5%</w:t>
            </w:r>
          </w:p>
          <w:p w14:paraId="7E26D613" w14:textId="77777777" w:rsidR="001439E0" w:rsidRDefault="008A23E0">
            <w:pPr>
              <w:pStyle w:val="TableParagraph"/>
              <w:spacing w:line="184" w:lineRule="exact"/>
              <w:ind w:left="614" w:right="607"/>
              <w:jc w:val="center"/>
              <w:rPr>
                <w:b/>
                <w:sz w:val="16"/>
              </w:rPr>
            </w:pPr>
            <w:r>
              <w:rPr>
                <w:b/>
                <w:sz w:val="16"/>
              </w:rPr>
              <w:t>7%</w:t>
            </w:r>
          </w:p>
          <w:p w14:paraId="7E26D614" w14:textId="77777777" w:rsidR="001439E0" w:rsidRDefault="008A23E0">
            <w:pPr>
              <w:pStyle w:val="TableParagraph"/>
              <w:spacing w:line="163" w:lineRule="exact"/>
              <w:ind w:left="614" w:right="607"/>
              <w:jc w:val="center"/>
              <w:rPr>
                <w:b/>
                <w:sz w:val="16"/>
              </w:rPr>
            </w:pPr>
            <w:r>
              <w:rPr>
                <w:b/>
                <w:sz w:val="16"/>
              </w:rPr>
              <w:t>3%</w:t>
            </w:r>
          </w:p>
        </w:tc>
      </w:tr>
      <w:tr w:rsidR="001439E0" w14:paraId="7E26D629" w14:textId="77777777">
        <w:trPr>
          <w:trHeight w:val="920"/>
        </w:trPr>
        <w:tc>
          <w:tcPr>
            <w:tcW w:w="1810" w:type="dxa"/>
          </w:tcPr>
          <w:p w14:paraId="7E26D616" w14:textId="77777777" w:rsidR="001439E0" w:rsidRDefault="008A23E0">
            <w:pPr>
              <w:pStyle w:val="TableParagraph"/>
              <w:spacing w:before="1"/>
              <w:ind w:left="107" w:right="215"/>
              <w:rPr>
                <w:b/>
                <w:sz w:val="16"/>
              </w:rPr>
            </w:pPr>
            <w:r>
              <w:rPr>
                <w:b/>
                <w:sz w:val="16"/>
              </w:rPr>
              <w:t>General Disorders and Administration Site Conditions</w:t>
            </w:r>
          </w:p>
          <w:p w14:paraId="7E26D617" w14:textId="77777777" w:rsidR="001439E0" w:rsidRDefault="001439E0">
            <w:pPr>
              <w:pStyle w:val="TableParagraph"/>
              <w:spacing w:before="11"/>
              <w:rPr>
                <w:b/>
                <w:sz w:val="15"/>
              </w:rPr>
            </w:pPr>
          </w:p>
          <w:p w14:paraId="7E26D618" w14:textId="77777777" w:rsidR="001439E0" w:rsidRDefault="008A23E0">
            <w:pPr>
              <w:pStyle w:val="TableParagraph"/>
              <w:spacing w:line="163" w:lineRule="exact"/>
              <w:ind w:left="107"/>
              <w:rPr>
                <w:sz w:val="16"/>
              </w:rPr>
            </w:pPr>
            <w:r>
              <w:rPr>
                <w:sz w:val="16"/>
              </w:rPr>
              <w:t>Fatigue</w:t>
            </w:r>
          </w:p>
        </w:tc>
        <w:tc>
          <w:tcPr>
            <w:tcW w:w="2349" w:type="dxa"/>
          </w:tcPr>
          <w:p w14:paraId="7E26D619" w14:textId="77777777" w:rsidR="001439E0" w:rsidRDefault="001439E0">
            <w:pPr>
              <w:pStyle w:val="TableParagraph"/>
              <w:rPr>
                <w:b/>
                <w:sz w:val="18"/>
              </w:rPr>
            </w:pPr>
          </w:p>
          <w:p w14:paraId="7E26D61A" w14:textId="77777777" w:rsidR="001439E0" w:rsidRDefault="001439E0">
            <w:pPr>
              <w:pStyle w:val="TableParagraph"/>
              <w:rPr>
                <w:b/>
                <w:sz w:val="18"/>
              </w:rPr>
            </w:pPr>
          </w:p>
          <w:p w14:paraId="7E26D61B" w14:textId="77777777" w:rsidR="001439E0" w:rsidRDefault="001439E0">
            <w:pPr>
              <w:pStyle w:val="TableParagraph"/>
              <w:spacing w:before="10"/>
              <w:rPr>
                <w:b/>
                <w:sz w:val="23"/>
              </w:rPr>
            </w:pPr>
          </w:p>
          <w:p w14:paraId="7E26D61C" w14:textId="77777777" w:rsidR="001439E0" w:rsidRDefault="008A23E0">
            <w:pPr>
              <w:pStyle w:val="TableParagraph"/>
              <w:ind w:left="739" w:right="730"/>
              <w:jc w:val="center"/>
              <w:rPr>
                <w:b/>
                <w:sz w:val="16"/>
              </w:rPr>
            </w:pPr>
            <w:r>
              <w:rPr>
                <w:b/>
                <w:sz w:val="16"/>
              </w:rPr>
              <w:t>5%</w:t>
            </w:r>
          </w:p>
        </w:tc>
        <w:tc>
          <w:tcPr>
            <w:tcW w:w="1906" w:type="dxa"/>
          </w:tcPr>
          <w:p w14:paraId="7E26D61D" w14:textId="77777777" w:rsidR="001439E0" w:rsidRDefault="001439E0">
            <w:pPr>
              <w:pStyle w:val="TableParagraph"/>
              <w:rPr>
                <w:b/>
                <w:sz w:val="18"/>
              </w:rPr>
            </w:pPr>
          </w:p>
          <w:p w14:paraId="7E26D61E" w14:textId="77777777" w:rsidR="001439E0" w:rsidRDefault="001439E0">
            <w:pPr>
              <w:pStyle w:val="TableParagraph"/>
              <w:rPr>
                <w:b/>
                <w:sz w:val="18"/>
              </w:rPr>
            </w:pPr>
          </w:p>
          <w:p w14:paraId="7E26D61F" w14:textId="77777777" w:rsidR="001439E0" w:rsidRDefault="001439E0">
            <w:pPr>
              <w:pStyle w:val="TableParagraph"/>
              <w:spacing w:before="10"/>
              <w:rPr>
                <w:b/>
                <w:sz w:val="23"/>
              </w:rPr>
            </w:pPr>
          </w:p>
          <w:p w14:paraId="7E26D620" w14:textId="77777777" w:rsidR="001439E0" w:rsidRDefault="008A23E0">
            <w:pPr>
              <w:pStyle w:val="TableParagraph"/>
              <w:ind w:left="517" w:right="508"/>
              <w:jc w:val="center"/>
              <w:rPr>
                <w:b/>
                <w:sz w:val="16"/>
              </w:rPr>
            </w:pPr>
            <w:r>
              <w:rPr>
                <w:b/>
                <w:sz w:val="16"/>
              </w:rPr>
              <w:t>2%</w:t>
            </w:r>
          </w:p>
        </w:tc>
        <w:tc>
          <w:tcPr>
            <w:tcW w:w="1761" w:type="dxa"/>
          </w:tcPr>
          <w:p w14:paraId="7E26D621" w14:textId="77777777" w:rsidR="001439E0" w:rsidRDefault="001439E0">
            <w:pPr>
              <w:pStyle w:val="TableParagraph"/>
              <w:rPr>
                <w:b/>
                <w:sz w:val="18"/>
              </w:rPr>
            </w:pPr>
          </w:p>
          <w:p w14:paraId="7E26D622" w14:textId="77777777" w:rsidR="001439E0" w:rsidRDefault="001439E0">
            <w:pPr>
              <w:pStyle w:val="TableParagraph"/>
              <w:rPr>
                <w:b/>
                <w:sz w:val="18"/>
              </w:rPr>
            </w:pPr>
          </w:p>
          <w:p w14:paraId="7E26D623" w14:textId="77777777" w:rsidR="001439E0" w:rsidRDefault="001439E0">
            <w:pPr>
              <w:pStyle w:val="TableParagraph"/>
              <w:spacing w:before="10"/>
              <w:rPr>
                <w:b/>
                <w:sz w:val="23"/>
              </w:rPr>
            </w:pPr>
          </w:p>
          <w:p w14:paraId="7E26D624" w14:textId="77777777" w:rsidR="001439E0" w:rsidRDefault="008A23E0">
            <w:pPr>
              <w:pStyle w:val="TableParagraph"/>
              <w:ind w:left="618" w:right="611"/>
              <w:jc w:val="center"/>
              <w:rPr>
                <w:b/>
                <w:sz w:val="16"/>
              </w:rPr>
            </w:pPr>
            <w:r>
              <w:rPr>
                <w:b/>
                <w:sz w:val="16"/>
              </w:rPr>
              <w:t>4%</w:t>
            </w:r>
          </w:p>
        </w:tc>
        <w:tc>
          <w:tcPr>
            <w:tcW w:w="1753" w:type="dxa"/>
          </w:tcPr>
          <w:p w14:paraId="7E26D625" w14:textId="77777777" w:rsidR="001439E0" w:rsidRDefault="001439E0">
            <w:pPr>
              <w:pStyle w:val="TableParagraph"/>
              <w:rPr>
                <w:b/>
                <w:sz w:val="18"/>
              </w:rPr>
            </w:pPr>
          </w:p>
          <w:p w14:paraId="7E26D626" w14:textId="77777777" w:rsidR="001439E0" w:rsidRDefault="001439E0">
            <w:pPr>
              <w:pStyle w:val="TableParagraph"/>
              <w:rPr>
                <w:b/>
                <w:sz w:val="18"/>
              </w:rPr>
            </w:pPr>
          </w:p>
          <w:p w14:paraId="7E26D627" w14:textId="77777777" w:rsidR="001439E0" w:rsidRDefault="001439E0">
            <w:pPr>
              <w:pStyle w:val="TableParagraph"/>
              <w:spacing w:before="10"/>
              <w:rPr>
                <w:b/>
                <w:sz w:val="23"/>
              </w:rPr>
            </w:pPr>
          </w:p>
          <w:p w14:paraId="7E26D628" w14:textId="77777777" w:rsidR="001439E0" w:rsidRDefault="008A23E0">
            <w:pPr>
              <w:pStyle w:val="TableParagraph"/>
              <w:ind w:left="614" w:right="607"/>
              <w:jc w:val="center"/>
              <w:rPr>
                <w:b/>
                <w:sz w:val="16"/>
              </w:rPr>
            </w:pPr>
            <w:r>
              <w:rPr>
                <w:b/>
                <w:sz w:val="16"/>
              </w:rPr>
              <w:t>3%</w:t>
            </w:r>
          </w:p>
        </w:tc>
      </w:tr>
      <w:tr w:rsidR="001439E0" w14:paraId="7E26D646" w14:textId="77777777">
        <w:trPr>
          <w:trHeight w:val="1288"/>
        </w:trPr>
        <w:tc>
          <w:tcPr>
            <w:tcW w:w="1810" w:type="dxa"/>
          </w:tcPr>
          <w:p w14:paraId="7E26D62A" w14:textId="77777777" w:rsidR="001439E0" w:rsidRDefault="008A23E0">
            <w:pPr>
              <w:pStyle w:val="TableParagraph"/>
              <w:spacing w:before="1"/>
              <w:ind w:left="107" w:right="419"/>
              <w:rPr>
                <w:b/>
                <w:sz w:val="16"/>
              </w:rPr>
            </w:pPr>
            <w:r>
              <w:rPr>
                <w:b/>
                <w:sz w:val="16"/>
              </w:rPr>
              <w:t>Nervous System Disorders</w:t>
            </w:r>
          </w:p>
          <w:p w14:paraId="7E26D62B" w14:textId="77777777" w:rsidR="001439E0" w:rsidRDefault="001439E0">
            <w:pPr>
              <w:pStyle w:val="TableParagraph"/>
              <w:spacing w:before="11"/>
              <w:rPr>
                <w:b/>
                <w:sz w:val="15"/>
              </w:rPr>
            </w:pPr>
          </w:p>
          <w:p w14:paraId="7E26D62C" w14:textId="77777777" w:rsidR="001439E0" w:rsidRDefault="008A23E0">
            <w:pPr>
              <w:pStyle w:val="TableParagraph"/>
              <w:ind w:left="107" w:right="641"/>
              <w:rPr>
                <w:sz w:val="16"/>
              </w:rPr>
            </w:pPr>
            <w:r>
              <w:rPr>
                <w:sz w:val="16"/>
              </w:rPr>
              <w:t>Dizziness Headache Sleep disorder</w:t>
            </w:r>
          </w:p>
          <w:p w14:paraId="7E26D62D" w14:textId="77777777" w:rsidR="001439E0" w:rsidRDefault="008A23E0">
            <w:pPr>
              <w:pStyle w:val="TableParagraph"/>
              <w:spacing w:line="163" w:lineRule="exact"/>
              <w:ind w:left="107"/>
              <w:rPr>
                <w:sz w:val="16"/>
              </w:rPr>
            </w:pPr>
            <w:r>
              <w:rPr>
                <w:sz w:val="16"/>
              </w:rPr>
              <w:t>Somnolence</w:t>
            </w:r>
          </w:p>
        </w:tc>
        <w:tc>
          <w:tcPr>
            <w:tcW w:w="2349" w:type="dxa"/>
          </w:tcPr>
          <w:p w14:paraId="7E26D62E" w14:textId="77777777" w:rsidR="001439E0" w:rsidRDefault="001439E0">
            <w:pPr>
              <w:pStyle w:val="TableParagraph"/>
              <w:rPr>
                <w:b/>
                <w:sz w:val="18"/>
              </w:rPr>
            </w:pPr>
          </w:p>
          <w:p w14:paraId="7E26D62F" w14:textId="77777777" w:rsidR="001439E0" w:rsidRDefault="001439E0">
            <w:pPr>
              <w:pStyle w:val="TableParagraph"/>
              <w:rPr>
                <w:b/>
                <w:sz w:val="18"/>
              </w:rPr>
            </w:pPr>
          </w:p>
          <w:p w14:paraId="7E26D630" w14:textId="77777777" w:rsidR="001439E0" w:rsidRDefault="008A23E0">
            <w:pPr>
              <w:pStyle w:val="TableParagraph"/>
              <w:spacing w:before="115" w:line="184" w:lineRule="exact"/>
              <w:ind w:left="739" w:right="730"/>
              <w:jc w:val="center"/>
              <w:rPr>
                <w:b/>
                <w:sz w:val="16"/>
              </w:rPr>
            </w:pPr>
            <w:r>
              <w:rPr>
                <w:b/>
                <w:sz w:val="16"/>
              </w:rPr>
              <w:t>3%</w:t>
            </w:r>
          </w:p>
          <w:p w14:paraId="7E26D631" w14:textId="77777777" w:rsidR="001439E0" w:rsidRDefault="008A23E0">
            <w:pPr>
              <w:pStyle w:val="TableParagraph"/>
              <w:spacing w:line="184" w:lineRule="exact"/>
              <w:ind w:left="739" w:right="730"/>
              <w:jc w:val="center"/>
              <w:rPr>
                <w:b/>
                <w:sz w:val="16"/>
              </w:rPr>
            </w:pPr>
            <w:r>
              <w:rPr>
                <w:b/>
                <w:sz w:val="16"/>
              </w:rPr>
              <w:t>6%</w:t>
            </w:r>
          </w:p>
          <w:p w14:paraId="7E26D632" w14:textId="77777777" w:rsidR="001439E0" w:rsidRDefault="008A23E0">
            <w:pPr>
              <w:pStyle w:val="TableParagraph"/>
              <w:ind w:left="739" w:right="730"/>
              <w:jc w:val="center"/>
              <w:rPr>
                <w:b/>
                <w:sz w:val="16"/>
              </w:rPr>
            </w:pPr>
            <w:r>
              <w:rPr>
                <w:b/>
                <w:sz w:val="16"/>
              </w:rPr>
              <w:t>2%</w:t>
            </w:r>
          </w:p>
          <w:p w14:paraId="7E26D633" w14:textId="77777777" w:rsidR="001439E0" w:rsidRDefault="008A23E0">
            <w:pPr>
              <w:pStyle w:val="TableParagraph"/>
              <w:ind w:left="739" w:right="730"/>
              <w:jc w:val="center"/>
              <w:rPr>
                <w:b/>
                <w:sz w:val="16"/>
              </w:rPr>
            </w:pPr>
            <w:r>
              <w:rPr>
                <w:b/>
                <w:sz w:val="16"/>
              </w:rPr>
              <w:t>0%</w:t>
            </w:r>
          </w:p>
        </w:tc>
        <w:tc>
          <w:tcPr>
            <w:tcW w:w="1906" w:type="dxa"/>
          </w:tcPr>
          <w:p w14:paraId="7E26D634" w14:textId="77777777" w:rsidR="001439E0" w:rsidRDefault="001439E0">
            <w:pPr>
              <w:pStyle w:val="TableParagraph"/>
              <w:rPr>
                <w:b/>
                <w:sz w:val="18"/>
              </w:rPr>
            </w:pPr>
          </w:p>
          <w:p w14:paraId="7E26D635" w14:textId="77777777" w:rsidR="001439E0" w:rsidRDefault="001439E0">
            <w:pPr>
              <w:pStyle w:val="TableParagraph"/>
              <w:rPr>
                <w:b/>
                <w:sz w:val="18"/>
              </w:rPr>
            </w:pPr>
          </w:p>
          <w:p w14:paraId="7E26D636" w14:textId="77777777" w:rsidR="001439E0" w:rsidRDefault="008A23E0">
            <w:pPr>
              <w:pStyle w:val="TableParagraph"/>
              <w:spacing w:before="139" w:line="184" w:lineRule="exact"/>
              <w:ind w:left="517" w:right="508"/>
              <w:jc w:val="center"/>
              <w:rPr>
                <w:b/>
                <w:sz w:val="16"/>
              </w:rPr>
            </w:pPr>
            <w:r>
              <w:rPr>
                <w:b/>
                <w:sz w:val="16"/>
              </w:rPr>
              <w:t>2%</w:t>
            </w:r>
          </w:p>
          <w:p w14:paraId="7E26D637" w14:textId="77777777" w:rsidR="001439E0" w:rsidRDefault="008A23E0">
            <w:pPr>
              <w:pStyle w:val="TableParagraph"/>
              <w:spacing w:line="184" w:lineRule="exact"/>
              <w:ind w:left="517" w:right="508"/>
              <w:jc w:val="center"/>
              <w:rPr>
                <w:b/>
                <w:sz w:val="16"/>
              </w:rPr>
            </w:pPr>
            <w:r>
              <w:rPr>
                <w:b/>
                <w:sz w:val="16"/>
              </w:rPr>
              <w:t>3%</w:t>
            </w:r>
          </w:p>
          <w:p w14:paraId="7E26D638" w14:textId="77777777" w:rsidR="001439E0" w:rsidRDefault="008A23E0">
            <w:pPr>
              <w:pStyle w:val="TableParagraph"/>
              <w:ind w:left="517" w:right="510"/>
              <w:jc w:val="center"/>
              <w:rPr>
                <w:b/>
                <w:sz w:val="16"/>
              </w:rPr>
            </w:pPr>
            <w:r>
              <w:rPr>
                <w:b/>
                <w:sz w:val="16"/>
              </w:rPr>
              <w:t>&lt;1%</w:t>
            </w:r>
          </w:p>
          <w:p w14:paraId="7E26D639" w14:textId="77777777" w:rsidR="001439E0" w:rsidRDefault="008A23E0">
            <w:pPr>
              <w:pStyle w:val="TableParagraph"/>
              <w:spacing w:line="163" w:lineRule="exact"/>
              <w:ind w:left="517" w:right="510"/>
              <w:jc w:val="center"/>
              <w:rPr>
                <w:b/>
                <w:sz w:val="16"/>
              </w:rPr>
            </w:pPr>
            <w:r>
              <w:rPr>
                <w:b/>
                <w:sz w:val="16"/>
              </w:rPr>
              <w:t>&lt;1%</w:t>
            </w:r>
          </w:p>
        </w:tc>
        <w:tc>
          <w:tcPr>
            <w:tcW w:w="1761" w:type="dxa"/>
          </w:tcPr>
          <w:p w14:paraId="7E26D63A" w14:textId="77777777" w:rsidR="001439E0" w:rsidRDefault="001439E0">
            <w:pPr>
              <w:pStyle w:val="TableParagraph"/>
              <w:rPr>
                <w:b/>
                <w:sz w:val="18"/>
              </w:rPr>
            </w:pPr>
          </w:p>
          <w:p w14:paraId="7E26D63B" w14:textId="77777777" w:rsidR="001439E0" w:rsidRDefault="001439E0">
            <w:pPr>
              <w:pStyle w:val="TableParagraph"/>
              <w:rPr>
                <w:b/>
                <w:sz w:val="18"/>
              </w:rPr>
            </w:pPr>
          </w:p>
          <w:p w14:paraId="7E26D63C" w14:textId="77777777" w:rsidR="001439E0" w:rsidRDefault="008A23E0">
            <w:pPr>
              <w:pStyle w:val="TableParagraph"/>
              <w:spacing w:before="139" w:line="184" w:lineRule="exact"/>
              <w:ind w:left="618" w:right="611"/>
              <w:jc w:val="center"/>
              <w:rPr>
                <w:b/>
                <w:sz w:val="16"/>
              </w:rPr>
            </w:pPr>
            <w:r>
              <w:rPr>
                <w:b/>
                <w:sz w:val="16"/>
              </w:rPr>
              <w:t>7%</w:t>
            </w:r>
          </w:p>
          <w:p w14:paraId="7E26D63D" w14:textId="77777777" w:rsidR="001439E0" w:rsidRDefault="008A23E0">
            <w:pPr>
              <w:pStyle w:val="TableParagraph"/>
              <w:spacing w:line="184" w:lineRule="exact"/>
              <w:ind w:left="618" w:right="611"/>
              <w:jc w:val="center"/>
              <w:rPr>
                <w:b/>
                <w:sz w:val="16"/>
              </w:rPr>
            </w:pPr>
            <w:r>
              <w:rPr>
                <w:b/>
                <w:sz w:val="16"/>
              </w:rPr>
              <w:t>4%</w:t>
            </w:r>
          </w:p>
          <w:p w14:paraId="7E26D63E" w14:textId="77777777" w:rsidR="001439E0" w:rsidRDefault="008A23E0">
            <w:pPr>
              <w:pStyle w:val="TableParagraph"/>
              <w:ind w:left="618" w:right="613"/>
              <w:jc w:val="center"/>
              <w:rPr>
                <w:b/>
                <w:sz w:val="16"/>
              </w:rPr>
            </w:pPr>
            <w:r>
              <w:rPr>
                <w:b/>
                <w:sz w:val="16"/>
              </w:rPr>
              <w:t>&lt;1%</w:t>
            </w:r>
          </w:p>
          <w:p w14:paraId="7E26D63F" w14:textId="77777777" w:rsidR="001439E0" w:rsidRDefault="008A23E0">
            <w:pPr>
              <w:pStyle w:val="TableParagraph"/>
              <w:spacing w:line="163" w:lineRule="exact"/>
              <w:ind w:left="618" w:right="611"/>
              <w:jc w:val="center"/>
              <w:rPr>
                <w:b/>
                <w:sz w:val="16"/>
              </w:rPr>
            </w:pPr>
            <w:r>
              <w:rPr>
                <w:b/>
                <w:sz w:val="16"/>
              </w:rPr>
              <w:t>3%</w:t>
            </w:r>
          </w:p>
        </w:tc>
        <w:tc>
          <w:tcPr>
            <w:tcW w:w="1753" w:type="dxa"/>
          </w:tcPr>
          <w:p w14:paraId="7E26D640" w14:textId="77777777" w:rsidR="001439E0" w:rsidRDefault="001439E0">
            <w:pPr>
              <w:pStyle w:val="TableParagraph"/>
              <w:rPr>
                <w:b/>
                <w:sz w:val="18"/>
              </w:rPr>
            </w:pPr>
          </w:p>
          <w:p w14:paraId="7E26D641" w14:textId="77777777" w:rsidR="001439E0" w:rsidRDefault="001439E0">
            <w:pPr>
              <w:pStyle w:val="TableParagraph"/>
              <w:rPr>
                <w:b/>
                <w:sz w:val="18"/>
              </w:rPr>
            </w:pPr>
          </w:p>
          <w:p w14:paraId="7E26D642" w14:textId="77777777" w:rsidR="001439E0" w:rsidRDefault="008A23E0">
            <w:pPr>
              <w:pStyle w:val="TableParagraph"/>
              <w:spacing w:before="139" w:line="184" w:lineRule="exact"/>
              <w:ind w:left="614" w:right="610"/>
              <w:jc w:val="center"/>
              <w:rPr>
                <w:b/>
                <w:sz w:val="16"/>
              </w:rPr>
            </w:pPr>
            <w:r>
              <w:rPr>
                <w:b/>
                <w:sz w:val="16"/>
              </w:rPr>
              <w:t>32%</w:t>
            </w:r>
          </w:p>
          <w:p w14:paraId="7E26D643" w14:textId="77777777" w:rsidR="001439E0" w:rsidRDefault="008A23E0">
            <w:pPr>
              <w:pStyle w:val="TableParagraph"/>
              <w:spacing w:line="184" w:lineRule="exact"/>
              <w:ind w:left="614" w:right="607"/>
              <w:jc w:val="center"/>
              <w:rPr>
                <w:b/>
                <w:sz w:val="16"/>
              </w:rPr>
            </w:pPr>
            <w:r>
              <w:rPr>
                <w:b/>
                <w:sz w:val="16"/>
              </w:rPr>
              <w:t>4%</w:t>
            </w:r>
          </w:p>
          <w:p w14:paraId="7E26D644" w14:textId="77777777" w:rsidR="001439E0" w:rsidRDefault="008A23E0">
            <w:pPr>
              <w:pStyle w:val="TableParagraph"/>
              <w:ind w:left="614" w:right="607"/>
              <w:jc w:val="center"/>
              <w:rPr>
                <w:b/>
                <w:sz w:val="16"/>
              </w:rPr>
            </w:pPr>
            <w:r>
              <w:rPr>
                <w:b/>
                <w:sz w:val="16"/>
              </w:rPr>
              <w:t>2%</w:t>
            </w:r>
          </w:p>
          <w:p w14:paraId="7E26D645" w14:textId="77777777" w:rsidR="001439E0" w:rsidRDefault="008A23E0">
            <w:pPr>
              <w:pStyle w:val="TableParagraph"/>
              <w:spacing w:line="163" w:lineRule="exact"/>
              <w:ind w:left="614" w:right="607"/>
              <w:jc w:val="center"/>
              <w:rPr>
                <w:b/>
                <w:sz w:val="16"/>
              </w:rPr>
            </w:pPr>
            <w:r>
              <w:rPr>
                <w:b/>
                <w:sz w:val="16"/>
              </w:rPr>
              <w:t>7%</w:t>
            </w:r>
          </w:p>
        </w:tc>
      </w:tr>
      <w:tr w:rsidR="001439E0" w14:paraId="7E26D65F" w14:textId="77777777">
        <w:trPr>
          <w:trHeight w:val="1103"/>
        </w:trPr>
        <w:tc>
          <w:tcPr>
            <w:tcW w:w="1810" w:type="dxa"/>
          </w:tcPr>
          <w:p w14:paraId="7E26D647" w14:textId="77777777" w:rsidR="001439E0" w:rsidRDefault="008A23E0">
            <w:pPr>
              <w:pStyle w:val="TableParagraph"/>
              <w:ind w:left="107" w:right="819"/>
              <w:rPr>
                <w:b/>
                <w:sz w:val="16"/>
              </w:rPr>
            </w:pPr>
            <w:r>
              <w:rPr>
                <w:b/>
                <w:sz w:val="16"/>
              </w:rPr>
              <w:t>Psychiatric Disorders</w:t>
            </w:r>
          </w:p>
          <w:p w14:paraId="7E26D648" w14:textId="77777777" w:rsidR="001439E0" w:rsidRDefault="001439E0">
            <w:pPr>
              <w:pStyle w:val="TableParagraph"/>
              <w:spacing w:before="11"/>
              <w:rPr>
                <w:b/>
                <w:sz w:val="15"/>
              </w:rPr>
            </w:pPr>
          </w:p>
          <w:p w14:paraId="7E26D649" w14:textId="77777777" w:rsidR="001439E0" w:rsidRDefault="008A23E0">
            <w:pPr>
              <w:pStyle w:val="TableParagraph"/>
              <w:ind w:left="107"/>
              <w:rPr>
                <w:sz w:val="16"/>
              </w:rPr>
            </w:pPr>
            <w:r>
              <w:rPr>
                <w:sz w:val="16"/>
              </w:rPr>
              <w:t>Abnormal dreams</w:t>
            </w:r>
          </w:p>
          <w:p w14:paraId="7E26D64A" w14:textId="77777777" w:rsidR="001439E0" w:rsidRDefault="008A23E0">
            <w:pPr>
              <w:pStyle w:val="TableParagraph"/>
              <w:spacing w:before="4" w:line="184" w:lineRule="exact"/>
              <w:ind w:left="107" w:right="934"/>
              <w:rPr>
                <w:sz w:val="16"/>
              </w:rPr>
            </w:pPr>
            <w:r>
              <w:rPr>
                <w:sz w:val="16"/>
              </w:rPr>
              <w:t>Insomnia Nightmare</w:t>
            </w:r>
          </w:p>
        </w:tc>
        <w:tc>
          <w:tcPr>
            <w:tcW w:w="2349" w:type="dxa"/>
          </w:tcPr>
          <w:p w14:paraId="7E26D64B" w14:textId="77777777" w:rsidR="001439E0" w:rsidRDefault="001439E0">
            <w:pPr>
              <w:pStyle w:val="TableParagraph"/>
              <w:rPr>
                <w:b/>
                <w:sz w:val="18"/>
              </w:rPr>
            </w:pPr>
          </w:p>
          <w:p w14:paraId="7E26D64C" w14:textId="77777777" w:rsidR="001439E0" w:rsidRDefault="001439E0">
            <w:pPr>
              <w:pStyle w:val="TableParagraph"/>
              <w:rPr>
                <w:b/>
                <w:sz w:val="18"/>
              </w:rPr>
            </w:pPr>
          </w:p>
          <w:p w14:paraId="7E26D64D" w14:textId="77777777" w:rsidR="001439E0" w:rsidRDefault="008A23E0">
            <w:pPr>
              <w:pStyle w:val="TableParagraph"/>
              <w:spacing w:before="130" w:line="184" w:lineRule="exact"/>
              <w:ind w:left="739" w:right="730"/>
              <w:jc w:val="center"/>
              <w:rPr>
                <w:b/>
                <w:sz w:val="16"/>
              </w:rPr>
            </w:pPr>
            <w:r>
              <w:rPr>
                <w:b/>
                <w:sz w:val="16"/>
              </w:rPr>
              <w:t>1%</w:t>
            </w:r>
          </w:p>
          <w:p w14:paraId="7E26D64E" w14:textId="77777777" w:rsidR="001439E0" w:rsidRDefault="008A23E0">
            <w:pPr>
              <w:pStyle w:val="TableParagraph"/>
              <w:spacing w:line="184" w:lineRule="exact"/>
              <w:ind w:left="739" w:right="730"/>
              <w:jc w:val="center"/>
              <w:rPr>
                <w:b/>
                <w:sz w:val="16"/>
              </w:rPr>
            </w:pPr>
            <w:r>
              <w:rPr>
                <w:b/>
                <w:sz w:val="16"/>
              </w:rPr>
              <w:t>1%</w:t>
            </w:r>
          </w:p>
          <w:p w14:paraId="7E26D64F" w14:textId="77777777" w:rsidR="001439E0" w:rsidRDefault="008A23E0">
            <w:pPr>
              <w:pStyle w:val="TableParagraph"/>
              <w:spacing w:line="172" w:lineRule="exact"/>
              <w:ind w:left="739" w:right="732"/>
              <w:jc w:val="center"/>
              <w:rPr>
                <w:b/>
                <w:sz w:val="16"/>
              </w:rPr>
            </w:pPr>
            <w:r>
              <w:rPr>
                <w:b/>
                <w:sz w:val="16"/>
              </w:rPr>
              <w:t>&lt;1%</w:t>
            </w:r>
          </w:p>
        </w:tc>
        <w:tc>
          <w:tcPr>
            <w:tcW w:w="1906" w:type="dxa"/>
          </w:tcPr>
          <w:p w14:paraId="7E26D650" w14:textId="77777777" w:rsidR="001439E0" w:rsidRDefault="001439E0">
            <w:pPr>
              <w:pStyle w:val="TableParagraph"/>
              <w:rPr>
                <w:b/>
                <w:sz w:val="18"/>
              </w:rPr>
            </w:pPr>
          </w:p>
          <w:p w14:paraId="7E26D651" w14:textId="77777777" w:rsidR="001439E0" w:rsidRDefault="001439E0">
            <w:pPr>
              <w:pStyle w:val="TableParagraph"/>
              <w:rPr>
                <w:b/>
                <w:sz w:val="18"/>
              </w:rPr>
            </w:pPr>
          </w:p>
          <w:p w14:paraId="7E26D652" w14:textId="77777777" w:rsidR="001439E0" w:rsidRDefault="008A23E0">
            <w:pPr>
              <w:pStyle w:val="TableParagraph"/>
              <w:spacing w:before="137"/>
              <w:ind w:left="517" w:right="510"/>
              <w:jc w:val="center"/>
              <w:rPr>
                <w:b/>
                <w:sz w:val="16"/>
              </w:rPr>
            </w:pPr>
            <w:r>
              <w:rPr>
                <w:b/>
                <w:sz w:val="16"/>
              </w:rPr>
              <w:t>&lt;1%</w:t>
            </w:r>
          </w:p>
          <w:p w14:paraId="7E26D653" w14:textId="77777777" w:rsidR="001439E0" w:rsidRDefault="008A23E0">
            <w:pPr>
              <w:pStyle w:val="TableParagraph"/>
              <w:spacing w:before="1" w:line="184" w:lineRule="exact"/>
              <w:ind w:left="517" w:right="508"/>
              <w:jc w:val="center"/>
              <w:rPr>
                <w:b/>
                <w:sz w:val="16"/>
              </w:rPr>
            </w:pPr>
            <w:r>
              <w:rPr>
                <w:b/>
                <w:sz w:val="16"/>
              </w:rPr>
              <w:t>2%</w:t>
            </w:r>
          </w:p>
          <w:p w14:paraId="7E26D654" w14:textId="77777777" w:rsidR="001439E0" w:rsidRDefault="008A23E0">
            <w:pPr>
              <w:pStyle w:val="TableParagraph"/>
              <w:spacing w:line="163" w:lineRule="exact"/>
              <w:ind w:left="517" w:right="510"/>
              <w:jc w:val="center"/>
              <w:rPr>
                <w:b/>
                <w:sz w:val="16"/>
              </w:rPr>
            </w:pPr>
            <w:r>
              <w:rPr>
                <w:b/>
                <w:sz w:val="16"/>
              </w:rPr>
              <w:t>&lt;1%</w:t>
            </w:r>
          </w:p>
        </w:tc>
        <w:tc>
          <w:tcPr>
            <w:tcW w:w="1761" w:type="dxa"/>
          </w:tcPr>
          <w:p w14:paraId="7E26D655" w14:textId="77777777" w:rsidR="001439E0" w:rsidRDefault="001439E0">
            <w:pPr>
              <w:pStyle w:val="TableParagraph"/>
              <w:rPr>
                <w:b/>
                <w:sz w:val="18"/>
              </w:rPr>
            </w:pPr>
          </w:p>
          <w:p w14:paraId="7E26D656" w14:textId="77777777" w:rsidR="001439E0" w:rsidRDefault="001439E0">
            <w:pPr>
              <w:pStyle w:val="TableParagraph"/>
              <w:rPr>
                <w:b/>
                <w:sz w:val="18"/>
              </w:rPr>
            </w:pPr>
          </w:p>
          <w:p w14:paraId="7E26D657" w14:textId="77777777" w:rsidR="001439E0" w:rsidRDefault="008A23E0">
            <w:pPr>
              <w:pStyle w:val="TableParagraph"/>
              <w:spacing w:before="137"/>
              <w:ind w:left="618" w:right="611"/>
              <w:jc w:val="center"/>
              <w:rPr>
                <w:b/>
                <w:sz w:val="16"/>
              </w:rPr>
            </w:pPr>
            <w:r>
              <w:rPr>
                <w:b/>
                <w:sz w:val="16"/>
              </w:rPr>
              <w:t>5%</w:t>
            </w:r>
          </w:p>
          <w:p w14:paraId="7E26D658" w14:textId="77777777" w:rsidR="001439E0" w:rsidRDefault="008A23E0">
            <w:pPr>
              <w:pStyle w:val="TableParagraph"/>
              <w:spacing w:before="1" w:line="184" w:lineRule="exact"/>
              <w:ind w:left="618" w:right="611"/>
              <w:jc w:val="center"/>
              <w:rPr>
                <w:b/>
                <w:sz w:val="16"/>
              </w:rPr>
            </w:pPr>
            <w:r>
              <w:rPr>
                <w:b/>
                <w:sz w:val="16"/>
              </w:rPr>
              <w:t>4%</w:t>
            </w:r>
          </w:p>
          <w:p w14:paraId="7E26D659" w14:textId="77777777" w:rsidR="001439E0" w:rsidRDefault="008A23E0">
            <w:pPr>
              <w:pStyle w:val="TableParagraph"/>
              <w:spacing w:line="163" w:lineRule="exact"/>
              <w:ind w:left="618" w:right="611"/>
              <w:jc w:val="center"/>
              <w:rPr>
                <w:b/>
                <w:sz w:val="16"/>
              </w:rPr>
            </w:pPr>
            <w:r>
              <w:rPr>
                <w:b/>
                <w:sz w:val="16"/>
              </w:rPr>
              <w:t>2%</w:t>
            </w:r>
          </w:p>
        </w:tc>
        <w:tc>
          <w:tcPr>
            <w:tcW w:w="1753" w:type="dxa"/>
          </w:tcPr>
          <w:p w14:paraId="7E26D65A" w14:textId="77777777" w:rsidR="001439E0" w:rsidRDefault="001439E0">
            <w:pPr>
              <w:pStyle w:val="TableParagraph"/>
              <w:rPr>
                <w:b/>
                <w:sz w:val="18"/>
              </w:rPr>
            </w:pPr>
          </w:p>
          <w:p w14:paraId="7E26D65B" w14:textId="77777777" w:rsidR="001439E0" w:rsidRDefault="001439E0">
            <w:pPr>
              <w:pStyle w:val="TableParagraph"/>
              <w:rPr>
                <w:b/>
                <w:sz w:val="18"/>
              </w:rPr>
            </w:pPr>
          </w:p>
          <w:p w14:paraId="7E26D65C" w14:textId="77777777" w:rsidR="001439E0" w:rsidRDefault="008A23E0">
            <w:pPr>
              <w:pStyle w:val="TableParagraph"/>
              <w:spacing w:before="138"/>
              <w:ind w:left="614" w:right="607"/>
              <w:jc w:val="center"/>
              <w:rPr>
                <w:b/>
                <w:sz w:val="16"/>
              </w:rPr>
            </w:pPr>
            <w:r>
              <w:rPr>
                <w:b/>
                <w:sz w:val="16"/>
              </w:rPr>
              <w:t>9%</w:t>
            </w:r>
          </w:p>
          <w:p w14:paraId="7E26D65D" w14:textId="77777777" w:rsidR="001439E0" w:rsidRDefault="008A23E0">
            <w:pPr>
              <w:pStyle w:val="TableParagraph"/>
              <w:spacing w:line="184" w:lineRule="exact"/>
              <w:ind w:left="614" w:right="607"/>
              <w:jc w:val="center"/>
              <w:rPr>
                <w:b/>
                <w:sz w:val="16"/>
              </w:rPr>
            </w:pPr>
            <w:r>
              <w:rPr>
                <w:b/>
                <w:sz w:val="16"/>
              </w:rPr>
              <w:t>5%</w:t>
            </w:r>
          </w:p>
          <w:p w14:paraId="7E26D65E" w14:textId="77777777" w:rsidR="001439E0" w:rsidRDefault="008A23E0">
            <w:pPr>
              <w:pStyle w:val="TableParagraph"/>
              <w:spacing w:line="163" w:lineRule="exact"/>
              <w:ind w:left="614" w:right="607"/>
              <w:jc w:val="center"/>
              <w:rPr>
                <w:b/>
                <w:sz w:val="16"/>
              </w:rPr>
            </w:pPr>
            <w:r>
              <w:rPr>
                <w:b/>
                <w:sz w:val="16"/>
              </w:rPr>
              <w:t>4%</w:t>
            </w:r>
          </w:p>
        </w:tc>
      </w:tr>
      <w:tr w:rsidR="001439E0" w14:paraId="7E26D673" w14:textId="77777777" w:rsidTr="008A23E0">
        <w:trPr>
          <w:trHeight w:val="915"/>
        </w:trPr>
        <w:tc>
          <w:tcPr>
            <w:tcW w:w="1810" w:type="dxa"/>
          </w:tcPr>
          <w:p w14:paraId="7E26D660" w14:textId="77777777" w:rsidR="001439E0" w:rsidRDefault="008A23E0">
            <w:pPr>
              <w:pStyle w:val="TableParagraph"/>
              <w:ind w:left="107" w:right="454"/>
              <w:rPr>
                <w:b/>
                <w:sz w:val="16"/>
              </w:rPr>
            </w:pPr>
            <w:r>
              <w:rPr>
                <w:b/>
                <w:sz w:val="16"/>
              </w:rPr>
              <w:t xml:space="preserve">Skin and </w:t>
            </w:r>
            <w:r>
              <w:rPr>
                <w:b/>
                <w:w w:val="95"/>
                <w:sz w:val="16"/>
              </w:rPr>
              <w:t xml:space="preserve">Subcutaneous </w:t>
            </w:r>
            <w:r>
              <w:rPr>
                <w:b/>
                <w:sz w:val="16"/>
              </w:rPr>
              <w:t>Disorders</w:t>
            </w:r>
          </w:p>
          <w:p w14:paraId="7E26D661" w14:textId="77777777" w:rsidR="001439E0" w:rsidRDefault="001439E0">
            <w:pPr>
              <w:pStyle w:val="TableParagraph"/>
              <w:spacing w:before="8"/>
              <w:rPr>
                <w:b/>
                <w:sz w:val="15"/>
              </w:rPr>
            </w:pPr>
          </w:p>
          <w:p w14:paraId="7E26D662" w14:textId="77777777" w:rsidR="001439E0" w:rsidRDefault="008A23E0">
            <w:pPr>
              <w:pStyle w:val="TableParagraph"/>
              <w:spacing w:line="163" w:lineRule="exact"/>
              <w:ind w:left="107"/>
              <w:rPr>
                <w:sz w:val="16"/>
              </w:rPr>
            </w:pPr>
            <w:r>
              <w:rPr>
                <w:sz w:val="16"/>
              </w:rPr>
              <w:t>Rash</w:t>
            </w:r>
          </w:p>
        </w:tc>
        <w:tc>
          <w:tcPr>
            <w:tcW w:w="2349" w:type="dxa"/>
          </w:tcPr>
          <w:p w14:paraId="7E26D663" w14:textId="77777777" w:rsidR="001439E0" w:rsidRDefault="001439E0">
            <w:pPr>
              <w:pStyle w:val="TableParagraph"/>
              <w:rPr>
                <w:b/>
                <w:sz w:val="18"/>
              </w:rPr>
            </w:pPr>
          </w:p>
          <w:p w14:paraId="7E26D664" w14:textId="77777777" w:rsidR="001439E0" w:rsidRDefault="001439E0">
            <w:pPr>
              <w:pStyle w:val="TableParagraph"/>
              <w:rPr>
                <w:b/>
                <w:sz w:val="18"/>
              </w:rPr>
            </w:pPr>
          </w:p>
          <w:p w14:paraId="7E26D665" w14:textId="77777777" w:rsidR="001439E0" w:rsidRDefault="001439E0">
            <w:pPr>
              <w:pStyle w:val="TableParagraph"/>
              <w:spacing w:before="6"/>
              <w:rPr>
                <w:b/>
                <w:sz w:val="23"/>
              </w:rPr>
            </w:pPr>
          </w:p>
          <w:p w14:paraId="7E26D666" w14:textId="77777777" w:rsidR="001439E0" w:rsidRDefault="008A23E0">
            <w:pPr>
              <w:pStyle w:val="TableParagraph"/>
              <w:ind w:left="739" w:right="732"/>
              <w:jc w:val="center"/>
              <w:rPr>
                <w:b/>
                <w:sz w:val="16"/>
              </w:rPr>
            </w:pPr>
            <w:r>
              <w:rPr>
                <w:b/>
                <w:sz w:val="16"/>
              </w:rPr>
              <w:t>&lt;1%</w:t>
            </w:r>
          </w:p>
        </w:tc>
        <w:tc>
          <w:tcPr>
            <w:tcW w:w="1906" w:type="dxa"/>
            <w:vAlign w:val="center"/>
          </w:tcPr>
          <w:p w14:paraId="7E26D667" w14:textId="77777777" w:rsidR="001439E0" w:rsidRDefault="001439E0">
            <w:pPr>
              <w:pStyle w:val="TableParagraph"/>
              <w:rPr>
                <w:b/>
                <w:sz w:val="18"/>
              </w:rPr>
            </w:pPr>
          </w:p>
          <w:p w14:paraId="7E26D668" w14:textId="77777777" w:rsidR="001439E0" w:rsidRDefault="001439E0">
            <w:pPr>
              <w:pStyle w:val="TableParagraph"/>
              <w:rPr>
                <w:b/>
                <w:sz w:val="18"/>
              </w:rPr>
            </w:pPr>
          </w:p>
          <w:p w14:paraId="7E26D669" w14:textId="77777777" w:rsidR="001439E0" w:rsidRDefault="001439E0">
            <w:pPr>
              <w:pStyle w:val="TableParagraph"/>
              <w:spacing w:before="6"/>
              <w:rPr>
                <w:b/>
                <w:sz w:val="23"/>
              </w:rPr>
            </w:pPr>
          </w:p>
          <w:p w14:paraId="7E26D66A" w14:textId="77777777" w:rsidR="001439E0" w:rsidRDefault="008A23E0">
            <w:pPr>
              <w:pStyle w:val="TableParagraph"/>
              <w:ind w:left="517" w:right="510"/>
              <w:jc w:val="center"/>
              <w:rPr>
                <w:b/>
                <w:sz w:val="16"/>
              </w:rPr>
            </w:pPr>
            <w:r>
              <w:rPr>
                <w:b/>
                <w:sz w:val="16"/>
              </w:rPr>
              <w:t>&lt;1%</w:t>
            </w:r>
          </w:p>
        </w:tc>
        <w:tc>
          <w:tcPr>
            <w:tcW w:w="1761" w:type="dxa"/>
            <w:vAlign w:val="center"/>
          </w:tcPr>
          <w:p w14:paraId="7E26D66B" w14:textId="77777777" w:rsidR="001439E0" w:rsidRDefault="001439E0">
            <w:pPr>
              <w:pStyle w:val="TableParagraph"/>
              <w:rPr>
                <w:b/>
                <w:sz w:val="18"/>
              </w:rPr>
            </w:pPr>
          </w:p>
          <w:p w14:paraId="7E26D66C" w14:textId="77777777" w:rsidR="001439E0" w:rsidRDefault="001439E0">
            <w:pPr>
              <w:pStyle w:val="TableParagraph"/>
              <w:rPr>
                <w:b/>
                <w:sz w:val="18"/>
              </w:rPr>
            </w:pPr>
          </w:p>
          <w:p w14:paraId="7E26D66D" w14:textId="77777777" w:rsidR="001439E0" w:rsidRDefault="001439E0">
            <w:pPr>
              <w:pStyle w:val="TableParagraph"/>
              <w:spacing w:before="6"/>
              <w:rPr>
                <w:b/>
                <w:sz w:val="23"/>
              </w:rPr>
            </w:pPr>
          </w:p>
          <w:p w14:paraId="7E26D66E" w14:textId="77777777" w:rsidR="001439E0" w:rsidRDefault="008A23E0">
            <w:pPr>
              <w:pStyle w:val="TableParagraph"/>
              <w:ind w:left="618" w:right="611"/>
              <w:jc w:val="center"/>
              <w:rPr>
                <w:b/>
                <w:sz w:val="16"/>
              </w:rPr>
            </w:pPr>
            <w:r>
              <w:rPr>
                <w:b/>
                <w:sz w:val="16"/>
              </w:rPr>
              <w:t>2%</w:t>
            </w:r>
          </w:p>
        </w:tc>
        <w:tc>
          <w:tcPr>
            <w:tcW w:w="1753" w:type="dxa"/>
          </w:tcPr>
          <w:p w14:paraId="7E26D66F" w14:textId="77777777" w:rsidR="001439E0" w:rsidRDefault="001439E0">
            <w:pPr>
              <w:pStyle w:val="TableParagraph"/>
              <w:rPr>
                <w:b/>
                <w:sz w:val="18"/>
              </w:rPr>
            </w:pPr>
          </w:p>
          <w:p w14:paraId="7E26D670" w14:textId="77777777" w:rsidR="001439E0" w:rsidRDefault="001439E0">
            <w:pPr>
              <w:pStyle w:val="TableParagraph"/>
              <w:rPr>
                <w:b/>
                <w:sz w:val="18"/>
              </w:rPr>
            </w:pPr>
          </w:p>
          <w:p w14:paraId="7E26D671" w14:textId="77777777" w:rsidR="001439E0" w:rsidRDefault="001439E0">
            <w:pPr>
              <w:pStyle w:val="TableParagraph"/>
              <w:spacing w:before="6"/>
              <w:rPr>
                <w:b/>
                <w:sz w:val="23"/>
              </w:rPr>
            </w:pPr>
          </w:p>
          <w:p w14:paraId="7E26D672" w14:textId="77777777" w:rsidR="001439E0" w:rsidRDefault="008A23E0">
            <w:pPr>
              <w:pStyle w:val="TableParagraph"/>
              <w:ind w:left="614" w:right="607"/>
              <w:jc w:val="center"/>
              <w:rPr>
                <w:b/>
                <w:sz w:val="16"/>
              </w:rPr>
            </w:pPr>
            <w:r>
              <w:rPr>
                <w:b/>
                <w:sz w:val="16"/>
              </w:rPr>
              <w:t>9%</w:t>
            </w:r>
          </w:p>
        </w:tc>
      </w:tr>
      <w:tr w:rsidR="001439E0" w14:paraId="7E26D678" w14:textId="77777777">
        <w:trPr>
          <w:trHeight w:val="1612"/>
        </w:trPr>
        <w:tc>
          <w:tcPr>
            <w:tcW w:w="9579" w:type="dxa"/>
            <w:gridSpan w:val="5"/>
          </w:tcPr>
          <w:p w14:paraId="7E26D674" w14:textId="77777777" w:rsidR="001439E0" w:rsidRDefault="008A23E0">
            <w:pPr>
              <w:pStyle w:val="TableParagraph"/>
              <w:spacing w:line="207" w:lineRule="exact"/>
              <w:ind w:left="107"/>
              <w:rPr>
                <w:sz w:val="18"/>
                <w:szCs w:val="18"/>
              </w:rPr>
            </w:pPr>
            <w:r>
              <w:rPr>
                <w:b/>
                <w:bCs/>
                <w:position w:val="6"/>
                <w:sz w:val="12"/>
                <w:szCs w:val="12"/>
              </w:rPr>
              <w:t xml:space="preserve">Ϸ </w:t>
            </w:r>
            <w:r>
              <w:rPr>
                <w:sz w:val="18"/>
                <w:szCs w:val="18"/>
              </w:rPr>
              <w:t>Frequencies of adverse reactions are based on all adverse events attributed to trial drugs by the investigator.</w:t>
            </w:r>
          </w:p>
          <w:p w14:paraId="7E26D675" w14:textId="77777777" w:rsidR="001439E0" w:rsidRDefault="001439E0">
            <w:pPr>
              <w:pStyle w:val="TableParagraph"/>
              <w:spacing w:before="1"/>
              <w:rPr>
                <w:b/>
                <w:sz w:val="17"/>
              </w:rPr>
            </w:pPr>
          </w:p>
          <w:p w14:paraId="7E26D676" w14:textId="77777777" w:rsidR="001439E0" w:rsidRDefault="008A23E0">
            <w:pPr>
              <w:pStyle w:val="TableParagraph"/>
              <w:spacing w:before="1" w:line="472" w:lineRule="auto"/>
              <w:ind w:left="107" w:right="102"/>
              <w:rPr>
                <w:sz w:val="18"/>
              </w:rPr>
            </w:pPr>
            <w:r>
              <w:rPr>
                <w:position w:val="6"/>
                <w:sz w:val="12"/>
              </w:rPr>
              <w:t>†</w:t>
            </w:r>
            <w:r>
              <w:rPr>
                <w:sz w:val="18"/>
              </w:rPr>
              <w:t>No adverse reactions of Grade 2 or higher (moderate or severe) occurred in ≥ 2% of subjects treated with doravirine. NRTIs = nucleoside reverse transcriptase inhibitors</w:t>
            </w:r>
          </w:p>
          <w:p w14:paraId="7E26D677" w14:textId="77777777" w:rsidR="001439E0" w:rsidRDefault="008A23E0">
            <w:pPr>
              <w:pStyle w:val="TableParagraph"/>
              <w:spacing w:line="204" w:lineRule="exact"/>
              <w:ind w:left="107"/>
              <w:rPr>
                <w:sz w:val="18"/>
              </w:rPr>
            </w:pPr>
            <w:r>
              <w:rPr>
                <w:sz w:val="18"/>
              </w:rPr>
              <w:t xml:space="preserve">NRTIs = FTC/TDF </w:t>
            </w:r>
            <w:r>
              <w:rPr>
                <w:color w:val="1A1A1A"/>
                <w:sz w:val="18"/>
              </w:rPr>
              <w:t>or ABC/3TC</w:t>
            </w:r>
            <w:r>
              <w:rPr>
                <w:sz w:val="18"/>
              </w:rPr>
              <w:t>.</w:t>
            </w:r>
          </w:p>
        </w:tc>
      </w:tr>
    </w:tbl>
    <w:p w14:paraId="7E26D679" w14:textId="77777777" w:rsidR="001439E0" w:rsidRDefault="001439E0">
      <w:pPr>
        <w:spacing w:line="204" w:lineRule="exact"/>
        <w:rPr>
          <w:sz w:val="18"/>
        </w:rPr>
        <w:sectPr w:rsidR="001439E0">
          <w:pgSz w:w="11910" w:h="16840"/>
          <w:pgMar w:top="1360" w:right="160" w:bottom="1100" w:left="1020" w:header="0" w:footer="839" w:gutter="0"/>
          <w:cols w:space="720"/>
        </w:sectPr>
      </w:pPr>
    </w:p>
    <w:p w14:paraId="7E26D67A" w14:textId="77777777" w:rsidR="001439E0" w:rsidRDefault="008A23E0">
      <w:pPr>
        <w:pStyle w:val="BodyText"/>
        <w:spacing w:before="80"/>
        <w:jc w:val="left"/>
      </w:pPr>
      <w:r>
        <w:rPr>
          <w:u w:val="single"/>
        </w:rPr>
        <w:lastRenderedPageBreak/>
        <w:t>Laboratory Abnormalities</w:t>
      </w:r>
    </w:p>
    <w:p w14:paraId="7E26D67B" w14:textId="77777777" w:rsidR="001439E0" w:rsidRDefault="008A23E0">
      <w:pPr>
        <w:pStyle w:val="BodyText"/>
        <w:spacing w:before="199"/>
        <w:ind w:right="1276"/>
      </w:pPr>
      <w:r>
        <w:t xml:space="preserve">The percentages of subjects with selected Grade 2 to 4 laboratory abnormalities (that represent a worsening Grade from baseline) who were treated with PIFELTRO or </w:t>
      </w:r>
      <w:proofErr w:type="spellStart"/>
      <w:r>
        <w:t>DRV+r</w:t>
      </w:r>
      <w:proofErr w:type="spellEnd"/>
      <w:r>
        <w:t xml:space="preserve"> in DRIVE-FORWARD, or DELSTRIGO-DOR/3TC/TDF or EFV/FTC/TDF in DRIVE-AHEAD are</w:t>
      </w:r>
    </w:p>
    <w:p w14:paraId="7E26D67C" w14:textId="77777777" w:rsidR="001439E0" w:rsidRDefault="008A23E0">
      <w:pPr>
        <w:pStyle w:val="BodyText"/>
        <w:spacing w:before="1"/>
        <w:jc w:val="left"/>
      </w:pPr>
      <w:r>
        <w:t>presented in Table 3.</w:t>
      </w:r>
    </w:p>
    <w:p w14:paraId="7E26D67D" w14:textId="77777777" w:rsidR="001439E0" w:rsidRDefault="008A23E0">
      <w:pPr>
        <w:pStyle w:val="Heading3"/>
        <w:spacing w:before="199"/>
        <w:ind w:left="2793" w:right="1798" w:hanging="1840"/>
      </w:pPr>
      <w:r>
        <w:t>Table 3: Selected Grade 2 to 4 Laboratory Abnormalities Reported in DRIVE- FORWARD and DRIVE-AHEAD (Week 48)</w:t>
      </w:r>
    </w:p>
    <w:p w14:paraId="7E26D67E" w14:textId="77777777" w:rsidR="001439E0" w:rsidRDefault="001439E0">
      <w:pPr>
        <w:pStyle w:val="BodyText"/>
        <w:spacing w:before="5" w:after="1"/>
        <w:ind w:left="0"/>
        <w:jc w:val="left"/>
        <w:rPr>
          <w:b/>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744"/>
        <w:gridCol w:w="1587"/>
        <w:gridCol w:w="1745"/>
        <w:gridCol w:w="1769"/>
        <w:gridCol w:w="1486"/>
      </w:tblGrid>
      <w:tr w:rsidR="001439E0" w14:paraId="7E26D682" w14:textId="77777777">
        <w:trPr>
          <w:trHeight w:val="183"/>
        </w:trPr>
        <w:tc>
          <w:tcPr>
            <w:tcW w:w="3052" w:type="dxa"/>
            <w:gridSpan w:val="2"/>
          </w:tcPr>
          <w:p w14:paraId="7E26D67F" w14:textId="77777777" w:rsidR="001439E0" w:rsidRDefault="001439E0">
            <w:pPr>
              <w:pStyle w:val="TableParagraph"/>
              <w:rPr>
                <w:rFonts w:ascii="Times New Roman"/>
                <w:sz w:val="12"/>
              </w:rPr>
            </w:pPr>
          </w:p>
        </w:tc>
        <w:tc>
          <w:tcPr>
            <w:tcW w:w="3332" w:type="dxa"/>
            <w:gridSpan w:val="2"/>
            <w:tcBorders>
              <w:right w:val="single" w:sz="12" w:space="0" w:color="000000"/>
            </w:tcBorders>
          </w:tcPr>
          <w:p w14:paraId="7E26D680" w14:textId="77777777" w:rsidR="001439E0" w:rsidRDefault="008A23E0">
            <w:pPr>
              <w:pStyle w:val="TableParagraph"/>
              <w:spacing w:line="163" w:lineRule="exact"/>
              <w:ind w:left="859"/>
              <w:rPr>
                <w:b/>
                <w:sz w:val="16"/>
              </w:rPr>
            </w:pPr>
            <w:r>
              <w:rPr>
                <w:b/>
                <w:sz w:val="16"/>
              </w:rPr>
              <w:t>DRIVE-FORWARD</w:t>
            </w:r>
          </w:p>
        </w:tc>
        <w:tc>
          <w:tcPr>
            <w:tcW w:w="3255" w:type="dxa"/>
            <w:gridSpan w:val="2"/>
            <w:tcBorders>
              <w:left w:val="single" w:sz="12" w:space="0" w:color="000000"/>
            </w:tcBorders>
          </w:tcPr>
          <w:p w14:paraId="7E26D681" w14:textId="77777777" w:rsidR="001439E0" w:rsidRDefault="008A23E0">
            <w:pPr>
              <w:pStyle w:val="TableParagraph"/>
              <w:spacing w:line="163" w:lineRule="exact"/>
              <w:ind w:left="943"/>
              <w:rPr>
                <w:b/>
                <w:sz w:val="16"/>
              </w:rPr>
            </w:pPr>
            <w:r>
              <w:rPr>
                <w:b/>
                <w:sz w:val="16"/>
              </w:rPr>
              <w:t>DRIVE-AHEAD</w:t>
            </w:r>
          </w:p>
        </w:tc>
      </w:tr>
      <w:tr w:rsidR="001439E0" w14:paraId="7E26D696" w14:textId="77777777">
        <w:trPr>
          <w:trHeight w:val="890"/>
        </w:trPr>
        <w:tc>
          <w:tcPr>
            <w:tcW w:w="1308" w:type="dxa"/>
          </w:tcPr>
          <w:p w14:paraId="7E26D683" w14:textId="77777777" w:rsidR="001439E0" w:rsidRDefault="008A23E0">
            <w:pPr>
              <w:pStyle w:val="TableParagraph"/>
              <w:spacing w:before="154"/>
              <w:ind w:left="146" w:right="339" w:hanging="27"/>
              <w:jc w:val="both"/>
              <w:rPr>
                <w:b/>
                <w:sz w:val="16"/>
              </w:rPr>
            </w:pPr>
            <w:r>
              <w:rPr>
                <w:b/>
                <w:sz w:val="16"/>
              </w:rPr>
              <w:t>Laboratory Parameter Preferred</w:t>
            </w:r>
          </w:p>
          <w:p w14:paraId="7E26D684" w14:textId="77777777" w:rsidR="001439E0" w:rsidRDefault="008A23E0">
            <w:pPr>
              <w:pStyle w:val="TableParagraph"/>
              <w:spacing w:line="163" w:lineRule="exact"/>
              <w:ind w:left="110"/>
              <w:jc w:val="both"/>
              <w:rPr>
                <w:b/>
                <w:sz w:val="16"/>
              </w:rPr>
            </w:pPr>
            <w:r>
              <w:rPr>
                <w:b/>
                <w:sz w:val="16"/>
              </w:rPr>
              <w:t>Term (Unit)</w:t>
            </w:r>
          </w:p>
        </w:tc>
        <w:tc>
          <w:tcPr>
            <w:tcW w:w="1744" w:type="dxa"/>
          </w:tcPr>
          <w:p w14:paraId="7E26D685" w14:textId="77777777" w:rsidR="001439E0" w:rsidRDefault="001439E0">
            <w:pPr>
              <w:pStyle w:val="TableParagraph"/>
              <w:rPr>
                <w:b/>
                <w:sz w:val="18"/>
              </w:rPr>
            </w:pPr>
          </w:p>
          <w:p w14:paraId="7E26D686" w14:textId="77777777" w:rsidR="001439E0" w:rsidRDefault="008A23E0">
            <w:pPr>
              <w:pStyle w:val="TableParagraph"/>
              <w:spacing w:before="161"/>
              <w:ind w:left="563"/>
              <w:rPr>
                <w:b/>
                <w:sz w:val="16"/>
              </w:rPr>
            </w:pPr>
            <w:r>
              <w:rPr>
                <w:b/>
                <w:sz w:val="16"/>
              </w:rPr>
              <w:t>Limit</w:t>
            </w:r>
          </w:p>
        </w:tc>
        <w:tc>
          <w:tcPr>
            <w:tcW w:w="1587" w:type="dxa"/>
          </w:tcPr>
          <w:p w14:paraId="7E26D687" w14:textId="77777777" w:rsidR="001439E0" w:rsidRDefault="001439E0">
            <w:pPr>
              <w:pStyle w:val="TableParagraph"/>
              <w:spacing w:before="8"/>
              <w:rPr>
                <w:b/>
              </w:rPr>
            </w:pPr>
          </w:p>
          <w:p w14:paraId="7E26D688" w14:textId="77777777" w:rsidR="001439E0" w:rsidRDefault="008A23E0">
            <w:pPr>
              <w:pStyle w:val="TableParagraph"/>
              <w:ind w:left="396"/>
              <w:rPr>
                <w:b/>
                <w:sz w:val="16"/>
              </w:rPr>
            </w:pPr>
            <w:r>
              <w:rPr>
                <w:b/>
                <w:sz w:val="16"/>
              </w:rPr>
              <w:t>PIFELTRO</w:t>
            </w:r>
          </w:p>
          <w:p w14:paraId="7E26D689" w14:textId="77777777" w:rsidR="001439E0" w:rsidRDefault="008A23E0">
            <w:pPr>
              <w:pStyle w:val="TableParagraph"/>
              <w:spacing w:before="1" w:line="184" w:lineRule="exact"/>
              <w:ind w:left="394"/>
              <w:rPr>
                <w:b/>
                <w:sz w:val="16"/>
              </w:rPr>
            </w:pPr>
            <w:r>
              <w:rPr>
                <w:b/>
                <w:sz w:val="16"/>
              </w:rPr>
              <w:t>+2 NRTIs</w:t>
            </w:r>
          </w:p>
          <w:p w14:paraId="7E26D68A" w14:textId="77777777" w:rsidR="001439E0" w:rsidRDefault="008A23E0">
            <w:pPr>
              <w:pStyle w:val="TableParagraph"/>
              <w:ind w:left="324"/>
              <w:rPr>
                <w:b/>
                <w:sz w:val="16"/>
              </w:rPr>
            </w:pPr>
            <w:r>
              <w:rPr>
                <w:b/>
                <w:sz w:val="16"/>
              </w:rPr>
              <w:t>Once Daily</w:t>
            </w:r>
          </w:p>
        </w:tc>
        <w:tc>
          <w:tcPr>
            <w:tcW w:w="1745" w:type="dxa"/>
            <w:tcBorders>
              <w:right w:val="single" w:sz="12" w:space="0" w:color="000000"/>
            </w:tcBorders>
          </w:tcPr>
          <w:p w14:paraId="7E26D68B" w14:textId="77777777" w:rsidR="001439E0" w:rsidRDefault="001439E0">
            <w:pPr>
              <w:pStyle w:val="TableParagraph"/>
              <w:spacing w:before="8"/>
              <w:rPr>
                <w:b/>
              </w:rPr>
            </w:pPr>
          </w:p>
          <w:p w14:paraId="7E26D68C" w14:textId="77777777" w:rsidR="001439E0" w:rsidRDefault="008A23E0">
            <w:pPr>
              <w:pStyle w:val="TableParagraph"/>
              <w:ind w:left="382" w:right="472"/>
              <w:jc w:val="center"/>
              <w:rPr>
                <w:b/>
                <w:sz w:val="16"/>
              </w:rPr>
            </w:pPr>
            <w:proofErr w:type="spellStart"/>
            <w:r>
              <w:rPr>
                <w:b/>
                <w:sz w:val="16"/>
              </w:rPr>
              <w:t>DRV+r</w:t>
            </w:r>
            <w:proofErr w:type="spellEnd"/>
          </w:p>
          <w:p w14:paraId="7E26D68D" w14:textId="77777777" w:rsidR="001439E0" w:rsidRDefault="008A23E0">
            <w:pPr>
              <w:pStyle w:val="TableParagraph"/>
              <w:spacing w:before="1" w:line="184" w:lineRule="exact"/>
              <w:ind w:left="472"/>
              <w:rPr>
                <w:b/>
                <w:sz w:val="16"/>
              </w:rPr>
            </w:pPr>
            <w:r>
              <w:rPr>
                <w:b/>
                <w:sz w:val="16"/>
              </w:rPr>
              <w:t>+2 NRTIs</w:t>
            </w:r>
          </w:p>
          <w:p w14:paraId="7E26D68E" w14:textId="77777777" w:rsidR="001439E0" w:rsidRDefault="008A23E0">
            <w:pPr>
              <w:pStyle w:val="TableParagraph"/>
              <w:ind w:left="384" w:right="472"/>
              <w:jc w:val="center"/>
              <w:rPr>
                <w:b/>
                <w:sz w:val="16"/>
              </w:rPr>
            </w:pPr>
            <w:r>
              <w:rPr>
                <w:b/>
                <w:sz w:val="16"/>
              </w:rPr>
              <w:t>Once Daily</w:t>
            </w:r>
          </w:p>
        </w:tc>
        <w:tc>
          <w:tcPr>
            <w:tcW w:w="1769" w:type="dxa"/>
            <w:tcBorders>
              <w:left w:val="single" w:sz="12" w:space="0" w:color="000000"/>
            </w:tcBorders>
          </w:tcPr>
          <w:p w14:paraId="7E26D68F" w14:textId="77777777" w:rsidR="001439E0" w:rsidRDefault="001439E0">
            <w:pPr>
              <w:pStyle w:val="TableParagraph"/>
              <w:spacing w:before="8"/>
              <w:rPr>
                <w:b/>
              </w:rPr>
            </w:pPr>
          </w:p>
          <w:p w14:paraId="7E26D690" w14:textId="77777777" w:rsidR="001439E0" w:rsidRDefault="008A23E0">
            <w:pPr>
              <w:pStyle w:val="TableParagraph"/>
              <w:ind w:left="342" w:firstLine="34"/>
              <w:rPr>
                <w:b/>
                <w:sz w:val="16"/>
              </w:rPr>
            </w:pPr>
            <w:r>
              <w:rPr>
                <w:b/>
                <w:sz w:val="16"/>
              </w:rPr>
              <w:t xml:space="preserve">DELSTRIGO- </w:t>
            </w:r>
            <w:r>
              <w:rPr>
                <w:b/>
                <w:w w:val="95"/>
                <w:sz w:val="16"/>
              </w:rPr>
              <w:t>DOR/3TC/TDF</w:t>
            </w:r>
          </w:p>
          <w:p w14:paraId="7E26D691" w14:textId="77777777" w:rsidR="001439E0" w:rsidRDefault="008A23E0">
            <w:pPr>
              <w:pStyle w:val="TableParagraph"/>
              <w:ind w:left="342"/>
              <w:rPr>
                <w:b/>
                <w:sz w:val="16"/>
              </w:rPr>
            </w:pPr>
            <w:r>
              <w:rPr>
                <w:b/>
                <w:sz w:val="16"/>
              </w:rPr>
              <w:t>Once Daily</w:t>
            </w:r>
          </w:p>
        </w:tc>
        <w:tc>
          <w:tcPr>
            <w:tcW w:w="1486" w:type="dxa"/>
          </w:tcPr>
          <w:p w14:paraId="7E26D692" w14:textId="77777777" w:rsidR="001439E0" w:rsidRDefault="001439E0">
            <w:pPr>
              <w:pStyle w:val="TableParagraph"/>
              <w:rPr>
                <w:b/>
                <w:sz w:val="18"/>
              </w:rPr>
            </w:pPr>
          </w:p>
          <w:p w14:paraId="7E26D693" w14:textId="77777777" w:rsidR="001439E0" w:rsidRDefault="001439E0">
            <w:pPr>
              <w:pStyle w:val="TableParagraph"/>
              <w:spacing w:before="9"/>
              <w:rPr>
                <w:b/>
                <w:sz w:val="20"/>
              </w:rPr>
            </w:pPr>
          </w:p>
          <w:p w14:paraId="7E26D694" w14:textId="77777777" w:rsidR="001439E0" w:rsidRDefault="008A23E0">
            <w:pPr>
              <w:pStyle w:val="TableParagraph"/>
              <w:spacing w:line="184" w:lineRule="exact"/>
              <w:ind w:left="227"/>
              <w:rPr>
                <w:b/>
                <w:sz w:val="16"/>
              </w:rPr>
            </w:pPr>
            <w:r>
              <w:rPr>
                <w:b/>
                <w:sz w:val="16"/>
              </w:rPr>
              <w:t>EFV/FTC/TDF</w:t>
            </w:r>
          </w:p>
          <w:p w14:paraId="7E26D695" w14:textId="77777777" w:rsidR="001439E0" w:rsidRDefault="008A23E0">
            <w:pPr>
              <w:pStyle w:val="TableParagraph"/>
              <w:ind w:left="210"/>
              <w:rPr>
                <w:b/>
                <w:sz w:val="16"/>
              </w:rPr>
            </w:pPr>
            <w:r>
              <w:rPr>
                <w:b/>
                <w:sz w:val="16"/>
              </w:rPr>
              <w:t>Once Daily</w:t>
            </w:r>
          </w:p>
        </w:tc>
      </w:tr>
      <w:tr w:rsidR="001439E0" w14:paraId="7E26D69D" w14:textId="77777777">
        <w:trPr>
          <w:trHeight w:val="184"/>
        </w:trPr>
        <w:tc>
          <w:tcPr>
            <w:tcW w:w="1308" w:type="dxa"/>
          </w:tcPr>
          <w:p w14:paraId="7E26D697" w14:textId="77777777" w:rsidR="001439E0" w:rsidRDefault="001439E0">
            <w:pPr>
              <w:pStyle w:val="TableParagraph"/>
              <w:rPr>
                <w:rFonts w:ascii="Times New Roman"/>
                <w:sz w:val="12"/>
              </w:rPr>
            </w:pPr>
          </w:p>
        </w:tc>
        <w:tc>
          <w:tcPr>
            <w:tcW w:w="1744" w:type="dxa"/>
          </w:tcPr>
          <w:p w14:paraId="7E26D698" w14:textId="77777777" w:rsidR="001439E0" w:rsidRDefault="001439E0">
            <w:pPr>
              <w:pStyle w:val="TableParagraph"/>
              <w:rPr>
                <w:rFonts w:ascii="Times New Roman"/>
                <w:sz w:val="12"/>
              </w:rPr>
            </w:pPr>
          </w:p>
        </w:tc>
        <w:tc>
          <w:tcPr>
            <w:tcW w:w="1587" w:type="dxa"/>
          </w:tcPr>
          <w:p w14:paraId="7E26D699" w14:textId="77777777" w:rsidR="001439E0" w:rsidRDefault="008A23E0">
            <w:pPr>
              <w:pStyle w:val="TableParagraph"/>
              <w:spacing w:before="1" w:line="163" w:lineRule="exact"/>
              <w:ind w:left="533" w:right="528"/>
              <w:jc w:val="center"/>
              <w:rPr>
                <w:b/>
                <w:sz w:val="16"/>
              </w:rPr>
            </w:pPr>
            <w:r>
              <w:rPr>
                <w:b/>
                <w:sz w:val="16"/>
              </w:rPr>
              <w:t>N=383</w:t>
            </w:r>
          </w:p>
        </w:tc>
        <w:tc>
          <w:tcPr>
            <w:tcW w:w="1745" w:type="dxa"/>
            <w:tcBorders>
              <w:right w:val="single" w:sz="12" w:space="0" w:color="000000"/>
            </w:tcBorders>
          </w:tcPr>
          <w:p w14:paraId="7E26D69A" w14:textId="77777777" w:rsidR="001439E0" w:rsidRDefault="008A23E0">
            <w:pPr>
              <w:pStyle w:val="TableParagraph"/>
              <w:spacing w:before="1" w:line="163" w:lineRule="exact"/>
              <w:ind w:left="381" w:right="472"/>
              <w:jc w:val="center"/>
              <w:rPr>
                <w:b/>
                <w:sz w:val="16"/>
              </w:rPr>
            </w:pPr>
            <w:r>
              <w:rPr>
                <w:b/>
                <w:sz w:val="16"/>
              </w:rPr>
              <w:t>N=383</w:t>
            </w:r>
          </w:p>
        </w:tc>
        <w:tc>
          <w:tcPr>
            <w:tcW w:w="1769" w:type="dxa"/>
            <w:tcBorders>
              <w:left w:val="single" w:sz="12" w:space="0" w:color="000000"/>
            </w:tcBorders>
          </w:tcPr>
          <w:p w14:paraId="7E26D69B" w14:textId="77777777" w:rsidR="001439E0" w:rsidRDefault="008A23E0">
            <w:pPr>
              <w:pStyle w:val="TableParagraph"/>
              <w:spacing w:before="1" w:line="163" w:lineRule="exact"/>
              <w:ind w:left="498" w:right="734"/>
              <w:jc w:val="center"/>
              <w:rPr>
                <w:b/>
                <w:sz w:val="16"/>
              </w:rPr>
            </w:pPr>
            <w:r>
              <w:rPr>
                <w:b/>
                <w:sz w:val="16"/>
              </w:rPr>
              <w:t>N=364</w:t>
            </w:r>
          </w:p>
        </w:tc>
        <w:tc>
          <w:tcPr>
            <w:tcW w:w="1486" w:type="dxa"/>
          </w:tcPr>
          <w:p w14:paraId="7E26D69C" w14:textId="77777777" w:rsidR="001439E0" w:rsidRDefault="008A23E0">
            <w:pPr>
              <w:pStyle w:val="TableParagraph"/>
              <w:spacing w:before="1" w:line="163" w:lineRule="exact"/>
              <w:ind w:left="499"/>
              <w:rPr>
                <w:b/>
                <w:sz w:val="16"/>
              </w:rPr>
            </w:pPr>
            <w:r>
              <w:rPr>
                <w:b/>
                <w:sz w:val="16"/>
              </w:rPr>
              <w:t>N=364</w:t>
            </w:r>
          </w:p>
        </w:tc>
      </w:tr>
      <w:tr w:rsidR="001439E0" w14:paraId="7E26D6A0" w14:textId="77777777">
        <w:trPr>
          <w:trHeight w:val="263"/>
        </w:trPr>
        <w:tc>
          <w:tcPr>
            <w:tcW w:w="6384" w:type="dxa"/>
            <w:gridSpan w:val="4"/>
            <w:tcBorders>
              <w:right w:val="single" w:sz="12" w:space="0" w:color="000000"/>
            </w:tcBorders>
          </w:tcPr>
          <w:p w14:paraId="7E26D69E" w14:textId="77777777" w:rsidR="001439E0" w:rsidRDefault="008A23E0">
            <w:pPr>
              <w:pStyle w:val="TableParagraph"/>
              <w:spacing w:before="80" w:line="163" w:lineRule="exact"/>
              <w:ind w:left="107"/>
              <w:rPr>
                <w:b/>
                <w:sz w:val="16"/>
              </w:rPr>
            </w:pPr>
            <w:r>
              <w:rPr>
                <w:b/>
                <w:sz w:val="16"/>
              </w:rPr>
              <w:t>Blood Chemistry</w:t>
            </w:r>
          </w:p>
        </w:tc>
        <w:tc>
          <w:tcPr>
            <w:tcW w:w="3255" w:type="dxa"/>
            <w:gridSpan w:val="2"/>
            <w:tcBorders>
              <w:left w:val="single" w:sz="12" w:space="0" w:color="000000"/>
            </w:tcBorders>
          </w:tcPr>
          <w:p w14:paraId="7E26D69F" w14:textId="77777777" w:rsidR="001439E0" w:rsidRDefault="001439E0">
            <w:pPr>
              <w:pStyle w:val="TableParagraph"/>
              <w:rPr>
                <w:rFonts w:ascii="Times New Roman"/>
                <w:sz w:val="18"/>
              </w:rPr>
            </w:pPr>
          </w:p>
        </w:tc>
      </w:tr>
      <w:tr w:rsidR="001439E0" w14:paraId="7E26D6A4" w14:textId="77777777">
        <w:trPr>
          <w:trHeight w:val="264"/>
        </w:trPr>
        <w:tc>
          <w:tcPr>
            <w:tcW w:w="6384" w:type="dxa"/>
            <w:gridSpan w:val="4"/>
            <w:tcBorders>
              <w:right w:val="single" w:sz="12" w:space="0" w:color="000000"/>
            </w:tcBorders>
          </w:tcPr>
          <w:p w14:paraId="7E26D6A1" w14:textId="77777777" w:rsidR="001439E0" w:rsidRDefault="008A23E0">
            <w:pPr>
              <w:pStyle w:val="TableParagraph"/>
              <w:spacing w:before="81" w:line="163" w:lineRule="exact"/>
              <w:ind w:left="107"/>
              <w:rPr>
                <w:sz w:val="16"/>
              </w:rPr>
            </w:pPr>
            <w:r>
              <w:rPr>
                <w:sz w:val="16"/>
              </w:rPr>
              <w:t>Total bilirubin</w:t>
            </w:r>
          </w:p>
        </w:tc>
        <w:tc>
          <w:tcPr>
            <w:tcW w:w="1769" w:type="dxa"/>
            <w:tcBorders>
              <w:left w:val="single" w:sz="12" w:space="0" w:color="000000"/>
            </w:tcBorders>
          </w:tcPr>
          <w:p w14:paraId="7E26D6A2" w14:textId="77777777" w:rsidR="001439E0" w:rsidRDefault="001439E0">
            <w:pPr>
              <w:pStyle w:val="TableParagraph"/>
              <w:rPr>
                <w:rFonts w:ascii="Times New Roman"/>
                <w:sz w:val="18"/>
              </w:rPr>
            </w:pPr>
          </w:p>
        </w:tc>
        <w:tc>
          <w:tcPr>
            <w:tcW w:w="1486" w:type="dxa"/>
          </w:tcPr>
          <w:p w14:paraId="7E26D6A3" w14:textId="77777777" w:rsidR="001439E0" w:rsidRDefault="001439E0">
            <w:pPr>
              <w:pStyle w:val="TableParagraph"/>
              <w:rPr>
                <w:rFonts w:ascii="Times New Roman"/>
                <w:sz w:val="18"/>
              </w:rPr>
            </w:pPr>
          </w:p>
        </w:tc>
      </w:tr>
      <w:tr w:rsidR="001439E0" w14:paraId="7E26D6AB" w14:textId="77777777">
        <w:trPr>
          <w:trHeight w:val="209"/>
        </w:trPr>
        <w:tc>
          <w:tcPr>
            <w:tcW w:w="1308" w:type="dxa"/>
            <w:tcBorders>
              <w:bottom w:val="nil"/>
              <w:right w:val="single" w:sz="8" w:space="0" w:color="000000"/>
            </w:tcBorders>
          </w:tcPr>
          <w:p w14:paraId="7E26D6A5" w14:textId="77777777" w:rsidR="001439E0" w:rsidRDefault="008A23E0">
            <w:pPr>
              <w:pStyle w:val="TableParagraph"/>
              <w:spacing w:before="14" w:line="175" w:lineRule="exact"/>
              <w:ind w:left="107"/>
              <w:rPr>
                <w:sz w:val="16"/>
              </w:rPr>
            </w:pPr>
            <w:r>
              <w:rPr>
                <w:sz w:val="16"/>
              </w:rPr>
              <w:t>Grade 2</w:t>
            </w:r>
          </w:p>
        </w:tc>
        <w:tc>
          <w:tcPr>
            <w:tcW w:w="1744" w:type="dxa"/>
            <w:tcBorders>
              <w:left w:val="single" w:sz="8" w:space="0" w:color="000000"/>
              <w:bottom w:val="nil"/>
            </w:tcBorders>
          </w:tcPr>
          <w:p w14:paraId="7E26D6A6" w14:textId="77777777" w:rsidR="001439E0" w:rsidRDefault="008A23E0">
            <w:pPr>
              <w:pStyle w:val="TableParagraph"/>
              <w:spacing w:before="15" w:line="174" w:lineRule="exact"/>
              <w:ind w:right="277"/>
              <w:jc w:val="right"/>
              <w:rPr>
                <w:sz w:val="16"/>
              </w:rPr>
            </w:pPr>
            <w:r>
              <w:rPr>
                <w:sz w:val="16"/>
              </w:rPr>
              <w:t>1.6 - &lt;2.6 x ULN</w:t>
            </w:r>
          </w:p>
        </w:tc>
        <w:tc>
          <w:tcPr>
            <w:tcW w:w="1587" w:type="dxa"/>
            <w:tcBorders>
              <w:bottom w:val="nil"/>
            </w:tcBorders>
          </w:tcPr>
          <w:p w14:paraId="7E26D6A7" w14:textId="77777777" w:rsidR="001439E0" w:rsidRDefault="008A23E0">
            <w:pPr>
              <w:pStyle w:val="TableParagraph"/>
              <w:spacing w:line="184" w:lineRule="exact"/>
              <w:ind w:left="493" w:right="528"/>
              <w:jc w:val="center"/>
              <w:rPr>
                <w:sz w:val="16"/>
              </w:rPr>
            </w:pPr>
            <w:r>
              <w:rPr>
                <w:sz w:val="16"/>
              </w:rPr>
              <w:t>2%</w:t>
            </w:r>
          </w:p>
        </w:tc>
        <w:tc>
          <w:tcPr>
            <w:tcW w:w="1745" w:type="dxa"/>
            <w:tcBorders>
              <w:bottom w:val="nil"/>
              <w:right w:val="single" w:sz="12" w:space="0" w:color="000000"/>
            </w:tcBorders>
          </w:tcPr>
          <w:p w14:paraId="7E26D6A8" w14:textId="77777777" w:rsidR="001439E0" w:rsidRDefault="008A23E0">
            <w:pPr>
              <w:pStyle w:val="TableParagraph"/>
              <w:spacing w:line="184" w:lineRule="exact"/>
              <w:ind w:left="255" w:right="472"/>
              <w:jc w:val="center"/>
              <w:rPr>
                <w:sz w:val="16"/>
              </w:rPr>
            </w:pPr>
            <w:r>
              <w:rPr>
                <w:sz w:val="16"/>
              </w:rPr>
              <w:t>&lt;1%</w:t>
            </w:r>
          </w:p>
        </w:tc>
        <w:tc>
          <w:tcPr>
            <w:tcW w:w="1769" w:type="dxa"/>
            <w:tcBorders>
              <w:left w:val="single" w:sz="12" w:space="0" w:color="000000"/>
              <w:bottom w:val="nil"/>
            </w:tcBorders>
          </w:tcPr>
          <w:p w14:paraId="7E26D6A9" w14:textId="77777777" w:rsidR="001439E0" w:rsidRDefault="008A23E0">
            <w:pPr>
              <w:pStyle w:val="TableParagraph"/>
              <w:spacing w:line="184" w:lineRule="exact"/>
              <w:ind w:left="494" w:right="734"/>
              <w:jc w:val="center"/>
              <w:rPr>
                <w:sz w:val="16"/>
              </w:rPr>
            </w:pPr>
            <w:r>
              <w:rPr>
                <w:sz w:val="16"/>
              </w:rPr>
              <w:t>2%</w:t>
            </w:r>
          </w:p>
        </w:tc>
        <w:tc>
          <w:tcPr>
            <w:tcW w:w="1486" w:type="dxa"/>
            <w:tcBorders>
              <w:bottom w:val="nil"/>
            </w:tcBorders>
          </w:tcPr>
          <w:p w14:paraId="7E26D6AA" w14:textId="77777777" w:rsidR="001439E0" w:rsidRDefault="008A23E0">
            <w:pPr>
              <w:pStyle w:val="TableParagraph"/>
              <w:spacing w:line="184" w:lineRule="exact"/>
              <w:ind w:left="505"/>
              <w:rPr>
                <w:sz w:val="16"/>
              </w:rPr>
            </w:pPr>
            <w:r>
              <w:rPr>
                <w:sz w:val="16"/>
              </w:rPr>
              <w:t>0%</w:t>
            </w:r>
          </w:p>
        </w:tc>
      </w:tr>
      <w:tr w:rsidR="001439E0" w14:paraId="7E26D6B2" w14:textId="77777777">
        <w:trPr>
          <w:trHeight w:val="218"/>
        </w:trPr>
        <w:tc>
          <w:tcPr>
            <w:tcW w:w="1308" w:type="dxa"/>
            <w:tcBorders>
              <w:top w:val="nil"/>
              <w:right w:val="single" w:sz="8" w:space="0" w:color="000000"/>
            </w:tcBorders>
          </w:tcPr>
          <w:p w14:paraId="7E26D6AC" w14:textId="77777777" w:rsidR="001439E0" w:rsidRDefault="008A23E0">
            <w:pPr>
              <w:pStyle w:val="TableParagraph"/>
              <w:spacing w:before="20" w:line="179" w:lineRule="exact"/>
              <w:ind w:left="107"/>
              <w:rPr>
                <w:sz w:val="16"/>
              </w:rPr>
            </w:pPr>
            <w:r>
              <w:rPr>
                <w:sz w:val="16"/>
              </w:rPr>
              <w:t>Grade 3-4</w:t>
            </w:r>
          </w:p>
        </w:tc>
        <w:tc>
          <w:tcPr>
            <w:tcW w:w="1744" w:type="dxa"/>
            <w:tcBorders>
              <w:top w:val="nil"/>
              <w:left w:val="single" w:sz="8" w:space="0" w:color="000000"/>
            </w:tcBorders>
          </w:tcPr>
          <w:p w14:paraId="7E26D6AD" w14:textId="77777777" w:rsidR="001439E0" w:rsidRDefault="008A23E0">
            <w:pPr>
              <w:pStyle w:val="TableParagraph"/>
              <w:spacing w:before="20" w:line="179" w:lineRule="exact"/>
              <w:ind w:left="466"/>
              <w:rPr>
                <w:sz w:val="16"/>
              </w:rPr>
            </w:pPr>
            <w:r>
              <w:rPr>
                <w:sz w:val="16"/>
              </w:rPr>
              <w:t>≥2.6 x ULN</w:t>
            </w:r>
          </w:p>
        </w:tc>
        <w:tc>
          <w:tcPr>
            <w:tcW w:w="1587" w:type="dxa"/>
            <w:tcBorders>
              <w:top w:val="nil"/>
            </w:tcBorders>
          </w:tcPr>
          <w:p w14:paraId="7E26D6AE" w14:textId="77777777" w:rsidR="001439E0" w:rsidRDefault="008A23E0">
            <w:pPr>
              <w:pStyle w:val="TableParagraph"/>
              <w:spacing w:before="4"/>
              <w:ind w:left="493" w:right="528"/>
              <w:jc w:val="center"/>
              <w:rPr>
                <w:sz w:val="16"/>
              </w:rPr>
            </w:pPr>
            <w:r>
              <w:rPr>
                <w:sz w:val="16"/>
              </w:rPr>
              <w:t>0%</w:t>
            </w:r>
          </w:p>
        </w:tc>
        <w:tc>
          <w:tcPr>
            <w:tcW w:w="1745" w:type="dxa"/>
            <w:tcBorders>
              <w:top w:val="nil"/>
              <w:right w:val="single" w:sz="12" w:space="0" w:color="000000"/>
            </w:tcBorders>
          </w:tcPr>
          <w:p w14:paraId="7E26D6AF" w14:textId="77777777" w:rsidR="001439E0" w:rsidRDefault="008A23E0">
            <w:pPr>
              <w:pStyle w:val="TableParagraph"/>
              <w:spacing w:before="4"/>
              <w:ind w:left="255" w:right="472"/>
              <w:jc w:val="center"/>
              <w:rPr>
                <w:sz w:val="16"/>
              </w:rPr>
            </w:pPr>
            <w:r>
              <w:rPr>
                <w:sz w:val="16"/>
              </w:rPr>
              <w:t>0%</w:t>
            </w:r>
          </w:p>
        </w:tc>
        <w:tc>
          <w:tcPr>
            <w:tcW w:w="1769" w:type="dxa"/>
            <w:tcBorders>
              <w:top w:val="nil"/>
              <w:left w:val="single" w:sz="12" w:space="0" w:color="000000"/>
            </w:tcBorders>
          </w:tcPr>
          <w:p w14:paraId="7E26D6B0" w14:textId="77777777" w:rsidR="001439E0" w:rsidRDefault="008A23E0">
            <w:pPr>
              <w:pStyle w:val="TableParagraph"/>
              <w:spacing w:before="4"/>
              <w:ind w:left="494" w:right="734"/>
              <w:jc w:val="center"/>
              <w:rPr>
                <w:sz w:val="16"/>
              </w:rPr>
            </w:pPr>
            <w:r>
              <w:rPr>
                <w:sz w:val="16"/>
              </w:rPr>
              <w:t>&lt;1%</w:t>
            </w:r>
          </w:p>
        </w:tc>
        <w:tc>
          <w:tcPr>
            <w:tcW w:w="1486" w:type="dxa"/>
            <w:tcBorders>
              <w:top w:val="nil"/>
            </w:tcBorders>
          </w:tcPr>
          <w:p w14:paraId="7E26D6B1" w14:textId="77777777" w:rsidR="001439E0" w:rsidRDefault="008A23E0">
            <w:pPr>
              <w:pStyle w:val="TableParagraph"/>
              <w:spacing w:before="4"/>
              <w:ind w:left="459"/>
              <w:rPr>
                <w:sz w:val="16"/>
              </w:rPr>
            </w:pPr>
            <w:r>
              <w:rPr>
                <w:sz w:val="16"/>
              </w:rPr>
              <w:t>&lt;1%</w:t>
            </w:r>
          </w:p>
        </w:tc>
      </w:tr>
      <w:tr w:rsidR="001439E0" w14:paraId="7E26D6B5" w14:textId="77777777">
        <w:trPr>
          <w:trHeight w:val="263"/>
        </w:trPr>
        <w:tc>
          <w:tcPr>
            <w:tcW w:w="6384" w:type="dxa"/>
            <w:gridSpan w:val="4"/>
            <w:tcBorders>
              <w:right w:val="single" w:sz="12" w:space="0" w:color="000000"/>
            </w:tcBorders>
          </w:tcPr>
          <w:p w14:paraId="7E26D6B3" w14:textId="77777777" w:rsidR="001439E0" w:rsidRDefault="008A23E0">
            <w:pPr>
              <w:pStyle w:val="TableParagraph"/>
              <w:spacing w:before="80" w:line="163" w:lineRule="exact"/>
              <w:ind w:left="107"/>
              <w:rPr>
                <w:sz w:val="16"/>
              </w:rPr>
            </w:pPr>
            <w:r>
              <w:rPr>
                <w:sz w:val="16"/>
              </w:rPr>
              <w:t>Creatinine (mg/</w:t>
            </w:r>
            <w:proofErr w:type="spellStart"/>
            <w:r>
              <w:rPr>
                <w:sz w:val="16"/>
              </w:rPr>
              <w:t>dL</w:t>
            </w:r>
            <w:proofErr w:type="spellEnd"/>
            <w:r>
              <w:rPr>
                <w:sz w:val="16"/>
              </w:rPr>
              <w:t>)</w:t>
            </w:r>
          </w:p>
        </w:tc>
        <w:tc>
          <w:tcPr>
            <w:tcW w:w="3255" w:type="dxa"/>
            <w:gridSpan w:val="2"/>
            <w:tcBorders>
              <w:left w:val="single" w:sz="12" w:space="0" w:color="000000"/>
            </w:tcBorders>
          </w:tcPr>
          <w:p w14:paraId="7E26D6B4" w14:textId="77777777" w:rsidR="001439E0" w:rsidRDefault="001439E0">
            <w:pPr>
              <w:pStyle w:val="TableParagraph"/>
              <w:rPr>
                <w:rFonts w:ascii="Times New Roman"/>
                <w:sz w:val="18"/>
              </w:rPr>
            </w:pPr>
          </w:p>
        </w:tc>
      </w:tr>
      <w:tr w:rsidR="001439E0" w14:paraId="7E26D6CE" w14:textId="77777777">
        <w:trPr>
          <w:trHeight w:val="1288"/>
        </w:trPr>
        <w:tc>
          <w:tcPr>
            <w:tcW w:w="1308" w:type="dxa"/>
          </w:tcPr>
          <w:p w14:paraId="7E26D6B6" w14:textId="77777777" w:rsidR="001439E0" w:rsidRDefault="001439E0">
            <w:pPr>
              <w:pStyle w:val="TableParagraph"/>
              <w:spacing w:before="11"/>
              <w:rPr>
                <w:b/>
                <w:sz w:val="23"/>
              </w:rPr>
            </w:pPr>
          </w:p>
          <w:p w14:paraId="7E26D6B7" w14:textId="77777777" w:rsidR="001439E0" w:rsidRDefault="008A23E0">
            <w:pPr>
              <w:pStyle w:val="TableParagraph"/>
              <w:ind w:left="107"/>
              <w:rPr>
                <w:sz w:val="16"/>
              </w:rPr>
            </w:pPr>
            <w:r>
              <w:rPr>
                <w:sz w:val="16"/>
              </w:rPr>
              <w:t>Grade 2</w:t>
            </w:r>
          </w:p>
          <w:p w14:paraId="7E26D6B8" w14:textId="77777777" w:rsidR="001439E0" w:rsidRDefault="001439E0">
            <w:pPr>
              <w:pStyle w:val="TableParagraph"/>
              <w:rPr>
                <w:b/>
                <w:sz w:val="18"/>
              </w:rPr>
            </w:pPr>
          </w:p>
          <w:p w14:paraId="7E26D6B9" w14:textId="77777777" w:rsidR="001439E0" w:rsidRDefault="001439E0">
            <w:pPr>
              <w:pStyle w:val="TableParagraph"/>
              <w:rPr>
                <w:b/>
              </w:rPr>
            </w:pPr>
          </w:p>
          <w:p w14:paraId="7E26D6BA" w14:textId="77777777" w:rsidR="001439E0" w:rsidRDefault="008A23E0">
            <w:pPr>
              <w:pStyle w:val="TableParagraph"/>
              <w:ind w:left="107"/>
              <w:rPr>
                <w:sz w:val="16"/>
              </w:rPr>
            </w:pPr>
            <w:r>
              <w:rPr>
                <w:sz w:val="16"/>
              </w:rPr>
              <w:t>Grade 3-4</w:t>
            </w:r>
          </w:p>
        </w:tc>
        <w:tc>
          <w:tcPr>
            <w:tcW w:w="1744" w:type="dxa"/>
          </w:tcPr>
          <w:p w14:paraId="7E26D6BB" w14:textId="77777777" w:rsidR="001439E0" w:rsidRDefault="008A23E0">
            <w:pPr>
              <w:pStyle w:val="TableParagraph"/>
              <w:spacing w:line="184" w:lineRule="exact"/>
              <w:ind w:left="107"/>
              <w:rPr>
                <w:sz w:val="16"/>
              </w:rPr>
            </w:pPr>
            <w:r>
              <w:rPr>
                <w:sz w:val="16"/>
              </w:rPr>
              <w:t>&gt;1.3 - 1.8 x ULN or</w:t>
            </w:r>
          </w:p>
          <w:p w14:paraId="7E26D6BC" w14:textId="77777777" w:rsidR="001439E0" w:rsidRDefault="008A23E0">
            <w:pPr>
              <w:pStyle w:val="TableParagraph"/>
              <w:spacing w:before="1"/>
              <w:ind w:left="107" w:right="455"/>
              <w:rPr>
                <w:sz w:val="16"/>
              </w:rPr>
            </w:pPr>
            <w:r>
              <w:rPr>
                <w:sz w:val="16"/>
              </w:rPr>
              <w:t>Increase of &gt;0.3 mg/</w:t>
            </w:r>
            <w:proofErr w:type="spellStart"/>
            <w:r>
              <w:rPr>
                <w:sz w:val="16"/>
              </w:rPr>
              <w:t>dL</w:t>
            </w:r>
            <w:proofErr w:type="spellEnd"/>
            <w:r>
              <w:rPr>
                <w:sz w:val="16"/>
              </w:rPr>
              <w:t xml:space="preserve"> above baseline</w:t>
            </w:r>
          </w:p>
          <w:p w14:paraId="7E26D6BD" w14:textId="77777777" w:rsidR="001439E0" w:rsidRDefault="008A23E0">
            <w:pPr>
              <w:pStyle w:val="TableParagraph"/>
              <w:spacing w:before="2" w:line="184" w:lineRule="exact"/>
              <w:ind w:left="107" w:right="336"/>
              <w:rPr>
                <w:sz w:val="16"/>
              </w:rPr>
            </w:pPr>
            <w:r>
              <w:rPr>
                <w:sz w:val="16"/>
              </w:rPr>
              <w:t>&gt;1.8 x ULN or Increase of ≥1.5 x above baseline</w:t>
            </w:r>
          </w:p>
        </w:tc>
        <w:tc>
          <w:tcPr>
            <w:tcW w:w="1587" w:type="dxa"/>
          </w:tcPr>
          <w:p w14:paraId="7E26D6BE" w14:textId="77777777" w:rsidR="001439E0" w:rsidRDefault="001439E0">
            <w:pPr>
              <w:pStyle w:val="TableParagraph"/>
              <w:rPr>
                <w:b/>
                <w:sz w:val="16"/>
              </w:rPr>
            </w:pPr>
          </w:p>
          <w:p w14:paraId="7E26D6BF" w14:textId="77777777" w:rsidR="001439E0" w:rsidRDefault="008A23E0">
            <w:pPr>
              <w:pStyle w:val="TableParagraph"/>
              <w:ind w:left="493" w:right="528"/>
              <w:jc w:val="center"/>
              <w:rPr>
                <w:sz w:val="16"/>
              </w:rPr>
            </w:pPr>
            <w:r>
              <w:rPr>
                <w:sz w:val="16"/>
              </w:rPr>
              <w:t>3%</w:t>
            </w:r>
          </w:p>
          <w:p w14:paraId="7E26D6C0" w14:textId="77777777" w:rsidR="001439E0" w:rsidRDefault="001439E0">
            <w:pPr>
              <w:pStyle w:val="TableParagraph"/>
              <w:rPr>
                <w:b/>
                <w:sz w:val="18"/>
              </w:rPr>
            </w:pPr>
          </w:p>
          <w:p w14:paraId="7E26D6C1" w14:textId="77777777" w:rsidR="001439E0" w:rsidRDefault="008A23E0">
            <w:pPr>
              <w:pStyle w:val="TableParagraph"/>
              <w:spacing w:before="161"/>
              <w:ind w:left="493" w:right="528"/>
              <w:jc w:val="center"/>
              <w:rPr>
                <w:sz w:val="16"/>
              </w:rPr>
            </w:pPr>
            <w:r>
              <w:rPr>
                <w:sz w:val="16"/>
              </w:rPr>
              <w:t>2%</w:t>
            </w:r>
          </w:p>
        </w:tc>
        <w:tc>
          <w:tcPr>
            <w:tcW w:w="1745" w:type="dxa"/>
            <w:tcBorders>
              <w:right w:val="single" w:sz="12" w:space="0" w:color="000000"/>
            </w:tcBorders>
          </w:tcPr>
          <w:p w14:paraId="7E26D6C2" w14:textId="77777777" w:rsidR="001439E0" w:rsidRDefault="001439E0">
            <w:pPr>
              <w:pStyle w:val="TableParagraph"/>
              <w:rPr>
                <w:b/>
                <w:sz w:val="16"/>
              </w:rPr>
            </w:pPr>
          </w:p>
          <w:p w14:paraId="7E26D6C3" w14:textId="77777777" w:rsidR="001439E0" w:rsidRDefault="008A23E0">
            <w:pPr>
              <w:pStyle w:val="TableParagraph"/>
              <w:ind w:left="255" w:right="472"/>
              <w:jc w:val="center"/>
              <w:rPr>
                <w:sz w:val="16"/>
              </w:rPr>
            </w:pPr>
            <w:r>
              <w:rPr>
                <w:sz w:val="16"/>
              </w:rPr>
              <w:t>4%</w:t>
            </w:r>
          </w:p>
          <w:p w14:paraId="7E26D6C4" w14:textId="77777777" w:rsidR="001439E0" w:rsidRDefault="001439E0">
            <w:pPr>
              <w:pStyle w:val="TableParagraph"/>
              <w:rPr>
                <w:b/>
                <w:sz w:val="18"/>
              </w:rPr>
            </w:pPr>
          </w:p>
          <w:p w14:paraId="7E26D6C5" w14:textId="77777777" w:rsidR="001439E0" w:rsidRDefault="008A23E0">
            <w:pPr>
              <w:pStyle w:val="TableParagraph"/>
              <w:spacing w:before="161"/>
              <w:ind w:left="255" w:right="472"/>
              <w:jc w:val="center"/>
              <w:rPr>
                <w:sz w:val="16"/>
              </w:rPr>
            </w:pPr>
            <w:r>
              <w:rPr>
                <w:sz w:val="16"/>
              </w:rPr>
              <w:t>3%</w:t>
            </w:r>
          </w:p>
        </w:tc>
        <w:tc>
          <w:tcPr>
            <w:tcW w:w="1769" w:type="dxa"/>
            <w:tcBorders>
              <w:left w:val="single" w:sz="12" w:space="0" w:color="000000"/>
            </w:tcBorders>
          </w:tcPr>
          <w:p w14:paraId="7E26D6C6" w14:textId="77777777" w:rsidR="001439E0" w:rsidRDefault="001439E0">
            <w:pPr>
              <w:pStyle w:val="TableParagraph"/>
              <w:rPr>
                <w:b/>
                <w:sz w:val="16"/>
              </w:rPr>
            </w:pPr>
          </w:p>
          <w:p w14:paraId="7E26D6C7" w14:textId="77777777" w:rsidR="001439E0" w:rsidRDefault="008A23E0">
            <w:pPr>
              <w:pStyle w:val="TableParagraph"/>
              <w:ind w:left="494" w:right="734"/>
              <w:jc w:val="center"/>
              <w:rPr>
                <w:sz w:val="16"/>
              </w:rPr>
            </w:pPr>
            <w:r>
              <w:rPr>
                <w:sz w:val="16"/>
              </w:rPr>
              <w:t>2%</w:t>
            </w:r>
          </w:p>
          <w:p w14:paraId="7E26D6C8" w14:textId="77777777" w:rsidR="001439E0" w:rsidRDefault="001439E0">
            <w:pPr>
              <w:pStyle w:val="TableParagraph"/>
              <w:rPr>
                <w:b/>
                <w:sz w:val="18"/>
              </w:rPr>
            </w:pPr>
          </w:p>
          <w:p w14:paraId="7E26D6C9" w14:textId="77777777" w:rsidR="001439E0" w:rsidRDefault="008A23E0">
            <w:pPr>
              <w:pStyle w:val="TableParagraph"/>
              <w:spacing w:before="161"/>
              <w:ind w:left="494" w:right="734"/>
              <w:jc w:val="center"/>
              <w:rPr>
                <w:sz w:val="16"/>
              </w:rPr>
            </w:pPr>
            <w:r>
              <w:rPr>
                <w:sz w:val="16"/>
              </w:rPr>
              <w:t>2%</w:t>
            </w:r>
          </w:p>
        </w:tc>
        <w:tc>
          <w:tcPr>
            <w:tcW w:w="1486" w:type="dxa"/>
          </w:tcPr>
          <w:p w14:paraId="7E26D6CA" w14:textId="77777777" w:rsidR="001439E0" w:rsidRDefault="001439E0">
            <w:pPr>
              <w:pStyle w:val="TableParagraph"/>
              <w:rPr>
                <w:b/>
                <w:sz w:val="16"/>
              </w:rPr>
            </w:pPr>
          </w:p>
          <w:p w14:paraId="7E26D6CB" w14:textId="77777777" w:rsidR="001439E0" w:rsidRDefault="008A23E0">
            <w:pPr>
              <w:pStyle w:val="TableParagraph"/>
              <w:ind w:left="486" w:right="717"/>
              <w:jc w:val="center"/>
              <w:rPr>
                <w:sz w:val="16"/>
              </w:rPr>
            </w:pPr>
            <w:r>
              <w:rPr>
                <w:sz w:val="16"/>
              </w:rPr>
              <w:t>1%</w:t>
            </w:r>
          </w:p>
          <w:p w14:paraId="7E26D6CC" w14:textId="77777777" w:rsidR="001439E0" w:rsidRDefault="001439E0">
            <w:pPr>
              <w:pStyle w:val="TableParagraph"/>
              <w:rPr>
                <w:b/>
                <w:sz w:val="18"/>
              </w:rPr>
            </w:pPr>
          </w:p>
          <w:p w14:paraId="7E26D6CD" w14:textId="77777777" w:rsidR="001439E0" w:rsidRDefault="008A23E0">
            <w:pPr>
              <w:pStyle w:val="TableParagraph"/>
              <w:spacing w:before="161"/>
              <w:ind w:left="486" w:right="717"/>
              <w:jc w:val="center"/>
              <w:rPr>
                <w:sz w:val="16"/>
              </w:rPr>
            </w:pPr>
            <w:r>
              <w:rPr>
                <w:sz w:val="16"/>
              </w:rPr>
              <w:t>1%</w:t>
            </w:r>
          </w:p>
        </w:tc>
      </w:tr>
      <w:tr w:rsidR="001439E0" w14:paraId="7E26D6D2" w14:textId="77777777">
        <w:trPr>
          <w:trHeight w:val="261"/>
        </w:trPr>
        <w:tc>
          <w:tcPr>
            <w:tcW w:w="6384" w:type="dxa"/>
            <w:gridSpan w:val="4"/>
            <w:tcBorders>
              <w:right w:val="single" w:sz="12" w:space="0" w:color="000000"/>
            </w:tcBorders>
          </w:tcPr>
          <w:p w14:paraId="7E26D6CF" w14:textId="77777777" w:rsidR="001439E0" w:rsidRDefault="008A23E0">
            <w:pPr>
              <w:pStyle w:val="TableParagraph"/>
              <w:spacing w:before="78" w:line="163" w:lineRule="exact"/>
              <w:ind w:left="107"/>
              <w:rPr>
                <w:sz w:val="16"/>
              </w:rPr>
            </w:pPr>
            <w:r>
              <w:rPr>
                <w:sz w:val="16"/>
              </w:rPr>
              <w:t>Aspartate aminotransferase (IU/L)</w:t>
            </w:r>
          </w:p>
        </w:tc>
        <w:tc>
          <w:tcPr>
            <w:tcW w:w="1769" w:type="dxa"/>
            <w:tcBorders>
              <w:left w:val="single" w:sz="12" w:space="0" w:color="000000"/>
            </w:tcBorders>
          </w:tcPr>
          <w:p w14:paraId="7E26D6D0" w14:textId="77777777" w:rsidR="001439E0" w:rsidRDefault="001439E0">
            <w:pPr>
              <w:pStyle w:val="TableParagraph"/>
              <w:rPr>
                <w:rFonts w:ascii="Times New Roman"/>
                <w:sz w:val="18"/>
              </w:rPr>
            </w:pPr>
          </w:p>
        </w:tc>
        <w:tc>
          <w:tcPr>
            <w:tcW w:w="1486" w:type="dxa"/>
          </w:tcPr>
          <w:p w14:paraId="7E26D6D1" w14:textId="77777777" w:rsidR="001439E0" w:rsidRDefault="001439E0">
            <w:pPr>
              <w:pStyle w:val="TableParagraph"/>
              <w:rPr>
                <w:rFonts w:ascii="Times New Roman"/>
                <w:sz w:val="18"/>
              </w:rPr>
            </w:pPr>
          </w:p>
        </w:tc>
      </w:tr>
      <w:tr w:rsidR="001439E0" w14:paraId="7E26D6D9" w14:textId="77777777">
        <w:trPr>
          <w:trHeight w:val="209"/>
        </w:trPr>
        <w:tc>
          <w:tcPr>
            <w:tcW w:w="1308" w:type="dxa"/>
            <w:tcBorders>
              <w:bottom w:val="nil"/>
            </w:tcBorders>
          </w:tcPr>
          <w:p w14:paraId="7E26D6D3" w14:textId="77777777" w:rsidR="001439E0" w:rsidRDefault="008A23E0">
            <w:pPr>
              <w:pStyle w:val="TableParagraph"/>
              <w:spacing w:before="15" w:line="174" w:lineRule="exact"/>
              <w:ind w:left="107"/>
              <w:rPr>
                <w:sz w:val="16"/>
              </w:rPr>
            </w:pPr>
            <w:r>
              <w:rPr>
                <w:sz w:val="16"/>
              </w:rPr>
              <w:t>Grade 2</w:t>
            </w:r>
          </w:p>
        </w:tc>
        <w:tc>
          <w:tcPr>
            <w:tcW w:w="1744" w:type="dxa"/>
            <w:tcBorders>
              <w:bottom w:val="nil"/>
            </w:tcBorders>
          </w:tcPr>
          <w:p w14:paraId="7E26D6D4" w14:textId="77777777" w:rsidR="001439E0" w:rsidRDefault="008A23E0">
            <w:pPr>
              <w:pStyle w:val="TableParagraph"/>
              <w:spacing w:before="15" w:line="174" w:lineRule="exact"/>
              <w:ind w:right="277"/>
              <w:jc w:val="right"/>
              <w:rPr>
                <w:sz w:val="16"/>
              </w:rPr>
            </w:pPr>
            <w:r>
              <w:rPr>
                <w:sz w:val="16"/>
              </w:rPr>
              <w:t>2.5 - &lt;5.0 x ULN</w:t>
            </w:r>
          </w:p>
        </w:tc>
        <w:tc>
          <w:tcPr>
            <w:tcW w:w="1587" w:type="dxa"/>
            <w:tcBorders>
              <w:bottom w:val="nil"/>
            </w:tcBorders>
          </w:tcPr>
          <w:p w14:paraId="7E26D6D5" w14:textId="77777777" w:rsidR="001439E0" w:rsidRDefault="008A23E0">
            <w:pPr>
              <w:pStyle w:val="TableParagraph"/>
              <w:spacing w:line="184" w:lineRule="exact"/>
              <w:ind w:left="493" w:right="528"/>
              <w:jc w:val="center"/>
              <w:rPr>
                <w:sz w:val="16"/>
              </w:rPr>
            </w:pPr>
            <w:r>
              <w:rPr>
                <w:sz w:val="16"/>
              </w:rPr>
              <w:t>4%</w:t>
            </w:r>
          </w:p>
        </w:tc>
        <w:tc>
          <w:tcPr>
            <w:tcW w:w="1745" w:type="dxa"/>
            <w:tcBorders>
              <w:bottom w:val="nil"/>
              <w:right w:val="single" w:sz="12" w:space="0" w:color="000000"/>
            </w:tcBorders>
          </w:tcPr>
          <w:p w14:paraId="7E26D6D6" w14:textId="77777777" w:rsidR="001439E0" w:rsidRDefault="008A23E0">
            <w:pPr>
              <w:pStyle w:val="TableParagraph"/>
              <w:spacing w:line="184" w:lineRule="exact"/>
              <w:ind w:left="255" w:right="472"/>
              <w:jc w:val="center"/>
              <w:rPr>
                <w:sz w:val="16"/>
              </w:rPr>
            </w:pPr>
            <w:r>
              <w:rPr>
                <w:sz w:val="16"/>
              </w:rPr>
              <w:t>3%</w:t>
            </w:r>
          </w:p>
        </w:tc>
        <w:tc>
          <w:tcPr>
            <w:tcW w:w="1769" w:type="dxa"/>
            <w:tcBorders>
              <w:left w:val="single" w:sz="12" w:space="0" w:color="000000"/>
              <w:bottom w:val="nil"/>
            </w:tcBorders>
          </w:tcPr>
          <w:p w14:paraId="7E26D6D7" w14:textId="77777777" w:rsidR="001439E0" w:rsidRDefault="008A23E0">
            <w:pPr>
              <w:pStyle w:val="TableParagraph"/>
              <w:spacing w:line="184" w:lineRule="exact"/>
              <w:ind w:left="494" w:right="734"/>
              <w:jc w:val="center"/>
              <w:rPr>
                <w:sz w:val="16"/>
              </w:rPr>
            </w:pPr>
            <w:r>
              <w:rPr>
                <w:sz w:val="16"/>
              </w:rPr>
              <w:t>2%</w:t>
            </w:r>
          </w:p>
        </w:tc>
        <w:tc>
          <w:tcPr>
            <w:tcW w:w="1486" w:type="dxa"/>
            <w:tcBorders>
              <w:bottom w:val="nil"/>
            </w:tcBorders>
          </w:tcPr>
          <w:p w14:paraId="7E26D6D8" w14:textId="77777777" w:rsidR="001439E0" w:rsidRDefault="008A23E0">
            <w:pPr>
              <w:pStyle w:val="TableParagraph"/>
              <w:spacing w:line="184" w:lineRule="exact"/>
              <w:ind w:left="505"/>
              <w:rPr>
                <w:sz w:val="16"/>
              </w:rPr>
            </w:pPr>
            <w:r>
              <w:rPr>
                <w:sz w:val="16"/>
              </w:rPr>
              <w:t>2%</w:t>
            </w:r>
          </w:p>
        </w:tc>
      </w:tr>
      <w:tr w:rsidR="001439E0" w14:paraId="7E26D6E0" w14:textId="77777777">
        <w:trPr>
          <w:trHeight w:val="218"/>
        </w:trPr>
        <w:tc>
          <w:tcPr>
            <w:tcW w:w="1308" w:type="dxa"/>
            <w:tcBorders>
              <w:top w:val="nil"/>
            </w:tcBorders>
          </w:tcPr>
          <w:p w14:paraId="7E26D6DA" w14:textId="77777777" w:rsidR="001439E0" w:rsidRDefault="008A23E0">
            <w:pPr>
              <w:pStyle w:val="TableParagraph"/>
              <w:spacing w:before="20" w:line="179" w:lineRule="exact"/>
              <w:ind w:left="107"/>
              <w:rPr>
                <w:sz w:val="16"/>
              </w:rPr>
            </w:pPr>
            <w:r>
              <w:rPr>
                <w:sz w:val="16"/>
              </w:rPr>
              <w:t>Grade 3-4</w:t>
            </w:r>
          </w:p>
        </w:tc>
        <w:tc>
          <w:tcPr>
            <w:tcW w:w="1744" w:type="dxa"/>
            <w:tcBorders>
              <w:top w:val="nil"/>
            </w:tcBorders>
          </w:tcPr>
          <w:p w14:paraId="7E26D6DB" w14:textId="77777777" w:rsidR="001439E0" w:rsidRDefault="008A23E0">
            <w:pPr>
              <w:pStyle w:val="TableParagraph"/>
              <w:spacing w:before="20" w:line="179" w:lineRule="exact"/>
              <w:ind w:left="471"/>
              <w:rPr>
                <w:sz w:val="16"/>
              </w:rPr>
            </w:pPr>
            <w:r>
              <w:rPr>
                <w:sz w:val="16"/>
              </w:rPr>
              <w:t>≥5.0 x ULN</w:t>
            </w:r>
          </w:p>
        </w:tc>
        <w:tc>
          <w:tcPr>
            <w:tcW w:w="1587" w:type="dxa"/>
            <w:tcBorders>
              <w:top w:val="nil"/>
            </w:tcBorders>
          </w:tcPr>
          <w:p w14:paraId="7E26D6DC" w14:textId="77777777" w:rsidR="001439E0" w:rsidRDefault="008A23E0">
            <w:pPr>
              <w:pStyle w:val="TableParagraph"/>
              <w:spacing w:before="4"/>
              <w:ind w:left="493" w:right="528"/>
              <w:jc w:val="center"/>
              <w:rPr>
                <w:sz w:val="16"/>
              </w:rPr>
            </w:pPr>
            <w:r>
              <w:rPr>
                <w:sz w:val="16"/>
              </w:rPr>
              <w:t>&lt;1%</w:t>
            </w:r>
          </w:p>
        </w:tc>
        <w:tc>
          <w:tcPr>
            <w:tcW w:w="1745" w:type="dxa"/>
            <w:tcBorders>
              <w:top w:val="nil"/>
              <w:right w:val="single" w:sz="12" w:space="0" w:color="000000"/>
            </w:tcBorders>
          </w:tcPr>
          <w:p w14:paraId="7E26D6DD" w14:textId="77777777" w:rsidR="001439E0" w:rsidRDefault="008A23E0">
            <w:pPr>
              <w:pStyle w:val="TableParagraph"/>
              <w:spacing w:before="4"/>
              <w:ind w:left="254" w:right="472"/>
              <w:jc w:val="center"/>
              <w:rPr>
                <w:sz w:val="16"/>
              </w:rPr>
            </w:pPr>
            <w:r>
              <w:rPr>
                <w:sz w:val="16"/>
              </w:rPr>
              <w:t>2%</w:t>
            </w:r>
          </w:p>
        </w:tc>
        <w:tc>
          <w:tcPr>
            <w:tcW w:w="1769" w:type="dxa"/>
            <w:tcBorders>
              <w:top w:val="nil"/>
              <w:left w:val="single" w:sz="12" w:space="0" w:color="000000"/>
            </w:tcBorders>
          </w:tcPr>
          <w:p w14:paraId="7E26D6DE" w14:textId="77777777" w:rsidR="001439E0" w:rsidRDefault="008A23E0">
            <w:pPr>
              <w:pStyle w:val="TableParagraph"/>
              <w:spacing w:before="4"/>
              <w:ind w:left="494" w:right="734"/>
              <w:jc w:val="center"/>
              <w:rPr>
                <w:sz w:val="16"/>
              </w:rPr>
            </w:pPr>
            <w:r>
              <w:rPr>
                <w:sz w:val="16"/>
              </w:rPr>
              <w:t>&lt;1%</w:t>
            </w:r>
          </w:p>
        </w:tc>
        <w:tc>
          <w:tcPr>
            <w:tcW w:w="1486" w:type="dxa"/>
            <w:tcBorders>
              <w:top w:val="nil"/>
            </w:tcBorders>
          </w:tcPr>
          <w:p w14:paraId="7E26D6DF" w14:textId="77777777" w:rsidR="001439E0" w:rsidRDefault="008A23E0">
            <w:pPr>
              <w:pStyle w:val="TableParagraph"/>
              <w:spacing w:before="4"/>
              <w:ind w:left="505"/>
              <w:rPr>
                <w:sz w:val="16"/>
              </w:rPr>
            </w:pPr>
            <w:r>
              <w:rPr>
                <w:sz w:val="16"/>
              </w:rPr>
              <w:t>2%</w:t>
            </w:r>
          </w:p>
        </w:tc>
      </w:tr>
      <w:tr w:rsidR="001439E0" w14:paraId="7E26D6E4" w14:textId="77777777">
        <w:trPr>
          <w:trHeight w:val="263"/>
        </w:trPr>
        <w:tc>
          <w:tcPr>
            <w:tcW w:w="6384" w:type="dxa"/>
            <w:gridSpan w:val="4"/>
            <w:tcBorders>
              <w:right w:val="single" w:sz="12" w:space="0" w:color="000000"/>
            </w:tcBorders>
          </w:tcPr>
          <w:p w14:paraId="7E26D6E1" w14:textId="77777777" w:rsidR="001439E0" w:rsidRDefault="008A23E0">
            <w:pPr>
              <w:pStyle w:val="TableParagraph"/>
              <w:spacing w:before="80" w:line="163" w:lineRule="exact"/>
              <w:ind w:left="107"/>
              <w:rPr>
                <w:sz w:val="16"/>
              </w:rPr>
            </w:pPr>
            <w:r>
              <w:rPr>
                <w:sz w:val="16"/>
              </w:rPr>
              <w:t>Alanine aminotransferase (IU/L)</w:t>
            </w:r>
          </w:p>
        </w:tc>
        <w:tc>
          <w:tcPr>
            <w:tcW w:w="1769" w:type="dxa"/>
            <w:tcBorders>
              <w:left w:val="single" w:sz="12" w:space="0" w:color="000000"/>
            </w:tcBorders>
          </w:tcPr>
          <w:p w14:paraId="7E26D6E2" w14:textId="77777777" w:rsidR="001439E0" w:rsidRDefault="001439E0">
            <w:pPr>
              <w:pStyle w:val="TableParagraph"/>
              <w:rPr>
                <w:rFonts w:ascii="Times New Roman"/>
                <w:sz w:val="18"/>
              </w:rPr>
            </w:pPr>
          </w:p>
        </w:tc>
        <w:tc>
          <w:tcPr>
            <w:tcW w:w="1486" w:type="dxa"/>
          </w:tcPr>
          <w:p w14:paraId="7E26D6E3" w14:textId="77777777" w:rsidR="001439E0" w:rsidRDefault="001439E0">
            <w:pPr>
              <w:pStyle w:val="TableParagraph"/>
              <w:rPr>
                <w:rFonts w:ascii="Times New Roman"/>
                <w:sz w:val="18"/>
              </w:rPr>
            </w:pPr>
          </w:p>
        </w:tc>
      </w:tr>
      <w:tr w:rsidR="001439E0" w14:paraId="7E26D6EB" w14:textId="77777777">
        <w:trPr>
          <w:trHeight w:val="209"/>
        </w:trPr>
        <w:tc>
          <w:tcPr>
            <w:tcW w:w="1308" w:type="dxa"/>
            <w:tcBorders>
              <w:bottom w:val="nil"/>
            </w:tcBorders>
          </w:tcPr>
          <w:p w14:paraId="7E26D6E5" w14:textId="77777777" w:rsidR="001439E0" w:rsidRDefault="008A23E0">
            <w:pPr>
              <w:pStyle w:val="TableParagraph"/>
              <w:spacing w:before="15" w:line="174" w:lineRule="exact"/>
              <w:ind w:left="107"/>
              <w:rPr>
                <w:sz w:val="16"/>
              </w:rPr>
            </w:pPr>
            <w:r>
              <w:rPr>
                <w:sz w:val="16"/>
              </w:rPr>
              <w:t>Grade 2</w:t>
            </w:r>
          </w:p>
        </w:tc>
        <w:tc>
          <w:tcPr>
            <w:tcW w:w="1744" w:type="dxa"/>
            <w:tcBorders>
              <w:bottom w:val="nil"/>
            </w:tcBorders>
          </w:tcPr>
          <w:p w14:paraId="7E26D6E6" w14:textId="77777777" w:rsidR="001439E0" w:rsidRDefault="008A23E0">
            <w:pPr>
              <w:pStyle w:val="TableParagraph"/>
              <w:spacing w:before="15" w:line="174" w:lineRule="exact"/>
              <w:ind w:right="277"/>
              <w:jc w:val="right"/>
              <w:rPr>
                <w:sz w:val="16"/>
              </w:rPr>
            </w:pPr>
            <w:r>
              <w:rPr>
                <w:sz w:val="16"/>
              </w:rPr>
              <w:t>2.5 - &lt;5.0 x ULN</w:t>
            </w:r>
          </w:p>
        </w:tc>
        <w:tc>
          <w:tcPr>
            <w:tcW w:w="1587" w:type="dxa"/>
            <w:tcBorders>
              <w:bottom w:val="nil"/>
            </w:tcBorders>
          </w:tcPr>
          <w:p w14:paraId="7E26D6E7" w14:textId="77777777" w:rsidR="001439E0" w:rsidRDefault="008A23E0">
            <w:pPr>
              <w:pStyle w:val="TableParagraph"/>
              <w:spacing w:line="184" w:lineRule="exact"/>
              <w:ind w:left="493" w:right="528"/>
              <w:jc w:val="center"/>
              <w:rPr>
                <w:sz w:val="16"/>
              </w:rPr>
            </w:pPr>
            <w:r>
              <w:rPr>
                <w:sz w:val="16"/>
              </w:rPr>
              <w:t>3%</w:t>
            </w:r>
          </w:p>
        </w:tc>
        <w:tc>
          <w:tcPr>
            <w:tcW w:w="1745" w:type="dxa"/>
            <w:tcBorders>
              <w:bottom w:val="nil"/>
              <w:right w:val="single" w:sz="12" w:space="0" w:color="000000"/>
            </w:tcBorders>
          </w:tcPr>
          <w:p w14:paraId="7E26D6E8" w14:textId="77777777" w:rsidR="001439E0" w:rsidRDefault="008A23E0">
            <w:pPr>
              <w:pStyle w:val="TableParagraph"/>
              <w:spacing w:line="184" w:lineRule="exact"/>
              <w:ind w:left="255" w:right="472"/>
              <w:jc w:val="center"/>
              <w:rPr>
                <w:sz w:val="16"/>
              </w:rPr>
            </w:pPr>
            <w:r>
              <w:rPr>
                <w:sz w:val="16"/>
              </w:rPr>
              <w:t>2%</w:t>
            </w:r>
          </w:p>
        </w:tc>
        <w:tc>
          <w:tcPr>
            <w:tcW w:w="1769" w:type="dxa"/>
            <w:tcBorders>
              <w:left w:val="single" w:sz="12" w:space="0" w:color="000000"/>
              <w:bottom w:val="nil"/>
            </w:tcBorders>
          </w:tcPr>
          <w:p w14:paraId="7E26D6E9" w14:textId="77777777" w:rsidR="001439E0" w:rsidRDefault="008A23E0">
            <w:pPr>
              <w:pStyle w:val="TableParagraph"/>
              <w:spacing w:line="184" w:lineRule="exact"/>
              <w:ind w:left="494" w:right="734"/>
              <w:jc w:val="center"/>
              <w:rPr>
                <w:sz w:val="16"/>
              </w:rPr>
            </w:pPr>
            <w:r>
              <w:rPr>
                <w:sz w:val="16"/>
              </w:rPr>
              <w:t>3%</w:t>
            </w:r>
          </w:p>
        </w:tc>
        <w:tc>
          <w:tcPr>
            <w:tcW w:w="1486" w:type="dxa"/>
            <w:tcBorders>
              <w:bottom w:val="nil"/>
            </w:tcBorders>
          </w:tcPr>
          <w:p w14:paraId="7E26D6EA" w14:textId="77777777" w:rsidR="001439E0" w:rsidRDefault="008A23E0">
            <w:pPr>
              <w:pStyle w:val="TableParagraph"/>
              <w:spacing w:line="184" w:lineRule="exact"/>
              <w:ind w:left="505"/>
              <w:rPr>
                <w:sz w:val="16"/>
              </w:rPr>
            </w:pPr>
            <w:r>
              <w:rPr>
                <w:sz w:val="16"/>
              </w:rPr>
              <w:t>4%</w:t>
            </w:r>
          </w:p>
        </w:tc>
      </w:tr>
      <w:tr w:rsidR="001439E0" w14:paraId="7E26D6F2" w14:textId="77777777">
        <w:trPr>
          <w:trHeight w:val="218"/>
        </w:trPr>
        <w:tc>
          <w:tcPr>
            <w:tcW w:w="1308" w:type="dxa"/>
            <w:tcBorders>
              <w:top w:val="nil"/>
            </w:tcBorders>
          </w:tcPr>
          <w:p w14:paraId="7E26D6EC" w14:textId="77777777" w:rsidR="001439E0" w:rsidRDefault="008A23E0">
            <w:pPr>
              <w:pStyle w:val="TableParagraph"/>
              <w:spacing w:before="19" w:line="179" w:lineRule="exact"/>
              <w:ind w:left="107"/>
              <w:rPr>
                <w:sz w:val="16"/>
              </w:rPr>
            </w:pPr>
            <w:r>
              <w:rPr>
                <w:sz w:val="16"/>
              </w:rPr>
              <w:t>Grade 3-4</w:t>
            </w:r>
          </w:p>
        </w:tc>
        <w:tc>
          <w:tcPr>
            <w:tcW w:w="1744" w:type="dxa"/>
            <w:tcBorders>
              <w:top w:val="nil"/>
            </w:tcBorders>
          </w:tcPr>
          <w:p w14:paraId="7E26D6ED" w14:textId="77777777" w:rsidR="001439E0" w:rsidRDefault="008A23E0">
            <w:pPr>
              <w:pStyle w:val="TableParagraph"/>
              <w:spacing w:before="20" w:line="178" w:lineRule="exact"/>
              <w:ind w:left="471"/>
              <w:rPr>
                <w:sz w:val="16"/>
              </w:rPr>
            </w:pPr>
            <w:r>
              <w:rPr>
                <w:sz w:val="16"/>
              </w:rPr>
              <w:t>≥5.0 x ULN</w:t>
            </w:r>
          </w:p>
        </w:tc>
        <w:tc>
          <w:tcPr>
            <w:tcW w:w="1587" w:type="dxa"/>
            <w:tcBorders>
              <w:top w:val="nil"/>
            </w:tcBorders>
          </w:tcPr>
          <w:p w14:paraId="7E26D6EE" w14:textId="77777777" w:rsidR="001439E0" w:rsidRDefault="008A23E0">
            <w:pPr>
              <w:pStyle w:val="TableParagraph"/>
              <w:spacing w:before="5"/>
              <w:ind w:left="493" w:right="528"/>
              <w:jc w:val="center"/>
              <w:rPr>
                <w:sz w:val="16"/>
              </w:rPr>
            </w:pPr>
            <w:r>
              <w:rPr>
                <w:sz w:val="16"/>
              </w:rPr>
              <w:t>1%</w:t>
            </w:r>
          </w:p>
        </w:tc>
        <w:tc>
          <w:tcPr>
            <w:tcW w:w="1745" w:type="dxa"/>
            <w:tcBorders>
              <w:top w:val="nil"/>
              <w:right w:val="single" w:sz="12" w:space="0" w:color="000000"/>
            </w:tcBorders>
          </w:tcPr>
          <w:p w14:paraId="7E26D6EF" w14:textId="77777777" w:rsidR="001439E0" w:rsidRDefault="008A23E0">
            <w:pPr>
              <w:pStyle w:val="TableParagraph"/>
              <w:spacing w:before="5"/>
              <w:ind w:left="255" w:right="472"/>
              <w:jc w:val="center"/>
              <w:rPr>
                <w:sz w:val="16"/>
              </w:rPr>
            </w:pPr>
            <w:r>
              <w:rPr>
                <w:sz w:val="16"/>
              </w:rPr>
              <w:t>2%</w:t>
            </w:r>
          </w:p>
        </w:tc>
        <w:tc>
          <w:tcPr>
            <w:tcW w:w="1769" w:type="dxa"/>
            <w:tcBorders>
              <w:top w:val="nil"/>
              <w:left w:val="single" w:sz="12" w:space="0" w:color="000000"/>
            </w:tcBorders>
          </w:tcPr>
          <w:p w14:paraId="7E26D6F0" w14:textId="77777777" w:rsidR="001439E0" w:rsidRDefault="008A23E0">
            <w:pPr>
              <w:pStyle w:val="TableParagraph"/>
              <w:spacing w:before="5"/>
              <w:ind w:left="494" w:right="734"/>
              <w:jc w:val="center"/>
              <w:rPr>
                <w:sz w:val="16"/>
              </w:rPr>
            </w:pPr>
            <w:r>
              <w:rPr>
                <w:sz w:val="16"/>
              </w:rPr>
              <w:t>&lt;1%</w:t>
            </w:r>
          </w:p>
        </w:tc>
        <w:tc>
          <w:tcPr>
            <w:tcW w:w="1486" w:type="dxa"/>
            <w:tcBorders>
              <w:top w:val="nil"/>
            </w:tcBorders>
          </w:tcPr>
          <w:p w14:paraId="7E26D6F1" w14:textId="77777777" w:rsidR="001439E0" w:rsidRDefault="008A23E0">
            <w:pPr>
              <w:pStyle w:val="TableParagraph"/>
              <w:spacing w:before="5"/>
              <w:ind w:left="505"/>
              <w:rPr>
                <w:sz w:val="16"/>
              </w:rPr>
            </w:pPr>
            <w:r>
              <w:rPr>
                <w:sz w:val="16"/>
              </w:rPr>
              <w:t>2%</w:t>
            </w:r>
          </w:p>
        </w:tc>
      </w:tr>
      <w:tr w:rsidR="001439E0" w14:paraId="7E26D6F6" w14:textId="77777777">
        <w:trPr>
          <w:trHeight w:val="263"/>
        </w:trPr>
        <w:tc>
          <w:tcPr>
            <w:tcW w:w="6384" w:type="dxa"/>
            <w:gridSpan w:val="4"/>
            <w:tcBorders>
              <w:right w:val="single" w:sz="12" w:space="0" w:color="000000"/>
            </w:tcBorders>
          </w:tcPr>
          <w:p w14:paraId="7E26D6F3" w14:textId="77777777" w:rsidR="001439E0" w:rsidRDefault="008A23E0">
            <w:pPr>
              <w:pStyle w:val="TableParagraph"/>
              <w:spacing w:before="80" w:line="163" w:lineRule="exact"/>
              <w:ind w:left="107"/>
              <w:rPr>
                <w:sz w:val="16"/>
              </w:rPr>
            </w:pPr>
            <w:r>
              <w:rPr>
                <w:sz w:val="16"/>
              </w:rPr>
              <w:t>Alkaline phosphatase (IU/L)</w:t>
            </w:r>
          </w:p>
        </w:tc>
        <w:tc>
          <w:tcPr>
            <w:tcW w:w="1769" w:type="dxa"/>
            <w:tcBorders>
              <w:left w:val="single" w:sz="12" w:space="0" w:color="000000"/>
            </w:tcBorders>
          </w:tcPr>
          <w:p w14:paraId="7E26D6F4" w14:textId="77777777" w:rsidR="001439E0" w:rsidRDefault="001439E0">
            <w:pPr>
              <w:pStyle w:val="TableParagraph"/>
              <w:rPr>
                <w:rFonts w:ascii="Times New Roman"/>
                <w:sz w:val="18"/>
              </w:rPr>
            </w:pPr>
          </w:p>
        </w:tc>
        <w:tc>
          <w:tcPr>
            <w:tcW w:w="1486" w:type="dxa"/>
          </w:tcPr>
          <w:p w14:paraId="7E26D6F5" w14:textId="77777777" w:rsidR="001439E0" w:rsidRDefault="001439E0">
            <w:pPr>
              <w:pStyle w:val="TableParagraph"/>
              <w:rPr>
                <w:rFonts w:ascii="Times New Roman"/>
                <w:sz w:val="18"/>
              </w:rPr>
            </w:pPr>
          </w:p>
        </w:tc>
      </w:tr>
      <w:tr w:rsidR="001439E0" w14:paraId="7E26D6FD" w14:textId="77777777">
        <w:trPr>
          <w:trHeight w:val="210"/>
        </w:trPr>
        <w:tc>
          <w:tcPr>
            <w:tcW w:w="1308" w:type="dxa"/>
            <w:tcBorders>
              <w:bottom w:val="nil"/>
            </w:tcBorders>
          </w:tcPr>
          <w:p w14:paraId="7E26D6F7" w14:textId="77777777" w:rsidR="001439E0" w:rsidRDefault="008A23E0">
            <w:pPr>
              <w:pStyle w:val="TableParagraph"/>
              <w:spacing w:before="15" w:line="175" w:lineRule="exact"/>
              <w:ind w:left="107"/>
              <w:rPr>
                <w:sz w:val="16"/>
              </w:rPr>
            </w:pPr>
            <w:r>
              <w:rPr>
                <w:sz w:val="16"/>
              </w:rPr>
              <w:t>Grade 2</w:t>
            </w:r>
          </w:p>
        </w:tc>
        <w:tc>
          <w:tcPr>
            <w:tcW w:w="1744" w:type="dxa"/>
            <w:tcBorders>
              <w:bottom w:val="nil"/>
            </w:tcBorders>
          </w:tcPr>
          <w:p w14:paraId="7E26D6F8" w14:textId="77777777" w:rsidR="001439E0" w:rsidRDefault="008A23E0">
            <w:pPr>
              <w:pStyle w:val="TableParagraph"/>
              <w:spacing w:before="16" w:line="174" w:lineRule="exact"/>
              <w:ind w:right="277"/>
              <w:jc w:val="right"/>
              <w:rPr>
                <w:sz w:val="16"/>
              </w:rPr>
            </w:pPr>
            <w:r>
              <w:rPr>
                <w:sz w:val="16"/>
              </w:rPr>
              <w:t>2.5 - &lt;5.0 x ULN</w:t>
            </w:r>
          </w:p>
        </w:tc>
        <w:tc>
          <w:tcPr>
            <w:tcW w:w="1587" w:type="dxa"/>
            <w:tcBorders>
              <w:bottom w:val="nil"/>
            </w:tcBorders>
          </w:tcPr>
          <w:p w14:paraId="7E26D6F9" w14:textId="77777777" w:rsidR="001439E0" w:rsidRDefault="008A23E0">
            <w:pPr>
              <w:pStyle w:val="TableParagraph"/>
              <w:spacing w:before="1"/>
              <w:ind w:left="495" w:right="528"/>
              <w:jc w:val="center"/>
              <w:rPr>
                <w:sz w:val="16"/>
              </w:rPr>
            </w:pPr>
            <w:r>
              <w:rPr>
                <w:sz w:val="16"/>
              </w:rPr>
              <w:t>&lt;1%</w:t>
            </w:r>
          </w:p>
        </w:tc>
        <w:tc>
          <w:tcPr>
            <w:tcW w:w="1745" w:type="dxa"/>
            <w:tcBorders>
              <w:bottom w:val="nil"/>
              <w:right w:val="single" w:sz="12" w:space="0" w:color="000000"/>
            </w:tcBorders>
          </w:tcPr>
          <w:p w14:paraId="7E26D6FA" w14:textId="77777777" w:rsidR="001439E0" w:rsidRDefault="008A23E0">
            <w:pPr>
              <w:pStyle w:val="TableParagraph"/>
              <w:spacing w:before="1"/>
              <w:ind w:left="256" w:right="472"/>
              <w:jc w:val="center"/>
              <w:rPr>
                <w:sz w:val="16"/>
              </w:rPr>
            </w:pPr>
            <w:r>
              <w:rPr>
                <w:sz w:val="16"/>
              </w:rPr>
              <w:t>&lt;1%</w:t>
            </w:r>
          </w:p>
        </w:tc>
        <w:tc>
          <w:tcPr>
            <w:tcW w:w="1769" w:type="dxa"/>
            <w:tcBorders>
              <w:left w:val="single" w:sz="12" w:space="0" w:color="000000"/>
              <w:bottom w:val="nil"/>
            </w:tcBorders>
          </w:tcPr>
          <w:p w14:paraId="7E26D6FB" w14:textId="77777777" w:rsidR="001439E0" w:rsidRDefault="008A23E0">
            <w:pPr>
              <w:pStyle w:val="TableParagraph"/>
              <w:spacing w:before="1"/>
              <w:ind w:left="496" w:right="734"/>
              <w:jc w:val="center"/>
              <w:rPr>
                <w:sz w:val="16"/>
              </w:rPr>
            </w:pPr>
            <w:r>
              <w:rPr>
                <w:sz w:val="16"/>
              </w:rPr>
              <w:t>0%</w:t>
            </w:r>
          </w:p>
        </w:tc>
        <w:tc>
          <w:tcPr>
            <w:tcW w:w="1486" w:type="dxa"/>
            <w:tcBorders>
              <w:bottom w:val="nil"/>
            </w:tcBorders>
          </w:tcPr>
          <w:p w14:paraId="7E26D6FC" w14:textId="77777777" w:rsidR="001439E0" w:rsidRDefault="008A23E0">
            <w:pPr>
              <w:pStyle w:val="TableParagraph"/>
              <w:spacing w:before="1"/>
              <w:ind w:left="459"/>
              <w:rPr>
                <w:sz w:val="16"/>
              </w:rPr>
            </w:pPr>
            <w:r>
              <w:rPr>
                <w:sz w:val="16"/>
              </w:rPr>
              <w:t>&lt;1%</w:t>
            </w:r>
          </w:p>
        </w:tc>
      </w:tr>
      <w:tr w:rsidR="001439E0" w14:paraId="7E26D704" w14:textId="77777777">
        <w:trPr>
          <w:trHeight w:val="187"/>
        </w:trPr>
        <w:tc>
          <w:tcPr>
            <w:tcW w:w="1308" w:type="dxa"/>
            <w:tcBorders>
              <w:top w:val="nil"/>
            </w:tcBorders>
          </w:tcPr>
          <w:p w14:paraId="7E26D6FE" w14:textId="77777777" w:rsidR="001439E0" w:rsidRDefault="008A23E0">
            <w:pPr>
              <w:pStyle w:val="TableParagraph"/>
              <w:spacing w:before="4" w:line="163" w:lineRule="exact"/>
              <w:ind w:left="107"/>
              <w:rPr>
                <w:sz w:val="16"/>
              </w:rPr>
            </w:pPr>
            <w:r>
              <w:rPr>
                <w:sz w:val="16"/>
              </w:rPr>
              <w:t>Grade 3-4</w:t>
            </w:r>
          </w:p>
        </w:tc>
        <w:tc>
          <w:tcPr>
            <w:tcW w:w="1744" w:type="dxa"/>
            <w:tcBorders>
              <w:top w:val="nil"/>
            </w:tcBorders>
          </w:tcPr>
          <w:p w14:paraId="7E26D6FF" w14:textId="77777777" w:rsidR="001439E0" w:rsidRDefault="008A23E0">
            <w:pPr>
              <w:pStyle w:val="TableParagraph"/>
              <w:spacing w:before="4" w:line="163" w:lineRule="exact"/>
              <w:ind w:left="355"/>
              <w:rPr>
                <w:sz w:val="16"/>
              </w:rPr>
            </w:pPr>
            <w:r>
              <w:rPr>
                <w:sz w:val="16"/>
              </w:rPr>
              <w:t>≥5.0 x ULN</w:t>
            </w:r>
          </w:p>
        </w:tc>
        <w:tc>
          <w:tcPr>
            <w:tcW w:w="1587" w:type="dxa"/>
            <w:tcBorders>
              <w:top w:val="nil"/>
            </w:tcBorders>
          </w:tcPr>
          <w:p w14:paraId="7E26D700" w14:textId="77777777" w:rsidR="001439E0" w:rsidRDefault="008A23E0">
            <w:pPr>
              <w:pStyle w:val="TableParagraph"/>
              <w:spacing w:before="4" w:line="163" w:lineRule="exact"/>
              <w:ind w:left="495" w:right="528"/>
              <w:jc w:val="center"/>
              <w:rPr>
                <w:sz w:val="16"/>
              </w:rPr>
            </w:pPr>
            <w:r>
              <w:rPr>
                <w:sz w:val="16"/>
              </w:rPr>
              <w:t>0%</w:t>
            </w:r>
          </w:p>
        </w:tc>
        <w:tc>
          <w:tcPr>
            <w:tcW w:w="1745" w:type="dxa"/>
            <w:tcBorders>
              <w:top w:val="nil"/>
              <w:right w:val="single" w:sz="12" w:space="0" w:color="000000"/>
            </w:tcBorders>
          </w:tcPr>
          <w:p w14:paraId="7E26D701" w14:textId="77777777" w:rsidR="001439E0" w:rsidRDefault="008A23E0">
            <w:pPr>
              <w:pStyle w:val="TableParagraph"/>
              <w:spacing w:before="4" w:line="163" w:lineRule="exact"/>
              <w:ind w:left="256" w:right="472"/>
              <w:jc w:val="center"/>
              <w:rPr>
                <w:sz w:val="16"/>
              </w:rPr>
            </w:pPr>
            <w:r>
              <w:rPr>
                <w:sz w:val="16"/>
              </w:rPr>
              <w:t>0%</w:t>
            </w:r>
          </w:p>
        </w:tc>
        <w:tc>
          <w:tcPr>
            <w:tcW w:w="1769" w:type="dxa"/>
            <w:tcBorders>
              <w:top w:val="nil"/>
              <w:left w:val="single" w:sz="12" w:space="0" w:color="000000"/>
            </w:tcBorders>
          </w:tcPr>
          <w:p w14:paraId="7E26D702" w14:textId="77777777" w:rsidR="001439E0" w:rsidRDefault="008A23E0">
            <w:pPr>
              <w:pStyle w:val="TableParagraph"/>
              <w:spacing w:before="4" w:line="163" w:lineRule="exact"/>
              <w:ind w:left="496" w:right="734"/>
              <w:jc w:val="center"/>
              <w:rPr>
                <w:sz w:val="16"/>
              </w:rPr>
            </w:pPr>
            <w:r>
              <w:rPr>
                <w:sz w:val="16"/>
              </w:rPr>
              <w:t>0%</w:t>
            </w:r>
          </w:p>
        </w:tc>
        <w:tc>
          <w:tcPr>
            <w:tcW w:w="1486" w:type="dxa"/>
            <w:tcBorders>
              <w:top w:val="nil"/>
            </w:tcBorders>
          </w:tcPr>
          <w:p w14:paraId="7E26D703" w14:textId="77777777" w:rsidR="001439E0" w:rsidRDefault="008A23E0">
            <w:pPr>
              <w:pStyle w:val="TableParagraph"/>
              <w:spacing w:before="4" w:line="163" w:lineRule="exact"/>
              <w:ind w:left="460"/>
              <w:rPr>
                <w:sz w:val="16"/>
              </w:rPr>
            </w:pPr>
            <w:r>
              <w:rPr>
                <w:sz w:val="16"/>
              </w:rPr>
              <w:t>&lt;1%</w:t>
            </w:r>
          </w:p>
        </w:tc>
      </w:tr>
      <w:tr w:rsidR="001439E0" w14:paraId="7E26D708" w14:textId="77777777">
        <w:trPr>
          <w:trHeight w:val="264"/>
        </w:trPr>
        <w:tc>
          <w:tcPr>
            <w:tcW w:w="6384" w:type="dxa"/>
            <w:gridSpan w:val="4"/>
            <w:tcBorders>
              <w:right w:val="single" w:sz="12" w:space="0" w:color="000000"/>
            </w:tcBorders>
          </w:tcPr>
          <w:p w14:paraId="7E26D705" w14:textId="77777777" w:rsidR="001439E0" w:rsidRDefault="008A23E0">
            <w:pPr>
              <w:pStyle w:val="TableParagraph"/>
              <w:spacing w:before="81" w:line="163" w:lineRule="exact"/>
              <w:ind w:left="107"/>
              <w:rPr>
                <w:sz w:val="16"/>
              </w:rPr>
            </w:pPr>
            <w:r>
              <w:rPr>
                <w:sz w:val="16"/>
              </w:rPr>
              <w:t>Lipase</w:t>
            </w:r>
          </w:p>
        </w:tc>
        <w:tc>
          <w:tcPr>
            <w:tcW w:w="1769" w:type="dxa"/>
            <w:tcBorders>
              <w:left w:val="single" w:sz="12" w:space="0" w:color="000000"/>
            </w:tcBorders>
          </w:tcPr>
          <w:p w14:paraId="7E26D706" w14:textId="77777777" w:rsidR="001439E0" w:rsidRDefault="001439E0">
            <w:pPr>
              <w:pStyle w:val="TableParagraph"/>
              <w:rPr>
                <w:rFonts w:ascii="Times New Roman"/>
                <w:sz w:val="18"/>
              </w:rPr>
            </w:pPr>
          </w:p>
        </w:tc>
        <w:tc>
          <w:tcPr>
            <w:tcW w:w="1486" w:type="dxa"/>
          </w:tcPr>
          <w:p w14:paraId="7E26D707" w14:textId="77777777" w:rsidR="001439E0" w:rsidRDefault="001439E0">
            <w:pPr>
              <w:pStyle w:val="TableParagraph"/>
              <w:rPr>
                <w:rFonts w:ascii="Times New Roman"/>
                <w:sz w:val="18"/>
              </w:rPr>
            </w:pPr>
          </w:p>
        </w:tc>
      </w:tr>
      <w:tr w:rsidR="001439E0" w14:paraId="7E26D70F" w14:textId="77777777">
        <w:trPr>
          <w:trHeight w:val="186"/>
        </w:trPr>
        <w:tc>
          <w:tcPr>
            <w:tcW w:w="1308" w:type="dxa"/>
            <w:tcBorders>
              <w:bottom w:val="nil"/>
            </w:tcBorders>
          </w:tcPr>
          <w:p w14:paraId="7E26D709" w14:textId="77777777" w:rsidR="001439E0" w:rsidRDefault="008A23E0">
            <w:pPr>
              <w:pStyle w:val="TableParagraph"/>
              <w:spacing w:line="166" w:lineRule="exact"/>
              <w:ind w:left="107"/>
              <w:rPr>
                <w:sz w:val="16"/>
              </w:rPr>
            </w:pPr>
            <w:r>
              <w:rPr>
                <w:sz w:val="16"/>
              </w:rPr>
              <w:t>Grade 2</w:t>
            </w:r>
          </w:p>
        </w:tc>
        <w:tc>
          <w:tcPr>
            <w:tcW w:w="1744" w:type="dxa"/>
            <w:tcBorders>
              <w:bottom w:val="nil"/>
            </w:tcBorders>
          </w:tcPr>
          <w:p w14:paraId="7E26D70A" w14:textId="77777777" w:rsidR="001439E0" w:rsidRDefault="008A23E0">
            <w:pPr>
              <w:pStyle w:val="TableParagraph"/>
              <w:spacing w:line="166" w:lineRule="exact"/>
              <w:ind w:left="169"/>
              <w:rPr>
                <w:sz w:val="16"/>
              </w:rPr>
            </w:pPr>
            <w:r>
              <w:rPr>
                <w:sz w:val="16"/>
              </w:rPr>
              <w:t>1.5 - &lt;3.0 x ULN</w:t>
            </w:r>
          </w:p>
        </w:tc>
        <w:tc>
          <w:tcPr>
            <w:tcW w:w="1587" w:type="dxa"/>
            <w:tcBorders>
              <w:bottom w:val="nil"/>
            </w:tcBorders>
          </w:tcPr>
          <w:p w14:paraId="7E26D70B" w14:textId="77777777" w:rsidR="001439E0" w:rsidRDefault="008A23E0">
            <w:pPr>
              <w:pStyle w:val="TableParagraph"/>
              <w:spacing w:line="166" w:lineRule="exact"/>
              <w:ind w:left="494" w:right="528"/>
              <w:jc w:val="center"/>
              <w:rPr>
                <w:sz w:val="16"/>
              </w:rPr>
            </w:pPr>
            <w:r>
              <w:rPr>
                <w:sz w:val="16"/>
              </w:rPr>
              <w:t>4%</w:t>
            </w:r>
          </w:p>
        </w:tc>
        <w:tc>
          <w:tcPr>
            <w:tcW w:w="1745" w:type="dxa"/>
            <w:tcBorders>
              <w:bottom w:val="nil"/>
              <w:right w:val="single" w:sz="12" w:space="0" w:color="000000"/>
            </w:tcBorders>
          </w:tcPr>
          <w:p w14:paraId="7E26D70C" w14:textId="77777777" w:rsidR="001439E0" w:rsidRDefault="008A23E0">
            <w:pPr>
              <w:pStyle w:val="TableParagraph"/>
              <w:spacing w:line="166" w:lineRule="exact"/>
              <w:ind w:left="255" w:right="472"/>
              <w:jc w:val="center"/>
              <w:rPr>
                <w:sz w:val="16"/>
              </w:rPr>
            </w:pPr>
            <w:r>
              <w:rPr>
                <w:sz w:val="16"/>
              </w:rPr>
              <w:t>5%</w:t>
            </w:r>
          </w:p>
        </w:tc>
        <w:tc>
          <w:tcPr>
            <w:tcW w:w="1769" w:type="dxa"/>
            <w:tcBorders>
              <w:left w:val="single" w:sz="12" w:space="0" w:color="000000"/>
              <w:bottom w:val="nil"/>
            </w:tcBorders>
          </w:tcPr>
          <w:p w14:paraId="7E26D70D" w14:textId="77777777" w:rsidR="001439E0" w:rsidRDefault="008A23E0">
            <w:pPr>
              <w:pStyle w:val="TableParagraph"/>
              <w:spacing w:line="166" w:lineRule="exact"/>
              <w:ind w:left="494" w:right="734"/>
              <w:jc w:val="center"/>
              <w:rPr>
                <w:sz w:val="16"/>
              </w:rPr>
            </w:pPr>
            <w:r>
              <w:rPr>
                <w:sz w:val="16"/>
              </w:rPr>
              <w:t>5%</w:t>
            </w:r>
          </w:p>
        </w:tc>
        <w:tc>
          <w:tcPr>
            <w:tcW w:w="1486" w:type="dxa"/>
            <w:tcBorders>
              <w:bottom w:val="nil"/>
            </w:tcBorders>
          </w:tcPr>
          <w:p w14:paraId="7E26D70E" w14:textId="77777777" w:rsidR="001439E0" w:rsidRDefault="008A23E0">
            <w:pPr>
              <w:pStyle w:val="TableParagraph"/>
              <w:spacing w:line="166" w:lineRule="exact"/>
              <w:ind w:left="505"/>
              <w:rPr>
                <w:sz w:val="16"/>
              </w:rPr>
            </w:pPr>
            <w:r>
              <w:rPr>
                <w:sz w:val="16"/>
              </w:rPr>
              <w:t>4%</w:t>
            </w:r>
          </w:p>
        </w:tc>
      </w:tr>
      <w:tr w:rsidR="001439E0" w14:paraId="7E26D716" w14:textId="77777777">
        <w:trPr>
          <w:trHeight w:val="181"/>
        </w:trPr>
        <w:tc>
          <w:tcPr>
            <w:tcW w:w="1308" w:type="dxa"/>
            <w:tcBorders>
              <w:top w:val="nil"/>
            </w:tcBorders>
          </w:tcPr>
          <w:p w14:paraId="7E26D710" w14:textId="77777777" w:rsidR="001439E0" w:rsidRDefault="008A23E0">
            <w:pPr>
              <w:pStyle w:val="TableParagraph"/>
              <w:spacing w:line="162" w:lineRule="exact"/>
              <w:ind w:left="107"/>
              <w:rPr>
                <w:sz w:val="16"/>
              </w:rPr>
            </w:pPr>
            <w:r>
              <w:rPr>
                <w:sz w:val="16"/>
              </w:rPr>
              <w:t>Grade 3-4</w:t>
            </w:r>
          </w:p>
        </w:tc>
        <w:tc>
          <w:tcPr>
            <w:tcW w:w="1744" w:type="dxa"/>
            <w:tcBorders>
              <w:top w:val="nil"/>
            </w:tcBorders>
          </w:tcPr>
          <w:p w14:paraId="7E26D711" w14:textId="77777777" w:rsidR="001439E0" w:rsidRDefault="008A23E0">
            <w:pPr>
              <w:pStyle w:val="TableParagraph"/>
              <w:spacing w:line="162" w:lineRule="exact"/>
              <w:ind w:left="355"/>
              <w:rPr>
                <w:sz w:val="16"/>
              </w:rPr>
            </w:pPr>
            <w:r>
              <w:rPr>
                <w:sz w:val="16"/>
              </w:rPr>
              <w:t>≥3.0 x ULN</w:t>
            </w:r>
          </w:p>
        </w:tc>
        <w:tc>
          <w:tcPr>
            <w:tcW w:w="1587" w:type="dxa"/>
            <w:tcBorders>
              <w:top w:val="nil"/>
            </w:tcBorders>
          </w:tcPr>
          <w:p w14:paraId="7E26D712" w14:textId="77777777" w:rsidR="001439E0" w:rsidRDefault="008A23E0">
            <w:pPr>
              <w:pStyle w:val="TableParagraph"/>
              <w:spacing w:line="162" w:lineRule="exact"/>
              <w:ind w:left="495" w:right="528"/>
              <w:jc w:val="center"/>
              <w:rPr>
                <w:sz w:val="16"/>
              </w:rPr>
            </w:pPr>
            <w:r>
              <w:rPr>
                <w:sz w:val="16"/>
              </w:rPr>
              <w:t>3%</w:t>
            </w:r>
          </w:p>
        </w:tc>
        <w:tc>
          <w:tcPr>
            <w:tcW w:w="1745" w:type="dxa"/>
            <w:tcBorders>
              <w:top w:val="nil"/>
              <w:right w:val="single" w:sz="12" w:space="0" w:color="000000"/>
            </w:tcBorders>
          </w:tcPr>
          <w:p w14:paraId="7E26D713" w14:textId="77777777" w:rsidR="001439E0" w:rsidRDefault="008A23E0">
            <w:pPr>
              <w:pStyle w:val="TableParagraph"/>
              <w:spacing w:line="162" w:lineRule="exact"/>
              <w:ind w:left="256" w:right="472"/>
              <w:jc w:val="center"/>
              <w:rPr>
                <w:sz w:val="16"/>
              </w:rPr>
            </w:pPr>
            <w:r>
              <w:rPr>
                <w:sz w:val="16"/>
              </w:rPr>
              <w:t>2%</w:t>
            </w:r>
          </w:p>
        </w:tc>
        <w:tc>
          <w:tcPr>
            <w:tcW w:w="1769" w:type="dxa"/>
            <w:tcBorders>
              <w:top w:val="nil"/>
              <w:left w:val="single" w:sz="12" w:space="0" w:color="000000"/>
            </w:tcBorders>
          </w:tcPr>
          <w:p w14:paraId="7E26D714" w14:textId="77777777" w:rsidR="001439E0" w:rsidRDefault="008A23E0">
            <w:pPr>
              <w:pStyle w:val="TableParagraph"/>
              <w:spacing w:line="162" w:lineRule="exact"/>
              <w:ind w:left="495" w:right="734"/>
              <w:jc w:val="center"/>
              <w:rPr>
                <w:sz w:val="16"/>
              </w:rPr>
            </w:pPr>
            <w:r>
              <w:rPr>
                <w:sz w:val="16"/>
              </w:rPr>
              <w:t>1%</w:t>
            </w:r>
          </w:p>
        </w:tc>
        <w:tc>
          <w:tcPr>
            <w:tcW w:w="1486" w:type="dxa"/>
            <w:tcBorders>
              <w:top w:val="nil"/>
            </w:tcBorders>
          </w:tcPr>
          <w:p w14:paraId="7E26D715" w14:textId="77777777" w:rsidR="001439E0" w:rsidRDefault="008A23E0">
            <w:pPr>
              <w:pStyle w:val="TableParagraph"/>
              <w:spacing w:line="162" w:lineRule="exact"/>
              <w:ind w:left="506"/>
              <w:rPr>
                <w:sz w:val="16"/>
              </w:rPr>
            </w:pPr>
            <w:r>
              <w:rPr>
                <w:sz w:val="16"/>
              </w:rPr>
              <w:t>2%</w:t>
            </w:r>
          </w:p>
        </w:tc>
      </w:tr>
      <w:tr w:rsidR="001439E0" w14:paraId="7E26D71A" w14:textId="77777777">
        <w:trPr>
          <w:trHeight w:val="263"/>
        </w:trPr>
        <w:tc>
          <w:tcPr>
            <w:tcW w:w="6384" w:type="dxa"/>
            <w:gridSpan w:val="4"/>
            <w:tcBorders>
              <w:right w:val="single" w:sz="12" w:space="0" w:color="000000"/>
            </w:tcBorders>
          </w:tcPr>
          <w:p w14:paraId="7E26D717" w14:textId="77777777" w:rsidR="001439E0" w:rsidRDefault="008A23E0">
            <w:pPr>
              <w:pStyle w:val="TableParagraph"/>
              <w:spacing w:before="80" w:line="163" w:lineRule="exact"/>
              <w:ind w:left="107"/>
              <w:rPr>
                <w:sz w:val="16"/>
              </w:rPr>
            </w:pPr>
            <w:proofErr w:type="spellStart"/>
            <w:r>
              <w:rPr>
                <w:sz w:val="16"/>
              </w:rPr>
              <w:t>Creatine</w:t>
            </w:r>
            <w:proofErr w:type="spellEnd"/>
            <w:r>
              <w:rPr>
                <w:sz w:val="16"/>
              </w:rPr>
              <w:t xml:space="preserve"> kinase (IU/L)</w:t>
            </w:r>
          </w:p>
        </w:tc>
        <w:tc>
          <w:tcPr>
            <w:tcW w:w="1769" w:type="dxa"/>
            <w:tcBorders>
              <w:left w:val="single" w:sz="12" w:space="0" w:color="000000"/>
            </w:tcBorders>
          </w:tcPr>
          <w:p w14:paraId="7E26D718" w14:textId="77777777" w:rsidR="001439E0" w:rsidRDefault="001439E0">
            <w:pPr>
              <w:pStyle w:val="TableParagraph"/>
              <w:rPr>
                <w:rFonts w:ascii="Times New Roman"/>
                <w:sz w:val="18"/>
              </w:rPr>
            </w:pPr>
          </w:p>
        </w:tc>
        <w:tc>
          <w:tcPr>
            <w:tcW w:w="1486" w:type="dxa"/>
          </w:tcPr>
          <w:p w14:paraId="7E26D719" w14:textId="77777777" w:rsidR="001439E0" w:rsidRDefault="001439E0">
            <w:pPr>
              <w:pStyle w:val="TableParagraph"/>
              <w:rPr>
                <w:rFonts w:ascii="Times New Roman"/>
                <w:sz w:val="18"/>
              </w:rPr>
            </w:pPr>
          </w:p>
        </w:tc>
      </w:tr>
      <w:tr w:rsidR="001439E0" w14:paraId="7E26D721" w14:textId="77777777">
        <w:trPr>
          <w:trHeight w:val="186"/>
        </w:trPr>
        <w:tc>
          <w:tcPr>
            <w:tcW w:w="1308" w:type="dxa"/>
            <w:tcBorders>
              <w:bottom w:val="nil"/>
            </w:tcBorders>
          </w:tcPr>
          <w:p w14:paraId="7E26D71B" w14:textId="77777777" w:rsidR="001439E0" w:rsidRDefault="008A23E0">
            <w:pPr>
              <w:pStyle w:val="TableParagraph"/>
              <w:spacing w:line="167" w:lineRule="exact"/>
              <w:ind w:left="107"/>
              <w:rPr>
                <w:sz w:val="16"/>
              </w:rPr>
            </w:pPr>
            <w:r>
              <w:rPr>
                <w:sz w:val="16"/>
              </w:rPr>
              <w:t>Grade 2</w:t>
            </w:r>
          </w:p>
        </w:tc>
        <w:tc>
          <w:tcPr>
            <w:tcW w:w="1744" w:type="dxa"/>
            <w:tcBorders>
              <w:bottom w:val="nil"/>
            </w:tcBorders>
          </w:tcPr>
          <w:p w14:paraId="7E26D71C" w14:textId="77777777" w:rsidR="001439E0" w:rsidRDefault="008A23E0">
            <w:pPr>
              <w:pStyle w:val="TableParagraph"/>
              <w:spacing w:line="167" w:lineRule="exact"/>
              <w:ind w:left="235"/>
              <w:rPr>
                <w:sz w:val="16"/>
              </w:rPr>
            </w:pPr>
            <w:r>
              <w:rPr>
                <w:sz w:val="16"/>
              </w:rPr>
              <w:t>6.0 - &lt;10.0 x ULN</w:t>
            </w:r>
          </w:p>
        </w:tc>
        <w:tc>
          <w:tcPr>
            <w:tcW w:w="1587" w:type="dxa"/>
            <w:tcBorders>
              <w:bottom w:val="nil"/>
            </w:tcBorders>
          </w:tcPr>
          <w:p w14:paraId="7E26D71D" w14:textId="77777777" w:rsidR="001439E0" w:rsidRDefault="008A23E0">
            <w:pPr>
              <w:pStyle w:val="TableParagraph"/>
              <w:spacing w:line="167" w:lineRule="exact"/>
              <w:ind w:left="494" w:right="528"/>
              <w:jc w:val="center"/>
              <w:rPr>
                <w:sz w:val="16"/>
              </w:rPr>
            </w:pPr>
            <w:r>
              <w:rPr>
                <w:sz w:val="16"/>
              </w:rPr>
              <w:t>2%</w:t>
            </w:r>
          </w:p>
        </w:tc>
        <w:tc>
          <w:tcPr>
            <w:tcW w:w="1745" w:type="dxa"/>
            <w:tcBorders>
              <w:bottom w:val="nil"/>
              <w:right w:val="single" w:sz="12" w:space="0" w:color="000000"/>
            </w:tcBorders>
          </w:tcPr>
          <w:p w14:paraId="7E26D71E" w14:textId="77777777" w:rsidR="001439E0" w:rsidRDefault="008A23E0">
            <w:pPr>
              <w:pStyle w:val="TableParagraph"/>
              <w:spacing w:line="167" w:lineRule="exact"/>
              <w:ind w:left="255" w:right="472"/>
              <w:jc w:val="center"/>
              <w:rPr>
                <w:sz w:val="16"/>
              </w:rPr>
            </w:pPr>
            <w:r>
              <w:rPr>
                <w:sz w:val="16"/>
              </w:rPr>
              <w:t>3%</w:t>
            </w:r>
          </w:p>
        </w:tc>
        <w:tc>
          <w:tcPr>
            <w:tcW w:w="1769" w:type="dxa"/>
            <w:tcBorders>
              <w:left w:val="single" w:sz="12" w:space="0" w:color="000000"/>
              <w:bottom w:val="nil"/>
            </w:tcBorders>
          </w:tcPr>
          <w:p w14:paraId="7E26D71F" w14:textId="77777777" w:rsidR="001439E0" w:rsidRDefault="008A23E0">
            <w:pPr>
              <w:pStyle w:val="TableParagraph"/>
              <w:spacing w:line="167" w:lineRule="exact"/>
              <w:ind w:left="494" w:right="734"/>
              <w:jc w:val="center"/>
              <w:rPr>
                <w:sz w:val="16"/>
              </w:rPr>
            </w:pPr>
            <w:r>
              <w:rPr>
                <w:sz w:val="16"/>
              </w:rPr>
              <w:t>2%</w:t>
            </w:r>
          </w:p>
        </w:tc>
        <w:tc>
          <w:tcPr>
            <w:tcW w:w="1486" w:type="dxa"/>
            <w:tcBorders>
              <w:bottom w:val="nil"/>
            </w:tcBorders>
          </w:tcPr>
          <w:p w14:paraId="7E26D720" w14:textId="77777777" w:rsidR="001439E0" w:rsidRDefault="008A23E0">
            <w:pPr>
              <w:pStyle w:val="TableParagraph"/>
              <w:spacing w:line="167" w:lineRule="exact"/>
              <w:ind w:left="506"/>
              <w:rPr>
                <w:sz w:val="16"/>
              </w:rPr>
            </w:pPr>
            <w:r>
              <w:rPr>
                <w:sz w:val="16"/>
              </w:rPr>
              <w:t>2%</w:t>
            </w:r>
          </w:p>
        </w:tc>
      </w:tr>
      <w:tr w:rsidR="001439E0" w14:paraId="7E26D728" w14:textId="77777777">
        <w:trPr>
          <w:trHeight w:val="181"/>
        </w:trPr>
        <w:tc>
          <w:tcPr>
            <w:tcW w:w="1308" w:type="dxa"/>
            <w:tcBorders>
              <w:top w:val="nil"/>
            </w:tcBorders>
          </w:tcPr>
          <w:p w14:paraId="7E26D722" w14:textId="77777777" w:rsidR="001439E0" w:rsidRDefault="008A23E0">
            <w:pPr>
              <w:pStyle w:val="TableParagraph"/>
              <w:spacing w:line="161" w:lineRule="exact"/>
              <w:ind w:left="107"/>
              <w:rPr>
                <w:sz w:val="16"/>
              </w:rPr>
            </w:pPr>
            <w:r>
              <w:rPr>
                <w:sz w:val="16"/>
              </w:rPr>
              <w:t>Grade 3-4</w:t>
            </w:r>
          </w:p>
        </w:tc>
        <w:tc>
          <w:tcPr>
            <w:tcW w:w="1744" w:type="dxa"/>
            <w:tcBorders>
              <w:top w:val="nil"/>
            </w:tcBorders>
          </w:tcPr>
          <w:p w14:paraId="7E26D723" w14:textId="77777777" w:rsidR="001439E0" w:rsidRDefault="008A23E0">
            <w:pPr>
              <w:pStyle w:val="TableParagraph"/>
              <w:spacing w:line="161" w:lineRule="exact"/>
              <w:ind w:left="311"/>
              <w:rPr>
                <w:sz w:val="16"/>
              </w:rPr>
            </w:pPr>
            <w:r>
              <w:rPr>
                <w:sz w:val="16"/>
              </w:rPr>
              <w:t>≥10.0 x ULN</w:t>
            </w:r>
          </w:p>
        </w:tc>
        <w:tc>
          <w:tcPr>
            <w:tcW w:w="1587" w:type="dxa"/>
            <w:tcBorders>
              <w:top w:val="nil"/>
            </w:tcBorders>
          </w:tcPr>
          <w:p w14:paraId="7E26D724" w14:textId="77777777" w:rsidR="001439E0" w:rsidRDefault="008A23E0">
            <w:pPr>
              <w:pStyle w:val="TableParagraph"/>
              <w:spacing w:line="161" w:lineRule="exact"/>
              <w:ind w:left="494" w:right="528"/>
              <w:jc w:val="center"/>
              <w:rPr>
                <w:sz w:val="16"/>
              </w:rPr>
            </w:pPr>
            <w:r>
              <w:rPr>
                <w:sz w:val="16"/>
              </w:rPr>
              <w:t>3%</w:t>
            </w:r>
          </w:p>
        </w:tc>
        <w:tc>
          <w:tcPr>
            <w:tcW w:w="1745" w:type="dxa"/>
            <w:tcBorders>
              <w:top w:val="nil"/>
              <w:right w:val="single" w:sz="12" w:space="0" w:color="000000"/>
            </w:tcBorders>
          </w:tcPr>
          <w:p w14:paraId="7E26D725" w14:textId="77777777" w:rsidR="001439E0" w:rsidRDefault="008A23E0">
            <w:pPr>
              <w:pStyle w:val="TableParagraph"/>
              <w:spacing w:line="161" w:lineRule="exact"/>
              <w:ind w:left="255" w:right="472"/>
              <w:jc w:val="center"/>
              <w:rPr>
                <w:sz w:val="16"/>
              </w:rPr>
            </w:pPr>
            <w:r>
              <w:rPr>
                <w:sz w:val="16"/>
              </w:rPr>
              <w:t>4%</w:t>
            </w:r>
          </w:p>
        </w:tc>
        <w:tc>
          <w:tcPr>
            <w:tcW w:w="1769" w:type="dxa"/>
            <w:tcBorders>
              <w:top w:val="nil"/>
              <w:left w:val="single" w:sz="12" w:space="0" w:color="000000"/>
            </w:tcBorders>
          </w:tcPr>
          <w:p w14:paraId="7E26D726" w14:textId="77777777" w:rsidR="001439E0" w:rsidRDefault="008A23E0">
            <w:pPr>
              <w:pStyle w:val="TableParagraph"/>
              <w:spacing w:line="161" w:lineRule="exact"/>
              <w:ind w:left="494" w:right="734"/>
              <w:jc w:val="center"/>
              <w:rPr>
                <w:sz w:val="16"/>
              </w:rPr>
            </w:pPr>
            <w:r>
              <w:rPr>
                <w:sz w:val="16"/>
              </w:rPr>
              <w:t>2%</w:t>
            </w:r>
          </w:p>
        </w:tc>
        <w:tc>
          <w:tcPr>
            <w:tcW w:w="1486" w:type="dxa"/>
            <w:tcBorders>
              <w:top w:val="nil"/>
            </w:tcBorders>
          </w:tcPr>
          <w:p w14:paraId="7E26D727" w14:textId="77777777" w:rsidR="001439E0" w:rsidRDefault="008A23E0">
            <w:pPr>
              <w:pStyle w:val="TableParagraph"/>
              <w:spacing w:line="161" w:lineRule="exact"/>
              <w:ind w:left="505"/>
              <w:rPr>
                <w:sz w:val="16"/>
              </w:rPr>
            </w:pPr>
            <w:r>
              <w:rPr>
                <w:sz w:val="16"/>
              </w:rPr>
              <w:t>3%</w:t>
            </w:r>
          </w:p>
        </w:tc>
      </w:tr>
      <w:tr w:rsidR="001439E0" w14:paraId="7E26D72A" w14:textId="77777777">
        <w:trPr>
          <w:trHeight w:val="368"/>
        </w:trPr>
        <w:tc>
          <w:tcPr>
            <w:tcW w:w="9639" w:type="dxa"/>
            <w:gridSpan w:val="6"/>
          </w:tcPr>
          <w:p w14:paraId="7E26D729" w14:textId="77777777" w:rsidR="001439E0" w:rsidRDefault="008A23E0">
            <w:pPr>
              <w:pStyle w:val="TableParagraph"/>
              <w:spacing w:before="2" w:line="184" w:lineRule="exact"/>
              <w:ind w:left="107" w:right="6821"/>
              <w:rPr>
                <w:sz w:val="16"/>
              </w:rPr>
            </w:pPr>
            <w:r>
              <w:rPr>
                <w:sz w:val="16"/>
              </w:rPr>
              <w:t xml:space="preserve">ULN = Upper limit of normal range. Note: NRTIs = FTC/TDF </w:t>
            </w:r>
            <w:r>
              <w:rPr>
                <w:color w:val="1A1A1A"/>
                <w:sz w:val="16"/>
              </w:rPr>
              <w:t>or ABC/3TC</w:t>
            </w:r>
            <w:r>
              <w:rPr>
                <w:sz w:val="16"/>
              </w:rPr>
              <w:t>.</w:t>
            </w:r>
          </w:p>
        </w:tc>
      </w:tr>
    </w:tbl>
    <w:p w14:paraId="7E26D72B" w14:textId="77777777" w:rsidR="001439E0" w:rsidRDefault="001439E0">
      <w:pPr>
        <w:pStyle w:val="BodyText"/>
        <w:spacing w:before="0"/>
        <w:ind w:left="0"/>
        <w:jc w:val="left"/>
        <w:rPr>
          <w:b/>
          <w:sz w:val="24"/>
        </w:rPr>
      </w:pPr>
    </w:p>
    <w:p w14:paraId="7E26D72C" w14:textId="77777777" w:rsidR="001439E0" w:rsidRDefault="008A23E0">
      <w:pPr>
        <w:pStyle w:val="BodyText"/>
        <w:spacing w:before="177"/>
        <w:jc w:val="left"/>
      </w:pPr>
      <w:r>
        <w:rPr>
          <w:u w:val="single"/>
        </w:rPr>
        <w:t>Change in Lipids from Baseline</w:t>
      </w:r>
    </w:p>
    <w:p w14:paraId="7E26D72D" w14:textId="77777777" w:rsidR="001439E0" w:rsidRDefault="008A23E0">
      <w:pPr>
        <w:pStyle w:val="BodyText"/>
        <w:spacing w:before="200"/>
        <w:ind w:right="1278"/>
      </w:pPr>
      <w:r>
        <w:t>For DRIVE-FORWARD and DRIVE-AHEAD, changes from baseline at Week 48 in LDL- cholesterol, non-HDL-cholesterol, total cholesterol, triglycerides, and HDL-cholesterol are shown in Table 4.</w:t>
      </w:r>
    </w:p>
    <w:p w14:paraId="7E26D72E" w14:textId="77777777" w:rsidR="001439E0" w:rsidRDefault="008A23E0">
      <w:pPr>
        <w:pStyle w:val="BodyText"/>
        <w:spacing w:before="200"/>
        <w:ind w:right="1275"/>
      </w:pPr>
      <w:r>
        <w:t xml:space="preserve">For LDL- and non-HDL-cholesterol, total cholesterol, and triglycerides, the differences in the mean change from baseline at Week 48 (PIFELTRO – </w:t>
      </w:r>
      <w:proofErr w:type="spellStart"/>
      <w:r>
        <w:t>DRV+r</w:t>
      </w:r>
      <w:proofErr w:type="spellEnd"/>
      <w:r>
        <w:t xml:space="preserve"> and DELSTRIGO- DOR/3TC/TDF</w:t>
      </w:r>
      <w:r>
        <w:rPr>
          <w:spacing w:val="-9"/>
        </w:rPr>
        <w:t xml:space="preserve"> </w:t>
      </w:r>
      <w:r>
        <w:t>–</w:t>
      </w:r>
      <w:r>
        <w:rPr>
          <w:spacing w:val="-9"/>
        </w:rPr>
        <w:t xml:space="preserve"> </w:t>
      </w:r>
      <w:r>
        <w:t>EFV/FTC/TDF)</w:t>
      </w:r>
      <w:r>
        <w:rPr>
          <w:spacing w:val="-8"/>
        </w:rPr>
        <w:t xml:space="preserve"> </w:t>
      </w:r>
      <w:proofErr w:type="spellStart"/>
      <w:r>
        <w:t>favoured</w:t>
      </w:r>
      <w:proofErr w:type="spellEnd"/>
      <w:r>
        <w:rPr>
          <w:spacing w:val="-9"/>
        </w:rPr>
        <w:t xml:space="preserve"> </w:t>
      </w:r>
      <w:r>
        <w:t>the</w:t>
      </w:r>
      <w:r>
        <w:rPr>
          <w:spacing w:val="-9"/>
        </w:rPr>
        <w:t xml:space="preserve"> </w:t>
      </w:r>
      <w:r>
        <w:t>doravirine</w:t>
      </w:r>
      <w:r>
        <w:rPr>
          <w:spacing w:val="-8"/>
        </w:rPr>
        <w:t xml:space="preserve"> </w:t>
      </w:r>
      <w:r>
        <w:t>treatment</w:t>
      </w:r>
      <w:r>
        <w:rPr>
          <w:spacing w:val="-9"/>
        </w:rPr>
        <w:t xml:space="preserve"> </w:t>
      </w:r>
      <w:r>
        <w:t>groups.</w:t>
      </w:r>
      <w:r>
        <w:rPr>
          <w:spacing w:val="-8"/>
        </w:rPr>
        <w:t xml:space="preserve"> </w:t>
      </w:r>
      <w:r>
        <w:t>The</w:t>
      </w:r>
      <w:r>
        <w:rPr>
          <w:spacing w:val="-9"/>
        </w:rPr>
        <w:t xml:space="preserve"> </w:t>
      </w:r>
      <w:r>
        <w:t>LDL</w:t>
      </w:r>
      <w:r>
        <w:rPr>
          <w:spacing w:val="-9"/>
        </w:rPr>
        <w:t xml:space="preserve"> </w:t>
      </w:r>
      <w:r>
        <w:t>and</w:t>
      </w:r>
      <w:r>
        <w:rPr>
          <w:spacing w:val="-8"/>
        </w:rPr>
        <w:t xml:space="preserve"> </w:t>
      </w:r>
      <w:r>
        <w:t>non- HDL</w:t>
      </w:r>
      <w:r>
        <w:rPr>
          <w:spacing w:val="-17"/>
        </w:rPr>
        <w:t xml:space="preserve"> </w:t>
      </w:r>
      <w:r>
        <w:t>comparisons</w:t>
      </w:r>
      <w:r>
        <w:rPr>
          <w:spacing w:val="-17"/>
        </w:rPr>
        <w:t xml:space="preserve"> </w:t>
      </w:r>
      <w:r>
        <w:t>were</w:t>
      </w:r>
      <w:r>
        <w:rPr>
          <w:spacing w:val="-17"/>
        </w:rPr>
        <w:t xml:space="preserve"> </w:t>
      </w:r>
      <w:r>
        <w:t>pre-specified</w:t>
      </w:r>
      <w:r>
        <w:rPr>
          <w:spacing w:val="-18"/>
        </w:rPr>
        <w:t xml:space="preserve"> </w:t>
      </w:r>
      <w:r>
        <w:t>and</w:t>
      </w:r>
      <w:r>
        <w:rPr>
          <w:spacing w:val="-17"/>
        </w:rPr>
        <w:t xml:space="preserve"> </w:t>
      </w:r>
      <w:r>
        <w:t>the</w:t>
      </w:r>
      <w:r>
        <w:rPr>
          <w:spacing w:val="-16"/>
        </w:rPr>
        <w:t xml:space="preserve"> </w:t>
      </w:r>
      <w:r>
        <w:t>differences</w:t>
      </w:r>
      <w:r>
        <w:rPr>
          <w:spacing w:val="-16"/>
        </w:rPr>
        <w:t xml:space="preserve"> </w:t>
      </w:r>
      <w:r>
        <w:t>were</w:t>
      </w:r>
      <w:r>
        <w:rPr>
          <w:spacing w:val="-17"/>
        </w:rPr>
        <w:t xml:space="preserve"> </w:t>
      </w:r>
      <w:r>
        <w:t>statistically</w:t>
      </w:r>
      <w:r>
        <w:rPr>
          <w:spacing w:val="-17"/>
        </w:rPr>
        <w:t xml:space="preserve"> </w:t>
      </w:r>
      <w:r>
        <w:t>significant,</w:t>
      </w:r>
      <w:r>
        <w:rPr>
          <w:spacing w:val="-17"/>
        </w:rPr>
        <w:t xml:space="preserve"> </w:t>
      </w:r>
      <w:r>
        <w:t>showing superiority for doravirine for both</w:t>
      </w:r>
      <w:r>
        <w:rPr>
          <w:spacing w:val="-1"/>
        </w:rPr>
        <w:t xml:space="preserve"> </w:t>
      </w:r>
      <w:r>
        <w:t>parameters.</w:t>
      </w:r>
    </w:p>
    <w:p w14:paraId="7E26D72F" w14:textId="77777777" w:rsidR="001439E0" w:rsidRDefault="001439E0">
      <w:pPr>
        <w:sectPr w:rsidR="001439E0">
          <w:pgSz w:w="11910" w:h="16840"/>
          <w:pgMar w:top="1360" w:right="160" w:bottom="1100" w:left="1020" w:header="0" w:footer="839" w:gutter="0"/>
          <w:cols w:space="720"/>
        </w:sectPr>
      </w:pPr>
    </w:p>
    <w:p w14:paraId="7E26D730" w14:textId="77777777" w:rsidR="001439E0" w:rsidRDefault="008A23E0">
      <w:pPr>
        <w:pStyle w:val="Heading3"/>
        <w:spacing w:before="80"/>
        <w:ind w:left="778" w:right="1634"/>
        <w:jc w:val="center"/>
      </w:pPr>
      <w:r>
        <w:lastRenderedPageBreak/>
        <w:t>Table 4: Mean Change from Baseline in Fasting Lipids in DRIVE-FORWARD and DRIVE-AHEAD (Week 48)</w:t>
      </w:r>
    </w:p>
    <w:p w14:paraId="7E26D731" w14:textId="77777777" w:rsidR="001439E0" w:rsidRDefault="001439E0">
      <w:pPr>
        <w:pStyle w:val="BodyText"/>
        <w:spacing w:before="4"/>
        <w:ind w:left="0"/>
        <w:jc w:val="left"/>
        <w:rPr>
          <w:b/>
          <w:sz w:val="17"/>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1617"/>
        <w:gridCol w:w="1554"/>
        <w:gridCol w:w="1637"/>
        <w:gridCol w:w="1630"/>
      </w:tblGrid>
      <w:tr w:rsidR="001439E0" w14:paraId="7E26D737" w14:textId="77777777">
        <w:trPr>
          <w:trHeight w:val="184"/>
        </w:trPr>
        <w:tc>
          <w:tcPr>
            <w:tcW w:w="2576" w:type="dxa"/>
            <w:vMerge w:val="restart"/>
          </w:tcPr>
          <w:p w14:paraId="7E26D732" w14:textId="77777777" w:rsidR="001439E0" w:rsidRDefault="001439E0">
            <w:pPr>
              <w:pStyle w:val="TableParagraph"/>
              <w:rPr>
                <w:b/>
                <w:sz w:val="18"/>
              </w:rPr>
            </w:pPr>
          </w:p>
          <w:p w14:paraId="7E26D733" w14:textId="77777777" w:rsidR="001439E0" w:rsidRDefault="001439E0">
            <w:pPr>
              <w:pStyle w:val="TableParagraph"/>
              <w:spacing w:before="2"/>
              <w:rPr>
                <w:b/>
                <w:sz w:val="15"/>
              </w:rPr>
            </w:pPr>
          </w:p>
          <w:p w14:paraId="7E26D734" w14:textId="77777777" w:rsidR="001439E0" w:rsidRDefault="008A23E0">
            <w:pPr>
              <w:pStyle w:val="TableParagraph"/>
              <w:spacing w:line="184" w:lineRule="exact"/>
              <w:ind w:left="107" w:right="776"/>
              <w:rPr>
                <w:b/>
                <w:sz w:val="16"/>
              </w:rPr>
            </w:pPr>
            <w:r>
              <w:rPr>
                <w:b/>
                <w:sz w:val="16"/>
              </w:rPr>
              <w:t>Laboratory Parameter Preferred Term</w:t>
            </w:r>
          </w:p>
        </w:tc>
        <w:tc>
          <w:tcPr>
            <w:tcW w:w="3171" w:type="dxa"/>
            <w:gridSpan w:val="2"/>
            <w:tcBorders>
              <w:right w:val="single" w:sz="12" w:space="0" w:color="000000"/>
            </w:tcBorders>
          </w:tcPr>
          <w:p w14:paraId="7E26D735" w14:textId="77777777" w:rsidR="001439E0" w:rsidRDefault="008A23E0">
            <w:pPr>
              <w:pStyle w:val="TableParagraph"/>
              <w:spacing w:before="1" w:line="163" w:lineRule="exact"/>
              <w:ind w:left="897"/>
              <w:rPr>
                <w:b/>
                <w:sz w:val="16"/>
              </w:rPr>
            </w:pPr>
            <w:r>
              <w:rPr>
                <w:b/>
                <w:sz w:val="16"/>
              </w:rPr>
              <w:t>DRIVE-FORWARD</w:t>
            </w:r>
          </w:p>
        </w:tc>
        <w:tc>
          <w:tcPr>
            <w:tcW w:w="3267" w:type="dxa"/>
            <w:gridSpan w:val="2"/>
            <w:tcBorders>
              <w:left w:val="single" w:sz="12" w:space="0" w:color="000000"/>
            </w:tcBorders>
          </w:tcPr>
          <w:p w14:paraId="7E26D736" w14:textId="77777777" w:rsidR="001439E0" w:rsidRDefault="008A23E0">
            <w:pPr>
              <w:pStyle w:val="TableParagraph"/>
              <w:spacing w:before="1" w:line="163" w:lineRule="exact"/>
              <w:ind w:left="1069"/>
              <w:rPr>
                <w:b/>
                <w:sz w:val="16"/>
              </w:rPr>
            </w:pPr>
            <w:r>
              <w:rPr>
                <w:b/>
                <w:sz w:val="16"/>
              </w:rPr>
              <w:t>DRIVE-AHEAD</w:t>
            </w:r>
          </w:p>
        </w:tc>
      </w:tr>
      <w:tr w:rsidR="001439E0" w14:paraId="7E26D744" w14:textId="77777777">
        <w:trPr>
          <w:trHeight w:val="551"/>
        </w:trPr>
        <w:tc>
          <w:tcPr>
            <w:tcW w:w="2576" w:type="dxa"/>
            <w:vMerge/>
            <w:tcBorders>
              <w:top w:val="nil"/>
            </w:tcBorders>
          </w:tcPr>
          <w:p w14:paraId="7E26D738" w14:textId="77777777" w:rsidR="001439E0" w:rsidRDefault="001439E0">
            <w:pPr>
              <w:rPr>
                <w:sz w:val="2"/>
                <w:szCs w:val="2"/>
              </w:rPr>
            </w:pPr>
          </w:p>
        </w:tc>
        <w:tc>
          <w:tcPr>
            <w:tcW w:w="1617" w:type="dxa"/>
          </w:tcPr>
          <w:p w14:paraId="7E26D739" w14:textId="77777777" w:rsidR="001439E0" w:rsidRDefault="008A23E0">
            <w:pPr>
              <w:pStyle w:val="TableParagraph"/>
              <w:spacing w:line="184" w:lineRule="exact"/>
              <w:ind w:left="412"/>
              <w:rPr>
                <w:b/>
                <w:sz w:val="16"/>
              </w:rPr>
            </w:pPr>
            <w:r>
              <w:rPr>
                <w:b/>
                <w:sz w:val="16"/>
              </w:rPr>
              <w:t>PIFELTRO</w:t>
            </w:r>
          </w:p>
          <w:p w14:paraId="7E26D73A" w14:textId="77777777" w:rsidR="001439E0" w:rsidRDefault="008A23E0">
            <w:pPr>
              <w:pStyle w:val="TableParagraph"/>
              <w:spacing w:before="1" w:line="184" w:lineRule="exact"/>
              <w:ind w:left="464"/>
              <w:rPr>
                <w:b/>
                <w:sz w:val="16"/>
              </w:rPr>
            </w:pPr>
            <w:r>
              <w:rPr>
                <w:b/>
                <w:sz w:val="16"/>
              </w:rPr>
              <w:t>+2 NRTIs</w:t>
            </w:r>
          </w:p>
          <w:p w14:paraId="7E26D73B" w14:textId="77777777" w:rsidR="001439E0" w:rsidRDefault="008A23E0">
            <w:pPr>
              <w:pStyle w:val="TableParagraph"/>
              <w:spacing w:line="163" w:lineRule="exact"/>
              <w:ind w:left="394"/>
              <w:rPr>
                <w:b/>
                <w:sz w:val="16"/>
              </w:rPr>
            </w:pPr>
            <w:r>
              <w:rPr>
                <w:b/>
                <w:sz w:val="16"/>
              </w:rPr>
              <w:t>Once Daily</w:t>
            </w:r>
          </w:p>
        </w:tc>
        <w:tc>
          <w:tcPr>
            <w:tcW w:w="1554" w:type="dxa"/>
            <w:tcBorders>
              <w:right w:val="single" w:sz="12" w:space="0" w:color="000000"/>
            </w:tcBorders>
          </w:tcPr>
          <w:p w14:paraId="7E26D73C" w14:textId="77777777" w:rsidR="001439E0" w:rsidRDefault="008A23E0">
            <w:pPr>
              <w:pStyle w:val="TableParagraph"/>
              <w:spacing w:line="184" w:lineRule="exact"/>
              <w:ind w:left="283" w:right="374"/>
              <w:jc w:val="center"/>
              <w:rPr>
                <w:b/>
                <w:sz w:val="16"/>
              </w:rPr>
            </w:pPr>
            <w:proofErr w:type="spellStart"/>
            <w:r>
              <w:rPr>
                <w:b/>
                <w:sz w:val="16"/>
              </w:rPr>
              <w:t>DRV+r</w:t>
            </w:r>
            <w:proofErr w:type="spellEnd"/>
          </w:p>
          <w:p w14:paraId="7E26D73D" w14:textId="77777777" w:rsidR="001439E0" w:rsidRDefault="008A23E0">
            <w:pPr>
              <w:pStyle w:val="TableParagraph"/>
              <w:spacing w:before="1" w:line="184" w:lineRule="exact"/>
              <w:ind w:left="379"/>
              <w:rPr>
                <w:b/>
                <w:sz w:val="16"/>
              </w:rPr>
            </w:pPr>
            <w:r>
              <w:rPr>
                <w:b/>
                <w:sz w:val="16"/>
              </w:rPr>
              <w:t>+2 NRTIs</w:t>
            </w:r>
          </w:p>
          <w:p w14:paraId="7E26D73E" w14:textId="77777777" w:rsidR="001439E0" w:rsidRDefault="008A23E0">
            <w:pPr>
              <w:pStyle w:val="TableParagraph"/>
              <w:spacing w:line="163" w:lineRule="exact"/>
              <w:ind w:left="292" w:right="374"/>
              <w:jc w:val="center"/>
              <w:rPr>
                <w:b/>
                <w:sz w:val="16"/>
              </w:rPr>
            </w:pPr>
            <w:r>
              <w:rPr>
                <w:b/>
                <w:sz w:val="16"/>
              </w:rPr>
              <w:t>Once Daily</w:t>
            </w:r>
          </w:p>
        </w:tc>
        <w:tc>
          <w:tcPr>
            <w:tcW w:w="1637" w:type="dxa"/>
            <w:tcBorders>
              <w:left w:val="single" w:sz="12" w:space="0" w:color="000000"/>
            </w:tcBorders>
          </w:tcPr>
          <w:p w14:paraId="7E26D73F" w14:textId="77777777" w:rsidR="001439E0" w:rsidRDefault="008A23E0">
            <w:pPr>
              <w:pStyle w:val="TableParagraph"/>
              <w:ind w:left="281" w:firstLine="36"/>
              <w:rPr>
                <w:b/>
                <w:sz w:val="16"/>
              </w:rPr>
            </w:pPr>
            <w:r>
              <w:rPr>
                <w:b/>
                <w:sz w:val="16"/>
              </w:rPr>
              <w:t xml:space="preserve">DELSTRIGO- </w:t>
            </w:r>
            <w:r>
              <w:rPr>
                <w:b/>
                <w:color w:val="1A1A1A"/>
                <w:w w:val="95"/>
                <w:sz w:val="16"/>
              </w:rPr>
              <w:t>DOR</w:t>
            </w:r>
            <w:r>
              <w:rPr>
                <w:b/>
                <w:w w:val="95"/>
                <w:sz w:val="16"/>
              </w:rPr>
              <w:t>/3TC/TDF</w:t>
            </w:r>
          </w:p>
          <w:p w14:paraId="7E26D740" w14:textId="77777777" w:rsidR="001439E0" w:rsidRDefault="008A23E0">
            <w:pPr>
              <w:pStyle w:val="TableParagraph"/>
              <w:spacing w:line="163" w:lineRule="exact"/>
              <w:ind w:left="282"/>
              <w:rPr>
                <w:b/>
                <w:sz w:val="16"/>
              </w:rPr>
            </w:pPr>
            <w:r>
              <w:rPr>
                <w:b/>
                <w:sz w:val="16"/>
              </w:rPr>
              <w:t>Once Daily</w:t>
            </w:r>
          </w:p>
        </w:tc>
        <w:tc>
          <w:tcPr>
            <w:tcW w:w="1630" w:type="dxa"/>
          </w:tcPr>
          <w:p w14:paraId="7E26D741" w14:textId="77777777" w:rsidR="001439E0" w:rsidRDefault="001439E0">
            <w:pPr>
              <w:pStyle w:val="TableParagraph"/>
              <w:rPr>
                <w:b/>
                <w:sz w:val="16"/>
              </w:rPr>
            </w:pPr>
          </w:p>
          <w:p w14:paraId="7E26D742" w14:textId="77777777" w:rsidR="001439E0" w:rsidRDefault="008A23E0">
            <w:pPr>
              <w:pStyle w:val="TableParagraph"/>
              <w:spacing w:line="184" w:lineRule="exact"/>
              <w:ind w:left="305"/>
              <w:rPr>
                <w:b/>
                <w:sz w:val="16"/>
              </w:rPr>
            </w:pPr>
            <w:r>
              <w:rPr>
                <w:b/>
                <w:sz w:val="16"/>
              </w:rPr>
              <w:t>EFV/FTC/TDF</w:t>
            </w:r>
          </w:p>
          <w:p w14:paraId="7E26D743" w14:textId="77777777" w:rsidR="001439E0" w:rsidRDefault="008A23E0">
            <w:pPr>
              <w:pStyle w:val="TableParagraph"/>
              <w:spacing w:line="163" w:lineRule="exact"/>
              <w:ind w:left="288"/>
              <w:rPr>
                <w:b/>
                <w:sz w:val="16"/>
              </w:rPr>
            </w:pPr>
            <w:r>
              <w:rPr>
                <w:b/>
                <w:sz w:val="16"/>
              </w:rPr>
              <w:t>Once Daily</w:t>
            </w:r>
          </w:p>
        </w:tc>
      </w:tr>
      <w:tr w:rsidR="001439E0" w14:paraId="7E26D74A" w14:textId="77777777">
        <w:trPr>
          <w:trHeight w:val="181"/>
        </w:trPr>
        <w:tc>
          <w:tcPr>
            <w:tcW w:w="2576" w:type="dxa"/>
          </w:tcPr>
          <w:p w14:paraId="7E26D745" w14:textId="77777777" w:rsidR="001439E0" w:rsidRDefault="001439E0">
            <w:pPr>
              <w:pStyle w:val="TableParagraph"/>
              <w:rPr>
                <w:rFonts w:ascii="Times New Roman"/>
                <w:sz w:val="12"/>
              </w:rPr>
            </w:pPr>
          </w:p>
        </w:tc>
        <w:tc>
          <w:tcPr>
            <w:tcW w:w="1617" w:type="dxa"/>
          </w:tcPr>
          <w:p w14:paraId="7E26D746" w14:textId="77777777" w:rsidR="001439E0" w:rsidRDefault="008A23E0">
            <w:pPr>
              <w:pStyle w:val="TableParagraph"/>
              <w:spacing w:line="161" w:lineRule="exact"/>
              <w:ind w:left="549" w:right="541"/>
              <w:jc w:val="center"/>
              <w:rPr>
                <w:b/>
                <w:sz w:val="16"/>
              </w:rPr>
            </w:pPr>
            <w:r>
              <w:rPr>
                <w:b/>
                <w:sz w:val="16"/>
              </w:rPr>
              <w:t>N=320</w:t>
            </w:r>
          </w:p>
        </w:tc>
        <w:tc>
          <w:tcPr>
            <w:tcW w:w="1554" w:type="dxa"/>
            <w:tcBorders>
              <w:right w:val="single" w:sz="12" w:space="0" w:color="000000"/>
            </w:tcBorders>
          </w:tcPr>
          <w:p w14:paraId="7E26D747" w14:textId="77777777" w:rsidR="001439E0" w:rsidRDefault="008A23E0">
            <w:pPr>
              <w:pStyle w:val="TableParagraph"/>
              <w:spacing w:line="161" w:lineRule="exact"/>
              <w:ind w:left="292" w:right="272"/>
              <w:jc w:val="center"/>
              <w:rPr>
                <w:b/>
                <w:sz w:val="16"/>
              </w:rPr>
            </w:pPr>
            <w:r>
              <w:rPr>
                <w:b/>
                <w:sz w:val="16"/>
              </w:rPr>
              <w:t>N=311</w:t>
            </w:r>
          </w:p>
        </w:tc>
        <w:tc>
          <w:tcPr>
            <w:tcW w:w="1637" w:type="dxa"/>
            <w:tcBorders>
              <w:left w:val="single" w:sz="12" w:space="0" w:color="000000"/>
            </w:tcBorders>
          </w:tcPr>
          <w:p w14:paraId="7E26D748" w14:textId="77777777" w:rsidR="001439E0" w:rsidRDefault="008A23E0">
            <w:pPr>
              <w:pStyle w:val="TableParagraph"/>
              <w:spacing w:line="161" w:lineRule="exact"/>
              <w:ind w:left="551" w:right="550"/>
              <w:jc w:val="center"/>
              <w:rPr>
                <w:b/>
                <w:sz w:val="16"/>
              </w:rPr>
            </w:pPr>
            <w:r>
              <w:rPr>
                <w:b/>
                <w:sz w:val="16"/>
              </w:rPr>
              <w:t>N=320</w:t>
            </w:r>
          </w:p>
        </w:tc>
        <w:tc>
          <w:tcPr>
            <w:tcW w:w="1630" w:type="dxa"/>
          </w:tcPr>
          <w:p w14:paraId="7E26D749" w14:textId="77777777" w:rsidR="001439E0" w:rsidRDefault="008A23E0">
            <w:pPr>
              <w:pStyle w:val="TableParagraph"/>
              <w:spacing w:line="161" w:lineRule="exact"/>
              <w:ind w:left="557" w:right="547"/>
              <w:jc w:val="center"/>
              <w:rPr>
                <w:b/>
                <w:sz w:val="16"/>
              </w:rPr>
            </w:pPr>
            <w:r>
              <w:rPr>
                <w:b/>
                <w:sz w:val="16"/>
              </w:rPr>
              <w:t>N=307</w:t>
            </w:r>
          </w:p>
        </w:tc>
      </w:tr>
      <w:tr w:rsidR="001439E0" w14:paraId="7E26D750" w14:textId="77777777">
        <w:trPr>
          <w:trHeight w:val="184"/>
        </w:trPr>
        <w:tc>
          <w:tcPr>
            <w:tcW w:w="2576" w:type="dxa"/>
          </w:tcPr>
          <w:p w14:paraId="7E26D74B" w14:textId="77777777" w:rsidR="001439E0" w:rsidRDefault="008A23E0">
            <w:pPr>
              <w:pStyle w:val="TableParagraph"/>
              <w:spacing w:line="164" w:lineRule="exact"/>
              <w:ind w:left="107"/>
              <w:rPr>
                <w:sz w:val="16"/>
              </w:rPr>
            </w:pPr>
            <w:r>
              <w:rPr>
                <w:sz w:val="16"/>
              </w:rPr>
              <w:t>LDL-Cholesterol (mg/</w:t>
            </w:r>
            <w:proofErr w:type="spellStart"/>
            <w:r>
              <w:rPr>
                <w:sz w:val="16"/>
              </w:rPr>
              <w:t>dL</w:t>
            </w:r>
            <w:proofErr w:type="spellEnd"/>
            <w:r>
              <w:rPr>
                <w:sz w:val="16"/>
              </w:rPr>
              <w:t>)*</w:t>
            </w:r>
          </w:p>
        </w:tc>
        <w:tc>
          <w:tcPr>
            <w:tcW w:w="1617" w:type="dxa"/>
          </w:tcPr>
          <w:p w14:paraId="7E26D74C" w14:textId="77777777" w:rsidR="001439E0" w:rsidRDefault="008A23E0">
            <w:pPr>
              <w:pStyle w:val="TableParagraph"/>
              <w:spacing w:line="164" w:lineRule="exact"/>
              <w:ind w:left="549" w:right="541"/>
              <w:jc w:val="center"/>
              <w:rPr>
                <w:sz w:val="16"/>
              </w:rPr>
            </w:pPr>
            <w:r>
              <w:rPr>
                <w:sz w:val="16"/>
              </w:rPr>
              <w:t>-4.6</w:t>
            </w:r>
          </w:p>
        </w:tc>
        <w:tc>
          <w:tcPr>
            <w:tcW w:w="1554" w:type="dxa"/>
            <w:tcBorders>
              <w:right w:val="single" w:sz="12" w:space="0" w:color="000000"/>
            </w:tcBorders>
          </w:tcPr>
          <w:p w14:paraId="7E26D74D" w14:textId="77777777" w:rsidR="001439E0" w:rsidRDefault="008A23E0">
            <w:pPr>
              <w:pStyle w:val="TableParagraph"/>
              <w:spacing w:line="164" w:lineRule="exact"/>
              <w:ind w:left="292" w:right="272"/>
              <w:jc w:val="center"/>
              <w:rPr>
                <w:sz w:val="16"/>
              </w:rPr>
            </w:pPr>
            <w:r>
              <w:rPr>
                <w:sz w:val="16"/>
              </w:rPr>
              <w:t>9.5</w:t>
            </w:r>
          </w:p>
        </w:tc>
        <w:tc>
          <w:tcPr>
            <w:tcW w:w="1637" w:type="dxa"/>
            <w:tcBorders>
              <w:left w:val="single" w:sz="12" w:space="0" w:color="000000"/>
            </w:tcBorders>
          </w:tcPr>
          <w:p w14:paraId="7E26D74E" w14:textId="77777777" w:rsidR="001439E0" w:rsidRDefault="008A23E0">
            <w:pPr>
              <w:pStyle w:val="TableParagraph"/>
              <w:spacing w:line="164" w:lineRule="exact"/>
              <w:ind w:left="551" w:right="550"/>
              <w:jc w:val="center"/>
              <w:rPr>
                <w:sz w:val="16"/>
              </w:rPr>
            </w:pPr>
            <w:r>
              <w:rPr>
                <w:sz w:val="16"/>
              </w:rPr>
              <w:t>-2.1</w:t>
            </w:r>
          </w:p>
        </w:tc>
        <w:tc>
          <w:tcPr>
            <w:tcW w:w="1630" w:type="dxa"/>
          </w:tcPr>
          <w:p w14:paraId="7E26D74F" w14:textId="77777777" w:rsidR="001439E0" w:rsidRDefault="008A23E0">
            <w:pPr>
              <w:pStyle w:val="TableParagraph"/>
              <w:spacing w:line="164" w:lineRule="exact"/>
              <w:ind w:left="557" w:right="547"/>
              <w:jc w:val="center"/>
              <w:rPr>
                <w:sz w:val="16"/>
              </w:rPr>
            </w:pPr>
            <w:r>
              <w:rPr>
                <w:sz w:val="16"/>
              </w:rPr>
              <w:t>8.3</w:t>
            </w:r>
          </w:p>
        </w:tc>
      </w:tr>
      <w:tr w:rsidR="001439E0" w14:paraId="7E26D756" w14:textId="77777777">
        <w:trPr>
          <w:trHeight w:val="183"/>
        </w:trPr>
        <w:tc>
          <w:tcPr>
            <w:tcW w:w="2576" w:type="dxa"/>
          </w:tcPr>
          <w:p w14:paraId="7E26D751" w14:textId="77777777" w:rsidR="001439E0" w:rsidRDefault="008A23E0">
            <w:pPr>
              <w:pStyle w:val="TableParagraph"/>
              <w:spacing w:line="163" w:lineRule="exact"/>
              <w:ind w:left="107"/>
              <w:rPr>
                <w:sz w:val="16"/>
              </w:rPr>
            </w:pPr>
            <w:r>
              <w:rPr>
                <w:sz w:val="16"/>
              </w:rPr>
              <w:t>Non-HDL Cholesterol (mg/</w:t>
            </w:r>
            <w:proofErr w:type="spellStart"/>
            <w:r>
              <w:rPr>
                <w:sz w:val="16"/>
              </w:rPr>
              <w:t>dL</w:t>
            </w:r>
            <w:proofErr w:type="spellEnd"/>
            <w:r>
              <w:rPr>
                <w:sz w:val="16"/>
              </w:rPr>
              <w:t>)*</w:t>
            </w:r>
          </w:p>
        </w:tc>
        <w:tc>
          <w:tcPr>
            <w:tcW w:w="1617" w:type="dxa"/>
          </w:tcPr>
          <w:p w14:paraId="7E26D752" w14:textId="77777777" w:rsidR="001439E0" w:rsidRDefault="008A23E0">
            <w:pPr>
              <w:pStyle w:val="TableParagraph"/>
              <w:spacing w:line="163" w:lineRule="exact"/>
              <w:ind w:left="549" w:right="540"/>
              <w:jc w:val="center"/>
              <w:rPr>
                <w:sz w:val="16"/>
              </w:rPr>
            </w:pPr>
            <w:r>
              <w:rPr>
                <w:sz w:val="16"/>
              </w:rPr>
              <w:t>-5.4</w:t>
            </w:r>
          </w:p>
        </w:tc>
        <w:tc>
          <w:tcPr>
            <w:tcW w:w="1554" w:type="dxa"/>
            <w:tcBorders>
              <w:right w:val="single" w:sz="12" w:space="0" w:color="000000"/>
            </w:tcBorders>
          </w:tcPr>
          <w:p w14:paraId="7E26D753" w14:textId="77777777" w:rsidR="001439E0" w:rsidRDefault="008A23E0">
            <w:pPr>
              <w:pStyle w:val="TableParagraph"/>
              <w:spacing w:line="163" w:lineRule="exact"/>
              <w:ind w:left="292" w:right="272"/>
              <w:jc w:val="center"/>
              <w:rPr>
                <w:sz w:val="16"/>
              </w:rPr>
            </w:pPr>
            <w:r>
              <w:rPr>
                <w:sz w:val="16"/>
              </w:rPr>
              <w:t>13.7</w:t>
            </w:r>
          </w:p>
        </w:tc>
        <w:tc>
          <w:tcPr>
            <w:tcW w:w="1637" w:type="dxa"/>
            <w:tcBorders>
              <w:left w:val="single" w:sz="12" w:space="0" w:color="000000"/>
            </w:tcBorders>
          </w:tcPr>
          <w:p w14:paraId="7E26D754" w14:textId="77777777" w:rsidR="001439E0" w:rsidRDefault="008A23E0">
            <w:pPr>
              <w:pStyle w:val="TableParagraph"/>
              <w:spacing w:line="163" w:lineRule="exact"/>
              <w:ind w:left="551" w:right="550"/>
              <w:jc w:val="center"/>
              <w:rPr>
                <w:sz w:val="16"/>
              </w:rPr>
            </w:pPr>
            <w:r>
              <w:rPr>
                <w:sz w:val="16"/>
              </w:rPr>
              <w:t>-4.1</w:t>
            </w:r>
          </w:p>
        </w:tc>
        <w:tc>
          <w:tcPr>
            <w:tcW w:w="1630" w:type="dxa"/>
          </w:tcPr>
          <w:p w14:paraId="7E26D755" w14:textId="77777777" w:rsidR="001439E0" w:rsidRDefault="008A23E0">
            <w:pPr>
              <w:pStyle w:val="TableParagraph"/>
              <w:spacing w:line="163" w:lineRule="exact"/>
              <w:ind w:left="557" w:right="546"/>
              <w:jc w:val="center"/>
              <w:rPr>
                <w:sz w:val="16"/>
              </w:rPr>
            </w:pPr>
            <w:r>
              <w:rPr>
                <w:sz w:val="16"/>
              </w:rPr>
              <w:t>12.7</w:t>
            </w:r>
          </w:p>
        </w:tc>
      </w:tr>
      <w:tr w:rsidR="001439E0" w14:paraId="7E26D75C" w14:textId="77777777">
        <w:trPr>
          <w:trHeight w:val="184"/>
        </w:trPr>
        <w:tc>
          <w:tcPr>
            <w:tcW w:w="2576" w:type="dxa"/>
          </w:tcPr>
          <w:p w14:paraId="7E26D757" w14:textId="77777777" w:rsidR="001439E0" w:rsidRDefault="008A23E0">
            <w:pPr>
              <w:pStyle w:val="TableParagraph"/>
              <w:spacing w:before="1" w:line="163" w:lineRule="exact"/>
              <w:ind w:left="107"/>
              <w:rPr>
                <w:sz w:val="16"/>
              </w:rPr>
            </w:pPr>
            <w:r>
              <w:rPr>
                <w:sz w:val="16"/>
              </w:rPr>
              <w:t>Total Cholesterol (mg/</w:t>
            </w:r>
            <w:proofErr w:type="spellStart"/>
            <w:r>
              <w:rPr>
                <w:sz w:val="16"/>
              </w:rPr>
              <w:t>dL</w:t>
            </w:r>
            <w:proofErr w:type="spellEnd"/>
            <w:r>
              <w:rPr>
                <w:sz w:val="16"/>
              </w:rPr>
              <w:t>)</w:t>
            </w:r>
          </w:p>
        </w:tc>
        <w:tc>
          <w:tcPr>
            <w:tcW w:w="1617" w:type="dxa"/>
          </w:tcPr>
          <w:p w14:paraId="7E26D758" w14:textId="77777777" w:rsidR="001439E0" w:rsidRDefault="008A23E0">
            <w:pPr>
              <w:pStyle w:val="TableParagraph"/>
              <w:spacing w:before="1" w:line="163" w:lineRule="exact"/>
              <w:ind w:left="549" w:right="541"/>
              <w:jc w:val="center"/>
              <w:rPr>
                <w:sz w:val="16"/>
              </w:rPr>
            </w:pPr>
            <w:r>
              <w:rPr>
                <w:sz w:val="16"/>
              </w:rPr>
              <w:t>-1.4</w:t>
            </w:r>
          </w:p>
        </w:tc>
        <w:tc>
          <w:tcPr>
            <w:tcW w:w="1554" w:type="dxa"/>
            <w:tcBorders>
              <w:right w:val="single" w:sz="12" w:space="0" w:color="000000"/>
            </w:tcBorders>
          </w:tcPr>
          <w:p w14:paraId="7E26D759" w14:textId="77777777" w:rsidR="001439E0" w:rsidRDefault="008A23E0">
            <w:pPr>
              <w:pStyle w:val="TableParagraph"/>
              <w:spacing w:before="1" w:line="163" w:lineRule="exact"/>
              <w:ind w:left="292" w:right="272"/>
              <w:jc w:val="center"/>
              <w:rPr>
                <w:sz w:val="16"/>
              </w:rPr>
            </w:pPr>
            <w:r>
              <w:rPr>
                <w:sz w:val="16"/>
              </w:rPr>
              <w:t>18.0</w:t>
            </w:r>
          </w:p>
        </w:tc>
        <w:tc>
          <w:tcPr>
            <w:tcW w:w="1637" w:type="dxa"/>
            <w:tcBorders>
              <w:left w:val="single" w:sz="12" w:space="0" w:color="000000"/>
            </w:tcBorders>
          </w:tcPr>
          <w:p w14:paraId="7E26D75A" w14:textId="77777777" w:rsidR="001439E0" w:rsidRDefault="008A23E0">
            <w:pPr>
              <w:pStyle w:val="TableParagraph"/>
              <w:spacing w:before="1" w:line="163" w:lineRule="exact"/>
              <w:ind w:left="551" w:right="550"/>
              <w:jc w:val="center"/>
              <w:rPr>
                <w:sz w:val="16"/>
              </w:rPr>
            </w:pPr>
            <w:r>
              <w:rPr>
                <w:sz w:val="16"/>
              </w:rPr>
              <w:t>-2.2</w:t>
            </w:r>
          </w:p>
        </w:tc>
        <w:tc>
          <w:tcPr>
            <w:tcW w:w="1630" w:type="dxa"/>
          </w:tcPr>
          <w:p w14:paraId="7E26D75B" w14:textId="77777777" w:rsidR="001439E0" w:rsidRDefault="008A23E0">
            <w:pPr>
              <w:pStyle w:val="TableParagraph"/>
              <w:spacing w:before="1" w:line="163" w:lineRule="exact"/>
              <w:ind w:left="557" w:right="546"/>
              <w:jc w:val="center"/>
              <w:rPr>
                <w:sz w:val="16"/>
              </w:rPr>
            </w:pPr>
            <w:r>
              <w:rPr>
                <w:sz w:val="16"/>
              </w:rPr>
              <w:t>21.1</w:t>
            </w:r>
          </w:p>
        </w:tc>
      </w:tr>
      <w:tr w:rsidR="001439E0" w14:paraId="7E26D762" w14:textId="77777777">
        <w:trPr>
          <w:trHeight w:val="184"/>
        </w:trPr>
        <w:tc>
          <w:tcPr>
            <w:tcW w:w="2576" w:type="dxa"/>
          </w:tcPr>
          <w:p w14:paraId="7E26D75D" w14:textId="77777777" w:rsidR="001439E0" w:rsidRDefault="008A23E0">
            <w:pPr>
              <w:pStyle w:val="TableParagraph"/>
              <w:spacing w:line="164" w:lineRule="exact"/>
              <w:ind w:left="107"/>
              <w:rPr>
                <w:sz w:val="16"/>
              </w:rPr>
            </w:pPr>
            <w:r>
              <w:rPr>
                <w:sz w:val="16"/>
              </w:rPr>
              <w:t>Triglycerides (mg/</w:t>
            </w:r>
            <w:proofErr w:type="spellStart"/>
            <w:r>
              <w:rPr>
                <w:sz w:val="16"/>
              </w:rPr>
              <w:t>dL</w:t>
            </w:r>
            <w:proofErr w:type="spellEnd"/>
            <w:r>
              <w:rPr>
                <w:sz w:val="16"/>
              </w:rPr>
              <w:t>)</w:t>
            </w:r>
          </w:p>
        </w:tc>
        <w:tc>
          <w:tcPr>
            <w:tcW w:w="1617" w:type="dxa"/>
          </w:tcPr>
          <w:p w14:paraId="7E26D75E" w14:textId="77777777" w:rsidR="001439E0" w:rsidRDefault="008A23E0">
            <w:pPr>
              <w:pStyle w:val="TableParagraph"/>
              <w:spacing w:line="164" w:lineRule="exact"/>
              <w:ind w:left="549" w:right="541"/>
              <w:jc w:val="center"/>
              <w:rPr>
                <w:sz w:val="16"/>
              </w:rPr>
            </w:pPr>
            <w:r>
              <w:rPr>
                <w:sz w:val="16"/>
              </w:rPr>
              <w:t>-3.1</w:t>
            </w:r>
          </w:p>
        </w:tc>
        <w:tc>
          <w:tcPr>
            <w:tcW w:w="1554" w:type="dxa"/>
            <w:tcBorders>
              <w:right w:val="single" w:sz="12" w:space="0" w:color="000000"/>
            </w:tcBorders>
          </w:tcPr>
          <w:p w14:paraId="7E26D75F" w14:textId="77777777" w:rsidR="001439E0" w:rsidRDefault="008A23E0">
            <w:pPr>
              <w:pStyle w:val="TableParagraph"/>
              <w:spacing w:line="164" w:lineRule="exact"/>
              <w:ind w:left="292" w:right="272"/>
              <w:jc w:val="center"/>
              <w:rPr>
                <w:sz w:val="16"/>
              </w:rPr>
            </w:pPr>
            <w:r>
              <w:rPr>
                <w:sz w:val="16"/>
              </w:rPr>
              <w:t>24.5</w:t>
            </w:r>
          </w:p>
        </w:tc>
        <w:tc>
          <w:tcPr>
            <w:tcW w:w="1637" w:type="dxa"/>
            <w:tcBorders>
              <w:left w:val="single" w:sz="12" w:space="0" w:color="000000"/>
            </w:tcBorders>
          </w:tcPr>
          <w:p w14:paraId="7E26D760" w14:textId="77777777" w:rsidR="001439E0" w:rsidRDefault="008A23E0">
            <w:pPr>
              <w:pStyle w:val="TableParagraph"/>
              <w:spacing w:line="164" w:lineRule="exact"/>
              <w:ind w:left="551" w:right="550"/>
              <w:jc w:val="center"/>
              <w:rPr>
                <w:sz w:val="16"/>
              </w:rPr>
            </w:pPr>
            <w:r>
              <w:rPr>
                <w:sz w:val="16"/>
              </w:rPr>
              <w:t>-12.0</w:t>
            </w:r>
          </w:p>
        </w:tc>
        <w:tc>
          <w:tcPr>
            <w:tcW w:w="1630" w:type="dxa"/>
          </w:tcPr>
          <w:p w14:paraId="7E26D761" w14:textId="77777777" w:rsidR="001439E0" w:rsidRDefault="008A23E0">
            <w:pPr>
              <w:pStyle w:val="TableParagraph"/>
              <w:spacing w:line="164" w:lineRule="exact"/>
              <w:ind w:left="557" w:right="546"/>
              <w:jc w:val="center"/>
              <w:rPr>
                <w:sz w:val="16"/>
              </w:rPr>
            </w:pPr>
            <w:r>
              <w:rPr>
                <w:sz w:val="16"/>
              </w:rPr>
              <w:t>21.6</w:t>
            </w:r>
          </w:p>
        </w:tc>
      </w:tr>
      <w:tr w:rsidR="001439E0" w14:paraId="7E26D768" w14:textId="77777777">
        <w:trPr>
          <w:trHeight w:val="183"/>
        </w:trPr>
        <w:tc>
          <w:tcPr>
            <w:tcW w:w="2576" w:type="dxa"/>
          </w:tcPr>
          <w:p w14:paraId="7E26D763" w14:textId="77777777" w:rsidR="001439E0" w:rsidRDefault="008A23E0">
            <w:pPr>
              <w:pStyle w:val="TableParagraph"/>
              <w:spacing w:line="163" w:lineRule="exact"/>
              <w:ind w:left="107"/>
              <w:rPr>
                <w:sz w:val="16"/>
              </w:rPr>
            </w:pPr>
            <w:r>
              <w:rPr>
                <w:sz w:val="16"/>
              </w:rPr>
              <w:t>HDL-Cholesterol (mg/</w:t>
            </w:r>
            <w:proofErr w:type="spellStart"/>
            <w:r>
              <w:rPr>
                <w:sz w:val="16"/>
              </w:rPr>
              <w:t>dL</w:t>
            </w:r>
            <w:proofErr w:type="spellEnd"/>
            <w:r>
              <w:rPr>
                <w:sz w:val="16"/>
              </w:rPr>
              <w:t>)</w:t>
            </w:r>
          </w:p>
        </w:tc>
        <w:tc>
          <w:tcPr>
            <w:tcW w:w="1617" w:type="dxa"/>
          </w:tcPr>
          <w:p w14:paraId="7E26D764" w14:textId="77777777" w:rsidR="001439E0" w:rsidRDefault="008A23E0">
            <w:pPr>
              <w:pStyle w:val="TableParagraph"/>
              <w:spacing w:line="163" w:lineRule="exact"/>
              <w:ind w:left="549" w:right="541"/>
              <w:jc w:val="center"/>
              <w:rPr>
                <w:sz w:val="16"/>
              </w:rPr>
            </w:pPr>
            <w:r>
              <w:rPr>
                <w:sz w:val="16"/>
              </w:rPr>
              <w:t>4.0</w:t>
            </w:r>
          </w:p>
        </w:tc>
        <w:tc>
          <w:tcPr>
            <w:tcW w:w="1554" w:type="dxa"/>
            <w:tcBorders>
              <w:right w:val="single" w:sz="12" w:space="0" w:color="000000"/>
            </w:tcBorders>
          </w:tcPr>
          <w:p w14:paraId="7E26D765" w14:textId="77777777" w:rsidR="001439E0" w:rsidRDefault="008A23E0">
            <w:pPr>
              <w:pStyle w:val="TableParagraph"/>
              <w:spacing w:line="163" w:lineRule="exact"/>
              <w:ind w:left="292" w:right="273"/>
              <w:jc w:val="center"/>
              <w:rPr>
                <w:sz w:val="16"/>
              </w:rPr>
            </w:pPr>
            <w:r>
              <w:rPr>
                <w:sz w:val="16"/>
              </w:rPr>
              <w:t>4.3</w:t>
            </w:r>
          </w:p>
        </w:tc>
        <w:tc>
          <w:tcPr>
            <w:tcW w:w="1637" w:type="dxa"/>
            <w:tcBorders>
              <w:left w:val="single" w:sz="12" w:space="0" w:color="000000"/>
            </w:tcBorders>
          </w:tcPr>
          <w:p w14:paraId="7E26D766" w14:textId="77777777" w:rsidR="001439E0" w:rsidRDefault="008A23E0">
            <w:pPr>
              <w:pStyle w:val="TableParagraph"/>
              <w:spacing w:line="163" w:lineRule="exact"/>
              <w:ind w:left="551" w:right="550"/>
              <w:jc w:val="center"/>
              <w:rPr>
                <w:sz w:val="16"/>
              </w:rPr>
            </w:pPr>
            <w:r>
              <w:rPr>
                <w:sz w:val="16"/>
              </w:rPr>
              <w:t>1.8</w:t>
            </w:r>
          </w:p>
        </w:tc>
        <w:tc>
          <w:tcPr>
            <w:tcW w:w="1630" w:type="dxa"/>
          </w:tcPr>
          <w:p w14:paraId="7E26D767" w14:textId="77777777" w:rsidR="001439E0" w:rsidRDefault="008A23E0">
            <w:pPr>
              <w:pStyle w:val="TableParagraph"/>
              <w:spacing w:line="163" w:lineRule="exact"/>
              <w:ind w:left="557" w:right="547"/>
              <w:jc w:val="center"/>
              <w:rPr>
                <w:sz w:val="16"/>
              </w:rPr>
            </w:pPr>
            <w:r>
              <w:rPr>
                <w:sz w:val="16"/>
              </w:rPr>
              <w:t>8.4</w:t>
            </w:r>
          </w:p>
        </w:tc>
      </w:tr>
      <w:tr w:rsidR="001439E0" w14:paraId="7E26D76C" w14:textId="77777777">
        <w:trPr>
          <w:trHeight w:val="1288"/>
        </w:trPr>
        <w:tc>
          <w:tcPr>
            <w:tcW w:w="9014" w:type="dxa"/>
            <w:gridSpan w:val="5"/>
          </w:tcPr>
          <w:p w14:paraId="7E26D769" w14:textId="77777777" w:rsidR="001439E0" w:rsidRDefault="008A23E0">
            <w:pPr>
              <w:pStyle w:val="TableParagraph"/>
              <w:spacing w:before="1"/>
              <w:ind w:left="107" w:right="109"/>
              <w:rPr>
                <w:sz w:val="16"/>
              </w:rPr>
            </w:pPr>
            <w:r>
              <w:rPr>
                <w:sz w:val="16"/>
              </w:rPr>
              <w:t xml:space="preserve">Subjects on lipid-lowering agents at baseline were excluded from these analyses (in DRIVE-FORWARD: PIFELTRO n=12 and </w:t>
            </w:r>
            <w:proofErr w:type="spellStart"/>
            <w:r>
              <w:rPr>
                <w:sz w:val="16"/>
              </w:rPr>
              <w:t>DRV+r</w:t>
            </w:r>
            <w:proofErr w:type="spellEnd"/>
            <w:r>
              <w:rPr>
                <w:sz w:val="16"/>
              </w:rPr>
              <w:t xml:space="preserve"> n=14; in DRIVE-AHEAD: DELSTRIGO-</w:t>
            </w:r>
            <w:r>
              <w:rPr>
                <w:color w:val="1A1A1A"/>
                <w:sz w:val="16"/>
              </w:rPr>
              <w:t>DOR</w:t>
            </w:r>
            <w:r>
              <w:rPr>
                <w:sz w:val="16"/>
              </w:rPr>
              <w:t xml:space="preserve">/3TC/TDF n=15 and EFV/FTC/TDF n=10). Subjects initiating a lipid- lowering agent post-baseline had their last fasted on-treatment value (prior to starting the agent) carried forward (in DRIVE- FORWARD: PIFELTRO n=6 and </w:t>
            </w:r>
            <w:proofErr w:type="spellStart"/>
            <w:r>
              <w:rPr>
                <w:sz w:val="16"/>
              </w:rPr>
              <w:t>DRV+r</w:t>
            </w:r>
            <w:proofErr w:type="spellEnd"/>
            <w:r>
              <w:rPr>
                <w:sz w:val="16"/>
              </w:rPr>
              <w:t xml:space="preserve"> n=4; in DRIVE-AHEAD: DELSTRIGO-DOR/3TC/TDF =3 and EFV/FTC/TDF n=8).</w:t>
            </w:r>
          </w:p>
          <w:p w14:paraId="7E26D76A" w14:textId="77777777" w:rsidR="001439E0" w:rsidRDefault="008A23E0">
            <w:pPr>
              <w:pStyle w:val="TableParagraph"/>
              <w:ind w:left="107" w:right="460" w:hanging="1"/>
              <w:rPr>
                <w:sz w:val="16"/>
              </w:rPr>
            </w:pPr>
            <w:r>
              <w:rPr>
                <w:sz w:val="16"/>
              </w:rPr>
              <w:t>*P-values for the pre-specified hypothesis testing for treatment difference were &lt;0.0001 in both DRIVE-FORWARD and DRIVE-AHEAD.</w:t>
            </w:r>
          </w:p>
          <w:p w14:paraId="7E26D76B" w14:textId="77777777" w:rsidR="001439E0" w:rsidRDefault="008A23E0">
            <w:pPr>
              <w:pStyle w:val="TableParagraph"/>
              <w:spacing w:line="164" w:lineRule="exact"/>
              <w:ind w:left="107"/>
              <w:rPr>
                <w:sz w:val="16"/>
              </w:rPr>
            </w:pPr>
            <w:r>
              <w:rPr>
                <w:sz w:val="16"/>
              </w:rPr>
              <w:t xml:space="preserve">Note: NRTIs = FTC/TDF </w:t>
            </w:r>
            <w:r>
              <w:rPr>
                <w:color w:val="1A1A1A"/>
                <w:sz w:val="16"/>
              </w:rPr>
              <w:t>or ABC/3TC</w:t>
            </w:r>
            <w:r>
              <w:rPr>
                <w:sz w:val="16"/>
              </w:rPr>
              <w:t>.</w:t>
            </w:r>
          </w:p>
        </w:tc>
      </w:tr>
    </w:tbl>
    <w:p w14:paraId="7E26D76D" w14:textId="77777777" w:rsidR="001439E0" w:rsidRDefault="001439E0">
      <w:pPr>
        <w:pStyle w:val="BodyText"/>
        <w:spacing w:before="0"/>
        <w:ind w:left="0"/>
        <w:jc w:val="left"/>
        <w:rPr>
          <w:b/>
          <w:sz w:val="24"/>
        </w:rPr>
      </w:pPr>
    </w:p>
    <w:p w14:paraId="7E26D76E" w14:textId="77777777" w:rsidR="001439E0" w:rsidRDefault="008A23E0">
      <w:pPr>
        <w:pStyle w:val="BodyText"/>
        <w:spacing w:before="177"/>
        <w:jc w:val="left"/>
      </w:pPr>
      <w:r>
        <w:rPr>
          <w:u w:val="single"/>
        </w:rPr>
        <w:t>Neuropsychiatric Adverse Events</w:t>
      </w:r>
    </w:p>
    <w:p w14:paraId="7E26D76F" w14:textId="77777777" w:rsidR="001439E0" w:rsidRDefault="008A23E0">
      <w:pPr>
        <w:pStyle w:val="BodyText"/>
        <w:spacing w:before="200"/>
        <w:jc w:val="left"/>
      </w:pPr>
      <w:r>
        <w:t>For DRIVE-AHEAD, the analysis of subjects with neuropsychiatric adverse events by Week</w:t>
      </w:r>
    </w:p>
    <w:p w14:paraId="7E26D770" w14:textId="77777777" w:rsidR="001439E0" w:rsidRDefault="008A23E0">
      <w:pPr>
        <w:pStyle w:val="BodyText"/>
        <w:spacing w:before="0"/>
        <w:ind w:right="1273"/>
      </w:pPr>
      <w:r>
        <w:t>48 is presented in Table 5. A statistically significantly lower proportion of DELSTRIGO- DOR/3TC/TDF-treated subjects compared to EFV/FTC/TDF-treated subjects reported neuropsychiatric</w:t>
      </w:r>
      <w:r>
        <w:rPr>
          <w:spacing w:val="-18"/>
        </w:rPr>
        <w:t xml:space="preserve"> </w:t>
      </w:r>
      <w:r>
        <w:t>adverse</w:t>
      </w:r>
      <w:r>
        <w:rPr>
          <w:spacing w:val="-17"/>
        </w:rPr>
        <w:t xml:space="preserve"> </w:t>
      </w:r>
      <w:r>
        <w:t>events</w:t>
      </w:r>
      <w:r>
        <w:rPr>
          <w:spacing w:val="-17"/>
        </w:rPr>
        <w:t xml:space="preserve"> </w:t>
      </w:r>
      <w:r>
        <w:t>by</w:t>
      </w:r>
      <w:r>
        <w:rPr>
          <w:spacing w:val="-17"/>
        </w:rPr>
        <w:t xml:space="preserve"> </w:t>
      </w:r>
      <w:r>
        <w:t>Week</w:t>
      </w:r>
      <w:r>
        <w:rPr>
          <w:spacing w:val="-17"/>
        </w:rPr>
        <w:t xml:space="preserve"> </w:t>
      </w:r>
      <w:r>
        <w:t>48</w:t>
      </w:r>
      <w:r>
        <w:rPr>
          <w:spacing w:val="-17"/>
        </w:rPr>
        <w:t xml:space="preserve"> </w:t>
      </w:r>
      <w:r>
        <w:t>in</w:t>
      </w:r>
      <w:r>
        <w:rPr>
          <w:spacing w:val="-17"/>
        </w:rPr>
        <w:t xml:space="preserve"> </w:t>
      </w:r>
      <w:r>
        <w:t>the</w:t>
      </w:r>
      <w:r>
        <w:rPr>
          <w:spacing w:val="-18"/>
        </w:rPr>
        <w:t xml:space="preserve"> </w:t>
      </w:r>
      <w:r>
        <w:t>three</w:t>
      </w:r>
      <w:r>
        <w:rPr>
          <w:spacing w:val="-17"/>
        </w:rPr>
        <w:t xml:space="preserve"> </w:t>
      </w:r>
      <w:r>
        <w:t>pre-specified</w:t>
      </w:r>
      <w:r>
        <w:rPr>
          <w:spacing w:val="-17"/>
        </w:rPr>
        <w:t xml:space="preserve"> </w:t>
      </w:r>
      <w:r>
        <w:t>categories</w:t>
      </w:r>
      <w:r>
        <w:rPr>
          <w:spacing w:val="-18"/>
        </w:rPr>
        <w:t xml:space="preserve"> </w:t>
      </w:r>
      <w:r>
        <w:t>of</w:t>
      </w:r>
      <w:r>
        <w:rPr>
          <w:spacing w:val="-17"/>
        </w:rPr>
        <w:t xml:space="preserve"> </w:t>
      </w:r>
      <w:r>
        <w:t>dizziness, sleep disorders and disturbances, and altered</w:t>
      </w:r>
      <w:r>
        <w:rPr>
          <w:spacing w:val="-2"/>
        </w:rPr>
        <w:t xml:space="preserve"> </w:t>
      </w:r>
      <w:r>
        <w:t>sensorium.</w:t>
      </w:r>
    </w:p>
    <w:p w14:paraId="7E26D771" w14:textId="77777777" w:rsidR="001439E0" w:rsidRDefault="008A23E0">
      <w:pPr>
        <w:pStyle w:val="Heading3"/>
        <w:ind w:left="4419" w:right="1358" w:hanging="3906"/>
      </w:pPr>
      <w:r>
        <w:t>Table 5: DRIVE-AHEAD - Analysis of Subjects with Neuropsychiatric Adverse Events (Week 48)</w:t>
      </w:r>
    </w:p>
    <w:p w14:paraId="7E26D772" w14:textId="77777777" w:rsidR="001439E0" w:rsidRDefault="001439E0">
      <w:pPr>
        <w:pStyle w:val="BodyText"/>
        <w:spacing w:before="4"/>
        <w:ind w:left="0"/>
        <w:jc w:val="left"/>
        <w:rPr>
          <w:b/>
          <w:sz w:val="17"/>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1626"/>
        <w:gridCol w:w="1621"/>
        <w:gridCol w:w="1751"/>
        <w:gridCol w:w="1417"/>
      </w:tblGrid>
      <w:tr w:rsidR="001439E0" w14:paraId="7E26D780" w14:textId="77777777">
        <w:trPr>
          <w:trHeight w:val="1179"/>
        </w:trPr>
        <w:tc>
          <w:tcPr>
            <w:tcW w:w="2494" w:type="dxa"/>
          </w:tcPr>
          <w:p w14:paraId="7E26D773" w14:textId="77777777" w:rsidR="001439E0" w:rsidRDefault="001439E0">
            <w:pPr>
              <w:pStyle w:val="TableParagraph"/>
              <w:rPr>
                <w:rFonts w:ascii="Times New Roman"/>
                <w:sz w:val="18"/>
              </w:rPr>
            </w:pPr>
          </w:p>
        </w:tc>
        <w:tc>
          <w:tcPr>
            <w:tcW w:w="1626" w:type="dxa"/>
          </w:tcPr>
          <w:p w14:paraId="7E26D774" w14:textId="77777777" w:rsidR="001439E0" w:rsidRDefault="001439E0">
            <w:pPr>
              <w:pStyle w:val="TableParagraph"/>
              <w:rPr>
                <w:b/>
                <w:sz w:val="18"/>
              </w:rPr>
            </w:pPr>
          </w:p>
          <w:p w14:paraId="7E26D775" w14:textId="77777777" w:rsidR="001439E0" w:rsidRDefault="008A23E0">
            <w:pPr>
              <w:pStyle w:val="TableParagraph"/>
              <w:spacing w:before="161"/>
              <w:ind w:left="283" w:firstLine="34"/>
              <w:rPr>
                <w:b/>
                <w:sz w:val="16"/>
              </w:rPr>
            </w:pPr>
            <w:r>
              <w:rPr>
                <w:b/>
                <w:sz w:val="16"/>
              </w:rPr>
              <w:t xml:space="preserve">DELSTRIGO- </w:t>
            </w:r>
            <w:r>
              <w:rPr>
                <w:b/>
                <w:w w:val="95"/>
                <w:sz w:val="16"/>
              </w:rPr>
              <w:t>DOR/3TC/TDF</w:t>
            </w:r>
          </w:p>
          <w:p w14:paraId="7E26D776" w14:textId="77777777" w:rsidR="001439E0" w:rsidRDefault="008A23E0">
            <w:pPr>
              <w:pStyle w:val="TableParagraph"/>
              <w:ind w:left="399"/>
              <w:rPr>
                <w:b/>
                <w:sz w:val="16"/>
              </w:rPr>
            </w:pPr>
            <w:r>
              <w:rPr>
                <w:b/>
                <w:sz w:val="16"/>
              </w:rPr>
              <w:t>Once Daily</w:t>
            </w:r>
          </w:p>
        </w:tc>
        <w:tc>
          <w:tcPr>
            <w:tcW w:w="1621" w:type="dxa"/>
          </w:tcPr>
          <w:p w14:paraId="7E26D777" w14:textId="77777777" w:rsidR="001439E0" w:rsidRDefault="001439E0">
            <w:pPr>
              <w:pStyle w:val="TableParagraph"/>
              <w:rPr>
                <w:b/>
                <w:sz w:val="18"/>
              </w:rPr>
            </w:pPr>
          </w:p>
          <w:p w14:paraId="7E26D778" w14:textId="77777777" w:rsidR="001439E0" w:rsidRDefault="001439E0">
            <w:pPr>
              <w:pStyle w:val="TableParagraph"/>
              <w:spacing w:before="11"/>
              <w:rPr>
                <w:b/>
                <w:sz w:val="17"/>
              </w:rPr>
            </w:pPr>
          </w:p>
          <w:p w14:paraId="7E26D779" w14:textId="77777777" w:rsidR="001439E0" w:rsidRDefault="008A23E0">
            <w:pPr>
              <w:pStyle w:val="TableParagraph"/>
              <w:ind w:left="298"/>
              <w:rPr>
                <w:b/>
                <w:sz w:val="16"/>
              </w:rPr>
            </w:pPr>
            <w:r>
              <w:rPr>
                <w:b/>
                <w:sz w:val="16"/>
              </w:rPr>
              <w:t>EFV/FTC/TDF</w:t>
            </w:r>
          </w:p>
          <w:p w14:paraId="7E26D77A" w14:textId="77777777" w:rsidR="001439E0" w:rsidRDefault="008A23E0">
            <w:pPr>
              <w:pStyle w:val="TableParagraph"/>
              <w:spacing w:before="14"/>
              <w:ind w:left="396"/>
              <w:rPr>
                <w:b/>
                <w:sz w:val="16"/>
              </w:rPr>
            </w:pPr>
            <w:r>
              <w:rPr>
                <w:b/>
                <w:sz w:val="16"/>
              </w:rPr>
              <w:t>Once Daily</w:t>
            </w:r>
          </w:p>
        </w:tc>
        <w:tc>
          <w:tcPr>
            <w:tcW w:w="1751" w:type="dxa"/>
          </w:tcPr>
          <w:p w14:paraId="7E26D77B" w14:textId="77777777" w:rsidR="001439E0" w:rsidRDefault="008A23E0">
            <w:pPr>
              <w:pStyle w:val="TableParagraph"/>
              <w:spacing w:before="15" w:line="247" w:lineRule="auto"/>
              <w:ind w:left="345" w:right="337"/>
              <w:jc w:val="center"/>
              <w:rPr>
                <w:b/>
                <w:sz w:val="16"/>
              </w:rPr>
            </w:pPr>
            <w:r>
              <w:rPr>
                <w:b/>
                <w:sz w:val="16"/>
              </w:rPr>
              <w:t>Treatment Difference (DELSTRIGO- DOR/3TC/TDF</w:t>
            </w:r>
          </w:p>
          <w:p w14:paraId="7E26D77C" w14:textId="77777777" w:rsidR="001439E0" w:rsidRDefault="008A23E0">
            <w:pPr>
              <w:pStyle w:val="TableParagraph"/>
              <w:spacing w:before="8"/>
              <w:ind w:left="150" w:right="145"/>
              <w:jc w:val="center"/>
              <w:rPr>
                <w:b/>
                <w:sz w:val="16"/>
              </w:rPr>
            </w:pPr>
            <w:r>
              <w:rPr>
                <w:b/>
                <w:sz w:val="16"/>
              </w:rPr>
              <w:t>- EFV/FTC/TDF)</w:t>
            </w:r>
          </w:p>
          <w:p w14:paraId="7E26D77D" w14:textId="77777777" w:rsidR="001439E0" w:rsidRDefault="008A23E0">
            <w:pPr>
              <w:pStyle w:val="TableParagraph"/>
              <w:spacing w:before="15" w:line="179" w:lineRule="exact"/>
              <w:ind w:left="150" w:right="145"/>
              <w:jc w:val="center"/>
              <w:rPr>
                <w:sz w:val="16"/>
              </w:rPr>
            </w:pPr>
            <w:r>
              <w:rPr>
                <w:b/>
                <w:sz w:val="16"/>
              </w:rPr>
              <w:t>Estimate (95% CI)</w:t>
            </w:r>
            <w:r>
              <w:rPr>
                <w:sz w:val="16"/>
              </w:rPr>
              <w:t>*</w:t>
            </w:r>
          </w:p>
        </w:tc>
        <w:tc>
          <w:tcPr>
            <w:tcW w:w="1417" w:type="dxa"/>
          </w:tcPr>
          <w:p w14:paraId="7E26D77E" w14:textId="77777777" w:rsidR="001439E0" w:rsidRDefault="001439E0">
            <w:pPr>
              <w:pStyle w:val="TableParagraph"/>
              <w:rPr>
                <w:b/>
                <w:sz w:val="18"/>
              </w:rPr>
            </w:pPr>
          </w:p>
          <w:p w14:paraId="7E26D77F" w14:textId="77777777" w:rsidR="001439E0" w:rsidRDefault="008A23E0">
            <w:pPr>
              <w:pStyle w:val="TableParagraph"/>
              <w:spacing w:before="161"/>
              <w:ind w:left="423" w:right="409" w:hanging="5"/>
              <w:rPr>
                <w:b/>
                <w:sz w:val="16"/>
              </w:rPr>
            </w:pPr>
            <w:r>
              <w:rPr>
                <w:b/>
                <w:w w:val="95"/>
                <w:sz w:val="16"/>
              </w:rPr>
              <w:t xml:space="preserve">2-Sided </w:t>
            </w:r>
            <w:r>
              <w:rPr>
                <w:b/>
                <w:sz w:val="16"/>
              </w:rPr>
              <w:t>P-value</w:t>
            </w:r>
          </w:p>
        </w:tc>
      </w:tr>
      <w:tr w:rsidR="001439E0" w14:paraId="7E26D786" w14:textId="77777777">
        <w:trPr>
          <w:trHeight w:val="198"/>
        </w:trPr>
        <w:tc>
          <w:tcPr>
            <w:tcW w:w="2494" w:type="dxa"/>
          </w:tcPr>
          <w:p w14:paraId="7E26D781" w14:textId="77777777" w:rsidR="001439E0" w:rsidRDefault="001439E0">
            <w:pPr>
              <w:pStyle w:val="TableParagraph"/>
              <w:rPr>
                <w:rFonts w:ascii="Times New Roman"/>
                <w:sz w:val="12"/>
              </w:rPr>
            </w:pPr>
          </w:p>
        </w:tc>
        <w:tc>
          <w:tcPr>
            <w:tcW w:w="1626" w:type="dxa"/>
          </w:tcPr>
          <w:p w14:paraId="7E26D782" w14:textId="77777777" w:rsidR="001439E0" w:rsidRDefault="008A23E0">
            <w:pPr>
              <w:pStyle w:val="TableParagraph"/>
              <w:spacing w:line="179" w:lineRule="exact"/>
              <w:ind w:left="549" w:right="542"/>
              <w:jc w:val="center"/>
              <w:rPr>
                <w:b/>
                <w:sz w:val="16"/>
              </w:rPr>
            </w:pPr>
            <w:r>
              <w:rPr>
                <w:b/>
                <w:sz w:val="16"/>
              </w:rPr>
              <w:t>N=364</w:t>
            </w:r>
          </w:p>
        </w:tc>
        <w:tc>
          <w:tcPr>
            <w:tcW w:w="1621" w:type="dxa"/>
          </w:tcPr>
          <w:p w14:paraId="7E26D783" w14:textId="77777777" w:rsidR="001439E0" w:rsidRDefault="008A23E0">
            <w:pPr>
              <w:pStyle w:val="TableParagraph"/>
              <w:spacing w:line="179" w:lineRule="exact"/>
              <w:ind w:right="562"/>
              <w:jc w:val="right"/>
              <w:rPr>
                <w:b/>
                <w:sz w:val="16"/>
              </w:rPr>
            </w:pPr>
            <w:r>
              <w:rPr>
                <w:b/>
                <w:sz w:val="16"/>
              </w:rPr>
              <w:t>N=364</w:t>
            </w:r>
          </w:p>
        </w:tc>
        <w:tc>
          <w:tcPr>
            <w:tcW w:w="1751" w:type="dxa"/>
          </w:tcPr>
          <w:p w14:paraId="7E26D784" w14:textId="77777777" w:rsidR="001439E0" w:rsidRDefault="001439E0">
            <w:pPr>
              <w:pStyle w:val="TableParagraph"/>
              <w:rPr>
                <w:rFonts w:ascii="Times New Roman"/>
                <w:sz w:val="12"/>
              </w:rPr>
            </w:pPr>
          </w:p>
        </w:tc>
        <w:tc>
          <w:tcPr>
            <w:tcW w:w="1417" w:type="dxa"/>
          </w:tcPr>
          <w:p w14:paraId="7E26D785" w14:textId="77777777" w:rsidR="001439E0" w:rsidRDefault="001439E0">
            <w:pPr>
              <w:pStyle w:val="TableParagraph"/>
              <w:rPr>
                <w:rFonts w:ascii="Times New Roman"/>
                <w:sz w:val="12"/>
              </w:rPr>
            </w:pPr>
          </w:p>
        </w:tc>
      </w:tr>
      <w:tr w:rsidR="001439E0" w14:paraId="7E26D790" w14:textId="77777777">
        <w:trPr>
          <w:trHeight w:val="551"/>
        </w:trPr>
        <w:tc>
          <w:tcPr>
            <w:tcW w:w="2494" w:type="dxa"/>
          </w:tcPr>
          <w:p w14:paraId="7E26D787" w14:textId="77777777" w:rsidR="001439E0" w:rsidRDefault="008A23E0">
            <w:pPr>
              <w:pStyle w:val="TableParagraph"/>
              <w:spacing w:line="184" w:lineRule="exact"/>
              <w:ind w:left="107"/>
              <w:rPr>
                <w:sz w:val="16"/>
              </w:rPr>
            </w:pPr>
            <w:r>
              <w:rPr>
                <w:sz w:val="16"/>
              </w:rPr>
              <w:t>Subjects with one or more</w:t>
            </w:r>
          </w:p>
          <w:p w14:paraId="7E26D788" w14:textId="77777777" w:rsidR="001439E0" w:rsidRDefault="008A23E0">
            <w:pPr>
              <w:pStyle w:val="TableParagraph"/>
              <w:spacing w:before="3" w:line="184" w:lineRule="exact"/>
              <w:ind w:left="107" w:right="578"/>
              <w:rPr>
                <w:sz w:val="16"/>
              </w:rPr>
            </w:pPr>
            <w:r>
              <w:rPr>
                <w:sz w:val="16"/>
              </w:rPr>
              <w:t>neuropsychiatric adverse events</w:t>
            </w:r>
          </w:p>
        </w:tc>
        <w:tc>
          <w:tcPr>
            <w:tcW w:w="1626" w:type="dxa"/>
          </w:tcPr>
          <w:p w14:paraId="7E26D789" w14:textId="77777777" w:rsidR="001439E0" w:rsidRDefault="001439E0">
            <w:pPr>
              <w:pStyle w:val="TableParagraph"/>
              <w:rPr>
                <w:b/>
                <w:sz w:val="16"/>
              </w:rPr>
            </w:pPr>
          </w:p>
          <w:p w14:paraId="7E26D78A" w14:textId="77777777" w:rsidR="001439E0" w:rsidRDefault="008A23E0">
            <w:pPr>
              <w:pStyle w:val="TableParagraph"/>
              <w:ind w:left="549" w:right="542"/>
              <w:jc w:val="center"/>
              <w:rPr>
                <w:sz w:val="16"/>
              </w:rPr>
            </w:pPr>
            <w:r>
              <w:rPr>
                <w:sz w:val="16"/>
              </w:rPr>
              <w:t>24%</w:t>
            </w:r>
          </w:p>
        </w:tc>
        <w:tc>
          <w:tcPr>
            <w:tcW w:w="1621" w:type="dxa"/>
          </w:tcPr>
          <w:p w14:paraId="7E26D78B" w14:textId="77777777" w:rsidR="001439E0" w:rsidRDefault="001439E0">
            <w:pPr>
              <w:pStyle w:val="TableParagraph"/>
              <w:rPr>
                <w:b/>
                <w:sz w:val="16"/>
              </w:rPr>
            </w:pPr>
          </w:p>
          <w:p w14:paraId="7E26D78C" w14:textId="77777777" w:rsidR="001439E0" w:rsidRDefault="008A23E0">
            <w:pPr>
              <w:pStyle w:val="TableParagraph"/>
              <w:ind w:right="639"/>
              <w:jc w:val="right"/>
              <w:rPr>
                <w:sz w:val="16"/>
              </w:rPr>
            </w:pPr>
            <w:r>
              <w:rPr>
                <w:w w:val="95"/>
                <w:sz w:val="16"/>
              </w:rPr>
              <w:t>57%</w:t>
            </w:r>
          </w:p>
        </w:tc>
        <w:tc>
          <w:tcPr>
            <w:tcW w:w="1751" w:type="dxa"/>
          </w:tcPr>
          <w:p w14:paraId="7E26D78D" w14:textId="77777777" w:rsidR="001439E0" w:rsidRDefault="001439E0">
            <w:pPr>
              <w:pStyle w:val="TableParagraph"/>
              <w:rPr>
                <w:b/>
                <w:sz w:val="16"/>
              </w:rPr>
            </w:pPr>
          </w:p>
          <w:p w14:paraId="7E26D78E" w14:textId="77777777" w:rsidR="001439E0" w:rsidRDefault="008A23E0">
            <w:pPr>
              <w:pStyle w:val="TableParagraph"/>
              <w:ind w:left="149" w:right="145"/>
              <w:jc w:val="center"/>
              <w:rPr>
                <w:sz w:val="16"/>
              </w:rPr>
            </w:pPr>
            <w:r>
              <w:rPr>
                <w:sz w:val="16"/>
              </w:rPr>
              <w:t>-33.2 (-39.8, -26.4)</w:t>
            </w:r>
          </w:p>
        </w:tc>
        <w:tc>
          <w:tcPr>
            <w:tcW w:w="1417" w:type="dxa"/>
          </w:tcPr>
          <w:p w14:paraId="7E26D78F" w14:textId="77777777" w:rsidR="001439E0" w:rsidRDefault="001439E0">
            <w:pPr>
              <w:pStyle w:val="TableParagraph"/>
              <w:rPr>
                <w:rFonts w:ascii="Times New Roman"/>
                <w:sz w:val="18"/>
              </w:rPr>
            </w:pPr>
          </w:p>
        </w:tc>
      </w:tr>
      <w:tr w:rsidR="001439E0" w14:paraId="7E26D796" w14:textId="77777777">
        <w:trPr>
          <w:trHeight w:val="181"/>
        </w:trPr>
        <w:tc>
          <w:tcPr>
            <w:tcW w:w="2494" w:type="dxa"/>
          </w:tcPr>
          <w:p w14:paraId="7E26D791" w14:textId="77777777" w:rsidR="001439E0" w:rsidRDefault="008A23E0">
            <w:pPr>
              <w:pStyle w:val="TableParagraph"/>
              <w:spacing w:line="161" w:lineRule="exact"/>
              <w:ind w:left="107"/>
              <w:rPr>
                <w:sz w:val="16"/>
              </w:rPr>
            </w:pPr>
            <w:r>
              <w:rPr>
                <w:sz w:val="16"/>
              </w:rPr>
              <w:t>Dizziness</w:t>
            </w:r>
          </w:p>
        </w:tc>
        <w:tc>
          <w:tcPr>
            <w:tcW w:w="1626" w:type="dxa"/>
          </w:tcPr>
          <w:p w14:paraId="7E26D792" w14:textId="77777777" w:rsidR="001439E0" w:rsidRDefault="008A23E0">
            <w:pPr>
              <w:pStyle w:val="TableParagraph"/>
              <w:spacing w:line="161" w:lineRule="exact"/>
              <w:ind w:left="552" w:right="542"/>
              <w:jc w:val="center"/>
              <w:rPr>
                <w:sz w:val="16"/>
              </w:rPr>
            </w:pPr>
            <w:r>
              <w:rPr>
                <w:sz w:val="16"/>
              </w:rPr>
              <w:t>9%</w:t>
            </w:r>
          </w:p>
        </w:tc>
        <w:tc>
          <w:tcPr>
            <w:tcW w:w="1621" w:type="dxa"/>
          </w:tcPr>
          <w:p w14:paraId="7E26D793" w14:textId="77777777" w:rsidR="001439E0" w:rsidRDefault="008A23E0">
            <w:pPr>
              <w:pStyle w:val="TableParagraph"/>
              <w:spacing w:line="161" w:lineRule="exact"/>
              <w:ind w:right="638"/>
              <w:jc w:val="right"/>
              <w:rPr>
                <w:sz w:val="16"/>
              </w:rPr>
            </w:pPr>
            <w:r>
              <w:rPr>
                <w:w w:val="95"/>
                <w:sz w:val="16"/>
              </w:rPr>
              <w:t>37%</w:t>
            </w:r>
          </w:p>
        </w:tc>
        <w:tc>
          <w:tcPr>
            <w:tcW w:w="1751" w:type="dxa"/>
          </w:tcPr>
          <w:p w14:paraId="7E26D794" w14:textId="77777777" w:rsidR="001439E0" w:rsidRDefault="008A23E0">
            <w:pPr>
              <w:pStyle w:val="TableParagraph"/>
              <w:spacing w:line="161" w:lineRule="exact"/>
              <w:ind w:left="150" w:right="145"/>
              <w:jc w:val="center"/>
              <w:rPr>
                <w:sz w:val="16"/>
              </w:rPr>
            </w:pPr>
            <w:r>
              <w:rPr>
                <w:sz w:val="16"/>
              </w:rPr>
              <w:t>-28.3 (-34.0, -22.5)</w:t>
            </w:r>
          </w:p>
        </w:tc>
        <w:tc>
          <w:tcPr>
            <w:tcW w:w="1417" w:type="dxa"/>
          </w:tcPr>
          <w:p w14:paraId="7E26D795" w14:textId="77777777" w:rsidR="001439E0" w:rsidRDefault="008A23E0">
            <w:pPr>
              <w:pStyle w:val="TableParagraph"/>
              <w:spacing w:line="161" w:lineRule="exact"/>
              <w:ind w:left="460"/>
              <w:rPr>
                <w:sz w:val="16"/>
              </w:rPr>
            </w:pPr>
            <w:r>
              <w:rPr>
                <w:sz w:val="16"/>
              </w:rPr>
              <w:t>&lt;0.001</w:t>
            </w:r>
          </w:p>
        </w:tc>
      </w:tr>
      <w:tr w:rsidR="001439E0" w14:paraId="7E26D79C" w14:textId="77777777">
        <w:trPr>
          <w:trHeight w:val="367"/>
        </w:trPr>
        <w:tc>
          <w:tcPr>
            <w:tcW w:w="2494" w:type="dxa"/>
          </w:tcPr>
          <w:p w14:paraId="7E26D797" w14:textId="77777777" w:rsidR="001439E0" w:rsidRDefault="008A23E0">
            <w:pPr>
              <w:pStyle w:val="TableParagraph"/>
              <w:spacing w:before="2" w:line="184" w:lineRule="exact"/>
              <w:ind w:left="107" w:right="933"/>
              <w:rPr>
                <w:sz w:val="16"/>
              </w:rPr>
            </w:pPr>
            <w:r>
              <w:rPr>
                <w:sz w:val="16"/>
              </w:rPr>
              <w:t>Sleep disorders and disturbances</w:t>
            </w:r>
          </w:p>
        </w:tc>
        <w:tc>
          <w:tcPr>
            <w:tcW w:w="1626" w:type="dxa"/>
          </w:tcPr>
          <w:p w14:paraId="7E26D798" w14:textId="77777777" w:rsidR="001439E0" w:rsidRDefault="008A23E0">
            <w:pPr>
              <w:pStyle w:val="TableParagraph"/>
              <w:spacing w:before="92"/>
              <w:ind w:left="549" w:right="542"/>
              <w:jc w:val="center"/>
              <w:rPr>
                <w:sz w:val="16"/>
              </w:rPr>
            </w:pPr>
            <w:r>
              <w:rPr>
                <w:sz w:val="16"/>
              </w:rPr>
              <w:t>12%</w:t>
            </w:r>
          </w:p>
        </w:tc>
        <w:tc>
          <w:tcPr>
            <w:tcW w:w="1621" w:type="dxa"/>
          </w:tcPr>
          <w:p w14:paraId="7E26D799" w14:textId="77777777" w:rsidR="001439E0" w:rsidRDefault="008A23E0">
            <w:pPr>
              <w:pStyle w:val="TableParagraph"/>
              <w:spacing w:before="92"/>
              <w:ind w:right="639"/>
              <w:jc w:val="right"/>
              <w:rPr>
                <w:sz w:val="16"/>
              </w:rPr>
            </w:pPr>
            <w:r>
              <w:rPr>
                <w:w w:val="95"/>
                <w:sz w:val="16"/>
              </w:rPr>
              <w:t>26%</w:t>
            </w:r>
          </w:p>
        </w:tc>
        <w:tc>
          <w:tcPr>
            <w:tcW w:w="1751" w:type="dxa"/>
          </w:tcPr>
          <w:p w14:paraId="7E26D79A" w14:textId="77777777" w:rsidR="001439E0" w:rsidRDefault="008A23E0">
            <w:pPr>
              <w:pStyle w:val="TableParagraph"/>
              <w:spacing w:before="92"/>
              <w:ind w:left="150" w:right="144"/>
              <w:jc w:val="center"/>
              <w:rPr>
                <w:sz w:val="16"/>
              </w:rPr>
            </w:pPr>
            <w:r>
              <w:rPr>
                <w:sz w:val="16"/>
              </w:rPr>
              <w:t>-13.5 (-19.1, -7.9)</w:t>
            </w:r>
          </w:p>
        </w:tc>
        <w:tc>
          <w:tcPr>
            <w:tcW w:w="1417" w:type="dxa"/>
          </w:tcPr>
          <w:p w14:paraId="7E26D79B" w14:textId="77777777" w:rsidR="001439E0" w:rsidRDefault="008A23E0">
            <w:pPr>
              <w:pStyle w:val="TableParagraph"/>
              <w:spacing w:before="92"/>
              <w:ind w:left="460"/>
              <w:rPr>
                <w:sz w:val="16"/>
              </w:rPr>
            </w:pPr>
            <w:r>
              <w:rPr>
                <w:sz w:val="16"/>
              </w:rPr>
              <w:t>&lt;0.001</w:t>
            </w:r>
          </w:p>
        </w:tc>
      </w:tr>
      <w:tr w:rsidR="001439E0" w14:paraId="7E26D7A2" w14:textId="77777777">
        <w:trPr>
          <w:trHeight w:val="182"/>
        </w:trPr>
        <w:tc>
          <w:tcPr>
            <w:tcW w:w="2494" w:type="dxa"/>
          </w:tcPr>
          <w:p w14:paraId="7E26D79D" w14:textId="77777777" w:rsidR="001439E0" w:rsidRDefault="008A23E0">
            <w:pPr>
              <w:pStyle w:val="TableParagraph"/>
              <w:spacing w:line="162" w:lineRule="exact"/>
              <w:ind w:left="107"/>
              <w:rPr>
                <w:sz w:val="16"/>
              </w:rPr>
            </w:pPr>
            <w:r>
              <w:rPr>
                <w:sz w:val="16"/>
              </w:rPr>
              <w:t>Altered sensorium</w:t>
            </w:r>
          </w:p>
        </w:tc>
        <w:tc>
          <w:tcPr>
            <w:tcW w:w="1626" w:type="dxa"/>
          </w:tcPr>
          <w:p w14:paraId="7E26D79E" w14:textId="77777777" w:rsidR="001439E0" w:rsidRDefault="008A23E0">
            <w:pPr>
              <w:pStyle w:val="TableParagraph"/>
              <w:spacing w:line="162" w:lineRule="exact"/>
              <w:ind w:left="551" w:right="542"/>
              <w:jc w:val="center"/>
              <w:rPr>
                <w:sz w:val="16"/>
              </w:rPr>
            </w:pPr>
            <w:r>
              <w:rPr>
                <w:sz w:val="16"/>
              </w:rPr>
              <w:t>4%</w:t>
            </w:r>
          </w:p>
        </w:tc>
        <w:tc>
          <w:tcPr>
            <w:tcW w:w="1621" w:type="dxa"/>
          </w:tcPr>
          <w:p w14:paraId="7E26D79F" w14:textId="77777777" w:rsidR="001439E0" w:rsidRDefault="008A23E0">
            <w:pPr>
              <w:pStyle w:val="TableParagraph"/>
              <w:spacing w:line="162" w:lineRule="exact"/>
              <w:ind w:left="673" w:right="664"/>
              <w:jc w:val="center"/>
              <w:rPr>
                <w:sz w:val="16"/>
              </w:rPr>
            </w:pPr>
            <w:r>
              <w:rPr>
                <w:sz w:val="16"/>
              </w:rPr>
              <w:t>8%</w:t>
            </w:r>
          </w:p>
        </w:tc>
        <w:tc>
          <w:tcPr>
            <w:tcW w:w="1751" w:type="dxa"/>
          </w:tcPr>
          <w:p w14:paraId="7E26D7A0" w14:textId="77777777" w:rsidR="001439E0" w:rsidRDefault="008A23E0">
            <w:pPr>
              <w:pStyle w:val="TableParagraph"/>
              <w:spacing w:line="162" w:lineRule="exact"/>
              <w:ind w:left="150" w:right="144"/>
              <w:jc w:val="center"/>
              <w:rPr>
                <w:sz w:val="16"/>
              </w:rPr>
            </w:pPr>
            <w:r>
              <w:rPr>
                <w:sz w:val="16"/>
              </w:rPr>
              <w:t>-3.8 (-7.6, -0.3)</w:t>
            </w:r>
          </w:p>
        </w:tc>
        <w:tc>
          <w:tcPr>
            <w:tcW w:w="1417" w:type="dxa"/>
          </w:tcPr>
          <w:p w14:paraId="7E26D7A1" w14:textId="77777777" w:rsidR="001439E0" w:rsidRDefault="008A23E0">
            <w:pPr>
              <w:pStyle w:val="TableParagraph"/>
              <w:spacing w:line="162" w:lineRule="exact"/>
              <w:ind w:left="506"/>
              <w:rPr>
                <w:sz w:val="16"/>
              </w:rPr>
            </w:pPr>
            <w:r>
              <w:rPr>
                <w:sz w:val="16"/>
              </w:rPr>
              <w:t>0.033</w:t>
            </w:r>
          </w:p>
        </w:tc>
      </w:tr>
      <w:tr w:rsidR="001439E0" w14:paraId="7E26D7A8" w14:textId="77777777">
        <w:trPr>
          <w:trHeight w:val="367"/>
        </w:trPr>
        <w:tc>
          <w:tcPr>
            <w:tcW w:w="2494" w:type="dxa"/>
          </w:tcPr>
          <w:p w14:paraId="7E26D7A3" w14:textId="77777777" w:rsidR="001439E0" w:rsidRDefault="008A23E0">
            <w:pPr>
              <w:pStyle w:val="TableParagraph"/>
              <w:spacing w:before="2" w:line="184" w:lineRule="exact"/>
              <w:ind w:left="107" w:right="1148"/>
              <w:rPr>
                <w:sz w:val="16"/>
              </w:rPr>
            </w:pPr>
            <w:r>
              <w:rPr>
                <w:sz w:val="16"/>
              </w:rPr>
              <w:t xml:space="preserve">Depression and </w:t>
            </w:r>
            <w:r>
              <w:rPr>
                <w:w w:val="95"/>
                <w:sz w:val="16"/>
              </w:rPr>
              <w:t>suicide/self-injury</w:t>
            </w:r>
          </w:p>
        </w:tc>
        <w:tc>
          <w:tcPr>
            <w:tcW w:w="1626" w:type="dxa"/>
          </w:tcPr>
          <w:p w14:paraId="7E26D7A4" w14:textId="77777777" w:rsidR="001439E0" w:rsidRDefault="008A23E0">
            <w:pPr>
              <w:pStyle w:val="TableParagraph"/>
              <w:spacing w:before="92"/>
              <w:ind w:left="550" w:right="542"/>
              <w:jc w:val="center"/>
              <w:rPr>
                <w:sz w:val="16"/>
              </w:rPr>
            </w:pPr>
            <w:r>
              <w:rPr>
                <w:sz w:val="16"/>
              </w:rPr>
              <w:t>4%</w:t>
            </w:r>
          </w:p>
        </w:tc>
        <w:tc>
          <w:tcPr>
            <w:tcW w:w="1621" w:type="dxa"/>
          </w:tcPr>
          <w:p w14:paraId="7E26D7A5" w14:textId="77777777" w:rsidR="001439E0" w:rsidRDefault="008A23E0">
            <w:pPr>
              <w:pStyle w:val="TableParagraph"/>
              <w:spacing w:before="92"/>
              <w:ind w:left="673" w:right="665"/>
              <w:jc w:val="center"/>
              <w:rPr>
                <w:sz w:val="16"/>
              </w:rPr>
            </w:pPr>
            <w:r>
              <w:rPr>
                <w:sz w:val="16"/>
              </w:rPr>
              <w:t>7%</w:t>
            </w:r>
          </w:p>
        </w:tc>
        <w:tc>
          <w:tcPr>
            <w:tcW w:w="1751" w:type="dxa"/>
          </w:tcPr>
          <w:p w14:paraId="7E26D7A6" w14:textId="77777777" w:rsidR="001439E0" w:rsidRDefault="008A23E0">
            <w:pPr>
              <w:pStyle w:val="TableParagraph"/>
              <w:spacing w:before="92"/>
              <w:ind w:left="343" w:right="337"/>
              <w:jc w:val="center"/>
              <w:rPr>
                <w:sz w:val="16"/>
              </w:rPr>
            </w:pPr>
            <w:r>
              <w:rPr>
                <w:sz w:val="16"/>
              </w:rPr>
              <w:t>-2.5 (-5.9, 0.8)</w:t>
            </w:r>
          </w:p>
        </w:tc>
        <w:tc>
          <w:tcPr>
            <w:tcW w:w="1417" w:type="dxa"/>
          </w:tcPr>
          <w:p w14:paraId="7E26D7A7" w14:textId="77777777" w:rsidR="001439E0" w:rsidRDefault="008A23E0">
            <w:pPr>
              <w:pStyle w:val="TableParagraph"/>
              <w:spacing w:before="88"/>
              <w:ind w:left="551"/>
              <w:rPr>
                <w:sz w:val="10"/>
              </w:rPr>
            </w:pPr>
            <w:proofErr w:type="spellStart"/>
            <w:r>
              <w:rPr>
                <w:sz w:val="16"/>
              </w:rPr>
              <w:t>nps</w:t>
            </w:r>
            <w:proofErr w:type="spellEnd"/>
            <w:r>
              <w:rPr>
                <w:position w:val="6"/>
                <w:sz w:val="10"/>
              </w:rPr>
              <w:t>†</w:t>
            </w:r>
          </w:p>
        </w:tc>
      </w:tr>
      <w:tr w:rsidR="001439E0" w14:paraId="7E26D7AE" w14:textId="77777777">
        <w:trPr>
          <w:trHeight w:val="365"/>
        </w:trPr>
        <w:tc>
          <w:tcPr>
            <w:tcW w:w="2494" w:type="dxa"/>
          </w:tcPr>
          <w:p w14:paraId="7E26D7A9" w14:textId="77777777" w:rsidR="001439E0" w:rsidRDefault="008A23E0">
            <w:pPr>
              <w:pStyle w:val="TableParagraph"/>
              <w:spacing w:line="184" w:lineRule="exact"/>
              <w:ind w:left="107" w:right="987"/>
              <w:rPr>
                <w:sz w:val="16"/>
              </w:rPr>
            </w:pPr>
            <w:r>
              <w:rPr>
                <w:sz w:val="16"/>
              </w:rPr>
              <w:t>Psychosis and psychotic disorders</w:t>
            </w:r>
          </w:p>
        </w:tc>
        <w:tc>
          <w:tcPr>
            <w:tcW w:w="1626" w:type="dxa"/>
          </w:tcPr>
          <w:p w14:paraId="7E26D7AA" w14:textId="77777777" w:rsidR="001439E0" w:rsidRDefault="008A23E0">
            <w:pPr>
              <w:pStyle w:val="TableParagraph"/>
              <w:spacing w:before="90"/>
              <w:ind w:left="549" w:right="542"/>
              <w:jc w:val="center"/>
              <w:rPr>
                <w:sz w:val="16"/>
              </w:rPr>
            </w:pPr>
            <w:r>
              <w:rPr>
                <w:sz w:val="16"/>
              </w:rPr>
              <w:t>&lt;1%</w:t>
            </w:r>
          </w:p>
        </w:tc>
        <w:tc>
          <w:tcPr>
            <w:tcW w:w="1621" w:type="dxa"/>
          </w:tcPr>
          <w:p w14:paraId="7E26D7AB" w14:textId="77777777" w:rsidR="001439E0" w:rsidRDefault="008A23E0">
            <w:pPr>
              <w:pStyle w:val="TableParagraph"/>
              <w:spacing w:before="90"/>
              <w:ind w:left="672" w:right="665"/>
              <w:jc w:val="center"/>
              <w:rPr>
                <w:sz w:val="16"/>
              </w:rPr>
            </w:pPr>
            <w:r>
              <w:rPr>
                <w:sz w:val="16"/>
              </w:rPr>
              <w:t>1%</w:t>
            </w:r>
          </w:p>
        </w:tc>
        <w:tc>
          <w:tcPr>
            <w:tcW w:w="1751" w:type="dxa"/>
          </w:tcPr>
          <w:p w14:paraId="7E26D7AC" w14:textId="77777777" w:rsidR="001439E0" w:rsidRDefault="008A23E0">
            <w:pPr>
              <w:pStyle w:val="TableParagraph"/>
              <w:spacing w:before="90"/>
              <w:ind w:left="342" w:right="337"/>
              <w:jc w:val="center"/>
              <w:rPr>
                <w:sz w:val="16"/>
              </w:rPr>
            </w:pPr>
            <w:r>
              <w:rPr>
                <w:sz w:val="16"/>
              </w:rPr>
              <w:t>-0.8 (-2.5, 0.5)</w:t>
            </w:r>
          </w:p>
        </w:tc>
        <w:tc>
          <w:tcPr>
            <w:tcW w:w="1417" w:type="dxa"/>
          </w:tcPr>
          <w:p w14:paraId="7E26D7AD" w14:textId="77777777" w:rsidR="001439E0" w:rsidRDefault="008A23E0">
            <w:pPr>
              <w:pStyle w:val="TableParagraph"/>
              <w:spacing w:before="86"/>
              <w:ind w:left="550"/>
              <w:rPr>
                <w:sz w:val="10"/>
              </w:rPr>
            </w:pPr>
            <w:proofErr w:type="spellStart"/>
            <w:r>
              <w:rPr>
                <w:sz w:val="16"/>
              </w:rPr>
              <w:t>nps</w:t>
            </w:r>
            <w:proofErr w:type="spellEnd"/>
            <w:r>
              <w:rPr>
                <w:position w:val="6"/>
                <w:sz w:val="10"/>
              </w:rPr>
              <w:t>†</w:t>
            </w:r>
          </w:p>
        </w:tc>
      </w:tr>
      <w:tr w:rsidR="001439E0" w14:paraId="7E26D7B1" w14:textId="77777777">
        <w:trPr>
          <w:trHeight w:val="366"/>
        </w:trPr>
        <w:tc>
          <w:tcPr>
            <w:tcW w:w="8909" w:type="dxa"/>
            <w:gridSpan w:val="5"/>
          </w:tcPr>
          <w:p w14:paraId="7E26D7AF" w14:textId="77777777" w:rsidR="001439E0" w:rsidRDefault="008A23E0">
            <w:pPr>
              <w:pStyle w:val="TableParagraph"/>
              <w:spacing w:line="180" w:lineRule="exact"/>
              <w:ind w:left="107"/>
              <w:rPr>
                <w:sz w:val="16"/>
              </w:rPr>
            </w:pPr>
            <w:r>
              <w:rPr>
                <w:sz w:val="16"/>
              </w:rPr>
              <w:t xml:space="preserve">*The 95% CIs were calculated using </w:t>
            </w:r>
            <w:proofErr w:type="spellStart"/>
            <w:r>
              <w:rPr>
                <w:sz w:val="16"/>
              </w:rPr>
              <w:t>Miettinen</w:t>
            </w:r>
            <w:proofErr w:type="spellEnd"/>
            <w:r>
              <w:rPr>
                <w:sz w:val="16"/>
              </w:rPr>
              <w:t xml:space="preserve"> and </w:t>
            </w:r>
            <w:proofErr w:type="spellStart"/>
            <w:r>
              <w:rPr>
                <w:sz w:val="16"/>
              </w:rPr>
              <w:t>Nurminen's</w:t>
            </w:r>
            <w:proofErr w:type="spellEnd"/>
            <w:r>
              <w:rPr>
                <w:sz w:val="16"/>
              </w:rPr>
              <w:t xml:space="preserve"> method.</w:t>
            </w:r>
          </w:p>
          <w:p w14:paraId="7E26D7B0" w14:textId="77777777" w:rsidR="001439E0" w:rsidRDefault="008A23E0">
            <w:pPr>
              <w:pStyle w:val="TableParagraph"/>
              <w:spacing w:line="166" w:lineRule="exact"/>
              <w:ind w:left="107"/>
              <w:rPr>
                <w:sz w:val="16"/>
              </w:rPr>
            </w:pPr>
            <w:r>
              <w:rPr>
                <w:position w:val="6"/>
                <w:sz w:val="10"/>
              </w:rPr>
              <w:t>†</w:t>
            </w:r>
            <w:r>
              <w:rPr>
                <w:sz w:val="16"/>
              </w:rPr>
              <w:t>Not pre-specified for statistical testing.</w:t>
            </w:r>
          </w:p>
        </w:tc>
      </w:tr>
    </w:tbl>
    <w:p w14:paraId="7E26D7B2" w14:textId="77777777" w:rsidR="001439E0" w:rsidRDefault="001439E0">
      <w:pPr>
        <w:pStyle w:val="BodyText"/>
        <w:spacing w:before="0"/>
        <w:ind w:left="0"/>
        <w:jc w:val="left"/>
        <w:rPr>
          <w:b/>
          <w:sz w:val="24"/>
        </w:rPr>
      </w:pPr>
    </w:p>
    <w:p w14:paraId="7E26D7B3" w14:textId="77777777" w:rsidR="001439E0" w:rsidRDefault="008A23E0">
      <w:pPr>
        <w:pStyle w:val="BodyText"/>
        <w:spacing w:before="176"/>
        <w:jc w:val="left"/>
      </w:pPr>
      <w:r>
        <w:rPr>
          <w:u w:val="single"/>
        </w:rPr>
        <w:t>Discontinuation due to Adverse Events</w:t>
      </w:r>
    </w:p>
    <w:p w14:paraId="7E26D7B4" w14:textId="77777777" w:rsidR="001439E0" w:rsidRDefault="008A23E0">
      <w:pPr>
        <w:pStyle w:val="BodyText"/>
        <w:spacing w:before="201"/>
        <w:ind w:right="1276"/>
      </w:pPr>
      <w:r>
        <w:t>In a pooled analysis combining data from two treatment-naïve trials (P007 and DRIVE- AHEAD), a statistically significantly lower proportion of subjects who discontinued due to an adverse event by Week 48 was seen for the combined doravirine (100 mg) treatment groups (2.8%) compared with the combined EFV treatment groups (6.1%) [treatment difference - 3.4%, p-value 0.012].</w:t>
      </w:r>
    </w:p>
    <w:p w14:paraId="7E26D7B5" w14:textId="77777777" w:rsidR="001439E0" w:rsidRDefault="001439E0">
      <w:pPr>
        <w:sectPr w:rsidR="001439E0">
          <w:pgSz w:w="11910" w:h="16840"/>
          <w:pgMar w:top="1360" w:right="160" w:bottom="1100" w:left="1020" w:header="0" w:footer="839" w:gutter="0"/>
          <w:cols w:space="720"/>
        </w:sectPr>
      </w:pPr>
    </w:p>
    <w:p w14:paraId="7E26D7B6" w14:textId="77777777" w:rsidR="001439E0" w:rsidRDefault="008A23E0">
      <w:pPr>
        <w:pStyle w:val="Heading3"/>
        <w:spacing w:before="80"/>
        <w:jc w:val="both"/>
      </w:pPr>
      <w:r>
        <w:lastRenderedPageBreak/>
        <w:t>Reporting suspected adverse effects</w:t>
      </w:r>
    </w:p>
    <w:p w14:paraId="7E26D7B7" w14:textId="77777777" w:rsidR="001439E0" w:rsidRDefault="008A23E0">
      <w:pPr>
        <w:pStyle w:val="BodyText"/>
        <w:ind w:right="1275"/>
      </w:pPr>
      <w:r>
        <w:t>Reporting</w:t>
      </w:r>
      <w:r>
        <w:rPr>
          <w:spacing w:val="-11"/>
        </w:rPr>
        <w:t xml:space="preserve"> </w:t>
      </w:r>
      <w:r>
        <w:t>suspected</w:t>
      </w:r>
      <w:r>
        <w:rPr>
          <w:spacing w:val="-11"/>
        </w:rPr>
        <w:t xml:space="preserve"> </w:t>
      </w:r>
      <w:r>
        <w:t>adverse</w:t>
      </w:r>
      <w:r>
        <w:rPr>
          <w:spacing w:val="-11"/>
        </w:rPr>
        <w:t xml:space="preserve"> </w:t>
      </w:r>
      <w:r>
        <w:t>reactions</w:t>
      </w:r>
      <w:r>
        <w:rPr>
          <w:spacing w:val="-11"/>
        </w:rPr>
        <w:t xml:space="preserve"> </w:t>
      </w:r>
      <w:r>
        <w:t>after</w:t>
      </w:r>
      <w:r>
        <w:rPr>
          <w:spacing w:val="-9"/>
        </w:rPr>
        <w:t xml:space="preserve"> </w:t>
      </w:r>
      <w:r>
        <w:t>registration</w:t>
      </w:r>
      <w:r>
        <w:rPr>
          <w:spacing w:val="-12"/>
        </w:rPr>
        <w:t xml:space="preserve"> </w:t>
      </w:r>
      <w:r>
        <w:t>of</w:t>
      </w:r>
      <w:r>
        <w:rPr>
          <w:spacing w:val="-11"/>
        </w:rPr>
        <w:t xml:space="preserve"> </w:t>
      </w:r>
      <w:r>
        <w:t>the</w:t>
      </w:r>
      <w:r>
        <w:rPr>
          <w:spacing w:val="-10"/>
        </w:rPr>
        <w:t xml:space="preserve"> </w:t>
      </w:r>
      <w:r>
        <w:t>medicinal</w:t>
      </w:r>
      <w:r>
        <w:rPr>
          <w:spacing w:val="-10"/>
        </w:rPr>
        <w:t xml:space="preserve"> </w:t>
      </w:r>
      <w:r>
        <w:t>product</w:t>
      </w:r>
      <w:r>
        <w:rPr>
          <w:spacing w:val="-12"/>
        </w:rPr>
        <w:t xml:space="preserve"> </w:t>
      </w:r>
      <w:r>
        <w:t>is</w:t>
      </w:r>
      <w:r>
        <w:rPr>
          <w:spacing w:val="-12"/>
        </w:rPr>
        <w:t xml:space="preserve"> </w:t>
      </w:r>
      <w:r>
        <w:t>important. It</w:t>
      </w:r>
      <w:r>
        <w:rPr>
          <w:spacing w:val="-4"/>
        </w:rPr>
        <w:t xml:space="preserve"> </w:t>
      </w:r>
      <w:r>
        <w:t>allows</w:t>
      </w:r>
      <w:r>
        <w:rPr>
          <w:spacing w:val="-5"/>
        </w:rPr>
        <w:t xml:space="preserve"> </w:t>
      </w:r>
      <w:r>
        <w:t>continued</w:t>
      </w:r>
      <w:r>
        <w:rPr>
          <w:spacing w:val="-4"/>
        </w:rPr>
        <w:t xml:space="preserve"> </w:t>
      </w:r>
      <w:r>
        <w:t>monitoring</w:t>
      </w:r>
      <w:r>
        <w:rPr>
          <w:spacing w:val="-4"/>
        </w:rPr>
        <w:t xml:space="preserve"> </w:t>
      </w:r>
      <w:r>
        <w:t>of</w:t>
      </w:r>
      <w:r>
        <w:rPr>
          <w:spacing w:val="-6"/>
        </w:rPr>
        <w:t xml:space="preserve"> </w:t>
      </w:r>
      <w:r>
        <w:t>the</w:t>
      </w:r>
      <w:r>
        <w:rPr>
          <w:spacing w:val="-6"/>
        </w:rPr>
        <w:t xml:space="preserve"> </w:t>
      </w:r>
      <w:r>
        <w:t>benefit-risk</w:t>
      </w:r>
      <w:r>
        <w:rPr>
          <w:spacing w:val="-5"/>
        </w:rPr>
        <w:t xml:space="preserve"> </w:t>
      </w:r>
      <w:r>
        <w:t>balance</w:t>
      </w:r>
      <w:r>
        <w:rPr>
          <w:spacing w:val="-5"/>
        </w:rPr>
        <w:t xml:space="preserve"> </w:t>
      </w:r>
      <w:r>
        <w:t>of</w:t>
      </w:r>
      <w:r>
        <w:rPr>
          <w:spacing w:val="-6"/>
        </w:rPr>
        <w:t xml:space="preserve"> </w:t>
      </w:r>
      <w:r>
        <w:t>the</w:t>
      </w:r>
      <w:r>
        <w:rPr>
          <w:spacing w:val="-4"/>
        </w:rPr>
        <w:t xml:space="preserve"> </w:t>
      </w:r>
      <w:r>
        <w:t>medicinal</w:t>
      </w:r>
      <w:r>
        <w:rPr>
          <w:spacing w:val="-5"/>
        </w:rPr>
        <w:t xml:space="preserve"> </w:t>
      </w:r>
      <w:r>
        <w:t>product.</w:t>
      </w:r>
      <w:r>
        <w:rPr>
          <w:spacing w:val="-6"/>
        </w:rPr>
        <w:t xml:space="preserve"> </w:t>
      </w:r>
      <w:r>
        <w:t xml:space="preserve">Healthcare professionals are asked to report any suspected adverse reactions at </w:t>
      </w:r>
      <w:hyperlink r:id="rId20">
        <w:r>
          <w:rPr>
            <w:color w:val="0000FF"/>
            <w:u w:val="single" w:color="0000FF"/>
          </w:rPr>
          <w:t>www.tga.gov.au/reporting-problems</w:t>
        </w:r>
        <w:r>
          <w:t>.</w:t>
        </w:r>
      </w:hyperlink>
    </w:p>
    <w:p w14:paraId="7E26D7B8" w14:textId="77777777" w:rsidR="001439E0" w:rsidRDefault="001439E0">
      <w:pPr>
        <w:pStyle w:val="BodyText"/>
        <w:spacing w:before="10"/>
        <w:ind w:left="0"/>
        <w:jc w:val="left"/>
        <w:rPr>
          <w:sz w:val="20"/>
        </w:rPr>
      </w:pPr>
    </w:p>
    <w:p w14:paraId="7E26D7B9" w14:textId="77777777" w:rsidR="001439E0" w:rsidRDefault="008A23E0">
      <w:pPr>
        <w:pStyle w:val="Heading2"/>
        <w:numPr>
          <w:ilvl w:val="1"/>
          <w:numId w:val="2"/>
        </w:numPr>
        <w:tabs>
          <w:tab w:val="left" w:pos="1140"/>
        </w:tabs>
        <w:ind w:hanging="719"/>
        <w:jc w:val="both"/>
      </w:pPr>
      <w:r>
        <w:t>OVERDOSE</w:t>
      </w:r>
    </w:p>
    <w:p w14:paraId="7E26D7BA" w14:textId="77777777" w:rsidR="001439E0" w:rsidRDefault="008A23E0">
      <w:pPr>
        <w:pStyle w:val="BodyText"/>
        <w:ind w:right="1231"/>
        <w:jc w:val="left"/>
      </w:pPr>
      <w:r>
        <w:t>There is no known specific treatment for overdose with PIFELTRO. If overdose occurs, the patient should be monitored and standard supportive treatment applied as required.</w:t>
      </w:r>
    </w:p>
    <w:p w14:paraId="7E26D7BB" w14:textId="77777777" w:rsidR="001439E0" w:rsidRDefault="008A23E0">
      <w:pPr>
        <w:pStyle w:val="BodyText"/>
        <w:spacing w:before="199"/>
        <w:ind w:right="1231"/>
        <w:jc w:val="left"/>
      </w:pPr>
      <w:r>
        <w:t>For information on the management of overdose, contact the Poisons Information Centre on 131126 (Australia).</w:t>
      </w:r>
    </w:p>
    <w:p w14:paraId="7E26D7BC" w14:textId="77777777" w:rsidR="001439E0" w:rsidRDefault="008A23E0">
      <w:pPr>
        <w:pStyle w:val="Heading1"/>
        <w:numPr>
          <w:ilvl w:val="0"/>
          <w:numId w:val="2"/>
        </w:numPr>
        <w:tabs>
          <w:tab w:val="left" w:pos="852"/>
        </w:tabs>
        <w:ind w:left="851" w:hanging="431"/>
        <w:jc w:val="both"/>
      </w:pPr>
      <w:r>
        <w:t>PHARMACOLOGICAL</w:t>
      </w:r>
      <w:r>
        <w:rPr>
          <w:spacing w:val="-1"/>
        </w:rPr>
        <w:t xml:space="preserve"> </w:t>
      </w:r>
      <w:r>
        <w:t>PROPERTIES</w:t>
      </w:r>
    </w:p>
    <w:p w14:paraId="7E26D7BD" w14:textId="77777777" w:rsidR="001439E0" w:rsidRDefault="008A23E0">
      <w:pPr>
        <w:pStyle w:val="Heading2"/>
        <w:numPr>
          <w:ilvl w:val="1"/>
          <w:numId w:val="1"/>
        </w:numPr>
        <w:tabs>
          <w:tab w:val="left" w:pos="1140"/>
        </w:tabs>
        <w:spacing w:before="240"/>
        <w:ind w:hanging="719"/>
        <w:jc w:val="both"/>
      </w:pPr>
      <w:r>
        <w:t>PHARMACODYNAMIC</w:t>
      </w:r>
      <w:r>
        <w:rPr>
          <w:spacing w:val="-2"/>
        </w:rPr>
        <w:t xml:space="preserve"> </w:t>
      </w:r>
      <w:r>
        <w:t>PROPERTIES</w:t>
      </w:r>
    </w:p>
    <w:p w14:paraId="7E26D7BE" w14:textId="77777777" w:rsidR="001439E0" w:rsidRDefault="008A23E0">
      <w:pPr>
        <w:pStyle w:val="BodyText"/>
      </w:pPr>
      <w:r>
        <w:t>Doravirine is a HIV-1 non-nucleoside reverse transcriptase inhibitor (NNRTI).</w:t>
      </w:r>
    </w:p>
    <w:p w14:paraId="7E26D7BF" w14:textId="77777777" w:rsidR="001439E0" w:rsidRDefault="008A23E0">
      <w:pPr>
        <w:pStyle w:val="Heading3"/>
        <w:spacing w:before="199"/>
        <w:jc w:val="both"/>
      </w:pPr>
      <w:r>
        <w:t>Mechanism of action</w:t>
      </w:r>
    </w:p>
    <w:p w14:paraId="7E26D7C0" w14:textId="77777777" w:rsidR="001439E0" w:rsidRDefault="008A23E0">
      <w:pPr>
        <w:pStyle w:val="BodyText"/>
      </w:pPr>
      <w:r>
        <w:t>PIFELTRO is an antiviral drug.</w:t>
      </w:r>
    </w:p>
    <w:p w14:paraId="7E26D7C1" w14:textId="77777777" w:rsidR="001439E0" w:rsidRDefault="008A23E0">
      <w:pPr>
        <w:pStyle w:val="BodyText"/>
        <w:spacing w:before="201"/>
        <w:ind w:right="1277"/>
      </w:pPr>
      <w:r>
        <w:t xml:space="preserve">Doravirine is a </w:t>
      </w:r>
      <w:proofErr w:type="spellStart"/>
      <w:r>
        <w:t>pyridinone</w:t>
      </w:r>
      <w:proofErr w:type="spellEnd"/>
      <w:r>
        <w:t xml:space="preserve"> non-nucleoside reverse transcriptase inhibitor of HIV-1 and inhibits HIV-1 replication by allosteric inhibition of HIV-1 reverse transcriptase (RT). Doravirine does not inhibit the human cellular DNA polymerases α, ß, and mitochondrial DNA polymerase γ.</w:t>
      </w:r>
    </w:p>
    <w:p w14:paraId="7E26D7C2" w14:textId="77777777" w:rsidR="001439E0" w:rsidRDefault="008A23E0">
      <w:pPr>
        <w:pStyle w:val="BodyText"/>
        <w:spacing w:before="200"/>
      </w:pPr>
      <w:r>
        <w:rPr>
          <w:u w:val="single"/>
        </w:rPr>
        <w:t>Effects on Electrocardiogram</w:t>
      </w:r>
    </w:p>
    <w:p w14:paraId="7E26D7C3" w14:textId="77777777" w:rsidR="001439E0" w:rsidRDefault="008A23E0">
      <w:pPr>
        <w:pStyle w:val="BodyText"/>
        <w:spacing w:before="199"/>
        <w:ind w:right="1275"/>
      </w:pPr>
      <w:r>
        <w:t>At</w:t>
      </w:r>
      <w:r>
        <w:rPr>
          <w:spacing w:val="-13"/>
        </w:rPr>
        <w:t xml:space="preserve"> </w:t>
      </w:r>
      <w:r>
        <w:t>a</w:t>
      </w:r>
      <w:r>
        <w:rPr>
          <w:spacing w:val="-12"/>
        </w:rPr>
        <w:t xml:space="preserve"> </w:t>
      </w:r>
      <w:r>
        <w:t>doravirine</w:t>
      </w:r>
      <w:r>
        <w:rPr>
          <w:spacing w:val="-12"/>
        </w:rPr>
        <w:t xml:space="preserve"> </w:t>
      </w:r>
      <w:r>
        <w:t>dose</w:t>
      </w:r>
      <w:r>
        <w:rPr>
          <w:spacing w:val="-13"/>
        </w:rPr>
        <w:t xml:space="preserve"> </w:t>
      </w:r>
      <w:r>
        <w:t>of</w:t>
      </w:r>
      <w:r>
        <w:rPr>
          <w:spacing w:val="-12"/>
        </w:rPr>
        <w:t xml:space="preserve"> </w:t>
      </w:r>
      <w:r>
        <w:t>1200</w:t>
      </w:r>
      <w:r>
        <w:rPr>
          <w:spacing w:val="-12"/>
        </w:rPr>
        <w:t xml:space="preserve"> </w:t>
      </w:r>
      <w:r>
        <w:t>mg,</w:t>
      </w:r>
      <w:r>
        <w:rPr>
          <w:spacing w:val="-12"/>
        </w:rPr>
        <w:t xml:space="preserve"> </w:t>
      </w:r>
      <w:r>
        <w:t>which</w:t>
      </w:r>
      <w:r>
        <w:rPr>
          <w:spacing w:val="-12"/>
        </w:rPr>
        <w:t xml:space="preserve"> </w:t>
      </w:r>
      <w:r>
        <w:t>provides</w:t>
      </w:r>
      <w:r>
        <w:rPr>
          <w:spacing w:val="-14"/>
        </w:rPr>
        <w:t xml:space="preserve"> </w:t>
      </w:r>
      <w:r>
        <w:t>approximately</w:t>
      </w:r>
      <w:r>
        <w:rPr>
          <w:spacing w:val="-12"/>
        </w:rPr>
        <w:t xml:space="preserve"> </w:t>
      </w:r>
      <w:r>
        <w:t>4</w:t>
      </w:r>
      <w:r>
        <w:rPr>
          <w:spacing w:val="-10"/>
        </w:rPr>
        <w:t xml:space="preserve"> </w:t>
      </w:r>
      <w:r>
        <w:t>times</w:t>
      </w:r>
      <w:r>
        <w:rPr>
          <w:spacing w:val="-12"/>
        </w:rPr>
        <w:t xml:space="preserve"> </w:t>
      </w:r>
      <w:r>
        <w:t>the</w:t>
      </w:r>
      <w:r>
        <w:rPr>
          <w:spacing w:val="-12"/>
        </w:rPr>
        <w:t xml:space="preserve"> </w:t>
      </w:r>
      <w:r>
        <w:t>peak</w:t>
      </w:r>
      <w:r>
        <w:rPr>
          <w:spacing w:val="-13"/>
        </w:rPr>
        <w:t xml:space="preserve"> </w:t>
      </w:r>
      <w:r>
        <w:t>concentration observed following the maximum approved dose, doravirine does not prolong the QT interval to any clinically relevant</w:t>
      </w:r>
      <w:r>
        <w:rPr>
          <w:spacing w:val="-1"/>
        </w:rPr>
        <w:t xml:space="preserve"> </w:t>
      </w:r>
      <w:r>
        <w:t>extent.</w:t>
      </w:r>
    </w:p>
    <w:p w14:paraId="7E26D7C4" w14:textId="77777777" w:rsidR="001439E0" w:rsidRDefault="008A23E0">
      <w:pPr>
        <w:pStyle w:val="Heading3"/>
        <w:jc w:val="both"/>
      </w:pPr>
      <w:r>
        <w:t>Microbiology</w:t>
      </w:r>
    </w:p>
    <w:p w14:paraId="7E26D7C5" w14:textId="77777777" w:rsidR="001439E0" w:rsidRDefault="008A23E0">
      <w:pPr>
        <w:pStyle w:val="BodyText"/>
      </w:pPr>
      <w:r>
        <w:rPr>
          <w:u w:val="single"/>
        </w:rPr>
        <w:t>Antiviral Activity in Cell Culture</w:t>
      </w:r>
    </w:p>
    <w:p w14:paraId="7E26D7C6" w14:textId="77777777" w:rsidR="001439E0" w:rsidRDefault="008A23E0">
      <w:pPr>
        <w:pStyle w:val="BodyText"/>
        <w:spacing w:before="201"/>
        <w:ind w:right="1276"/>
      </w:pPr>
      <w:r>
        <w:t>Doravirine</w:t>
      </w:r>
      <w:r>
        <w:rPr>
          <w:spacing w:val="-6"/>
        </w:rPr>
        <w:t xml:space="preserve"> </w:t>
      </w:r>
      <w:r>
        <w:t>exhibited</w:t>
      </w:r>
      <w:r>
        <w:rPr>
          <w:spacing w:val="-6"/>
        </w:rPr>
        <w:t xml:space="preserve"> </w:t>
      </w:r>
      <w:r>
        <w:t>an</w:t>
      </w:r>
      <w:r>
        <w:rPr>
          <w:spacing w:val="-4"/>
        </w:rPr>
        <w:t xml:space="preserve"> </w:t>
      </w:r>
      <w:r>
        <w:t>EC</w:t>
      </w:r>
      <w:r>
        <w:rPr>
          <w:vertAlign w:val="subscript"/>
        </w:rPr>
        <w:t>50</w:t>
      </w:r>
      <w:r>
        <w:rPr>
          <w:spacing w:val="-5"/>
        </w:rPr>
        <w:t xml:space="preserve"> </w:t>
      </w:r>
      <w:r>
        <w:t>value</w:t>
      </w:r>
      <w:r>
        <w:rPr>
          <w:spacing w:val="-6"/>
        </w:rPr>
        <w:t xml:space="preserve"> </w:t>
      </w:r>
      <w:r>
        <w:t>of</w:t>
      </w:r>
      <w:r>
        <w:rPr>
          <w:spacing w:val="-5"/>
        </w:rPr>
        <w:t xml:space="preserve"> </w:t>
      </w:r>
      <w:r>
        <w:t>12.0±4.4</w:t>
      </w:r>
      <w:r>
        <w:rPr>
          <w:spacing w:val="-6"/>
        </w:rPr>
        <w:t xml:space="preserve"> </w:t>
      </w:r>
      <w:proofErr w:type="spellStart"/>
      <w:r>
        <w:t>nM</w:t>
      </w:r>
      <w:proofErr w:type="spellEnd"/>
      <w:r>
        <w:rPr>
          <w:spacing w:val="-7"/>
        </w:rPr>
        <w:t xml:space="preserve"> </w:t>
      </w:r>
      <w:r>
        <w:t>against</w:t>
      </w:r>
      <w:r>
        <w:rPr>
          <w:spacing w:val="-5"/>
        </w:rPr>
        <w:t xml:space="preserve"> </w:t>
      </w:r>
      <w:r>
        <w:t>wild-type</w:t>
      </w:r>
      <w:r>
        <w:rPr>
          <w:spacing w:val="-6"/>
        </w:rPr>
        <w:t xml:space="preserve"> </w:t>
      </w:r>
      <w:r>
        <w:t>laboratory</w:t>
      </w:r>
      <w:r>
        <w:rPr>
          <w:spacing w:val="-5"/>
        </w:rPr>
        <w:t xml:space="preserve"> </w:t>
      </w:r>
      <w:r>
        <w:t>strains</w:t>
      </w:r>
      <w:r>
        <w:rPr>
          <w:spacing w:val="-6"/>
        </w:rPr>
        <w:t xml:space="preserve"> </w:t>
      </w:r>
      <w:r>
        <w:t>of</w:t>
      </w:r>
      <w:r>
        <w:rPr>
          <w:spacing w:val="-6"/>
        </w:rPr>
        <w:t xml:space="preserve"> </w:t>
      </w:r>
      <w:r>
        <w:t>HIV- 1</w:t>
      </w:r>
      <w:r>
        <w:rPr>
          <w:spacing w:val="-5"/>
        </w:rPr>
        <w:t xml:space="preserve"> </w:t>
      </w:r>
      <w:r>
        <w:t>when</w:t>
      </w:r>
      <w:r>
        <w:rPr>
          <w:spacing w:val="-4"/>
        </w:rPr>
        <w:t xml:space="preserve"> </w:t>
      </w:r>
      <w:r>
        <w:t>tested</w:t>
      </w:r>
      <w:r>
        <w:rPr>
          <w:spacing w:val="-4"/>
        </w:rPr>
        <w:t xml:space="preserve"> </w:t>
      </w:r>
      <w:r>
        <w:t>in</w:t>
      </w:r>
      <w:r>
        <w:rPr>
          <w:spacing w:val="-4"/>
        </w:rPr>
        <w:t xml:space="preserve"> </w:t>
      </w:r>
      <w:r>
        <w:t>the</w:t>
      </w:r>
      <w:r>
        <w:rPr>
          <w:spacing w:val="-4"/>
        </w:rPr>
        <w:t xml:space="preserve"> </w:t>
      </w:r>
      <w:r>
        <w:t>presence</w:t>
      </w:r>
      <w:r>
        <w:rPr>
          <w:spacing w:val="-4"/>
        </w:rPr>
        <w:t xml:space="preserve"> </w:t>
      </w:r>
      <w:r>
        <w:t>of</w:t>
      </w:r>
      <w:r>
        <w:rPr>
          <w:spacing w:val="-5"/>
        </w:rPr>
        <w:t xml:space="preserve"> </w:t>
      </w:r>
      <w:r>
        <w:t>100%</w:t>
      </w:r>
      <w:r>
        <w:rPr>
          <w:spacing w:val="-4"/>
        </w:rPr>
        <w:t xml:space="preserve"> </w:t>
      </w:r>
      <w:r>
        <w:t>normal</w:t>
      </w:r>
      <w:r>
        <w:rPr>
          <w:spacing w:val="-4"/>
        </w:rPr>
        <w:t xml:space="preserve"> </w:t>
      </w:r>
      <w:r>
        <w:t>human</w:t>
      </w:r>
      <w:r>
        <w:rPr>
          <w:spacing w:val="-4"/>
        </w:rPr>
        <w:t xml:space="preserve"> </w:t>
      </w:r>
      <w:r>
        <w:t>serum</w:t>
      </w:r>
      <w:r>
        <w:rPr>
          <w:spacing w:val="-4"/>
        </w:rPr>
        <w:t xml:space="preserve"> </w:t>
      </w:r>
      <w:r>
        <w:t>(NHS)</w:t>
      </w:r>
      <w:r>
        <w:rPr>
          <w:spacing w:val="-2"/>
        </w:rPr>
        <w:t xml:space="preserve"> </w:t>
      </w:r>
      <w:r>
        <w:t>using</w:t>
      </w:r>
      <w:r>
        <w:rPr>
          <w:spacing w:val="-5"/>
        </w:rPr>
        <w:t xml:space="preserve"> </w:t>
      </w:r>
      <w:r>
        <w:t>MT4-GFP</w:t>
      </w:r>
      <w:r>
        <w:rPr>
          <w:spacing w:val="-4"/>
        </w:rPr>
        <w:t xml:space="preserve"> </w:t>
      </w:r>
      <w:r>
        <w:t>reporter cells.</w:t>
      </w:r>
      <w:r>
        <w:rPr>
          <w:spacing w:val="-14"/>
        </w:rPr>
        <w:t xml:space="preserve"> </w:t>
      </w:r>
      <w:r>
        <w:t>Doravirine</w:t>
      </w:r>
      <w:r>
        <w:rPr>
          <w:spacing w:val="-13"/>
        </w:rPr>
        <w:t xml:space="preserve"> </w:t>
      </w:r>
      <w:r>
        <w:t>demonstrated</w:t>
      </w:r>
      <w:r>
        <w:rPr>
          <w:spacing w:val="-13"/>
        </w:rPr>
        <w:t xml:space="preserve"> </w:t>
      </w:r>
      <w:r>
        <w:t>antiviral</w:t>
      </w:r>
      <w:r>
        <w:rPr>
          <w:spacing w:val="-13"/>
        </w:rPr>
        <w:t xml:space="preserve"> </w:t>
      </w:r>
      <w:r>
        <w:t>activity</w:t>
      </w:r>
      <w:r>
        <w:rPr>
          <w:spacing w:val="-13"/>
        </w:rPr>
        <w:t xml:space="preserve"> </w:t>
      </w:r>
      <w:r>
        <w:t>against</w:t>
      </w:r>
      <w:r>
        <w:rPr>
          <w:spacing w:val="-13"/>
        </w:rPr>
        <w:t xml:space="preserve"> </w:t>
      </w:r>
      <w:r>
        <w:t>a</w:t>
      </w:r>
      <w:r>
        <w:rPr>
          <w:spacing w:val="-14"/>
        </w:rPr>
        <w:t xml:space="preserve"> </w:t>
      </w:r>
      <w:r>
        <w:t>broad</w:t>
      </w:r>
      <w:r>
        <w:rPr>
          <w:spacing w:val="-13"/>
        </w:rPr>
        <w:t xml:space="preserve"> </w:t>
      </w:r>
      <w:r>
        <w:t>panel</w:t>
      </w:r>
      <w:r>
        <w:rPr>
          <w:spacing w:val="-13"/>
        </w:rPr>
        <w:t xml:space="preserve"> </w:t>
      </w:r>
      <w:r>
        <w:t>of</w:t>
      </w:r>
      <w:r>
        <w:rPr>
          <w:spacing w:val="-13"/>
        </w:rPr>
        <w:t xml:space="preserve"> </w:t>
      </w:r>
      <w:r>
        <w:t>primary</w:t>
      </w:r>
      <w:r>
        <w:rPr>
          <w:spacing w:val="-13"/>
        </w:rPr>
        <w:t xml:space="preserve"> </w:t>
      </w:r>
      <w:r>
        <w:t>HIV-1</w:t>
      </w:r>
      <w:r>
        <w:rPr>
          <w:spacing w:val="-13"/>
        </w:rPr>
        <w:t xml:space="preserve"> </w:t>
      </w:r>
      <w:r>
        <w:t>isolates (A, A1, AE, AG, B, BF, C, D, G, H) with EC</w:t>
      </w:r>
      <w:r>
        <w:rPr>
          <w:vertAlign w:val="subscript"/>
        </w:rPr>
        <w:t>50</w:t>
      </w:r>
      <w:r>
        <w:t xml:space="preserve"> values ranging from 0.6 </w:t>
      </w:r>
      <w:proofErr w:type="spellStart"/>
      <w:r>
        <w:t>nM</w:t>
      </w:r>
      <w:proofErr w:type="spellEnd"/>
      <w:r>
        <w:t xml:space="preserve"> to 10.0</w:t>
      </w:r>
      <w:r>
        <w:rPr>
          <w:spacing w:val="-6"/>
        </w:rPr>
        <w:t xml:space="preserve"> </w:t>
      </w:r>
      <w:proofErr w:type="spellStart"/>
      <w:r>
        <w:t>nM</w:t>
      </w:r>
      <w:proofErr w:type="spellEnd"/>
      <w:r>
        <w:t>.</w:t>
      </w:r>
    </w:p>
    <w:p w14:paraId="7E26D7C7" w14:textId="77777777" w:rsidR="001439E0" w:rsidRDefault="008A23E0">
      <w:pPr>
        <w:pStyle w:val="BodyText"/>
        <w:spacing w:before="200"/>
      </w:pPr>
      <w:r>
        <w:rPr>
          <w:u w:val="single"/>
        </w:rPr>
        <w:t>Antiviral Activity in Combination with other HIV Antiviral Agents</w:t>
      </w:r>
    </w:p>
    <w:p w14:paraId="7E26D7C8" w14:textId="77777777" w:rsidR="001439E0" w:rsidRDefault="008A23E0">
      <w:pPr>
        <w:pStyle w:val="BodyText"/>
        <w:spacing w:before="200"/>
        <w:ind w:right="1276"/>
      </w:pPr>
      <w:r>
        <w:t xml:space="preserve">The antiviral activity of doravirine was not antagonistic when combined with the NNRTIs </w:t>
      </w:r>
      <w:proofErr w:type="spellStart"/>
      <w:r>
        <w:t>delavirdine</w:t>
      </w:r>
      <w:proofErr w:type="spellEnd"/>
      <w:r>
        <w:t xml:space="preserve">, </w:t>
      </w:r>
      <w:proofErr w:type="spellStart"/>
      <w:r>
        <w:t>efavirenz</w:t>
      </w:r>
      <w:proofErr w:type="spellEnd"/>
      <w:r>
        <w:t xml:space="preserve">, </w:t>
      </w:r>
      <w:proofErr w:type="spellStart"/>
      <w:r>
        <w:t>etravirine</w:t>
      </w:r>
      <w:proofErr w:type="spellEnd"/>
      <w:r>
        <w:t xml:space="preserve">, </w:t>
      </w:r>
      <w:proofErr w:type="spellStart"/>
      <w:r>
        <w:t>nevirapine</w:t>
      </w:r>
      <w:proofErr w:type="spellEnd"/>
      <w:r>
        <w:t xml:space="preserve">, or </w:t>
      </w:r>
      <w:proofErr w:type="spellStart"/>
      <w:r>
        <w:t>rilpivirine</w:t>
      </w:r>
      <w:proofErr w:type="spellEnd"/>
      <w:r>
        <w:t xml:space="preserve">; the NRTIs </w:t>
      </w:r>
      <w:proofErr w:type="spellStart"/>
      <w:r>
        <w:t>abacavir</w:t>
      </w:r>
      <w:proofErr w:type="spellEnd"/>
      <w:r>
        <w:t xml:space="preserve">, </w:t>
      </w:r>
      <w:proofErr w:type="spellStart"/>
      <w:r>
        <w:t>didanosine</w:t>
      </w:r>
      <w:proofErr w:type="spellEnd"/>
      <w:r>
        <w:t>, emtricitabine,</w:t>
      </w:r>
      <w:r>
        <w:rPr>
          <w:spacing w:val="-12"/>
        </w:rPr>
        <w:t xml:space="preserve"> </w:t>
      </w:r>
      <w:r>
        <w:t>lamivudine,</w:t>
      </w:r>
      <w:r>
        <w:rPr>
          <w:spacing w:val="-12"/>
        </w:rPr>
        <w:t xml:space="preserve"> </w:t>
      </w:r>
      <w:proofErr w:type="spellStart"/>
      <w:r>
        <w:t>stavudine</w:t>
      </w:r>
      <w:proofErr w:type="spellEnd"/>
      <w:r>
        <w:t>,</w:t>
      </w:r>
      <w:r>
        <w:rPr>
          <w:spacing w:val="-12"/>
        </w:rPr>
        <w:t xml:space="preserve"> </w:t>
      </w:r>
      <w:r>
        <w:t>tenofovir</w:t>
      </w:r>
      <w:r>
        <w:rPr>
          <w:spacing w:val="-11"/>
        </w:rPr>
        <w:t xml:space="preserve"> </w:t>
      </w:r>
      <w:r>
        <w:t>DF,</w:t>
      </w:r>
      <w:r>
        <w:rPr>
          <w:spacing w:val="-12"/>
        </w:rPr>
        <w:t xml:space="preserve"> </w:t>
      </w:r>
      <w:proofErr w:type="spellStart"/>
      <w:r>
        <w:t>zalcitabine</w:t>
      </w:r>
      <w:proofErr w:type="spellEnd"/>
      <w:r>
        <w:rPr>
          <w:spacing w:val="-10"/>
        </w:rPr>
        <w:t xml:space="preserve"> </w:t>
      </w:r>
      <w:r>
        <w:t>or</w:t>
      </w:r>
      <w:r>
        <w:rPr>
          <w:spacing w:val="-12"/>
        </w:rPr>
        <w:t xml:space="preserve"> </w:t>
      </w:r>
      <w:r>
        <w:t>zidovudine;</w:t>
      </w:r>
      <w:r>
        <w:rPr>
          <w:spacing w:val="-12"/>
        </w:rPr>
        <w:t xml:space="preserve"> </w:t>
      </w:r>
      <w:r>
        <w:t>the</w:t>
      </w:r>
      <w:r>
        <w:rPr>
          <w:spacing w:val="-11"/>
        </w:rPr>
        <w:t xml:space="preserve"> </w:t>
      </w:r>
      <w:r>
        <w:t>PIs</w:t>
      </w:r>
      <w:r>
        <w:rPr>
          <w:spacing w:val="-12"/>
        </w:rPr>
        <w:t xml:space="preserve"> </w:t>
      </w:r>
      <w:proofErr w:type="spellStart"/>
      <w:r>
        <w:t>darunavir</w:t>
      </w:r>
      <w:proofErr w:type="spellEnd"/>
      <w:r>
        <w:t xml:space="preserve"> or</w:t>
      </w:r>
      <w:r>
        <w:rPr>
          <w:spacing w:val="-9"/>
        </w:rPr>
        <w:t xml:space="preserve"> </w:t>
      </w:r>
      <w:proofErr w:type="spellStart"/>
      <w:r>
        <w:t>indinavir</w:t>
      </w:r>
      <w:proofErr w:type="spellEnd"/>
      <w:r>
        <w:t>;</w:t>
      </w:r>
      <w:r>
        <w:rPr>
          <w:spacing w:val="-8"/>
        </w:rPr>
        <w:t xml:space="preserve"> </w:t>
      </w:r>
      <w:r>
        <w:t>the</w:t>
      </w:r>
      <w:r>
        <w:rPr>
          <w:spacing w:val="-8"/>
        </w:rPr>
        <w:t xml:space="preserve"> </w:t>
      </w:r>
      <w:r>
        <w:t>fusion</w:t>
      </w:r>
      <w:r>
        <w:rPr>
          <w:spacing w:val="-8"/>
        </w:rPr>
        <w:t xml:space="preserve"> </w:t>
      </w:r>
      <w:r>
        <w:t>inhibitor</w:t>
      </w:r>
      <w:r>
        <w:rPr>
          <w:spacing w:val="-8"/>
        </w:rPr>
        <w:t xml:space="preserve"> </w:t>
      </w:r>
      <w:proofErr w:type="spellStart"/>
      <w:r>
        <w:t>enfuvirtide</w:t>
      </w:r>
      <w:proofErr w:type="spellEnd"/>
      <w:r>
        <w:t>;</w:t>
      </w:r>
      <w:r>
        <w:rPr>
          <w:spacing w:val="-8"/>
        </w:rPr>
        <w:t xml:space="preserve"> </w:t>
      </w:r>
      <w:r>
        <w:t>the</w:t>
      </w:r>
      <w:r>
        <w:rPr>
          <w:spacing w:val="-9"/>
        </w:rPr>
        <w:t xml:space="preserve"> </w:t>
      </w:r>
      <w:r>
        <w:t>CCR5</w:t>
      </w:r>
      <w:r>
        <w:rPr>
          <w:spacing w:val="-8"/>
        </w:rPr>
        <w:t xml:space="preserve"> </w:t>
      </w:r>
      <w:r>
        <w:t>co-receptor</w:t>
      </w:r>
      <w:r>
        <w:rPr>
          <w:spacing w:val="-8"/>
        </w:rPr>
        <w:t xml:space="preserve"> </w:t>
      </w:r>
      <w:r>
        <w:t>antagonist</w:t>
      </w:r>
      <w:r>
        <w:rPr>
          <w:spacing w:val="-8"/>
        </w:rPr>
        <w:t xml:space="preserve"> </w:t>
      </w:r>
      <w:proofErr w:type="spellStart"/>
      <w:r>
        <w:t>maraviroc</w:t>
      </w:r>
      <w:proofErr w:type="spellEnd"/>
      <w:r>
        <w:t>;</w:t>
      </w:r>
      <w:r>
        <w:rPr>
          <w:spacing w:val="-8"/>
        </w:rPr>
        <w:t xml:space="preserve"> </w:t>
      </w:r>
      <w:r>
        <w:t>or</w:t>
      </w:r>
      <w:r>
        <w:rPr>
          <w:spacing w:val="-8"/>
        </w:rPr>
        <w:t xml:space="preserve"> </w:t>
      </w:r>
      <w:r>
        <w:t>the integrase strand transfer inhibitor</w:t>
      </w:r>
      <w:r>
        <w:rPr>
          <w:spacing w:val="-2"/>
        </w:rPr>
        <w:t xml:space="preserve"> </w:t>
      </w:r>
      <w:proofErr w:type="spellStart"/>
      <w:r>
        <w:t>raltegravir</w:t>
      </w:r>
      <w:proofErr w:type="spellEnd"/>
      <w:r>
        <w:t>.</w:t>
      </w:r>
    </w:p>
    <w:p w14:paraId="7E26D7C9" w14:textId="77777777" w:rsidR="001439E0" w:rsidRDefault="008A23E0">
      <w:pPr>
        <w:pStyle w:val="BodyText"/>
        <w:spacing w:before="200"/>
      </w:pPr>
      <w:r>
        <w:rPr>
          <w:u w:val="single"/>
        </w:rPr>
        <w:t>Resistance</w:t>
      </w:r>
    </w:p>
    <w:p w14:paraId="7E26D7CA" w14:textId="77777777" w:rsidR="001439E0" w:rsidRDefault="008A23E0">
      <w:pPr>
        <w:spacing w:before="199"/>
        <w:ind w:left="420"/>
        <w:jc w:val="both"/>
        <w:rPr>
          <w:i/>
        </w:rPr>
      </w:pPr>
      <w:r>
        <w:rPr>
          <w:i/>
        </w:rPr>
        <w:t>In Cell Culture</w:t>
      </w:r>
    </w:p>
    <w:p w14:paraId="7E26D7CB" w14:textId="77777777" w:rsidR="001439E0" w:rsidRDefault="008A23E0">
      <w:pPr>
        <w:pStyle w:val="BodyText"/>
        <w:spacing w:before="201"/>
        <w:ind w:right="1274"/>
      </w:pPr>
      <w:r>
        <w:t>Doravirine-resistant strains were selected in cell culture starting from wild-type HIV-1 of different origins and subtypes, as well as NNRTI-resistant HIV-1. Observed emergent amino acid substitutions in RT included: V106A, V106M, V106I, V108I, F227L, F227C, F227V, H221Y, M230I, L234I, P236L, and Y318F.</w:t>
      </w:r>
    </w:p>
    <w:p w14:paraId="7E26D7CC" w14:textId="77777777" w:rsidR="001439E0" w:rsidRDefault="001439E0">
      <w:pPr>
        <w:sectPr w:rsidR="001439E0">
          <w:pgSz w:w="11910" w:h="16840"/>
          <w:pgMar w:top="1360" w:right="160" w:bottom="1100" w:left="1020" w:header="0" w:footer="839" w:gutter="0"/>
          <w:cols w:space="720"/>
        </w:sectPr>
      </w:pPr>
    </w:p>
    <w:p w14:paraId="7E26D7CD" w14:textId="77777777" w:rsidR="001439E0" w:rsidRDefault="008A23E0">
      <w:pPr>
        <w:spacing w:before="80"/>
        <w:ind w:left="420"/>
        <w:jc w:val="both"/>
        <w:rPr>
          <w:i/>
        </w:rPr>
      </w:pPr>
      <w:r>
        <w:rPr>
          <w:i/>
        </w:rPr>
        <w:lastRenderedPageBreak/>
        <w:t>In Clinical Trials</w:t>
      </w:r>
    </w:p>
    <w:p w14:paraId="7E26D7CE" w14:textId="77777777" w:rsidR="001439E0" w:rsidRDefault="008A23E0">
      <w:pPr>
        <w:pStyle w:val="BodyText"/>
        <w:spacing w:before="199"/>
        <w:ind w:right="1275"/>
      </w:pPr>
      <w:r>
        <w:t>In the doravirine treatment arms of the treatment-naïve trials DRIVE-FORWARD and</w:t>
      </w:r>
      <w:r>
        <w:rPr>
          <w:spacing w:val="-32"/>
        </w:rPr>
        <w:t xml:space="preserve"> </w:t>
      </w:r>
      <w:r>
        <w:t>DRIVE- AHEAD</w:t>
      </w:r>
      <w:r>
        <w:rPr>
          <w:spacing w:val="-6"/>
        </w:rPr>
        <w:t xml:space="preserve"> </w:t>
      </w:r>
      <w:r>
        <w:t>(n=747),</w:t>
      </w:r>
      <w:r>
        <w:rPr>
          <w:spacing w:val="-6"/>
        </w:rPr>
        <w:t xml:space="preserve"> </w:t>
      </w:r>
      <w:r>
        <w:t>emergent</w:t>
      </w:r>
      <w:r>
        <w:rPr>
          <w:spacing w:val="-6"/>
        </w:rPr>
        <w:t xml:space="preserve"> </w:t>
      </w:r>
      <w:r>
        <w:t>doravirine-associated</w:t>
      </w:r>
      <w:r>
        <w:rPr>
          <w:spacing w:val="-5"/>
        </w:rPr>
        <w:t xml:space="preserve"> </w:t>
      </w:r>
      <w:r>
        <w:t>resistance</w:t>
      </w:r>
      <w:r>
        <w:rPr>
          <w:spacing w:val="-7"/>
        </w:rPr>
        <w:t xml:space="preserve"> </w:t>
      </w:r>
      <w:r>
        <w:t>substitutions</w:t>
      </w:r>
      <w:r>
        <w:rPr>
          <w:spacing w:val="-6"/>
        </w:rPr>
        <w:t xml:space="preserve"> </w:t>
      </w:r>
      <w:r>
        <w:t>were</w:t>
      </w:r>
      <w:r>
        <w:rPr>
          <w:spacing w:val="-6"/>
        </w:rPr>
        <w:t xml:space="preserve"> </w:t>
      </w:r>
      <w:r>
        <w:t>observed</w:t>
      </w:r>
      <w:r>
        <w:rPr>
          <w:spacing w:val="-5"/>
        </w:rPr>
        <w:t xml:space="preserve"> </w:t>
      </w:r>
      <w:r>
        <w:t>in</w:t>
      </w:r>
      <w:r>
        <w:rPr>
          <w:spacing w:val="-6"/>
        </w:rPr>
        <w:t xml:space="preserve"> </w:t>
      </w:r>
      <w:r>
        <w:t>7 of 30 subjects in the resistance analysis subset (subjects with HIV-1 RNA greater than 400 copies</w:t>
      </w:r>
      <w:r>
        <w:rPr>
          <w:spacing w:val="-9"/>
        </w:rPr>
        <w:t xml:space="preserve"> </w:t>
      </w:r>
      <w:r>
        <w:t>per</w:t>
      </w:r>
      <w:r>
        <w:rPr>
          <w:spacing w:val="-11"/>
        </w:rPr>
        <w:t xml:space="preserve"> </w:t>
      </w:r>
      <w:r>
        <w:t>mL</w:t>
      </w:r>
      <w:r>
        <w:rPr>
          <w:spacing w:val="-9"/>
        </w:rPr>
        <w:t xml:space="preserve"> </w:t>
      </w:r>
      <w:r>
        <w:t>at</w:t>
      </w:r>
      <w:r>
        <w:rPr>
          <w:spacing w:val="-8"/>
        </w:rPr>
        <w:t xml:space="preserve"> </w:t>
      </w:r>
      <w:proofErr w:type="spellStart"/>
      <w:r>
        <w:t>virologic</w:t>
      </w:r>
      <w:proofErr w:type="spellEnd"/>
      <w:r>
        <w:rPr>
          <w:spacing w:val="-9"/>
        </w:rPr>
        <w:t xml:space="preserve"> </w:t>
      </w:r>
      <w:r>
        <w:t>failure</w:t>
      </w:r>
      <w:r>
        <w:rPr>
          <w:spacing w:val="-9"/>
        </w:rPr>
        <w:t xml:space="preserve"> </w:t>
      </w:r>
      <w:r>
        <w:t>or</w:t>
      </w:r>
      <w:r>
        <w:rPr>
          <w:spacing w:val="-11"/>
        </w:rPr>
        <w:t xml:space="preserve"> </w:t>
      </w:r>
      <w:r>
        <w:t>at</w:t>
      </w:r>
      <w:r>
        <w:rPr>
          <w:spacing w:val="-8"/>
        </w:rPr>
        <w:t xml:space="preserve"> </w:t>
      </w:r>
      <w:r>
        <w:t>early</w:t>
      </w:r>
      <w:r>
        <w:rPr>
          <w:spacing w:val="-9"/>
        </w:rPr>
        <w:t xml:space="preserve"> </w:t>
      </w:r>
      <w:r>
        <w:t>study</w:t>
      </w:r>
      <w:r>
        <w:rPr>
          <w:spacing w:val="-9"/>
        </w:rPr>
        <w:t xml:space="preserve"> </w:t>
      </w:r>
      <w:r>
        <w:t>discontinuation</w:t>
      </w:r>
      <w:r>
        <w:rPr>
          <w:spacing w:val="-8"/>
        </w:rPr>
        <w:t xml:space="preserve"> </w:t>
      </w:r>
      <w:r>
        <w:t>and</w:t>
      </w:r>
      <w:r>
        <w:rPr>
          <w:spacing w:val="-11"/>
        </w:rPr>
        <w:t xml:space="preserve"> </w:t>
      </w:r>
      <w:r>
        <w:t>having</w:t>
      </w:r>
      <w:r>
        <w:rPr>
          <w:spacing w:val="-9"/>
        </w:rPr>
        <w:t xml:space="preserve"> </w:t>
      </w:r>
      <w:r>
        <w:t>resistance</w:t>
      </w:r>
      <w:r>
        <w:rPr>
          <w:spacing w:val="-9"/>
        </w:rPr>
        <w:t xml:space="preserve"> </w:t>
      </w:r>
      <w:r>
        <w:t xml:space="preserve">data). In the </w:t>
      </w:r>
      <w:proofErr w:type="spellStart"/>
      <w:r>
        <w:t>DRV+r</w:t>
      </w:r>
      <w:proofErr w:type="spellEnd"/>
      <w:r>
        <w:t xml:space="preserve"> treatment arm of the DRIVE-FORWARD trial (n=383), no emergent </w:t>
      </w:r>
      <w:proofErr w:type="spellStart"/>
      <w:r>
        <w:t>darunavir</w:t>
      </w:r>
      <w:proofErr w:type="spellEnd"/>
      <w:r>
        <w:t>- associated</w:t>
      </w:r>
      <w:r>
        <w:rPr>
          <w:spacing w:val="-17"/>
        </w:rPr>
        <w:t xml:space="preserve"> </w:t>
      </w:r>
      <w:r>
        <w:t>resistance</w:t>
      </w:r>
      <w:r>
        <w:rPr>
          <w:spacing w:val="-16"/>
        </w:rPr>
        <w:t xml:space="preserve"> </w:t>
      </w:r>
      <w:r>
        <w:t>substitutions</w:t>
      </w:r>
      <w:r>
        <w:rPr>
          <w:spacing w:val="-15"/>
        </w:rPr>
        <w:t xml:space="preserve"> </w:t>
      </w:r>
      <w:r>
        <w:t>were</w:t>
      </w:r>
      <w:r>
        <w:rPr>
          <w:spacing w:val="-17"/>
        </w:rPr>
        <w:t xml:space="preserve"> </w:t>
      </w:r>
      <w:r>
        <w:t>observed</w:t>
      </w:r>
      <w:r>
        <w:rPr>
          <w:spacing w:val="-16"/>
        </w:rPr>
        <w:t xml:space="preserve"> </w:t>
      </w:r>
      <w:r>
        <w:t>in</w:t>
      </w:r>
      <w:r>
        <w:rPr>
          <w:spacing w:val="-17"/>
        </w:rPr>
        <w:t xml:space="preserve"> </w:t>
      </w:r>
      <w:r>
        <w:t>the</w:t>
      </w:r>
      <w:r>
        <w:rPr>
          <w:spacing w:val="-16"/>
        </w:rPr>
        <w:t xml:space="preserve"> </w:t>
      </w:r>
      <w:r>
        <w:t>11</w:t>
      </w:r>
      <w:r>
        <w:rPr>
          <w:spacing w:val="-17"/>
        </w:rPr>
        <w:t xml:space="preserve"> </w:t>
      </w:r>
      <w:r>
        <w:t>subjects</w:t>
      </w:r>
      <w:r>
        <w:rPr>
          <w:spacing w:val="-16"/>
        </w:rPr>
        <w:t xml:space="preserve"> </w:t>
      </w:r>
      <w:r>
        <w:t>in</w:t>
      </w:r>
      <w:r>
        <w:rPr>
          <w:spacing w:val="-17"/>
        </w:rPr>
        <w:t xml:space="preserve"> </w:t>
      </w:r>
      <w:r>
        <w:t>the</w:t>
      </w:r>
      <w:r>
        <w:rPr>
          <w:spacing w:val="-16"/>
        </w:rPr>
        <w:t xml:space="preserve"> </w:t>
      </w:r>
      <w:r>
        <w:t>resistance</w:t>
      </w:r>
      <w:r>
        <w:rPr>
          <w:spacing w:val="-18"/>
        </w:rPr>
        <w:t xml:space="preserve"> </w:t>
      </w:r>
      <w:r>
        <w:t xml:space="preserve">analysis subset. In the EFV/FTC/TDF treatment arm of the DRIVE-AHEAD trial (n=364), emergent </w:t>
      </w:r>
      <w:proofErr w:type="spellStart"/>
      <w:r>
        <w:t>efavirenz</w:t>
      </w:r>
      <w:proofErr w:type="spellEnd"/>
      <w:r>
        <w:t>-associated resistance substitutions were observed in 12 out of 24 subjects in the resistance analysis</w:t>
      </w:r>
      <w:r>
        <w:rPr>
          <w:spacing w:val="-2"/>
        </w:rPr>
        <w:t xml:space="preserve"> </w:t>
      </w:r>
      <w:r>
        <w:t>subset.</w:t>
      </w:r>
    </w:p>
    <w:p w14:paraId="7E26D7CF" w14:textId="77777777" w:rsidR="001439E0" w:rsidRDefault="008A23E0">
      <w:pPr>
        <w:pStyle w:val="BodyText"/>
        <w:spacing w:before="200"/>
        <w:ind w:right="1275"/>
      </w:pPr>
      <w:r>
        <w:t>Emergent doravirine associated resistance substitutions in RT included one or more of the following: A98G, V106I, V106A, V106M/T, Y188L, H221Y, P225H, F227C, F227C/R, and Y318Y/F.</w:t>
      </w:r>
    </w:p>
    <w:p w14:paraId="7E26D7D0" w14:textId="77777777" w:rsidR="001439E0" w:rsidRDefault="008A23E0">
      <w:pPr>
        <w:pStyle w:val="BodyText"/>
        <w:spacing w:before="201"/>
      </w:pPr>
      <w:r>
        <w:rPr>
          <w:u w:val="single"/>
        </w:rPr>
        <w:t>Cross-Resistance</w:t>
      </w:r>
    </w:p>
    <w:p w14:paraId="7E26D7D1" w14:textId="77777777" w:rsidR="001439E0" w:rsidRDefault="008A23E0">
      <w:pPr>
        <w:pStyle w:val="BodyText"/>
        <w:spacing w:before="200"/>
        <w:ind w:right="1275"/>
      </w:pPr>
      <w:r>
        <w:t xml:space="preserve">Laboratory strains of HIV-1 </w:t>
      </w:r>
      <w:proofErr w:type="spellStart"/>
      <w:r>
        <w:t>harbouring</w:t>
      </w:r>
      <w:proofErr w:type="spellEnd"/>
      <w:r>
        <w:t xml:space="preserve"> the common NNRTI-associated mutations K103N, Y181C, or K103N/Y181C substitutions in RT exhibit less than a 3-fold decrease in susceptibility to doravirine compared to wild-type virus when evaluated in the presence of 100% NHS. Doravirine was able to suppress the following NNRTI-associated substitutions: K103N, Y181C, G190A, and E138K mutants under clinically relevant concentrations.</w:t>
      </w:r>
    </w:p>
    <w:p w14:paraId="7E26D7D2" w14:textId="77777777" w:rsidR="001439E0" w:rsidRDefault="008A23E0">
      <w:pPr>
        <w:pStyle w:val="BodyText"/>
        <w:spacing w:before="200"/>
        <w:ind w:left="419" w:right="1275"/>
      </w:pPr>
      <w:r>
        <w:t xml:space="preserve">A panel of 96 diverse clinical isolates containing NNRTI-associated mutations was evaluated for susceptibility to doravirine in the presence of 10% </w:t>
      </w:r>
      <w:proofErr w:type="spellStart"/>
      <w:r>
        <w:t>foetal</w:t>
      </w:r>
      <w:proofErr w:type="spellEnd"/>
      <w:r>
        <w:t xml:space="preserve"> bovine serum. Clinical isolates containing the Y188L substitution alone of Y188L or V106A substitutions in combination with E138K, F227L, G190A, K103N and/or M230L showed a greater than 100-fold reduced susceptibility to doravirine.</w:t>
      </w:r>
    </w:p>
    <w:p w14:paraId="7E26D7D3" w14:textId="77777777" w:rsidR="001439E0" w:rsidRDefault="008A23E0">
      <w:pPr>
        <w:pStyle w:val="BodyText"/>
        <w:spacing w:before="199"/>
        <w:ind w:left="419" w:right="1276"/>
      </w:pPr>
      <w:r>
        <w:t>Treatment emergent doravirine resistance associated substitutions may confer cross resistance</w:t>
      </w:r>
      <w:r>
        <w:rPr>
          <w:spacing w:val="-9"/>
        </w:rPr>
        <w:t xml:space="preserve"> </w:t>
      </w:r>
      <w:r>
        <w:t>to</w:t>
      </w:r>
      <w:r>
        <w:rPr>
          <w:spacing w:val="-8"/>
        </w:rPr>
        <w:t xml:space="preserve"> </w:t>
      </w:r>
      <w:proofErr w:type="spellStart"/>
      <w:r>
        <w:t>efavirenz</w:t>
      </w:r>
      <w:proofErr w:type="spellEnd"/>
      <w:r>
        <w:t>,</w:t>
      </w:r>
      <w:r>
        <w:rPr>
          <w:spacing w:val="-7"/>
        </w:rPr>
        <w:t xml:space="preserve"> </w:t>
      </w:r>
      <w:proofErr w:type="spellStart"/>
      <w:r>
        <w:t>rilpivirine</w:t>
      </w:r>
      <w:proofErr w:type="spellEnd"/>
      <w:r>
        <w:t>,</w:t>
      </w:r>
      <w:r>
        <w:rPr>
          <w:spacing w:val="-8"/>
        </w:rPr>
        <w:t xml:space="preserve"> </w:t>
      </w:r>
      <w:proofErr w:type="spellStart"/>
      <w:r>
        <w:t>nevirapine</w:t>
      </w:r>
      <w:proofErr w:type="spellEnd"/>
      <w:r>
        <w:t>,</w:t>
      </w:r>
      <w:r>
        <w:rPr>
          <w:spacing w:val="-8"/>
        </w:rPr>
        <w:t xml:space="preserve"> </w:t>
      </w:r>
      <w:r>
        <w:t>and</w:t>
      </w:r>
      <w:r>
        <w:rPr>
          <w:spacing w:val="-7"/>
        </w:rPr>
        <w:t xml:space="preserve"> </w:t>
      </w:r>
      <w:proofErr w:type="spellStart"/>
      <w:r>
        <w:t>etravirine</w:t>
      </w:r>
      <w:proofErr w:type="spellEnd"/>
      <w:r>
        <w:t>.</w:t>
      </w:r>
      <w:r>
        <w:rPr>
          <w:spacing w:val="-8"/>
        </w:rPr>
        <w:t xml:space="preserve"> </w:t>
      </w:r>
      <w:r>
        <w:t>Of</w:t>
      </w:r>
      <w:r>
        <w:rPr>
          <w:spacing w:val="-7"/>
        </w:rPr>
        <w:t xml:space="preserve"> </w:t>
      </w:r>
      <w:r>
        <w:t>the</w:t>
      </w:r>
      <w:r>
        <w:rPr>
          <w:spacing w:val="-8"/>
        </w:rPr>
        <w:t xml:space="preserve"> </w:t>
      </w:r>
      <w:r>
        <w:t>7</w:t>
      </w:r>
      <w:r>
        <w:rPr>
          <w:spacing w:val="-8"/>
        </w:rPr>
        <w:t xml:space="preserve"> </w:t>
      </w:r>
      <w:r>
        <w:t>subjects</w:t>
      </w:r>
      <w:r>
        <w:rPr>
          <w:spacing w:val="-7"/>
        </w:rPr>
        <w:t xml:space="preserve"> </w:t>
      </w:r>
      <w:r>
        <w:t>who</w:t>
      </w:r>
      <w:r>
        <w:rPr>
          <w:spacing w:val="-8"/>
        </w:rPr>
        <w:t xml:space="preserve"> </w:t>
      </w:r>
      <w:r>
        <w:t xml:space="preserve">developed doravirine resistance, 6 had phenotypic resistance to EFV and </w:t>
      </w:r>
      <w:proofErr w:type="spellStart"/>
      <w:r>
        <w:t>nevirapine</w:t>
      </w:r>
      <w:proofErr w:type="spellEnd"/>
      <w:r>
        <w:t xml:space="preserve">, 3 had phenotypic resistance to </w:t>
      </w:r>
      <w:proofErr w:type="spellStart"/>
      <w:r>
        <w:t>rilpivirine</w:t>
      </w:r>
      <w:proofErr w:type="spellEnd"/>
      <w:r>
        <w:t xml:space="preserve">, and 2 had partial resistance to </w:t>
      </w:r>
      <w:proofErr w:type="spellStart"/>
      <w:r>
        <w:t>etravirine</w:t>
      </w:r>
      <w:proofErr w:type="spellEnd"/>
      <w:r>
        <w:t xml:space="preserve"> based on the Monogram </w:t>
      </w:r>
      <w:proofErr w:type="spellStart"/>
      <w:r>
        <w:t>Phenosense</w:t>
      </w:r>
      <w:proofErr w:type="spellEnd"/>
      <w:r>
        <w:rPr>
          <w:spacing w:val="-2"/>
        </w:rPr>
        <w:t xml:space="preserve"> </w:t>
      </w:r>
      <w:r>
        <w:t>assay.</w:t>
      </w:r>
    </w:p>
    <w:p w14:paraId="7E26D7D4" w14:textId="77777777" w:rsidR="001439E0" w:rsidRDefault="008A23E0">
      <w:pPr>
        <w:pStyle w:val="Heading3"/>
        <w:ind w:left="419"/>
        <w:jc w:val="both"/>
      </w:pPr>
      <w:r>
        <w:t>Clinical trials</w:t>
      </w:r>
    </w:p>
    <w:p w14:paraId="7E26D7D5" w14:textId="77777777" w:rsidR="001439E0" w:rsidRDefault="008A23E0">
      <w:pPr>
        <w:pStyle w:val="BodyText"/>
        <w:spacing w:before="121"/>
        <w:ind w:left="419"/>
      </w:pPr>
      <w:r>
        <w:rPr>
          <w:u w:val="single"/>
        </w:rPr>
        <w:t>Treatment-Naïve Adult Subjects</w:t>
      </w:r>
    </w:p>
    <w:p w14:paraId="7E26D7D6" w14:textId="77777777" w:rsidR="001439E0" w:rsidRDefault="008A23E0">
      <w:pPr>
        <w:pStyle w:val="BodyText"/>
        <w:spacing w:before="199"/>
        <w:ind w:right="1277"/>
      </w:pPr>
      <w:r>
        <w:t xml:space="preserve">The efficacy of PIFELTRO is based on the analyses of 48-week data from two randomized, </w:t>
      </w:r>
      <w:proofErr w:type="spellStart"/>
      <w:r>
        <w:t>multicentre</w:t>
      </w:r>
      <w:proofErr w:type="spellEnd"/>
      <w:r>
        <w:t>, double-blind, active controlled Phase 3 trials, (DRIVE-FORWARD and DRIVE- AHEAD) in antiretroviral treatment-naïve, HIV-1 infected subjects (n=1494).</w:t>
      </w:r>
    </w:p>
    <w:p w14:paraId="7E26D7D7" w14:textId="77777777" w:rsidR="001439E0" w:rsidRDefault="008A23E0">
      <w:pPr>
        <w:pStyle w:val="BodyText"/>
        <w:spacing w:before="201"/>
        <w:ind w:right="1275"/>
      </w:pPr>
      <w:r>
        <w:t xml:space="preserve">In DRIVE-FORWARD, 766 subjects were randomized and received at least 1 dose of either PIFELTRO once daily or </w:t>
      </w:r>
      <w:proofErr w:type="spellStart"/>
      <w:r>
        <w:t>DRV+r</w:t>
      </w:r>
      <w:proofErr w:type="spellEnd"/>
      <w:r>
        <w:t xml:space="preserve"> 800/100 mg once daily each in combination with emtricitabine/tenofovir DF (FTC/TDF) or </w:t>
      </w:r>
      <w:proofErr w:type="spellStart"/>
      <w:r>
        <w:t>abacavir</w:t>
      </w:r>
      <w:proofErr w:type="spellEnd"/>
      <w:r>
        <w:t>/lamivudine (ABC/3TC) selected by the investigator. At baseline, the median age of subjects was 33 years, 16% were female, 27% were non-white, 4% had hepatitis B and/or C virus co-infection, 10% had a history of AIDS, 20% had HIV-1 RNA greater than 100,000 copies/mL, 86% had CD4+ T-cell count greater than 200 cells/mm</w:t>
      </w:r>
      <w:r>
        <w:rPr>
          <w:position w:val="7"/>
          <w:sz w:val="14"/>
        </w:rPr>
        <w:t>3</w:t>
      </w:r>
      <w:r>
        <w:t>, 13% received ABC/3TC and 87% received FTC/TDF; these characteristics were similar between treatment groups.</w:t>
      </w:r>
    </w:p>
    <w:p w14:paraId="7E26D7D8" w14:textId="77777777" w:rsidR="001439E0" w:rsidRDefault="008A23E0">
      <w:pPr>
        <w:pStyle w:val="BodyText"/>
        <w:spacing w:before="200"/>
        <w:ind w:right="1275"/>
      </w:pPr>
      <w:r>
        <w:t>In DRIVE-AHEAD, 728 subjects were randomized and received at least 1 dose of either DELSTRIGO-DOR/3TC/TDF or EFV/FTC/TDF once daily. At baseline, the median age of subjects was 31 years, 15% were female, 52% were non-white, 3% had hepatitis B or C co- infection, 14% had a history of AIDS, 21% had HIV-1 RNA greater than 100,000 copies/mL,</w:t>
      </w:r>
    </w:p>
    <w:p w14:paraId="7E26D7D9" w14:textId="77777777" w:rsidR="001439E0" w:rsidRDefault="001439E0">
      <w:pPr>
        <w:sectPr w:rsidR="001439E0">
          <w:pgSz w:w="11910" w:h="16840"/>
          <w:pgMar w:top="1360" w:right="160" w:bottom="1100" w:left="1020" w:header="0" w:footer="839" w:gutter="0"/>
          <w:cols w:space="720"/>
        </w:sectPr>
      </w:pPr>
    </w:p>
    <w:p w14:paraId="7E26D7DA" w14:textId="77777777" w:rsidR="001439E0" w:rsidRDefault="008A23E0">
      <w:pPr>
        <w:pStyle w:val="BodyText"/>
        <w:spacing w:before="80"/>
        <w:ind w:right="1275"/>
      </w:pPr>
      <w:r>
        <w:lastRenderedPageBreak/>
        <w:t>and</w:t>
      </w:r>
      <w:r>
        <w:rPr>
          <w:spacing w:val="-13"/>
        </w:rPr>
        <w:t xml:space="preserve"> </w:t>
      </w:r>
      <w:r>
        <w:t>88%</w:t>
      </w:r>
      <w:r>
        <w:rPr>
          <w:spacing w:val="-13"/>
        </w:rPr>
        <w:t xml:space="preserve"> </w:t>
      </w:r>
      <w:r>
        <w:t>had</w:t>
      </w:r>
      <w:r>
        <w:rPr>
          <w:spacing w:val="-12"/>
        </w:rPr>
        <w:t xml:space="preserve"> </w:t>
      </w:r>
      <w:r>
        <w:t>CD4+</w:t>
      </w:r>
      <w:r>
        <w:rPr>
          <w:spacing w:val="-13"/>
        </w:rPr>
        <w:t xml:space="preserve"> </w:t>
      </w:r>
      <w:r>
        <w:t>T-cell</w:t>
      </w:r>
      <w:r>
        <w:rPr>
          <w:spacing w:val="-12"/>
        </w:rPr>
        <w:t xml:space="preserve"> </w:t>
      </w:r>
      <w:r>
        <w:t>count</w:t>
      </w:r>
      <w:r>
        <w:rPr>
          <w:spacing w:val="-14"/>
        </w:rPr>
        <w:t xml:space="preserve"> </w:t>
      </w:r>
      <w:r>
        <w:t>greater</w:t>
      </w:r>
      <w:r>
        <w:rPr>
          <w:spacing w:val="-12"/>
        </w:rPr>
        <w:t xml:space="preserve"> </w:t>
      </w:r>
      <w:r>
        <w:t>than</w:t>
      </w:r>
      <w:r>
        <w:rPr>
          <w:spacing w:val="-13"/>
        </w:rPr>
        <w:t xml:space="preserve"> </w:t>
      </w:r>
      <w:r>
        <w:t>200</w:t>
      </w:r>
      <w:r>
        <w:rPr>
          <w:spacing w:val="-12"/>
        </w:rPr>
        <w:t xml:space="preserve"> </w:t>
      </w:r>
      <w:r>
        <w:t>cells/mm</w:t>
      </w:r>
      <w:r>
        <w:rPr>
          <w:position w:val="7"/>
          <w:sz w:val="14"/>
        </w:rPr>
        <w:t>3</w:t>
      </w:r>
      <w:r>
        <w:t>;</w:t>
      </w:r>
      <w:r>
        <w:rPr>
          <w:spacing w:val="-12"/>
        </w:rPr>
        <w:t xml:space="preserve"> </w:t>
      </w:r>
      <w:r>
        <w:t>these</w:t>
      </w:r>
      <w:r>
        <w:rPr>
          <w:spacing w:val="-12"/>
        </w:rPr>
        <w:t xml:space="preserve"> </w:t>
      </w:r>
      <w:r>
        <w:t>characteristics</w:t>
      </w:r>
      <w:r>
        <w:rPr>
          <w:spacing w:val="-13"/>
        </w:rPr>
        <w:t xml:space="preserve"> </w:t>
      </w:r>
      <w:r>
        <w:t>were</w:t>
      </w:r>
      <w:r>
        <w:rPr>
          <w:spacing w:val="-12"/>
        </w:rPr>
        <w:t xml:space="preserve"> </w:t>
      </w:r>
      <w:r>
        <w:t>similar between treatment</w:t>
      </w:r>
      <w:r>
        <w:rPr>
          <w:spacing w:val="-1"/>
        </w:rPr>
        <w:t xml:space="preserve"> </w:t>
      </w:r>
      <w:r>
        <w:t>groups.</w:t>
      </w:r>
    </w:p>
    <w:p w14:paraId="7E26D7DB" w14:textId="77777777" w:rsidR="001439E0" w:rsidRDefault="008A23E0">
      <w:pPr>
        <w:pStyle w:val="BodyText"/>
        <w:spacing w:before="199"/>
        <w:ind w:right="1275"/>
      </w:pPr>
      <w:r>
        <w:t>Week</w:t>
      </w:r>
      <w:r>
        <w:rPr>
          <w:spacing w:val="-7"/>
        </w:rPr>
        <w:t xml:space="preserve"> </w:t>
      </w:r>
      <w:r>
        <w:t>48</w:t>
      </w:r>
      <w:r>
        <w:rPr>
          <w:spacing w:val="-6"/>
        </w:rPr>
        <w:t xml:space="preserve"> </w:t>
      </w:r>
      <w:r>
        <w:t>outcomes</w:t>
      </w:r>
      <w:r>
        <w:rPr>
          <w:spacing w:val="-7"/>
        </w:rPr>
        <w:t xml:space="preserve"> </w:t>
      </w:r>
      <w:r>
        <w:t>for</w:t>
      </w:r>
      <w:r>
        <w:rPr>
          <w:spacing w:val="-6"/>
        </w:rPr>
        <w:t xml:space="preserve"> </w:t>
      </w:r>
      <w:r>
        <w:t>DRIVE-FORWARD</w:t>
      </w:r>
      <w:r>
        <w:rPr>
          <w:spacing w:val="-6"/>
        </w:rPr>
        <w:t xml:space="preserve"> </w:t>
      </w:r>
      <w:r>
        <w:t>and</w:t>
      </w:r>
      <w:r>
        <w:rPr>
          <w:spacing w:val="-6"/>
        </w:rPr>
        <w:t xml:space="preserve"> </w:t>
      </w:r>
      <w:r>
        <w:t>DRIVE-AHEAD</w:t>
      </w:r>
      <w:r>
        <w:rPr>
          <w:spacing w:val="-6"/>
        </w:rPr>
        <w:t xml:space="preserve"> </w:t>
      </w:r>
      <w:r>
        <w:t>are</w:t>
      </w:r>
      <w:r>
        <w:rPr>
          <w:spacing w:val="-7"/>
        </w:rPr>
        <w:t xml:space="preserve"> </w:t>
      </w:r>
      <w:r>
        <w:t>provided</w:t>
      </w:r>
      <w:r>
        <w:rPr>
          <w:spacing w:val="-5"/>
        </w:rPr>
        <w:t xml:space="preserve"> </w:t>
      </w:r>
      <w:r>
        <w:t>in</w:t>
      </w:r>
      <w:r>
        <w:rPr>
          <w:spacing w:val="-6"/>
        </w:rPr>
        <w:t xml:space="preserve"> </w:t>
      </w:r>
      <w:r>
        <w:t>Table</w:t>
      </w:r>
      <w:r>
        <w:rPr>
          <w:spacing w:val="-8"/>
        </w:rPr>
        <w:t xml:space="preserve"> </w:t>
      </w:r>
      <w:r>
        <w:t>6.</w:t>
      </w:r>
      <w:r>
        <w:rPr>
          <w:spacing w:val="-6"/>
        </w:rPr>
        <w:t xml:space="preserve"> </w:t>
      </w:r>
      <w:r>
        <w:t>Side- by-side tabulation is to simplify presentation; direct comparisons across trials should not be made due to differing trial</w:t>
      </w:r>
      <w:r>
        <w:rPr>
          <w:spacing w:val="-1"/>
        </w:rPr>
        <w:t xml:space="preserve"> </w:t>
      </w:r>
      <w:r>
        <w:t>designs.</w:t>
      </w:r>
    </w:p>
    <w:p w14:paraId="7E26D7DC" w14:textId="77777777" w:rsidR="001439E0" w:rsidRDefault="008A23E0">
      <w:pPr>
        <w:pStyle w:val="BodyText"/>
        <w:spacing w:before="200"/>
        <w:ind w:right="1275"/>
      </w:pPr>
      <w:r>
        <w:t>In</w:t>
      </w:r>
      <w:r>
        <w:rPr>
          <w:spacing w:val="-7"/>
        </w:rPr>
        <w:t xml:space="preserve"> </w:t>
      </w:r>
      <w:r>
        <w:t>DRIVE-FORWARD,</w:t>
      </w:r>
      <w:r>
        <w:rPr>
          <w:spacing w:val="-6"/>
        </w:rPr>
        <w:t xml:space="preserve"> </w:t>
      </w:r>
      <w:r>
        <w:t>PIFELTRO</w:t>
      </w:r>
      <w:r>
        <w:rPr>
          <w:spacing w:val="-6"/>
        </w:rPr>
        <w:t xml:space="preserve"> </w:t>
      </w:r>
      <w:r>
        <w:t>demonstrated</w:t>
      </w:r>
      <w:r>
        <w:rPr>
          <w:spacing w:val="-7"/>
        </w:rPr>
        <w:t xml:space="preserve"> </w:t>
      </w:r>
      <w:r>
        <w:t>consistent</w:t>
      </w:r>
      <w:r>
        <w:rPr>
          <w:spacing w:val="-8"/>
        </w:rPr>
        <w:t xml:space="preserve"> </w:t>
      </w:r>
      <w:r>
        <w:t>efficacy</w:t>
      </w:r>
      <w:r>
        <w:rPr>
          <w:spacing w:val="-7"/>
        </w:rPr>
        <w:t xml:space="preserve"> </w:t>
      </w:r>
      <w:r>
        <w:t>across</w:t>
      </w:r>
      <w:r>
        <w:rPr>
          <w:spacing w:val="-7"/>
        </w:rPr>
        <w:t xml:space="preserve"> </w:t>
      </w:r>
      <w:r>
        <w:t>demographic</w:t>
      </w:r>
      <w:r>
        <w:rPr>
          <w:spacing w:val="-7"/>
        </w:rPr>
        <w:t xml:space="preserve"> </w:t>
      </w:r>
      <w:r>
        <w:t xml:space="preserve">and baseline prognostic factors, including gender, race, ethnicity, NRTI background therapy, baseline HIV-1 RNA (≤100,000 or &gt;100,000 copies/mL), CD4+ T-cell count, and viral subtypes. Mean CD4+ T-cell counts in the PIFELTRO and </w:t>
      </w:r>
      <w:proofErr w:type="spellStart"/>
      <w:r>
        <w:t>DRV+r</w:t>
      </w:r>
      <w:proofErr w:type="spellEnd"/>
      <w:r>
        <w:t xml:space="preserve"> groups increased from baseline by 193 and 186 cells/mm</w:t>
      </w:r>
      <w:r>
        <w:rPr>
          <w:position w:val="7"/>
          <w:sz w:val="14"/>
        </w:rPr>
        <w:t>3</w:t>
      </w:r>
      <w:r>
        <w:t>,</w:t>
      </w:r>
      <w:r>
        <w:rPr>
          <w:spacing w:val="-3"/>
        </w:rPr>
        <w:t xml:space="preserve"> </w:t>
      </w:r>
      <w:r>
        <w:t>respectively.</w:t>
      </w:r>
    </w:p>
    <w:p w14:paraId="7E26D7DD" w14:textId="77777777" w:rsidR="001439E0" w:rsidRDefault="008A23E0">
      <w:pPr>
        <w:pStyle w:val="BodyText"/>
        <w:spacing w:before="201"/>
        <w:ind w:left="419" w:right="1275"/>
      </w:pPr>
      <w:r>
        <w:t>In DRIVE-AHEAD, DELSTRIGO-DOR/3TC/TDF demonstrated consistent efficacy across demographic and baseline prognostic factors, including gender, race, ethnicity, baseline</w:t>
      </w:r>
      <w:r>
        <w:rPr>
          <w:spacing w:val="-29"/>
        </w:rPr>
        <w:t xml:space="preserve"> </w:t>
      </w:r>
      <w:r>
        <w:t>HIV- 1</w:t>
      </w:r>
      <w:r>
        <w:rPr>
          <w:spacing w:val="-13"/>
        </w:rPr>
        <w:t xml:space="preserve"> </w:t>
      </w:r>
      <w:r>
        <w:t>RNA</w:t>
      </w:r>
      <w:r>
        <w:rPr>
          <w:spacing w:val="-12"/>
        </w:rPr>
        <w:t xml:space="preserve"> </w:t>
      </w:r>
      <w:r>
        <w:t>(≤100,000</w:t>
      </w:r>
      <w:r>
        <w:rPr>
          <w:spacing w:val="-12"/>
        </w:rPr>
        <w:t xml:space="preserve"> </w:t>
      </w:r>
      <w:r>
        <w:t>or</w:t>
      </w:r>
      <w:r>
        <w:rPr>
          <w:spacing w:val="-12"/>
        </w:rPr>
        <w:t xml:space="preserve"> </w:t>
      </w:r>
      <w:r>
        <w:t>&gt;100,000</w:t>
      </w:r>
      <w:r>
        <w:rPr>
          <w:spacing w:val="-12"/>
        </w:rPr>
        <w:t xml:space="preserve"> </w:t>
      </w:r>
      <w:r>
        <w:t>copies/mL),</w:t>
      </w:r>
      <w:r>
        <w:rPr>
          <w:spacing w:val="-12"/>
        </w:rPr>
        <w:t xml:space="preserve"> </w:t>
      </w:r>
      <w:r>
        <w:t>CD4+</w:t>
      </w:r>
      <w:r>
        <w:rPr>
          <w:spacing w:val="-12"/>
        </w:rPr>
        <w:t xml:space="preserve"> </w:t>
      </w:r>
      <w:r>
        <w:t>T-cell</w:t>
      </w:r>
      <w:r>
        <w:rPr>
          <w:spacing w:val="-12"/>
        </w:rPr>
        <w:t xml:space="preserve"> </w:t>
      </w:r>
      <w:r>
        <w:t>count,</w:t>
      </w:r>
      <w:r>
        <w:rPr>
          <w:spacing w:val="-12"/>
        </w:rPr>
        <w:t xml:space="preserve"> </w:t>
      </w:r>
      <w:r>
        <w:t>and</w:t>
      </w:r>
      <w:r>
        <w:rPr>
          <w:spacing w:val="-13"/>
        </w:rPr>
        <w:t xml:space="preserve"> </w:t>
      </w:r>
      <w:r>
        <w:t>viral</w:t>
      </w:r>
      <w:r>
        <w:rPr>
          <w:spacing w:val="-12"/>
        </w:rPr>
        <w:t xml:space="preserve"> </w:t>
      </w:r>
      <w:r>
        <w:t>subtypes.</w:t>
      </w:r>
      <w:r>
        <w:rPr>
          <w:spacing w:val="-12"/>
        </w:rPr>
        <w:t xml:space="preserve"> </w:t>
      </w:r>
      <w:r>
        <w:t>Mean</w:t>
      </w:r>
      <w:r>
        <w:rPr>
          <w:spacing w:val="-12"/>
        </w:rPr>
        <w:t xml:space="preserve"> </w:t>
      </w:r>
      <w:r>
        <w:t>CD4+ T-cell counts in the DELSTRIGO-DOR/3TC/TDF and EFV/FTC/TDF groups increased from baseline by 198 and 188 cells/mm</w:t>
      </w:r>
      <w:r>
        <w:rPr>
          <w:position w:val="7"/>
          <w:sz w:val="14"/>
        </w:rPr>
        <w:t>3</w:t>
      </w:r>
      <w:r>
        <w:t>,</w:t>
      </w:r>
      <w:r>
        <w:rPr>
          <w:spacing w:val="-3"/>
        </w:rPr>
        <w:t xml:space="preserve"> </w:t>
      </w:r>
      <w:r>
        <w:t>respectively.</w:t>
      </w:r>
    </w:p>
    <w:p w14:paraId="7E26D7DE" w14:textId="77777777" w:rsidR="001439E0" w:rsidRDefault="008A23E0">
      <w:pPr>
        <w:pStyle w:val="Heading3"/>
        <w:ind w:left="1504"/>
      </w:pPr>
      <w:r>
        <w:t xml:space="preserve">Table 6: </w:t>
      </w:r>
      <w:proofErr w:type="spellStart"/>
      <w:r>
        <w:t>Virologic</w:t>
      </w:r>
      <w:proofErr w:type="spellEnd"/>
      <w:r>
        <w:t xml:space="preserve"> Outcome at Week 48 (FDA Snapshot Approach)</w:t>
      </w:r>
    </w:p>
    <w:p w14:paraId="7E26D7DF" w14:textId="77777777" w:rsidR="001439E0" w:rsidRDefault="001439E0">
      <w:pPr>
        <w:pStyle w:val="BodyText"/>
        <w:spacing w:before="4"/>
        <w:ind w:left="0"/>
        <w:jc w:val="left"/>
        <w:rPr>
          <w:b/>
          <w:sz w:val="17"/>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1635"/>
        <w:gridCol w:w="1636"/>
        <w:gridCol w:w="1637"/>
        <w:gridCol w:w="87"/>
        <w:gridCol w:w="1550"/>
      </w:tblGrid>
      <w:tr w:rsidR="001439E0" w14:paraId="7E26D7E8" w14:textId="77777777">
        <w:trPr>
          <w:trHeight w:val="304"/>
        </w:trPr>
        <w:tc>
          <w:tcPr>
            <w:tcW w:w="3203" w:type="dxa"/>
            <w:vMerge w:val="restart"/>
          </w:tcPr>
          <w:p w14:paraId="7E26D7E0" w14:textId="77777777" w:rsidR="001439E0" w:rsidRDefault="001439E0">
            <w:pPr>
              <w:pStyle w:val="TableParagraph"/>
              <w:rPr>
                <w:b/>
                <w:sz w:val="18"/>
              </w:rPr>
            </w:pPr>
          </w:p>
          <w:p w14:paraId="7E26D7E1" w14:textId="77777777" w:rsidR="001439E0" w:rsidRDefault="001439E0">
            <w:pPr>
              <w:pStyle w:val="TableParagraph"/>
              <w:rPr>
                <w:b/>
                <w:sz w:val="18"/>
              </w:rPr>
            </w:pPr>
          </w:p>
          <w:p w14:paraId="7E26D7E2" w14:textId="77777777" w:rsidR="001439E0" w:rsidRDefault="001439E0">
            <w:pPr>
              <w:pStyle w:val="TableParagraph"/>
              <w:rPr>
                <w:b/>
                <w:sz w:val="18"/>
              </w:rPr>
            </w:pPr>
          </w:p>
          <w:p w14:paraId="7E26D7E3" w14:textId="77777777" w:rsidR="001439E0" w:rsidRDefault="001439E0">
            <w:pPr>
              <w:pStyle w:val="TableParagraph"/>
              <w:rPr>
                <w:b/>
                <w:sz w:val="18"/>
              </w:rPr>
            </w:pPr>
          </w:p>
          <w:p w14:paraId="7E26D7E4" w14:textId="77777777" w:rsidR="001439E0" w:rsidRDefault="001439E0">
            <w:pPr>
              <w:pStyle w:val="TableParagraph"/>
              <w:spacing w:before="2"/>
              <w:rPr>
                <w:b/>
                <w:sz w:val="20"/>
              </w:rPr>
            </w:pPr>
          </w:p>
          <w:p w14:paraId="7E26D7E5" w14:textId="77777777" w:rsidR="001439E0" w:rsidRDefault="008A23E0">
            <w:pPr>
              <w:pStyle w:val="TableParagraph"/>
              <w:spacing w:line="163" w:lineRule="exact"/>
              <w:ind w:left="1232" w:right="1226"/>
              <w:jc w:val="center"/>
              <w:rPr>
                <w:b/>
                <w:sz w:val="16"/>
              </w:rPr>
            </w:pPr>
            <w:r>
              <w:rPr>
                <w:b/>
                <w:sz w:val="16"/>
              </w:rPr>
              <w:t>Outcome</w:t>
            </w:r>
          </w:p>
        </w:tc>
        <w:tc>
          <w:tcPr>
            <w:tcW w:w="3271" w:type="dxa"/>
            <w:gridSpan w:val="2"/>
            <w:tcBorders>
              <w:right w:val="single" w:sz="12" w:space="0" w:color="000000"/>
            </w:tcBorders>
          </w:tcPr>
          <w:p w14:paraId="7E26D7E6" w14:textId="77777777" w:rsidR="001439E0" w:rsidRDefault="008A23E0">
            <w:pPr>
              <w:pStyle w:val="TableParagraph"/>
              <w:spacing w:before="61"/>
              <w:ind w:left="945"/>
              <w:rPr>
                <w:b/>
                <w:sz w:val="16"/>
              </w:rPr>
            </w:pPr>
            <w:r>
              <w:rPr>
                <w:b/>
                <w:sz w:val="16"/>
              </w:rPr>
              <w:t>DRIVE-FORWARD</w:t>
            </w:r>
          </w:p>
        </w:tc>
        <w:tc>
          <w:tcPr>
            <w:tcW w:w="3274" w:type="dxa"/>
            <w:gridSpan w:val="3"/>
            <w:tcBorders>
              <w:left w:val="single" w:sz="12" w:space="0" w:color="000000"/>
            </w:tcBorders>
          </w:tcPr>
          <w:p w14:paraId="7E26D7E7" w14:textId="77777777" w:rsidR="001439E0" w:rsidRDefault="008A23E0">
            <w:pPr>
              <w:pStyle w:val="TableParagraph"/>
              <w:spacing w:before="61"/>
              <w:ind w:left="1068"/>
              <w:rPr>
                <w:b/>
                <w:sz w:val="16"/>
              </w:rPr>
            </w:pPr>
            <w:r>
              <w:rPr>
                <w:b/>
                <w:color w:val="1A1A1A"/>
                <w:sz w:val="16"/>
              </w:rPr>
              <w:t>DRIVE-AHEAD</w:t>
            </w:r>
          </w:p>
        </w:tc>
      </w:tr>
      <w:tr w:rsidR="001439E0" w14:paraId="7E26D7F6" w14:textId="77777777">
        <w:trPr>
          <w:trHeight w:val="929"/>
        </w:trPr>
        <w:tc>
          <w:tcPr>
            <w:tcW w:w="3203" w:type="dxa"/>
            <w:vMerge/>
            <w:tcBorders>
              <w:top w:val="nil"/>
            </w:tcBorders>
          </w:tcPr>
          <w:p w14:paraId="7E26D7E9" w14:textId="77777777" w:rsidR="001439E0" w:rsidRDefault="001439E0">
            <w:pPr>
              <w:rPr>
                <w:sz w:val="2"/>
                <w:szCs w:val="2"/>
              </w:rPr>
            </w:pPr>
          </w:p>
        </w:tc>
        <w:tc>
          <w:tcPr>
            <w:tcW w:w="1635" w:type="dxa"/>
          </w:tcPr>
          <w:p w14:paraId="7E26D7EA" w14:textId="77777777" w:rsidR="001439E0" w:rsidRDefault="001439E0">
            <w:pPr>
              <w:pStyle w:val="TableParagraph"/>
              <w:rPr>
                <w:b/>
                <w:sz w:val="16"/>
              </w:rPr>
            </w:pPr>
          </w:p>
          <w:p w14:paraId="7E26D7EB" w14:textId="77777777" w:rsidR="001439E0" w:rsidRDefault="008A23E0">
            <w:pPr>
              <w:pStyle w:val="TableParagraph"/>
              <w:ind w:left="517" w:right="326" w:hanging="167"/>
              <w:rPr>
                <w:b/>
                <w:sz w:val="16"/>
              </w:rPr>
            </w:pPr>
            <w:r>
              <w:rPr>
                <w:b/>
                <w:sz w:val="16"/>
              </w:rPr>
              <w:t>PIFELTRO + 2 NRTIs</w:t>
            </w:r>
          </w:p>
          <w:p w14:paraId="7E26D7EC" w14:textId="77777777" w:rsidR="001439E0" w:rsidRDefault="008A23E0">
            <w:pPr>
              <w:pStyle w:val="TableParagraph"/>
              <w:spacing w:line="183" w:lineRule="exact"/>
              <w:ind w:left="401"/>
              <w:rPr>
                <w:b/>
                <w:sz w:val="16"/>
              </w:rPr>
            </w:pPr>
            <w:r>
              <w:rPr>
                <w:b/>
                <w:sz w:val="16"/>
              </w:rPr>
              <w:t>Once Daily</w:t>
            </w:r>
          </w:p>
        </w:tc>
        <w:tc>
          <w:tcPr>
            <w:tcW w:w="1636" w:type="dxa"/>
            <w:tcBorders>
              <w:right w:val="single" w:sz="12" w:space="0" w:color="000000"/>
            </w:tcBorders>
          </w:tcPr>
          <w:p w14:paraId="7E26D7ED" w14:textId="77777777" w:rsidR="001439E0" w:rsidRDefault="001439E0">
            <w:pPr>
              <w:pStyle w:val="TableParagraph"/>
              <w:rPr>
                <w:b/>
                <w:sz w:val="16"/>
              </w:rPr>
            </w:pPr>
          </w:p>
          <w:p w14:paraId="7E26D7EE" w14:textId="77777777" w:rsidR="001439E0" w:rsidRDefault="008A23E0">
            <w:pPr>
              <w:pStyle w:val="TableParagraph"/>
              <w:ind w:left="518" w:right="464" w:hanging="18"/>
              <w:rPr>
                <w:b/>
                <w:sz w:val="16"/>
              </w:rPr>
            </w:pPr>
            <w:proofErr w:type="spellStart"/>
            <w:r>
              <w:rPr>
                <w:b/>
                <w:color w:val="1A1A1A"/>
                <w:sz w:val="16"/>
              </w:rPr>
              <w:t>DRV+r</w:t>
            </w:r>
            <w:proofErr w:type="spellEnd"/>
            <w:r>
              <w:rPr>
                <w:b/>
                <w:color w:val="1A1A1A"/>
                <w:sz w:val="16"/>
              </w:rPr>
              <w:t xml:space="preserve"> </w:t>
            </w:r>
            <w:r>
              <w:rPr>
                <w:b/>
                <w:sz w:val="16"/>
              </w:rPr>
              <w:t>+ 2 NRTIs</w:t>
            </w:r>
          </w:p>
          <w:p w14:paraId="7E26D7EF" w14:textId="77777777" w:rsidR="001439E0" w:rsidRDefault="008A23E0">
            <w:pPr>
              <w:pStyle w:val="TableParagraph"/>
              <w:spacing w:line="183" w:lineRule="exact"/>
              <w:ind w:left="403"/>
              <w:rPr>
                <w:b/>
                <w:sz w:val="16"/>
              </w:rPr>
            </w:pPr>
            <w:r>
              <w:rPr>
                <w:b/>
                <w:sz w:val="16"/>
              </w:rPr>
              <w:t>Once Daily</w:t>
            </w:r>
          </w:p>
        </w:tc>
        <w:tc>
          <w:tcPr>
            <w:tcW w:w="1724" w:type="dxa"/>
            <w:gridSpan w:val="2"/>
            <w:tcBorders>
              <w:left w:val="single" w:sz="12" w:space="0" w:color="000000"/>
            </w:tcBorders>
          </w:tcPr>
          <w:p w14:paraId="7E26D7F0" w14:textId="77777777" w:rsidR="001439E0" w:rsidRDefault="001439E0">
            <w:pPr>
              <w:pStyle w:val="TableParagraph"/>
              <w:rPr>
                <w:b/>
                <w:sz w:val="16"/>
              </w:rPr>
            </w:pPr>
          </w:p>
          <w:p w14:paraId="7E26D7F1" w14:textId="77777777" w:rsidR="001439E0" w:rsidRDefault="008A23E0">
            <w:pPr>
              <w:pStyle w:val="TableParagraph"/>
              <w:ind w:left="321" w:firstLine="36"/>
              <w:rPr>
                <w:b/>
                <w:sz w:val="16"/>
              </w:rPr>
            </w:pPr>
            <w:r>
              <w:rPr>
                <w:b/>
                <w:sz w:val="16"/>
              </w:rPr>
              <w:t xml:space="preserve">DELSTRIGO- </w:t>
            </w:r>
            <w:r>
              <w:rPr>
                <w:b/>
                <w:w w:val="95"/>
                <w:sz w:val="16"/>
              </w:rPr>
              <w:t>DOR/3TC/TDF</w:t>
            </w:r>
          </w:p>
          <w:p w14:paraId="7E26D7F2" w14:textId="77777777" w:rsidR="001439E0" w:rsidRDefault="008A23E0">
            <w:pPr>
              <w:pStyle w:val="TableParagraph"/>
              <w:spacing w:line="183" w:lineRule="exact"/>
              <w:ind w:left="436"/>
              <w:rPr>
                <w:b/>
                <w:sz w:val="16"/>
              </w:rPr>
            </w:pPr>
            <w:r>
              <w:rPr>
                <w:b/>
                <w:sz w:val="16"/>
              </w:rPr>
              <w:t>Once Daily</w:t>
            </w:r>
          </w:p>
        </w:tc>
        <w:tc>
          <w:tcPr>
            <w:tcW w:w="1550" w:type="dxa"/>
          </w:tcPr>
          <w:p w14:paraId="7E26D7F3" w14:textId="77777777" w:rsidR="001439E0" w:rsidRDefault="001439E0">
            <w:pPr>
              <w:pStyle w:val="TableParagraph"/>
              <w:rPr>
                <w:b/>
                <w:sz w:val="18"/>
              </w:rPr>
            </w:pPr>
          </w:p>
          <w:p w14:paraId="7E26D7F4" w14:textId="77777777" w:rsidR="001439E0" w:rsidRDefault="008A23E0">
            <w:pPr>
              <w:pStyle w:val="TableParagraph"/>
              <w:spacing w:before="161" w:line="184" w:lineRule="exact"/>
              <w:ind w:left="260"/>
              <w:rPr>
                <w:b/>
                <w:sz w:val="16"/>
              </w:rPr>
            </w:pPr>
            <w:r>
              <w:rPr>
                <w:b/>
                <w:color w:val="1A1A1A"/>
                <w:sz w:val="16"/>
              </w:rPr>
              <w:t>EFV/FTC/TDF</w:t>
            </w:r>
          </w:p>
          <w:p w14:paraId="7E26D7F5" w14:textId="77777777" w:rsidR="001439E0" w:rsidRDefault="008A23E0">
            <w:pPr>
              <w:pStyle w:val="TableParagraph"/>
              <w:ind w:left="357"/>
              <w:rPr>
                <w:b/>
                <w:sz w:val="16"/>
              </w:rPr>
            </w:pPr>
            <w:r>
              <w:rPr>
                <w:b/>
                <w:sz w:val="16"/>
              </w:rPr>
              <w:t>Once Daily</w:t>
            </w:r>
          </w:p>
        </w:tc>
      </w:tr>
      <w:tr w:rsidR="001439E0" w14:paraId="7E26D7FC" w14:textId="77777777">
        <w:trPr>
          <w:trHeight w:val="184"/>
        </w:trPr>
        <w:tc>
          <w:tcPr>
            <w:tcW w:w="3203" w:type="dxa"/>
          </w:tcPr>
          <w:p w14:paraId="7E26D7F7" w14:textId="77777777" w:rsidR="001439E0" w:rsidRDefault="001439E0">
            <w:pPr>
              <w:pStyle w:val="TableParagraph"/>
              <w:rPr>
                <w:rFonts w:ascii="Times New Roman"/>
                <w:sz w:val="12"/>
              </w:rPr>
            </w:pPr>
          </w:p>
        </w:tc>
        <w:tc>
          <w:tcPr>
            <w:tcW w:w="1635" w:type="dxa"/>
          </w:tcPr>
          <w:p w14:paraId="7E26D7F8" w14:textId="77777777" w:rsidR="001439E0" w:rsidRDefault="008A23E0">
            <w:pPr>
              <w:pStyle w:val="TableParagraph"/>
              <w:spacing w:before="1" w:line="163" w:lineRule="exact"/>
              <w:ind w:left="556" w:right="553"/>
              <w:jc w:val="center"/>
              <w:rPr>
                <w:b/>
                <w:sz w:val="16"/>
              </w:rPr>
            </w:pPr>
            <w:r>
              <w:rPr>
                <w:b/>
                <w:sz w:val="16"/>
              </w:rPr>
              <w:t>N=383</w:t>
            </w:r>
          </w:p>
        </w:tc>
        <w:tc>
          <w:tcPr>
            <w:tcW w:w="1636" w:type="dxa"/>
            <w:tcBorders>
              <w:right w:val="single" w:sz="12" w:space="0" w:color="000000"/>
            </w:tcBorders>
          </w:tcPr>
          <w:p w14:paraId="7E26D7F9" w14:textId="77777777" w:rsidR="001439E0" w:rsidRDefault="008A23E0">
            <w:pPr>
              <w:pStyle w:val="TableParagraph"/>
              <w:spacing w:before="1" w:line="163" w:lineRule="exact"/>
              <w:ind w:left="553" w:right="537"/>
              <w:jc w:val="center"/>
              <w:rPr>
                <w:b/>
                <w:sz w:val="16"/>
              </w:rPr>
            </w:pPr>
            <w:r>
              <w:rPr>
                <w:b/>
                <w:sz w:val="16"/>
              </w:rPr>
              <w:t>N=383</w:t>
            </w:r>
          </w:p>
        </w:tc>
        <w:tc>
          <w:tcPr>
            <w:tcW w:w="1724" w:type="dxa"/>
            <w:gridSpan w:val="2"/>
            <w:tcBorders>
              <w:left w:val="single" w:sz="12" w:space="0" w:color="000000"/>
            </w:tcBorders>
          </w:tcPr>
          <w:p w14:paraId="7E26D7FA" w14:textId="77777777" w:rsidR="001439E0" w:rsidRDefault="008A23E0">
            <w:pPr>
              <w:pStyle w:val="TableParagraph"/>
              <w:spacing w:before="1" w:line="163" w:lineRule="exact"/>
              <w:ind w:left="592" w:right="596"/>
              <w:jc w:val="center"/>
              <w:rPr>
                <w:b/>
                <w:sz w:val="16"/>
              </w:rPr>
            </w:pPr>
            <w:r>
              <w:rPr>
                <w:b/>
                <w:sz w:val="16"/>
              </w:rPr>
              <w:t>N=364</w:t>
            </w:r>
          </w:p>
        </w:tc>
        <w:tc>
          <w:tcPr>
            <w:tcW w:w="1550" w:type="dxa"/>
          </w:tcPr>
          <w:p w14:paraId="7E26D7FB" w14:textId="77777777" w:rsidR="001439E0" w:rsidRDefault="008A23E0">
            <w:pPr>
              <w:pStyle w:val="TableParagraph"/>
              <w:spacing w:before="1" w:line="163" w:lineRule="exact"/>
              <w:ind w:left="512" w:right="512"/>
              <w:jc w:val="center"/>
              <w:rPr>
                <w:b/>
                <w:sz w:val="16"/>
              </w:rPr>
            </w:pPr>
            <w:r>
              <w:rPr>
                <w:b/>
                <w:sz w:val="16"/>
              </w:rPr>
              <w:t>N=364</w:t>
            </w:r>
          </w:p>
        </w:tc>
      </w:tr>
      <w:tr w:rsidR="001439E0" w14:paraId="7E26D802" w14:textId="77777777">
        <w:trPr>
          <w:trHeight w:val="304"/>
        </w:trPr>
        <w:tc>
          <w:tcPr>
            <w:tcW w:w="3203" w:type="dxa"/>
          </w:tcPr>
          <w:p w14:paraId="7E26D7FD" w14:textId="77777777" w:rsidR="001439E0" w:rsidRDefault="008A23E0">
            <w:pPr>
              <w:pStyle w:val="TableParagraph"/>
              <w:spacing w:before="59"/>
              <w:ind w:left="107"/>
              <w:rPr>
                <w:b/>
                <w:sz w:val="16"/>
              </w:rPr>
            </w:pPr>
            <w:r>
              <w:rPr>
                <w:b/>
                <w:sz w:val="16"/>
              </w:rPr>
              <w:t>HIV-1 RNA &lt;50 copies/mL</w:t>
            </w:r>
          </w:p>
        </w:tc>
        <w:tc>
          <w:tcPr>
            <w:tcW w:w="1635" w:type="dxa"/>
          </w:tcPr>
          <w:p w14:paraId="7E26D7FE" w14:textId="77777777" w:rsidR="001439E0" w:rsidRDefault="008A23E0">
            <w:pPr>
              <w:pStyle w:val="TableParagraph"/>
              <w:spacing w:before="59"/>
              <w:ind w:left="556" w:right="552"/>
              <w:jc w:val="center"/>
              <w:rPr>
                <w:sz w:val="16"/>
              </w:rPr>
            </w:pPr>
            <w:r>
              <w:rPr>
                <w:sz w:val="16"/>
              </w:rPr>
              <w:t>84%</w:t>
            </w:r>
          </w:p>
        </w:tc>
        <w:tc>
          <w:tcPr>
            <w:tcW w:w="1636" w:type="dxa"/>
            <w:tcBorders>
              <w:right w:val="single" w:sz="12" w:space="0" w:color="000000"/>
            </w:tcBorders>
          </w:tcPr>
          <w:p w14:paraId="7E26D7FF" w14:textId="77777777" w:rsidR="001439E0" w:rsidRDefault="008A23E0">
            <w:pPr>
              <w:pStyle w:val="TableParagraph"/>
              <w:spacing w:before="59"/>
              <w:ind w:left="553" w:right="537"/>
              <w:jc w:val="center"/>
              <w:rPr>
                <w:sz w:val="16"/>
              </w:rPr>
            </w:pPr>
            <w:r>
              <w:rPr>
                <w:sz w:val="16"/>
              </w:rPr>
              <w:t>80%</w:t>
            </w:r>
          </w:p>
        </w:tc>
        <w:tc>
          <w:tcPr>
            <w:tcW w:w="1724" w:type="dxa"/>
            <w:gridSpan w:val="2"/>
            <w:tcBorders>
              <w:left w:val="single" w:sz="12" w:space="0" w:color="000000"/>
            </w:tcBorders>
          </w:tcPr>
          <w:p w14:paraId="7E26D800" w14:textId="77777777" w:rsidR="001439E0" w:rsidRDefault="008A23E0">
            <w:pPr>
              <w:pStyle w:val="TableParagraph"/>
              <w:spacing w:before="59"/>
              <w:ind w:left="592" w:right="595"/>
              <w:jc w:val="center"/>
              <w:rPr>
                <w:sz w:val="16"/>
              </w:rPr>
            </w:pPr>
            <w:r>
              <w:rPr>
                <w:sz w:val="16"/>
              </w:rPr>
              <w:t>84%</w:t>
            </w:r>
          </w:p>
        </w:tc>
        <w:tc>
          <w:tcPr>
            <w:tcW w:w="1550" w:type="dxa"/>
          </w:tcPr>
          <w:p w14:paraId="7E26D801" w14:textId="77777777" w:rsidR="001439E0" w:rsidRDefault="008A23E0">
            <w:pPr>
              <w:pStyle w:val="TableParagraph"/>
              <w:spacing w:before="59"/>
              <w:ind w:left="512" w:right="511"/>
              <w:jc w:val="center"/>
              <w:rPr>
                <w:sz w:val="16"/>
              </w:rPr>
            </w:pPr>
            <w:r>
              <w:rPr>
                <w:sz w:val="16"/>
              </w:rPr>
              <w:t>81%</w:t>
            </w:r>
          </w:p>
        </w:tc>
      </w:tr>
      <w:tr w:rsidR="001439E0" w14:paraId="7E26D806" w14:textId="77777777">
        <w:trPr>
          <w:trHeight w:val="303"/>
        </w:trPr>
        <w:tc>
          <w:tcPr>
            <w:tcW w:w="3203" w:type="dxa"/>
          </w:tcPr>
          <w:p w14:paraId="7E26D803" w14:textId="77777777" w:rsidR="001439E0" w:rsidRDefault="008A23E0">
            <w:pPr>
              <w:pStyle w:val="TableParagraph"/>
              <w:spacing w:before="59"/>
              <w:ind w:left="269"/>
              <w:rPr>
                <w:sz w:val="16"/>
              </w:rPr>
            </w:pPr>
            <w:r>
              <w:rPr>
                <w:sz w:val="16"/>
              </w:rPr>
              <w:t>Treatment Differences (95% CI)*</w:t>
            </w:r>
          </w:p>
        </w:tc>
        <w:tc>
          <w:tcPr>
            <w:tcW w:w="3271" w:type="dxa"/>
            <w:gridSpan w:val="2"/>
            <w:tcBorders>
              <w:right w:val="single" w:sz="12" w:space="0" w:color="000000"/>
            </w:tcBorders>
          </w:tcPr>
          <w:p w14:paraId="7E26D804" w14:textId="77777777" w:rsidR="001439E0" w:rsidRDefault="008A23E0">
            <w:pPr>
              <w:pStyle w:val="TableParagraph"/>
              <w:spacing w:before="59"/>
              <w:ind w:left="940"/>
              <w:rPr>
                <w:sz w:val="16"/>
              </w:rPr>
            </w:pPr>
            <w:r>
              <w:rPr>
                <w:sz w:val="16"/>
              </w:rPr>
              <w:t>3.9% (-1.6%, 9.4%)</w:t>
            </w:r>
          </w:p>
        </w:tc>
        <w:tc>
          <w:tcPr>
            <w:tcW w:w="3274" w:type="dxa"/>
            <w:gridSpan w:val="3"/>
            <w:tcBorders>
              <w:left w:val="single" w:sz="12" w:space="0" w:color="000000"/>
            </w:tcBorders>
          </w:tcPr>
          <w:p w14:paraId="7E26D805" w14:textId="77777777" w:rsidR="001439E0" w:rsidRDefault="008A23E0">
            <w:pPr>
              <w:pStyle w:val="TableParagraph"/>
              <w:spacing w:before="59"/>
              <w:ind w:left="930"/>
              <w:rPr>
                <w:sz w:val="16"/>
              </w:rPr>
            </w:pPr>
            <w:r>
              <w:rPr>
                <w:sz w:val="16"/>
              </w:rPr>
              <w:t>3.5% (-2.0%, 9.0%)</w:t>
            </w:r>
          </w:p>
        </w:tc>
      </w:tr>
      <w:tr w:rsidR="001439E0" w14:paraId="7E26D80C" w14:textId="77777777">
        <w:trPr>
          <w:trHeight w:val="304"/>
        </w:trPr>
        <w:tc>
          <w:tcPr>
            <w:tcW w:w="3203" w:type="dxa"/>
          </w:tcPr>
          <w:p w14:paraId="7E26D807" w14:textId="77777777" w:rsidR="001439E0" w:rsidRDefault="008A23E0">
            <w:pPr>
              <w:pStyle w:val="TableParagraph"/>
              <w:spacing w:before="57"/>
              <w:ind w:left="107"/>
              <w:rPr>
                <w:sz w:val="10"/>
              </w:rPr>
            </w:pPr>
            <w:r>
              <w:rPr>
                <w:b/>
                <w:sz w:val="16"/>
              </w:rPr>
              <w:t>HIV-1 RNA ≥ 50 copies/mL</w:t>
            </w:r>
            <w:r>
              <w:rPr>
                <w:position w:val="6"/>
                <w:sz w:val="10"/>
              </w:rPr>
              <w:t>†</w:t>
            </w:r>
          </w:p>
        </w:tc>
        <w:tc>
          <w:tcPr>
            <w:tcW w:w="1635" w:type="dxa"/>
          </w:tcPr>
          <w:p w14:paraId="7E26D808" w14:textId="77777777" w:rsidR="001439E0" w:rsidRDefault="008A23E0">
            <w:pPr>
              <w:pStyle w:val="TableParagraph"/>
              <w:spacing w:before="61"/>
              <w:ind w:left="556" w:right="552"/>
              <w:jc w:val="center"/>
              <w:rPr>
                <w:sz w:val="16"/>
              </w:rPr>
            </w:pPr>
            <w:r>
              <w:rPr>
                <w:sz w:val="16"/>
              </w:rPr>
              <w:t>11%</w:t>
            </w:r>
          </w:p>
        </w:tc>
        <w:tc>
          <w:tcPr>
            <w:tcW w:w="1636" w:type="dxa"/>
            <w:tcBorders>
              <w:right w:val="single" w:sz="12" w:space="0" w:color="000000"/>
            </w:tcBorders>
          </w:tcPr>
          <w:p w14:paraId="7E26D809" w14:textId="77777777" w:rsidR="001439E0" w:rsidRDefault="008A23E0">
            <w:pPr>
              <w:pStyle w:val="TableParagraph"/>
              <w:spacing w:before="61"/>
              <w:ind w:left="553" w:right="537"/>
              <w:jc w:val="center"/>
              <w:rPr>
                <w:sz w:val="16"/>
              </w:rPr>
            </w:pPr>
            <w:r>
              <w:rPr>
                <w:sz w:val="16"/>
              </w:rPr>
              <w:t>13%</w:t>
            </w:r>
          </w:p>
        </w:tc>
        <w:tc>
          <w:tcPr>
            <w:tcW w:w="1637" w:type="dxa"/>
            <w:tcBorders>
              <w:left w:val="single" w:sz="12" w:space="0" w:color="000000"/>
            </w:tcBorders>
          </w:tcPr>
          <w:p w14:paraId="7E26D80A" w14:textId="77777777" w:rsidR="001439E0" w:rsidRDefault="008A23E0">
            <w:pPr>
              <w:pStyle w:val="TableParagraph"/>
              <w:spacing w:before="61"/>
              <w:ind w:left="545" w:right="550"/>
              <w:jc w:val="center"/>
              <w:rPr>
                <w:sz w:val="16"/>
              </w:rPr>
            </w:pPr>
            <w:r>
              <w:rPr>
                <w:sz w:val="16"/>
              </w:rPr>
              <w:t>11%</w:t>
            </w:r>
          </w:p>
        </w:tc>
        <w:tc>
          <w:tcPr>
            <w:tcW w:w="1637" w:type="dxa"/>
            <w:gridSpan w:val="2"/>
          </w:tcPr>
          <w:p w14:paraId="7E26D80B" w14:textId="77777777" w:rsidR="001439E0" w:rsidRDefault="008A23E0">
            <w:pPr>
              <w:pStyle w:val="TableParagraph"/>
              <w:spacing w:before="61"/>
              <w:ind w:left="631" w:right="630"/>
              <w:jc w:val="center"/>
              <w:rPr>
                <w:sz w:val="16"/>
              </w:rPr>
            </w:pPr>
            <w:r>
              <w:rPr>
                <w:sz w:val="16"/>
              </w:rPr>
              <w:t>10%</w:t>
            </w:r>
          </w:p>
        </w:tc>
      </w:tr>
      <w:tr w:rsidR="001439E0" w14:paraId="7E26D829" w14:textId="77777777">
        <w:trPr>
          <w:trHeight w:val="1520"/>
        </w:trPr>
        <w:tc>
          <w:tcPr>
            <w:tcW w:w="3203" w:type="dxa"/>
          </w:tcPr>
          <w:p w14:paraId="7E26D80D" w14:textId="77777777" w:rsidR="001439E0" w:rsidRDefault="008A23E0">
            <w:pPr>
              <w:pStyle w:val="TableParagraph"/>
              <w:spacing w:before="59"/>
              <w:ind w:left="107"/>
              <w:rPr>
                <w:b/>
                <w:sz w:val="16"/>
              </w:rPr>
            </w:pPr>
            <w:r>
              <w:rPr>
                <w:b/>
                <w:sz w:val="16"/>
              </w:rPr>
              <w:t xml:space="preserve">No </w:t>
            </w:r>
            <w:proofErr w:type="spellStart"/>
            <w:r>
              <w:rPr>
                <w:b/>
                <w:sz w:val="16"/>
              </w:rPr>
              <w:t>Virologic</w:t>
            </w:r>
            <w:proofErr w:type="spellEnd"/>
            <w:r>
              <w:rPr>
                <w:b/>
                <w:sz w:val="16"/>
              </w:rPr>
              <w:t xml:space="preserve"> Data at Week 48 Window</w:t>
            </w:r>
          </w:p>
          <w:p w14:paraId="7E26D80E" w14:textId="77777777" w:rsidR="001439E0" w:rsidRDefault="008A23E0">
            <w:pPr>
              <w:pStyle w:val="TableParagraph"/>
              <w:spacing w:before="121"/>
              <w:ind w:left="107"/>
              <w:rPr>
                <w:sz w:val="16"/>
              </w:rPr>
            </w:pPr>
            <w:r>
              <w:rPr>
                <w:sz w:val="16"/>
              </w:rPr>
              <w:t>Reasons</w:t>
            </w:r>
          </w:p>
          <w:p w14:paraId="7E26D80F" w14:textId="77777777" w:rsidR="001439E0" w:rsidRDefault="008A23E0">
            <w:pPr>
              <w:pStyle w:val="TableParagraph"/>
              <w:spacing w:before="116" w:line="391" w:lineRule="auto"/>
              <w:ind w:left="269" w:right="91"/>
              <w:rPr>
                <w:sz w:val="10"/>
              </w:rPr>
            </w:pPr>
            <w:r>
              <w:rPr>
                <w:sz w:val="16"/>
              </w:rPr>
              <w:t>Discontinued study due to AE or Death</w:t>
            </w:r>
            <w:r>
              <w:rPr>
                <w:position w:val="6"/>
                <w:sz w:val="10"/>
              </w:rPr>
              <w:t xml:space="preserve">‡ </w:t>
            </w:r>
            <w:r>
              <w:rPr>
                <w:sz w:val="16"/>
              </w:rPr>
              <w:t>Discontinued study for Other Reasons</w:t>
            </w:r>
            <w:r>
              <w:rPr>
                <w:position w:val="6"/>
                <w:sz w:val="10"/>
              </w:rPr>
              <w:t>§</w:t>
            </w:r>
          </w:p>
          <w:p w14:paraId="7E26D810" w14:textId="77777777" w:rsidR="001439E0" w:rsidRDefault="008A23E0">
            <w:pPr>
              <w:pStyle w:val="TableParagraph"/>
              <w:spacing w:before="5"/>
              <w:ind w:left="269"/>
              <w:rPr>
                <w:sz w:val="16"/>
              </w:rPr>
            </w:pPr>
            <w:r>
              <w:rPr>
                <w:sz w:val="16"/>
              </w:rPr>
              <w:t>On study but missing data in window</w:t>
            </w:r>
          </w:p>
        </w:tc>
        <w:tc>
          <w:tcPr>
            <w:tcW w:w="1635" w:type="dxa"/>
          </w:tcPr>
          <w:p w14:paraId="7E26D811" w14:textId="77777777" w:rsidR="001439E0" w:rsidRDefault="008A23E0">
            <w:pPr>
              <w:pStyle w:val="TableParagraph"/>
              <w:spacing w:before="59"/>
              <w:ind w:left="556" w:right="552"/>
              <w:jc w:val="center"/>
              <w:rPr>
                <w:sz w:val="16"/>
              </w:rPr>
            </w:pPr>
            <w:r>
              <w:rPr>
                <w:sz w:val="16"/>
              </w:rPr>
              <w:t>5%</w:t>
            </w:r>
          </w:p>
          <w:p w14:paraId="7E26D812" w14:textId="77777777" w:rsidR="001439E0" w:rsidRDefault="001439E0">
            <w:pPr>
              <w:pStyle w:val="TableParagraph"/>
              <w:rPr>
                <w:b/>
                <w:sz w:val="18"/>
              </w:rPr>
            </w:pPr>
          </w:p>
          <w:p w14:paraId="7E26D813" w14:textId="77777777" w:rsidR="001439E0" w:rsidRDefault="001439E0">
            <w:pPr>
              <w:pStyle w:val="TableParagraph"/>
              <w:spacing w:before="11"/>
              <w:rPr>
                <w:b/>
                <w:sz w:val="18"/>
              </w:rPr>
            </w:pPr>
          </w:p>
          <w:p w14:paraId="7E26D814" w14:textId="77777777" w:rsidR="001439E0" w:rsidRDefault="008A23E0">
            <w:pPr>
              <w:pStyle w:val="TableParagraph"/>
              <w:ind w:left="556" w:right="552"/>
              <w:jc w:val="center"/>
              <w:rPr>
                <w:sz w:val="16"/>
              </w:rPr>
            </w:pPr>
            <w:r>
              <w:rPr>
                <w:sz w:val="16"/>
              </w:rPr>
              <w:t>1%</w:t>
            </w:r>
          </w:p>
          <w:p w14:paraId="7E26D815" w14:textId="77777777" w:rsidR="001439E0" w:rsidRDefault="008A23E0">
            <w:pPr>
              <w:pStyle w:val="TableParagraph"/>
              <w:spacing w:before="119"/>
              <w:ind w:left="556" w:right="552"/>
              <w:jc w:val="center"/>
              <w:rPr>
                <w:sz w:val="16"/>
              </w:rPr>
            </w:pPr>
            <w:r>
              <w:rPr>
                <w:sz w:val="16"/>
              </w:rPr>
              <w:t>3%</w:t>
            </w:r>
          </w:p>
          <w:p w14:paraId="7E26D816" w14:textId="77777777" w:rsidR="001439E0" w:rsidRDefault="008A23E0">
            <w:pPr>
              <w:pStyle w:val="TableParagraph"/>
              <w:spacing w:before="121"/>
              <w:ind w:left="556" w:right="553"/>
              <w:jc w:val="center"/>
              <w:rPr>
                <w:sz w:val="16"/>
              </w:rPr>
            </w:pPr>
            <w:r>
              <w:rPr>
                <w:sz w:val="16"/>
              </w:rPr>
              <w:t>&lt;1%</w:t>
            </w:r>
          </w:p>
        </w:tc>
        <w:tc>
          <w:tcPr>
            <w:tcW w:w="1636" w:type="dxa"/>
            <w:tcBorders>
              <w:right w:val="single" w:sz="12" w:space="0" w:color="000000"/>
            </w:tcBorders>
          </w:tcPr>
          <w:p w14:paraId="7E26D817" w14:textId="77777777" w:rsidR="001439E0" w:rsidRDefault="008A23E0">
            <w:pPr>
              <w:pStyle w:val="TableParagraph"/>
              <w:spacing w:before="59"/>
              <w:ind w:left="553" w:right="537"/>
              <w:jc w:val="center"/>
              <w:rPr>
                <w:sz w:val="16"/>
              </w:rPr>
            </w:pPr>
            <w:r>
              <w:rPr>
                <w:sz w:val="16"/>
              </w:rPr>
              <w:t>7%</w:t>
            </w:r>
          </w:p>
          <w:p w14:paraId="7E26D818" w14:textId="77777777" w:rsidR="001439E0" w:rsidRDefault="001439E0">
            <w:pPr>
              <w:pStyle w:val="TableParagraph"/>
              <w:rPr>
                <w:b/>
                <w:sz w:val="18"/>
              </w:rPr>
            </w:pPr>
          </w:p>
          <w:p w14:paraId="7E26D819" w14:textId="77777777" w:rsidR="001439E0" w:rsidRDefault="001439E0">
            <w:pPr>
              <w:pStyle w:val="TableParagraph"/>
              <w:spacing w:before="11"/>
              <w:rPr>
                <w:b/>
                <w:sz w:val="18"/>
              </w:rPr>
            </w:pPr>
          </w:p>
          <w:p w14:paraId="7E26D81A" w14:textId="77777777" w:rsidR="001439E0" w:rsidRDefault="008A23E0">
            <w:pPr>
              <w:pStyle w:val="TableParagraph"/>
              <w:ind w:left="553" w:right="537"/>
              <w:jc w:val="center"/>
              <w:rPr>
                <w:sz w:val="16"/>
              </w:rPr>
            </w:pPr>
            <w:r>
              <w:rPr>
                <w:sz w:val="16"/>
              </w:rPr>
              <w:t>3%</w:t>
            </w:r>
          </w:p>
          <w:p w14:paraId="7E26D81B" w14:textId="77777777" w:rsidR="001439E0" w:rsidRDefault="008A23E0">
            <w:pPr>
              <w:pStyle w:val="TableParagraph"/>
              <w:spacing w:before="119"/>
              <w:ind w:left="553" w:right="537"/>
              <w:jc w:val="center"/>
              <w:rPr>
                <w:sz w:val="16"/>
              </w:rPr>
            </w:pPr>
            <w:r>
              <w:rPr>
                <w:sz w:val="16"/>
              </w:rPr>
              <w:t>4%</w:t>
            </w:r>
          </w:p>
          <w:p w14:paraId="7E26D81C" w14:textId="77777777" w:rsidR="001439E0" w:rsidRDefault="008A23E0">
            <w:pPr>
              <w:pStyle w:val="TableParagraph"/>
              <w:spacing w:before="121"/>
              <w:ind w:left="553" w:right="537"/>
              <w:jc w:val="center"/>
              <w:rPr>
                <w:sz w:val="16"/>
              </w:rPr>
            </w:pPr>
            <w:r>
              <w:rPr>
                <w:sz w:val="16"/>
              </w:rPr>
              <w:t>&lt;1%</w:t>
            </w:r>
          </w:p>
        </w:tc>
        <w:tc>
          <w:tcPr>
            <w:tcW w:w="1637" w:type="dxa"/>
            <w:tcBorders>
              <w:left w:val="single" w:sz="12" w:space="0" w:color="000000"/>
            </w:tcBorders>
          </w:tcPr>
          <w:p w14:paraId="7E26D81D" w14:textId="77777777" w:rsidR="001439E0" w:rsidRDefault="008A23E0">
            <w:pPr>
              <w:pStyle w:val="TableParagraph"/>
              <w:spacing w:before="59"/>
              <w:ind w:left="545" w:right="550"/>
              <w:jc w:val="center"/>
              <w:rPr>
                <w:sz w:val="16"/>
              </w:rPr>
            </w:pPr>
            <w:r>
              <w:rPr>
                <w:sz w:val="16"/>
              </w:rPr>
              <w:t>5%</w:t>
            </w:r>
          </w:p>
          <w:p w14:paraId="7E26D81E" w14:textId="77777777" w:rsidR="001439E0" w:rsidRDefault="001439E0">
            <w:pPr>
              <w:pStyle w:val="TableParagraph"/>
              <w:rPr>
                <w:b/>
                <w:sz w:val="18"/>
              </w:rPr>
            </w:pPr>
          </w:p>
          <w:p w14:paraId="7E26D81F" w14:textId="77777777" w:rsidR="001439E0" w:rsidRDefault="001439E0">
            <w:pPr>
              <w:pStyle w:val="TableParagraph"/>
              <w:spacing w:before="11"/>
              <w:rPr>
                <w:b/>
                <w:sz w:val="18"/>
              </w:rPr>
            </w:pPr>
          </w:p>
          <w:p w14:paraId="7E26D820" w14:textId="77777777" w:rsidR="001439E0" w:rsidRDefault="008A23E0">
            <w:pPr>
              <w:pStyle w:val="TableParagraph"/>
              <w:ind w:left="545" w:right="550"/>
              <w:jc w:val="center"/>
              <w:rPr>
                <w:sz w:val="16"/>
              </w:rPr>
            </w:pPr>
            <w:r>
              <w:rPr>
                <w:sz w:val="16"/>
              </w:rPr>
              <w:t>2%</w:t>
            </w:r>
          </w:p>
          <w:p w14:paraId="7E26D821" w14:textId="77777777" w:rsidR="001439E0" w:rsidRDefault="008A23E0">
            <w:pPr>
              <w:pStyle w:val="TableParagraph"/>
              <w:spacing w:before="119"/>
              <w:ind w:left="545" w:right="550"/>
              <w:jc w:val="center"/>
              <w:rPr>
                <w:sz w:val="16"/>
              </w:rPr>
            </w:pPr>
            <w:r>
              <w:rPr>
                <w:sz w:val="16"/>
              </w:rPr>
              <w:t>2%</w:t>
            </w:r>
          </w:p>
          <w:p w14:paraId="7E26D822" w14:textId="77777777" w:rsidR="001439E0" w:rsidRDefault="008A23E0">
            <w:pPr>
              <w:pStyle w:val="TableParagraph"/>
              <w:spacing w:before="121"/>
              <w:ind w:right="4"/>
              <w:jc w:val="center"/>
              <w:rPr>
                <w:sz w:val="16"/>
              </w:rPr>
            </w:pPr>
            <w:r>
              <w:rPr>
                <w:w w:val="99"/>
                <w:sz w:val="16"/>
              </w:rPr>
              <w:t>0</w:t>
            </w:r>
          </w:p>
        </w:tc>
        <w:tc>
          <w:tcPr>
            <w:tcW w:w="1637" w:type="dxa"/>
            <w:gridSpan w:val="2"/>
          </w:tcPr>
          <w:p w14:paraId="7E26D823" w14:textId="77777777" w:rsidR="001439E0" w:rsidRDefault="008A23E0">
            <w:pPr>
              <w:pStyle w:val="TableParagraph"/>
              <w:spacing w:before="59"/>
              <w:ind w:left="631" w:right="630"/>
              <w:jc w:val="center"/>
              <w:rPr>
                <w:sz w:val="16"/>
              </w:rPr>
            </w:pPr>
            <w:r>
              <w:rPr>
                <w:sz w:val="16"/>
              </w:rPr>
              <w:t>9%</w:t>
            </w:r>
          </w:p>
          <w:p w14:paraId="7E26D824" w14:textId="77777777" w:rsidR="001439E0" w:rsidRDefault="001439E0">
            <w:pPr>
              <w:pStyle w:val="TableParagraph"/>
              <w:rPr>
                <w:b/>
                <w:sz w:val="18"/>
              </w:rPr>
            </w:pPr>
          </w:p>
          <w:p w14:paraId="7E26D825" w14:textId="77777777" w:rsidR="001439E0" w:rsidRDefault="001439E0">
            <w:pPr>
              <w:pStyle w:val="TableParagraph"/>
              <w:spacing w:before="11"/>
              <w:rPr>
                <w:b/>
                <w:sz w:val="18"/>
              </w:rPr>
            </w:pPr>
          </w:p>
          <w:p w14:paraId="7E26D826" w14:textId="77777777" w:rsidR="001439E0" w:rsidRDefault="008A23E0">
            <w:pPr>
              <w:pStyle w:val="TableParagraph"/>
              <w:ind w:left="631" w:right="629"/>
              <w:jc w:val="center"/>
              <w:rPr>
                <w:sz w:val="16"/>
              </w:rPr>
            </w:pPr>
            <w:r>
              <w:rPr>
                <w:sz w:val="16"/>
              </w:rPr>
              <w:t>7%</w:t>
            </w:r>
          </w:p>
          <w:p w14:paraId="7E26D827" w14:textId="77777777" w:rsidR="001439E0" w:rsidRDefault="008A23E0">
            <w:pPr>
              <w:pStyle w:val="TableParagraph"/>
              <w:spacing w:before="119"/>
              <w:ind w:left="631" w:right="629"/>
              <w:jc w:val="center"/>
              <w:rPr>
                <w:sz w:val="16"/>
              </w:rPr>
            </w:pPr>
            <w:r>
              <w:rPr>
                <w:sz w:val="16"/>
              </w:rPr>
              <w:t>2%</w:t>
            </w:r>
          </w:p>
          <w:p w14:paraId="7E26D828" w14:textId="77777777" w:rsidR="001439E0" w:rsidRDefault="008A23E0">
            <w:pPr>
              <w:pStyle w:val="TableParagraph"/>
              <w:spacing w:before="121"/>
              <w:ind w:left="631" w:right="630"/>
              <w:jc w:val="center"/>
              <w:rPr>
                <w:sz w:val="16"/>
              </w:rPr>
            </w:pPr>
            <w:r>
              <w:rPr>
                <w:sz w:val="16"/>
              </w:rPr>
              <w:t>&lt;1%</w:t>
            </w:r>
          </w:p>
        </w:tc>
      </w:tr>
      <w:tr w:rsidR="001439E0" w14:paraId="7E26D82B" w14:textId="77777777">
        <w:trPr>
          <w:trHeight w:val="304"/>
        </w:trPr>
        <w:tc>
          <w:tcPr>
            <w:tcW w:w="9748" w:type="dxa"/>
            <w:gridSpan w:val="6"/>
          </w:tcPr>
          <w:p w14:paraId="7E26D82A" w14:textId="77777777" w:rsidR="001439E0" w:rsidRDefault="008A23E0">
            <w:pPr>
              <w:pStyle w:val="TableParagraph"/>
              <w:spacing w:before="59"/>
              <w:ind w:left="107"/>
              <w:rPr>
                <w:b/>
                <w:sz w:val="16"/>
              </w:rPr>
            </w:pPr>
            <w:r>
              <w:rPr>
                <w:b/>
                <w:sz w:val="16"/>
              </w:rPr>
              <w:t>Proportion (%) of Subjects With HIV-1 RNA &lt;50 copies/mL at Week 48 by Baseline and Demographic Category</w:t>
            </w:r>
          </w:p>
        </w:tc>
      </w:tr>
      <w:tr w:rsidR="001439E0" w14:paraId="7E26D83A" w14:textId="77777777">
        <w:trPr>
          <w:trHeight w:val="911"/>
        </w:trPr>
        <w:tc>
          <w:tcPr>
            <w:tcW w:w="3203" w:type="dxa"/>
          </w:tcPr>
          <w:p w14:paraId="7E26D82C" w14:textId="77777777" w:rsidR="001439E0" w:rsidRDefault="008A23E0">
            <w:pPr>
              <w:pStyle w:val="TableParagraph"/>
              <w:spacing w:before="59"/>
              <w:ind w:left="107"/>
              <w:rPr>
                <w:b/>
                <w:sz w:val="16"/>
              </w:rPr>
            </w:pPr>
            <w:r>
              <w:rPr>
                <w:b/>
                <w:sz w:val="16"/>
              </w:rPr>
              <w:t>Gender</w:t>
            </w:r>
          </w:p>
          <w:p w14:paraId="7E26D82D" w14:textId="77777777" w:rsidR="001439E0" w:rsidRDefault="008A23E0">
            <w:pPr>
              <w:pStyle w:val="TableParagraph"/>
              <w:spacing w:before="4" w:line="300" w:lineRule="atLeast"/>
              <w:ind w:left="269" w:right="2370"/>
              <w:rPr>
                <w:sz w:val="16"/>
              </w:rPr>
            </w:pPr>
            <w:r>
              <w:rPr>
                <w:sz w:val="16"/>
              </w:rPr>
              <w:t>Male Female</w:t>
            </w:r>
          </w:p>
        </w:tc>
        <w:tc>
          <w:tcPr>
            <w:tcW w:w="1635" w:type="dxa"/>
          </w:tcPr>
          <w:p w14:paraId="7E26D82E" w14:textId="77777777" w:rsidR="001439E0" w:rsidRDefault="001439E0">
            <w:pPr>
              <w:pStyle w:val="TableParagraph"/>
              <w:rPr>
                <w:b/>
                <w:sz w:val="18"/>
              </w:rPr>
            </w:pPr>
          </w:p>
          <w:p w14:paraId="7E26D82F" w14:textId="77777777" w:rsidR="001439E0" w:rsidRDefault="008A23E0">
            <w:pPr>
              <w:pStyle w:val="TableParagraph"/>
              <w:spacing w:before="156"/>
              <w:ind w:left="556" w:right="553"/>
              <w:jc w:val="center"/>
              <w:rPr>
                <w:sz w:val="16"/>
              </w:rPr>
            </w:pPr>
            <w:r>
              <w:rPr>
                <w:sz w:val="16"/>
              </w:rPr>
              <w:t>84%</w:t>
            </w:r>
          </w:p>
          <w:p w14:paraId="7E26D830" w14:textId="77777777" w:rsidR="001439E0" w:rsidRDefault="008A23E0">
            <w:pPr>
              <w:pStyle w:val="TableParagraph"/>
              <w:spacing w:before="120"/>
              <w:ind w:left="556" w:right="552"/>
              <w:jc w:val="center"/>
              <w:rPr>
                <w:sz w:val="16"/>
              </w:rPr>
            </w:pPr>
            <w:r>
              <w:rPr>
                <w:sz w:val="16"/>
              </w:rPr>
              <w:t>81%</w:t>
            </w:r>
          </w:p>
        </w:tc>
        <w:tc>
          <w:tcPr>
            <w:tcW w:w="1636" w:type="dxa"/>
            <w:tcBorders>
              <w:right w:val="single" w:sz="12" w:space="0" w:color="000000"/>
            </w:tcBorders>
          </w:tcPr>
          <w:p w14:paraId="7E26D831" w14:textId="77777777" w:rsidR="001439E0" w:rsidRDefault="001439E0">
            <w:pPr>
              <w:pStyle w:val="TableParagraph"/>
              <w:rPr>
                <w:b/>
                <w:sz w:val="18"/>
              </w:rPr>
            </w:pPr>
          </w:p>
          <w:p w14:paraId="7E26D832" w14:textId="77777777" w:rsidR="001439E0" w:rsidRDefault="008A23E0">
            <w:pPr>
              <w:pStyle w:val="TableParagraph"/>
              <w:spacing w:before="156"/>
              <w:ind w:left="553" w:right="538"/>
              <w:jc w:val="center"/>
              <w:rPr>
                <w:sz w:val="16"/>
              </w:rPr>
            </w:pPr>
            <w:r>
              <w:rPr>
                <w:sz w:val="16"/>
              </w:rPr>
              <w:t>82%</w:t>
            </w:r>
          </w:p>
          <w:p w14:paraId="7E26D833" w14:textId="77777777" w:rsidR="001439E0" w:rsidRDefault="008A23E0">
            <w:pPr>
              <w:pStyle w:val="TableParagraph"/>
              <w:spacing w:before="120"/>
              <w:ind w:left="553" w:right="537"/>
              <w:jc w:val="center"/>
              <w:rPr>
                <w:sz w:val="16"/>
              </w:rPr>
            </w:pPr>
            <w:r>
              <w:rPr>
                <w:sz w:val="16"/>
              </w:rPr>
              <w:t>67%</w:t>
            </w:r>
          </w:p>
        </w:tc>
        <w:tc>
          <w:tcPr>
            <w:tcW w:w="1637" w:type="dxa"/>
            <w:tcBorders>
              <w:left w:val="single" w:sz="12" w:space="0" w:color="000000"/>
            </w:tcBorders>
          </w:tcPr>
          <w:p w14:paraId="7E26D834" w14:textId="77777777" w:rsidR="001439E0" w:rsidRDefault="001439E0">
            <w:pPr>
              <w:pStyle w:val="TableParagraph"/>
              <w:rPr>
                <w:b/>
                <w:sz w:val="18"/>
              </w:rPr>
            </w:pPr>
          </w:p>
          <w:p w14:paraId="7E26D835" w14:textId="77777777" w:rsidR="001439E0" w:rsidRDefault="008A23E0">
            <w:pPr>
              <w:pStyle w:val="TableParagraph"/>
              <w:spacing w:before="156"/>
              <w:ind w:left="544" w:right="550"/>
              <w:jc w:val="center"/>
              <w:rPr>
                <w:sz w:val="16"/>
              </w:rPr>
            </w:pPr>
            <w:r>
              <w:rPr>
                <w:sz w:val="16"/>
              </w:rPr>
              <w:t>84%</w:t>
            </w:r>
          </w:p>
          <w:p w14:paraId="7E26D836" w14:textId="77777777" w:rsidR="001439E0" w:rsidRDefault="008A23E0">
            <w:pPr>
              <w:pStyle w:val="TableParagraph"/>
              <w:spacing w:before="120"/>
              <w:ind w:left="545" w:right="550"/>
              <w:jc w:val="center"/>
              <w:rPr>
                <w:sz w:val="16"/>
              </w:rPr>
            </w:pPr>
            <w:r>
              <w:rPr>
                <w:sz w:val="16"/>
              </w:rPr>
              <w:t>85%</w:t>
            </w:r>
          </w:p>
        </w:tc>
        <w:tc>
          <w:tcPr>
            <w:tcW w:w="1637" w:type="dxa"/>
            <w:gridSpan w:val="2"/>
          </w:tcPr>
          <w:p w14:paraId="7E26D837" w14:textId="77777777" w:rsidR="001439E0" w:rsidRDefault="001439E0">
            <w:pPr>
              <w:pStyle w:val="TableParagraph"/>
              <w:rPr>
                <w:b/>
                <w:sz w:val="18"/>
              </w:rPr>
            </w:pPr>
          </w:p>
          <w:p w14:paraId="7E26D838" w14:textId="77777777" w:rsidR="001439E0" w:rsidRDefault="008A23E0">
            <w:pPr>
              <w:pStyle w:val="TableParagraph"/>
              <w:spacing w:before="156"/>
              <w:ind w:left="631" w:right="630"/>
              <w:jc w:val="center"/>
              <w:rPr>
                <w:sz w:val="16"/>
              </w:rPr>
            </w:pPr>
            <w:r>
              <w:rPr>
                <w:sz w:val="16"/>
              </w:rPr>
              <w:t>80%</w:t>
            </w:r>
          </w:p>
          <w:p w14:paraId="7E26D839" w14:textId="77777777" w:rsidR="001439E0" w:rsidRDefault="008A23E0">
            <w:pPr>
              <w:pStyle w:val="TableParagraph"/>
              <w:spacing w:before="120"/>
              <w:ind w:left="631" w:right="629"/>
              <w:jc w:val="center"/>
              <w:rPr>
                <w:sz w:val="16"/>
              </w:rPr>
            </w:pPr>
            <w:r>
              <w:rPr>
                <w:sz w:val="16"/>
              </w:rPr>
              <w:t>83%</w:t>
            </w:r>
          </w:p>
        </w:tc>
      </w:tr>
      <w:tr w:rsidR="001439E0" w14:paraId="7E26D84A" w14:textId="77777777">
        <w:trPr>
          <w:trHeight w:val="911"/>
        </w:trPr>
        <w:tc>
          <w:tcPr>
            <w:tcW w:w="3203" w:type="dxa"/>
          </w:tcPr>
          <w:p w14:paraId="7E26D83B" w14:textId="77777777" w:rsidR="001439E0" w:rsidRDefault="008A23E0">
            <w:pPr>
              <w:pStyle w:val="TableParagraph"/>
              <w:spacing w:before="59"/>
              <w:ind w:left="107"/>
              <w:rPr>
                <w:b/>
                <w:sz w:val="16"/>
              </w:rPr>
            </w:pPr>
            <w:r>
              <w:rPr>
                <w:b/>
                <w:sz w:val="16"/>
              </w:rPr>
              <w:t>Race</w:t>
            </w:r>
          </w:p>
          <w:p w14:paraId="7E26D83C" w14:textId="77777777" w:rsidR="001439E0" w:rsidRDefault="008A23E0">
            <w:pPr>
              <w:pStyle w:val="TableParagraph"/>
              <w:spacing w:before="120"/>
              <w:ind w:left="269"/>
              <w:rPr>
                <w:sz w:val="16"/>
              </w:rPr>
            </w:pPr>
            <w:r>
              <w:rPr>
                <w:sz w:val="16"/>
              </w:rPr>
              <w:t>White</w:t>
            </w:r>
          </w:p>
          <w:p w14:paraId="7E26D83D" w14:textId="77777777" w:rsidR="001439E0" w:rsidRDefault="008A23E0">
            <w:pPr>
              <w:pStyle w:val="TableParagraph"/>
              <w:spacing w:before="121"/>
              <w:ind w:left="269"/>
              <w:rPr>
                <w:sz w:val="16"/>
              </w:rPr>
            </w:pPr>
            <w:r>
              <w:rPr>
                <w:sz w:val="16"/>
              </w:rPr>
              <w:t>Non-White</w:t>
            </w:r>
          </w:p>
        </w:tc>
        <w:tc>
          <w:tcPr>
            <w:tcW w:w="1635" w:type="dxa"/>
          </w:tcPr>
          <w:p w14:paraId="7E26D83E" w14:textId="77777777" w:rsidR="001439E0" w:rsidRDefault="001439E0">
            <w:pPr>
              <w:pStyle w:val="TableParagraph"/>
              <w:rPr>
                <w:b/>
                <w:sz w:val="18"/>
              </w:rPr>
            </w:pPr>
          </w:p>
          <w:p w14:paraId="7E26D83F" w14:textId="77777777" w:rsidR="001439E0" w:rsidRDefault="008A23E0">
            <w:pPr>
              <w:pStyle w:val="TableParagraph"/>
              <w:spacing w:before="156"/>
              <w:ind w:left="556" w:right="553"/>
              <w:jc w:val="center"/>
              <w:rPr>
                <w:sz w:val="16"/>
              </w:rPr>
            </w:pPr>
            <w:r>
              <w:rPr>
                <w:sz w:val="16"/>
              </w:rPr>
              <w:t>87%</w:t>
            </w:r>
          </w:p>
          <w:p w14:paraId="7E26D840" w14:textId="77777777" w:rsidR="001439E0" w:rsidRDefault="008A23E0">
            <w:pPr>
              <w:pStyle w:val="TableParagraph"/>
              <w:spacing w:before="121"/>
              <w:ind w:left="555" w:right="553"/>
              <w:jc w:val="center"/>
              <w:rPr>
                <w:sz w:val="16"/>
              </w:rPr>
            </w:pPr>
            <w:r>
              <w:rPr>
                <w:sz w:val="16"/>
              </w:rPr>
              <w:t>75%</w:t>
            </w:r>
          </w:p>
        </w:tc>
        <w:tc>
          <w:tcPr>
            <w:tcW w:w="1636" w:type="dxa"/>
            <w:tcBorders>
              <w:right w:val="single" w:sz="12" w:space="0" w:color="000000"/>
            </w:tcBorders>
          </w:tcPr>
          <w:p w14:paraId="7E26D841" w14:textId="77777777" w:rsidR="001439E0" w:rsidRDefault="001439E0">
            <w:pPr>
              <w:pStyle w:val="TableParagraph"/>
              <w:rPr>
                <w:b/>
                <w:sz w:val="18"/>
              </w:rPr>
            </w:pPr>
          </w:p>
          <w:p w14:paraId="7E26D842" w14:textId="77777777" w:rsidR="001439E0" w:rsidRDefault="008A23E0">
            <w:pPr>
              <w:pStyle w:val="TableParagraph"/>
              <w:spacing w:before="156"/>
              <w:ind w:left="553" w:right="537"/>
              <w:jc w:val="center"/>
              <w:rPr>
                <w:sz w:val="16"/>
              </w:rPr>
            </w:pPr>
            <w:r>
              <w:rPr>
                <w:sz w:val="16"/>
              </w:rPr>
              <w:t>83%</w:t>
            </w:r>
          </w:p>
          <w:p w14:paraId="7E26D843" w14:textId="77777777" w:rsidR="001439E0" w:rsidRDefault="008A23E0">
            <w:pPr>
              <w:pStyle w:val="TableParagraph"/>
              <w:spacing w:before="121"/>
              <w:ind w:left="553" w:right="538"/>
              <w:jc w:val="center"/>
              <w:rPr>
                <w:sz w:val="16"/>
              </w:rPr>
            </w:pPr>
            <w:r>
              <w:rPr>
                <w:sz w:val="16"/>
              </w:rPr>
              <w:t>73%</w:t>
            </w:r>
          </w:p>
        </w:tc>
        <w:tc>
          <w:tcPr>
            <w:tcW w:w="1637" w:type="dxa"/>
            <w:tcBorders>
              <w:left w:val="single" w:sz="12" w:space="0" w:color="000000"/>
            </w:tcBorders>
          </w:tcPr>
          <w:p w14:paraId="7E26D844" w14:textId="77777777" w:rsidR="001439E0" w:rsidRDefault="001439E0">
            <w:pPr>
              <w:pStyle w:val="TableParagraph"/>
              <w:rPr>
                <w:b/>
                <w:sz w:val="18"/>
              </w:rPr>
            </w:pPr>
          </w:p>
          <w:p w14:paraId="7E26D845" w14:textId="77777777" w:rsidR="001439E0" w:rsidRDefault="008A23E0">
            <w:pPr>
              <w:pStyle w:val="TableParagraph"/>
              <w:spacing w:before="156"/>
              <w:ind w:left="544" w:right="550"/>
              <w:jc w:val="center"/>
              <w:rPr>
                <w:sz w:val="16"/>
              </w:rPr>
            </w:pPr>
            <w:r>
              <w:rPr>
                <w:sz w:val="16"/>
              </w:rPr>
              <w:t>84%</w:t>
            </w:r>
          </w:p>
          <w:p w14:paraId="7E26D846" w14:textId="77777777" w:rsidR="001439E0" w:rsidRDefault="008A23E0">
            <w:pPr>
              <w:pStyle w:val="TableParagraph"/>
              <w:spacing w:before="121"/>
              <w:ind w:left="544" w:right="550"/>
              <w:jc w:val="center"/>
              <w:rPr>
                <w:sz w:val="16"/>
              </w:rPr>
            </w:pPr>
            <w:r>
              <w:rPr>
                <w:sz w:val="16"/>
              </w:rPr>
              <w:t>84%</w:t>
            </w:r>
          </w:p>
        </w:tc>
        <w:tc>
          <w:tcPr>
            <w:tcW w:w="1637" w:type="dxa"/>
            <w:gridSpan w:val="2"/>
          </w:tcPr>
          <w:p w14:paraId="7E26D847" w14:textId="77777777" w:rsidR="001439E0" w:rsidRDefault="001439E0">
            <w:pPr>
              <w:pStyle w:val="TableParagraph"/>
              <w:rPr>
                <w:b/>
                <w:sz w:val="18"/>
              </w:rPr>
            </w:pPr>
          </w:p>
          <w:p w14:paraId="7E26D848" w14:textId="77777777" w:rsidR="001439E0" w:rsidRDefault="008A23E0">
            <w:pPr>
              <w:pStyle w:val="TableParagraph"/>
              <w:spacing w:before="156"/>
              <w:ind w:left="631" w:right="630"/>
              <w:jc w:val="center"/>
              <w:rPr>
                <w:sz w:val="16"/>
              </w:rPr>
            </w:pPr>
            <w:r>
              <w:rPr>
                <w:sz w:val="16"/>
              </w:rPr>
              <w:t>81%</w:t>
            </w:r>
          </w:p>
          <w:p w14:paraId="7E26D849" w14:textId="77777777" w:rsidR="001439E0" w:rsidRDefault="008A23E0">
            <w:pPr>
              <w:pStyle w:val="TableParagraph"/>
              <w:spacing w:before="121"/>
              <w:ind w:left="630" w:right="630"/>
              <w:jc w:val="center"/>
              <w:rPr>
                <w:sz w:val="16"/>
              </w:rPr>
            </w:pPr>
            <w:r>
              <w:rPr>
                <w:sz w:val="16"/>
              </w:rPr>
              <w:t>80%</w:t>
            </w:r>
          </w:p>
        </w:tc>
      </w:tr>
      <w:tr w:rsidR="001439E0" w14:paraId="7E26D85A" w14:textId="77777777">
        <w:trPr>
          <w:trHeight w:val="911"/>
        </w:trPr>
        <w:tc>
          <w:tcPr>
            <w:tcW w:w="3203" w:type="dxa"/>
          </w:tcPr>
          <w:p w14:paraId="7E26D84B" w14:textId="77777777" w:rsidR="001439E0" w:rsidRDefault="008A23E0">
            <w:pPr>
              <w:pStyle w:val="TableParagraph"/>
              <w:spacing w:before="59"/>
              <w:ind w:left="107"/>
              <w:rPr>
                <w:b/>
                <w:sz w:val="16"/>
              </w:rPr>
            </w:pPr>
            <w:r>
              <w:rPr>
                <w:b/>
                <w:sz w:val="16"/>
              </w:rPr>
              <w:t>Ethnicity</w:t>
            </w:r>
          </w:p>
          <w:p w14:paraId="7E26D84C" w14:textId="77777777" w:rsidR="001439E0" w:rsidRDefault="008A23E0">
            <w:pPr>
              <w:pStyle w:val="TableParagraph"/>
              <w:spacing w:before="121"/>
              <w:ind w:left="269"/>
              <w:rPr>
                <w:sz w:val="16"/>
              </w:rPr>
            </w:pPr>
            <w:r>
              <w:rPr>
                <w:sz w:val="16"/>
              </w:rPr>
              <w:t>Hispanic or Latino</w:t>
            </w:r>
          </w:p>
          <w:p w14:paraId="7E26D84D" w14:textId="77777777" w:rsidR="001439E0" w:rsidRDefault="008A23E0">
            <w:pPr>
              <w:pStyle w:val="TableParagraph"/>
              <w:spacing w:before="120"/>
              <w:ind w:left="269"/>
              <w:rPr>
                <w:sz w:val="16"/>
              </w:rPr>
            </w:pPr>
            <w:r>
              <w:rPr>
                <w:sz w:val="16"/>
              </w:rPr>
              <w:t>Not Hispanic or Latino</w:t>
            </w:r>
          </w:p>
        </w:tc>
        <w:tc>
          <w:tcPr>
            <w:tcW w:w="1635" w:type="dxa"/>
          </w:tcPr>
          <w:p w14:paraId="7E26D84E" w14:textId="77777777" w:rsidR="001439E0" w:rsidRDefault="001439E0">
            <w:pPr>
              <w:pStyle w:val="TableParagraph"/>
              <w:rPr>
                <w:b/>
                <w:sz w:val="18"/>
              </w:rPr>
            </w:pPr>
          </w:p>
          <w:p w14:paraId="7E26D84F" w14:textId="77777777" w:rsidR="001439E0" w:rsidRDefault="008A23E0">
            <w:pPr>
              <w:pStyle w:val="TableParagraph"/>
              <w:spacing w:before="157"/>
              <w:ind w:left="554" w:right="553"/>
              <w:jc w:val="center"/>
              <w:rPr>
                <w:sz w:val="16"/>
              </w:rPr>
            </w:pPr>
            <w:r>
              <w:rPr>
                <w:sz w:val="16"/>
              </w:rPr>
              <w:t>88%</w:t>
            </w:r>
          </w:p>
          <w:p w14:paraId="7E26D850" w14:textId="77777777" w:rsidR="001439E0" w:rsidRDefault="008A23E0">
            <w:pPr>
              <w:pStyle w:val="TableParagraph"/>
              <w:spacing w:before="120"/>
              <w:ind w:left="554" w:right="553"/>
              <w:jc w:val="center"/>
              <w:rPr>
                <w:sz w:val="16"/>
              </w:rPr>
            </w:pPr>
            <w:r>
              <w:rPr>
                <w:sz w:val="16"/>
              </w:rPr>
              <w:t>82%</w:t>
            </w:r>
          </w:p>
        </w:tc>
        <w:tc>
          <w:tcPr>
            <w:tcW w:w="1636" w:type="dxa"/>
            <w:tcBorders>
              <w:right w:val="single" w:sz="12" w:space="0" w:color="000000"/>
            </w:tcBorders>
          </w:tcPr>
          <w:p w14:paraId="7E26D851" w14:textId="77777777" w:rsidR="001439E0" w:rsidRDefault="001439E0">
            <w:pPr>
              <w:pStyle w:val="TableParagraph"/>
              <w:rPr>
                <w:b/>
                <w:sz w:val="18"/>
              </w:rPr>
            </w:pPr>
          </w:p>
          <w:p w14:paraId="7E26D852" w14:textId="77777777" w:rsidR="001439E0" w:rsidRDefault="008A23E0">
            <w:pPr>
              <w:pStyle w:val="TableParagraph"/>
              <w:spacing w:before="157"/>
              <w:ind w:left="553" w:right="540"/>
              <w:jc w:val="center"/>
              <w:rPr>
                <w:sz w:val="16"/>
              </w:rPr>
            </w:pPr>
            <w:r>
              <w:rPr>
                <w:sz w:val="16"/>
              </w:rPr>
              <w:t>81%</w:t>
            </w:r>
          </w:p>
          <w:p w14:paraId="7E26D853" w14:textId="77777777" w:rsidR="001439E0" w:rsidRDefault="008A23E0">
            <w:pPr>
              <w:pStyle w:val="TableParagraph"/>
              <w:spacing w:before="120"/>
              <w:ind w:left="553" w:right="539"/>
              <w:jc w:val="center"/>
              <w:rPr>
                <w:sz w:val="16"/>
              </w:rPr>
            </w:pPr>
            <w:r>
              <w:rPr>
                <w:sz w:val="16"/>
              </w:rPr>
              <w:t>79%</w:t>
            </w:r>
          </w:p>
        </w:tc>
        <w:tc>
          <w:tcPr>
            <w:tcW w:w="1637" w:type="dxa"/>
            <w:tcBorders>
              <w:left w:val="single" w:sz="12" w:space="0" w:color="000000"/>
            </w:tcBorders>
          </w:tcPr>
          <w:p w14:paraId="7E26D854" w14:textId="77777777" w:rsidR="001439E0" w:rsidRDefault="001439E0">
            <w:pPr>
              <w:pStyle w:val="TableParagraph"/>
              <w:rPr>
                <w:b/>
                <w:sz w:val="18"/>
              </w:rPr>
            </w:pPr>
          </w:p>
          <w:p w14:paraId="7E26D855" w14:textId="77777777" w:rsidR="001439E0" w:rsidRDefault="008A23E0">
            <w:pPr>
              <w:pStyle w:val="TableParagraph"/>
              <w:spacing w:before="157"/>
              <w:ind w:left="542" w:right="550"/>
              <w:jc w:val="center"/>
              <w:rPr>
                <w:sz w:val="16"/>
              </w:rPr>
            </w:pPr>
            <w:r>
              <w:rPr>
                <w:sz w:val="16"/>
              </w:rPr>
              <w:t>83%</w:t>
            </w:r>
          </w:p>
          <w:p w14:paraId="7E26D856" w14:textId="77777777" w:rsidR="001439E0" w:rsidRDefault="008A23E0">
            <w:pPr>
              <w:pStyle w:val="TableParagraph"/>
              <w:spacing w:before="120"/>
              <w:ind w:left="543" w:right="550"/>
              <w:jc w:val="center"/>
              <w:rPr>
                <w:sz w:val="16"/>
              </w:rPr>
            </w:pPr>
            <w:r>
              <w:rPr>
                <w:sz w:val="16"/>
              </w:rPr>
              <w:t>85%</w:t>
            </w:r>
          </w:p>
        </w:tc>
        <w:tc>
          <w:tcPr>
            <w:tcW w:w="1637" w:type="dxa"/>
            <w:gridSpan w:val="2"/>
          </w:tcPr>
          <w:p w14:paraId="7E26D857" w14:textId="77777777" w:rsidR="001439E0" w:rsidRDefault="001439E0">
            <w:pPr>
              <w:pStyle w:val="TableParagraph"/>
              <w:rPr>
                <w:b/>
                <w:sz w:val="18"/>
              </w:rPr>
            </w:pPr>
          </w:p>
          <w:p w14:paraId="7E26D858" w14:textId="77777777" w:rsidR="001439E0" w:rsidRDefault="008A23E0">
            <w:pPr>
              <w:pStyle w:val="TableParagraph"/>
              <w:spacing w:before="157"/>
              <w:ind w:left="630" w:right="630"/>
              <w:jc w:val="center"/>
              <w:rPr>
                <w:sz w:val="16"/>
              </w:rPr>
            </w:pPr>
            <w:r>
              <w:rPr>
                <w:sz w:val="16"/>
              </w:rPr>
              <w:t>84%</w:t>
            </w:r>
          </w:p>
          <w:p w14:paraId="7E26D859" w14:textId="77777777" w:rsidR="001439E0" w:rsidRDefault="008A23E0">
            <w:pPr>
              <w:pStyle w:val="TableParagraph"/>
              <w:spacing w:before="120"/>
              <w:ind w:left="630" w:right="630"/>
              <w:jc w:val="center"/>
              <w:rPr>
                <w:sz w:val="16"/>
              </w:rPr>
            </w:pPr>
            <w:r>
              <w:rPr>
                <w:sz w:val="16"/>
              </w:rPr>
              <w:t>79%</w:t>
            </w:r>
          </w:p>
        </w:tc>
      </w:tr>
      <w:tr w:rsidR="001439E0" w14:paraId="7E26D869" w14:textId="77777777">
        <w:trPr>
          <w:trHeight w:val="912"/>
        </w:trPr>
        <w:tc>
          <w:tcPr>
            <w:tcW w:w="3203" w:type="dxa"/>
          </w:tcPr>
          <w:p w14:paraId="7E26D85B" w14:textId="77777777" w:rsidR="001439E0" w:rsidRDefault="008A23E0">
            <w:pPr>
              <w:pStyle w:val="TableParagraph"/>
              <w:spacing w:before="61"/>
              <w:ind w:left="107"/>
              <w:rPr>
                <w:b/>
                <w:sz w:val="16"/>
              </w:rPr>
            </w:pPr>
            <w:r>
              <w:rPr>
                <w:b/>
                <w:sz w:val="16"/>
              </w:rPr>
              <w:t>NRTI Background Therapy</w:t>
            </w:r>
          </w:p>
          <w:p w14:paraId="7E26D85C" w14:textId="77777777" w:rsidR="001439E0" w:rsidRDefault="008A23E0">
            <w:pPr>
              <w:pStyle w:val="TableParagraph"/>
              <w:spacing w:before="3" w:line="300" w:lineRule="atLeast"/>
              <w:ind w:left="269" w:right="2228"/>
              <w:rPr>
                <w:sz w:val="16"/>
              </w:rPr>
            </w:pPr>
            <w:r>
              <w:rPr>
                <w:sz w:val="16"/>
              </w:rPr>
              <w:t>FTC/TDF ABC/3TC</w:t>
            </w:r>
          </w:p>
        </w:tc>
        <w:tc>
          <w:tcPr>
            <w:tcW w:w="1635" w:type="dxa"/>
          </w:tcPr>
          <w:p w14:paraId="7E26D85D" w14:textId="77777777" w:rsidR="001439E0" w:rsidRDefault="001439E0">
            <w:pPr>
              <w:pStyle w:val="TableParagraph"/>
              <w:rPr>
                <w:b/>
                <w:sz w:val="18"/>
              </w:rPr>
            </w:pPr>
          </w:p>
          <w:p w14:paraId="7E26D85E" w14:textId="77777777" w:rsidR="001439E0" w:rsidRDefault="008A23E0">
            <w:pPr>
              <w:pStyle w:val="TableParagraph"/>
              <w:spacing w:before="157"/>
              <w:ind w:left="556" w:right="551"/>
              <w:jc w:val="center"/>
              <w:rPr>
                <w:sz w:val="16"/>
              </w:rPr>
            </w:pPr>
            <w:r>
              <w:rPr>
                <w:sz w:val="16"/>
              </w:rPr>
              <w:t>83%</w:t>
            </w:r>
          </w:p>
          <w:p w14:paraId="7E26D85F" w14:textId="77777777" w:rsidR="001439E0" w:rsidRDefault="008A23E0">
            <w:pPr>
              <w:pStyle w:val="TableParagraph"/>
              <w:spacing w:before="120"/>
              <w:ind w:left="556" w:right="553"/>
              <w:jc w:val="center"/>
              <w:rPr>
                <w:sz w:val="16"/>
              </w:rPr>
            </w:pPr>
            <w:r>
              <w:rPr>
                <w:sz w:val="16"/>
              </w:rPr>
              <w:t>86%</w:t>
            </w:r>
          </w:p>
        </w:tc>
        <w:tc>
          <w:tcPr>
            <w:tcW w:w="1636" w:type="dxa"/>
            <w:tcBorders>
              <w:right w:val="single" w:sz="12" w:space="0" w:color="000000"/>
            </w:tcBorders>
          </w:tcPr>
          <w:p w14:paraId="7E26D860" w14:textId="77777777" w:rsidR="001439E0" w:rsidRDefault="001439E0">
            <w:pPr>
              <w:pStyle w:val="TableParagraph"/>
              <w:rPr>
                <w:b/>
                <w:sz w:val="18"/>
              </w:rPr>
            </w:pPr>
          </w:p>
          <w:p w14:paraId="7E26D861" w14:textId="77777777" w:rsidR="001439E0" w:rsidRDefault="008A23E0">
            <w:pPr>
              <w:pStyle w:val="TableParagraph"/>
              <w:spacing w:before="157"/>
              <w:ind w:left="553" w:right="536"/>
              <w:jc w:val="center"/>
              <w:rPr>
                <w:sz w:val="16"/>
              </w:rPr>
            </w:pPr>
            <w:r>
              <w:rPr>
                <w:sz w:val="16"/>
              </w:rPr>
              <w:t>81%</w:t>
            </w:r>
          </w:p>
          <w:p w14:paraId="7E26D862" w14:textId="77777777" w:rsidR="001439E0" w:rsidRDefault="008A23E0">
            <w:pPr>
              <w:pStyle w:val="TableParagraph"/>
              <w:spacing w:before="120"/>
              <w:ind w:left="553" w:right="537"/>
              <w:jc w:val="center"/>
              <w:rPr>
                <w:sz w:val="16"/>
              </w:rPr>
            </w:pPr>
            <w:r>
              <w:rPr>
                <w:sz w:val="16"/>
              </w:rPr>
              <w:t>75%</w:t>
            </w:r>
          </w:p>
        </w:tc>
        <w:tc>
          <w:tcPr>
            <w:tcW w:w="1637" w:type="dxa"/>
            <w:tcBorders>
              <w:left w:val="single" w:sz="12" w:space="0" w:color="000000"/>
            </w:tcBorders>
          </w:tcPr>
          <w:p w14:paraId="7E26D863" w14:textId="77777777" w:rsidR="001439E0" w:rsidRDefault="001439E0">
            <w:pPr>
              <w:pStyle w:val="TableParagraph"/>
              <w:rPr>
                <w:b/>
                <w:sz w:val="18"/>
              </w:rPr>
            </w:pPr>
          </w:p>
          <w:p w14:paraId="7E26D864" w14:textId="77777777" w:rsidR="001439E0" w:rsidRDefault="008A23E0">
            <w:pPr>
              <w:pStyle w:val="TableParagraph"/>
              <w:spacing w:before="157"/>
              <w:ind w:right="2"/>
              <w:jc w:val="center"/>
              <w:rPr>
                <w:sz w:val="16"/>
              </w:rPr>
            </w:pPr>
            <w:r>
              <w:rPr>
                <w:w w:val="99"/>
                <w:sz w:val="16"/>
              </w:rPr>
              <w:t>-</w:t>
            </w:r>
          </w:p>
          <w:p w14:paraId="7E26D865" w14:textId="77777777" w:rsidR="001439E0" w:rsidRDefault="008A23E0">
            <w:pPr>
              <w:pStyle w:val="TableParagraph"/>
              <w:spacing w:before="120"/>
              <w:ind w:right="3"/>
              <w:jc w:val="center"/>
              <w:rPr>
                <w:sz w:val="16"/>
              </w:rPr>
            </w:pPr>
            <w:r>
              <w:rPr>
                <w:w w:val="99"/>
                <w:sz w:val="16"/>
              </w:rPr>
              <w:t>-</w:t>
            </w:r>
          </w:p>
        </w:tc>
        <w:tc>
          <w:tcPr>
            <w:tcW w:w="1637" w:type="dxa"/>
            <w:gridSpan w:val="2"/>
          </w:tcPr>
          <w:p w14:paraId="7E26D866" w14:textId="77777777" w:rsidR="001439E0" w:rsidRDefault="001439E0">
            <w:pPr>
              <w:pStyle w:val="TableParagraph"/>
              <w:rPr>
                <w:b/>
                <w:sz w:val="18"/>
              </w:rPr>
            </w:pPr>
          </w:p>
          <w:p w14:paraId="7E26D867" w14:textId="77777777" w:rsidR="001439E0" w:rsidRDefault="008A23E0">
            <w:pPr>
              <w:pStyle w:val="TableParagraph"/>
              <w:spacing w:before="157"/>
              <w:ind w:left="2"/>
              <w:jc w:val="center"/>
              <w:rPr>
                <w:sz w:val="16"/>
              </w:rPr>
            </w:pPr>
            <w:r>
              <w:rPr>
                <w:w w:val="99"/>
                <w:sz w:val="16"/>
              </w:rPr>
              <w:t>-</w:t>
            </w:r>
          </w:p>
          <w:p w14:paraId="7E26D868" w14:textId="77777777" w:rsidR="001439E0" w:rsidRDefault="008A23E0">
            <w:pPr>
              <w:pStyle w:val="TableParagraph"/>
              <w:spacing w:before="120"/>
              <w:ind w:left="1"/>
              <w:jc w:val="center"/>
              <w:rPr>
                <w:sz w:val="16"/>
              </w:rPr>
            </w:pPr>
            <w:r>
              <w:rPr>
                <w:w w:val="99"/>
                <w:sz w:val="16"/>
              </w:rPr>
              <w:t>-</w:t>
            </w:r>
          </w:p>
        </w:tc>
      </w:tr>
      <w:tr w:rsidR="001439E0" w14:paraId="7E26D879" w14:textId="77777777">
        <w:trPr>
          <w:trHeight w:val="911"/>
        </w:trPr>
        <w:tc>
          <w:tcPr>
            <w:tcW w:w="3203" w:type="dxa"/>
          </w:tcPr>
          <w:p w14:paraId="7E26D86A" w14:textId="77777777" w:rsidR="001439E0" w:rsidRDefault="008A23E0">
            <w:pPr>
              <w:pStyle w:val="TableParagraph"/>
              <w:spacing w:before="59"/>
              <w:ind w:left="107"/>
              <w:rPr>
                <w:b/>
                <w:sz w:val="16"/>
              </w:rPr>
            </w:pPr>
            <w:r>
              <w:rPr>
                <w:b/>
                <w:sz w:val="16"/>
              </w:rPr>
              <w:t>Baseline HIV-1 RNA (copies/mL)</w:t>
            </w:r>
          </w:p>
          <w:p w14:paraId="7E26D86B" w14:textId="77777777" w:rsidR="001439E0" w:rsidRDefault="008A23E0">
            <w:pPr>
              <w:pStyle w:val="TableParagraph"/>
              <w:spacing w:before="120"/>
              <w:ind w:left="269"/>
              <w:rPr>
                <w:sz w:val="16"/>
              </w:rPr>
            </w:pPr>
            <w:r>
              <w:rPr>
                <w:sz w:val="16"/>
              </w:rPr>
              <w:t>≤100,000</w:t>
            </w:r>
            <w:r>
              <w:rPr>
                <w:spacing w:val="-3"/>
                <w:sz w:val="16"/>
              </w:rPr>
              <w:t xml:space="preserve"> </w:t>
            </w:r>
            <w:r>
              <w:rPr>
                <w:sz w:val="16"/>
              </w:rPr>
              <w:t>copies/mL</w:t>
            </w:r>
          </w:p>
          <w:p w14:paraId="7E26D86C" w14:textId="77777777" w:rsidR="001439E0" w:rsidRDefault="008A23E0">
            <w:pPr>
              <w:pStyle w:val="TableParagraph"/>
              <w:spacing w:before="121"/>
              <w:ind w:left="269"/>
              <w:rPr>
                <w:sz w:val="16"/>
              </w:rPr>
            </w:pPr>
            <w:r>
              <w:rPr>
                <w:sz w:val="16"/>
              </w:rPr>
              <w:t>&gt;100,000</w:t>
            </w:r>
            <w:r>
              <w:rPr>
                <w:spacing w:val="-4"/>
                <w:sz w:val="16"/>
              </w:rPr>
              <w:t xml:space="preserve"> </w:t>
            </w:r>
            <w:r>
              <w:rPr>
                <w:sz w:val="16"/>
              </w:rPr>
              <w:t>copies/mL</w:t>
            </w:r>
          </w:p>
        </w:tc>
        <w:tc>
          <w:tcPr>
            <w:tcW w:w="1635" w:type="dxa"/>
          </w:tcPr>
          <w:p w14:paraId="7E26D86D" w14:textId="77777777" w:rsidR="001439E0" w:rsidRDefault="001439E0">
            <w:pPr>
              <w:pStyle w:val="TableParagraph"/>
              <w:rPr>
                <w:b/>
                <w:sz w:val="18"/>
              </w:rPr>
            </w:pPr>
          </w:p>
          <w:p w14:paraId="7E26D86E" w14:textId="77777777" w:rsidR="001439E0" w:rsidRDefault="008A23E0">
            <w:pPr>
              <w:pStyle w:val="TableParagraph"/>
              <w:spacing w:before="156"/>
              <w:ind w:left="556" w:right="553"/>
              <w:jc w:val="center"/>
              <w:rPr>
                <w:sz w:val="16"/>
              </w:rPr>
            </w:pPr>
            <w:r>
              <w:rPr>
                <w:sz w:val="16"/>
              </w:rPr>
              <w:t>86%</w:t>
            </w:r>
          </w:p>
          <w:p w14:paraId="7E26D86F" w14:textId="77777777" w:rsidR="001439E0" w:rsidRDefault="008A23E0">
            <w:pPr>
              <w:pStyle w:val="TableParagraph"/>
              <w:spacing w:before="121"/>
              <w:ind w:left="554" w:right="553"/>
              <w:jc w:val="center"/>
              <w:rPr>
                <w:sz w:val="16"/>
              </w:rPr>
            </w:pPr>
            <w:r>
              <w:rPr>
                <w:sz w:val="16"/>
              </w:rPr>
              <w:t>77%</w:t>
            </w:r>
          </w:p>
        </w:tc>
        <w:tc>
          <w:tcPr>
            <w:tcW w:w="1636" w:type="dxa"/>
            <w:tcBorders>
              <w:right w:val="single" w:sz="12" w:space="0" w:color="000000"/>
            </w:tcBorders>
          </w:tcPr>
          <w:p w14:paraId="7E26D870" w14:textId="77777777" w:rsidR="001439E0" w:rsidRDefault="001439E0">
            <w:pPr>
              <w:pStyle w:val="TableParagraph"/>
              <w:rPr>
                <w:b/>
                <w:sz w:val="18"/>
              </w:rPr>
            </w:pPr>
          </w:p>
          <w:p w14:paraId="7E26D871" w14:textId="77777777" w:rsidR="001439E0" w:rsidRDefault="008A23E0">
            <w:pPr>
              <w:pStyle w:val="TableParagraph"/>
              <w:spacing w:before="156"/>
              <w:ind w:left="553" w:right="537"/>
              <w:jc w:val="center"/>
              <w:rPr>
                <w:sz w:val="16"/>
              </w:rPr>
            </w:pPr>
            <w:r>
              <w:rPr>
                <w:sz w:val="16"/>
              </w:rPr>
              <w:t>81%</w:t>
            </w:r>
          </w:p>
          <w:p w14:paraId="7E26D872" w14:textId="77777777" w:rsidR="001439E0" w:rsidRDefault="008A23E0">
            <w:pPr>
              <w:pStyle w:val="TableParagraph"/>
              <w:spacing w:before="121"/>
              <w:ind w:left="553" w:right="539"/>
              <w:jc w:val="center"/>
              <w:rPr>
                <w:sz w:val="16"/>
              </w:rPr>
            </w:pPr>
            <w:r>
              <w:rPr>
                <w:sz w:val="16"/>
              </w:rPr>
              <w:t>74%</w:t>
            </w:r>
          </w:p>
        </w:tc>
        <w:tc>
          <w:tcPr>
            <w:tcW w:w="1637" w:type="dxa"/>
            <w:tcBorders>
              <w:left w:val="single" w:sz="12" w:space="0" w:color="000000"/>
            </w:tcBorders>
          </w:tcPr>
          <w:p w14:paraId="7E26D873" w14:textId="77777777" w:rsidR="001439E0" w:rsidRDefault="001439E0">
            <w:pPr>
              <w:pStyle w:val="TableParagraph"/>
              <w:rPr>
                <w:b/>
                <w:sz w:val="18"/>
              </w:rPr>
            </w:pPr>
          </w:p>
          <w:p w14:paraId="7E26D874" w14:textId="77777777" w:rsidR="001439E0" w:rsidRDefault="008A23E0">
            <w:pPr>
              <w:pStyle w:val="TableParagraph"/>
              <w:spacing w:before="156"/>
              <w:ind w:left="545" w:right="550"/>
              <w:jc w:val="center"/>
              <w:rPr>
                <w:sz w:val="16"/>
              </w:rPr>
            </w:pPr>
            <w:r>
              <w:rPr>
                <w:sz w:val="16"/>
              </w:rPr>
              <w:t>86%</w:t>
            </w:r>
          </w:p>
          <w:p w14:paraId="7E26D875" w14:textId="77777777" w:rsidR="001439E0" w:rsidRDefault="008A23E0">
            <w:pPr>
              <w:pStyle w:val="TableParagraph"/>
              <w:spacing w:before="121"/>
              <w:ind w:left="543" w:right="550"/>
              <w:jc w:val="center"/>
              <w:rPr>
                <w:sz w:val="16"/>
              </w:rPr>
            </w:pPr>
            <w:r>
              <w:rPr>
                <w:sz w:val="16"/>
              </w:rPr>
              <w:t>77%</w:t>
            </w:r>
          </w:p>
        </w:tc>
        <w:tc>
          <w:tcPr>
            <w:tcW w:w="1637" w:type="dxa"/>
            <w:gridSpan w:val="2"/>
          </w:tcPr>
          <w:p w14:paraId="7E26D876" w14:textId="77777777" w:rsidR="001439E0" w:rsidRDefault="001439E0">
            <w:pPr>
              <w:pStyle w:val="TableParagraph"/>
              <w:rPr>
                <w:b/>
                <w:sz w:val="18"/>
              </w:rPr>
            </w:pPr>
          </w:p>
          <w:p w14:paraId="7E26D877" w14:textId="77777777" w:rsidR="001439E0" w:rsidRDefault="008A23E0">
            <w:pPr>
              <w:pStyle w:val="TableParagraph"/>
              <w:spacing w:before="156"/>
              <w:ind w:left="631" w:right="629"/>
              <w:jc w:val="center"/>
              <w:rPr>
                <w:sz w:val="16"/>
              </w:rPr>
            </w:pPr>
            <w:r>
              <w:rPr>
                <w:sz w:val="16"/>
              </w:rPr>
              <w:t>83%</w:t>
            </w:r>
          </w:p>
          <w:p w14:paraId="7E26D878" w14:textId="77777777" w:rsidR="001439E0" w:rsidRDefault="008A23E0">
            <w:pPr>
              <w:pStyle w:val="TableParagraph"/>
              <w:spacing w:before="121"/>
              <w:ind w:left="630" w:right="630"/>
              <w:jc w:val="center"/>
              <w:rPr>
                <w:sz w:val="16"/>
              </w:rPr>
            </w:pPr>
            <w:r>
              <w:rPr>
                <w:sz w:val="16"/>
              </w:rPr>
              <w:t>72%</w:t>
            </w:r>
          </w:p>
        </w:tc>
      </w:tr>
    </w:tbl>
    <w:p w14:paraId="7E26D87A" w14:textId="77777777" w:rsidR="001439E0" w:rsidRDefault="001439E0">
      <w:pPr>
        <w:jc w:val="center"/>
        <w:rPr>
          <w:sz w:val="16"/>
        </w:rPr>
        <w:sectPr w:rsidR="001439E0">
          <w:pgSz w:w="11910" w:h="16840"/>
          <w:pgMar w:top="1360" w:right="160" w:bottom="1100" w:left="1020" w:header="0" w:footer="839"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1635"/>
        <w:gridCol w:w="1636"/>
        <w:gridCol w:w="1637"/>
        <w:gridCol w:w="1636"/>
      </w:tblGrid>
      <w:tr w:rsidR="001439E0" w14:paraId="7E26D880" w14:textId="77777777">
        <w:trPr>
          <w:trHeight w:val="304"/>
        </w:trPr>
        <w:tc>
          <w:tcPr>
            <w:tcW w:w="3203" w:type="dxa"/>
            <w:tcBorders>
              <w:bottom w:val="nil"/>
            </w:tcBorders>
          </w:tcPr>
          <w:p w14:paraId="7E26D87B" w14:textId="77777777" w:rsidR="001439E0" w:rsidRDefault="008A23E0">
            <w:pPr>
              <w:pStyle w:val="TableParagraph"/>
              <w:spacing w:before="56"/>
              <w:ind w:left="107"/>
              <w:rPr>
                <w:b/>
                <w:sz w:val="16"/>
              </w:rPr>
            </w:pPr>
            <w:r>
              <w:rPr>
                <w:b/>
                <w:sz w:val="16"/>
              </w:rPr>
              <w:lastRenderedPageBreak/>
              <w:t>CD4+ T-cell Count (cells/mm</w:t>
            </w:r>
            <w:r>
              <w:rPr>
                <w:b/>
                <w:position w:val="6"/>
                <w:sz w:val="10"/>
              </w:rPr>
              <w:t>3</w:t>
            </w:r>
            <w:r>
              <w:rPr>
                <w:b/>
                <w:sz w:val="16"/>
              </w:rPr>
              <w:t>)</w:t>
            </w:r>
          </w:p>
        </w:tc>
        <w:tc>
          <w:tcPr>
            <w:tcW w:w="1635" w:type="dxa"/>
            <w:tcBorders>
              <w:bottom w:val="nil"/>
            </w:tcBorders>
          </w:tcPr>
          <w:p w14:paraId="7E26D87C" w14:textId="77777777" w:rsidR="001439E0" w:rsidRDefault="001439E0">
            <w:pPr>
              <w:pStyle w:val="TableParagraph"/>
              <w:rPr>
                <w:rFonts w:ascii="Times New Roman"/>
                <w:sz w:val="18"/>
              </w:rPr>
            </w:pPr>
          </w:p>
        </w:tc>
        <w:tc>
          <w:tcPr>
            <w:tcW w:w="1636" w:type="dxa"/>
            <w:tcBorders>
              <w:bottom w:val="nil"/>
              <w:right w:val="single" w:sz="12" w:space="0" w:color="000000"/>
            </w:tcBorders>
          </w:tcPr>
          <w:p w14:paraId="7E26D87D" w14:textId="77777777" w:rsidR="001439E0" w:rsidRDefault="001439E0">
            <w:pPr>
              <w:pStyle w:val="TableParagraph"/>
              <w:rPr>
                <w:rFonts w:ascii="Times New Roman"/>
                <w:sz w:val="18"/>
              </w:rPr>
            </w:pPr>
          </w:p>
        </w:tc>
        <w:tc>
          <w:tcPr>
            <w:tcW w:w="1637" w:type="dxa"/>
            <w:tcBorders>
              <w:left w:val="single" w:sz="12" w:space="0" w:color="000000"/>
              <w:bottom w:val="nil"/>
            </w:tcBorders>
          </w:tcPr>
          <w:p w14:paraId="7E26D87E" w14:textId="77777777" w:rsidR="001439E0" w:rsidRDefault="001439E0">
            <w:pPr>
              <w:pStyle w:val="TableParagraph"/>
              <w:rPr>
                <w:rFonts w:ascii="Times New Roman"/>
                <w:sz w:val="18"/>
              </w:rPr>
            </w:pPr>
          </w:p>
        </w:tc>
        <w:tc>
          <w:tcPr>
            <w:tcW w:w="1636" w:type="dxa"/>
            <w:tcBorders>
              <w:bottom w:val="nil"/>
            </w:tcBorders>
          </w:tcPr>
          <w:p w14:paraId="7E26D87F" w14:textId="77777777" w:rsidR="001439E0" w:rsidRDefault="001439E0">
            <w:pPr>
              <w:pStyle w:val="TableParagraph"/>
              <w:rPr>
                <w:rFonts w:ascii="Times New Roman"/>
                <w:sz w:val="18"/>
              </w:rPr>
            </w:pPr>
          </w:p>
        </w:tc>
      </w:tr>
      <w:tr w:rsidR="001439E0" w14:paraId="7E26D886" w14:textId="77777777">
        <w:trPr>
          <w:trHeight w:val="304"/>
        </w:trPr>
        <w:tc>
          <w:tcPr>
            <w:tcW w:w="3203" w:type="dxa"/>
            <w:tcBorders>
              <w:top w:val="nil"/>
              <w:bottom w:val="nil"/>
            </w:tcBorders>
          </w:tcPr>
          <w:p w14:paraId="7E26D881" w14:textId="77777777" w:rsidR="001439E0" w:rsidRDefault="008A23E0">
            <w:pPr>
              <w:pStyle w:val="TableParagraph"/>
              <w:spacing w:before="56"/>
              <w:ind w:left="269"/>
              <w:rPr>
                <w:sz w:val="10"/>
              </w:rPr>
            </w:pPr>
            <w:r>
              <w:rPr>
                <w:sz w:val="16"/>
              </w:rPr>
              <w:t>≤200 cells/mm</w:t>
            </w:r>
            <w:r>
              <w:rPr>
                <w:position w:val="6"/>
                <w:sz w:val="10"/>
              </w:rPr>
              <w:t>3</w:t>
            </w:r>
          </w:p>
        </w:tc>
        <w:tc>
          <w:tcPr>
            <w:tcW w:w="1635" w:type="dxa"/>
            <w:tcBorders>
              <w:top w:val="nil"/>
              <w:bottom w:val="nil"/>
            </w:tcBorders>
          </w:tcPr>
          <w:p w14:paraId="7E26D882" w14:textId="77777777" w:rsidR="001439E0" w:rsidRDefault="008A23E0">
            <w:pPr>
              <w:pStyle w:val="TableParagraph"/>
              <w:spacing w:before="60"/>
              <w:ind w:left="654"/>
              <w:rPr>
                <w:sz w:val="16"/>
              </w:rPr>
            </w:pPr>
            <w:r>
              <w:rPr>
                <w:sz w:val="16"/>
              </w:rPr>
              <w:t>81%</w:t>
            </w:r>
          </w:p>
        </w:tc>
        <w:tc>
          <w:tcPr>
            <w:tcW w:w="1636" w:type="dxa"/>
            <w:tcBorders>
              <w:top w:val="nil"/>
              <w:bottom w:val="nil"/>
              <w:right w:val="single" w:sz="12" w:space="0" w:color="000000"/>
            </w:tcBorders>
          </w:tcPr>
          <w:p w14:paraId="7E26D883" w14:textId="77777777" w:rsidR="001439E0" w:rsidRDefault="008A23E0">
            <w:pPr>
              <w:pStyle w:val="TableParagraph"/>
              <w:spacing w:before="60"/>
              <w:ind w:left="553" w:right="537"/>
              <w:jc w:val="center"/>
              <w:rPr>
                <w:sz w:val="16"/>
              </w:rPr>
            </w:pPr>
            <w:r>
              <w:rPr>
                <w:sz w:val="16"/>
              </w:rPr>
              <w:t>66%</w:t>
            </w:r>
          </w:p>
        </w:tc>
        <w:tc>
          <w:tcPr>
            <w:tcW w:w="1637" w:type="dxa"/>
            <w:tcBorders>
              <w:top w:val="nil"/>
              <w:left w:val="single" w:sz="12" w:space="0" w:color="000000"/>
              <w:bottom w:val="nil"/>
            </w:tcBorders>
          </w:tcPr>
          <w:p w14:paraId="7E26D884" w14:textId="77777777" w:rsidR="001439E0" w:rsidRDefault="008A23E0">
            <w:pPr>
              <w:pStyle w:val="TableParagraph"/>
              <w:spacing w:before="60"/>
              <w:ind w:left="545" w:right="550"/>
              <w:jc w:val="center"/>
              <w:rPr>
                <w:sz w:val="16"/>
              </w:rPr>
            </w:pPr>
            <w:r>
              <w:rPr>
                <w:sz w:val="16"/>
              </w:rPr>
              <w:t>66%</w:t>
            </w:r>
          </w:p>
        </w:tc>
        <w:tc>
          <w:tcPr>
            <w:tcW w:w="1636" w:type="dxa"/>
            <w:tcBorders>
              <w:top w:val="nil"/>
              <w:bottom w:val="nil"/>
            </w:tcBorders>
          </w:tcPr>
          <w:p w14:paraId="7E26D885" w14:textId="77777777" w:rsidR="001439E0" w:rsidRDefault="008A23E0">
            <w:pPr>
              <w:pStyle w:val="TableParagraph"/>
              <w:spacing w:before="60"/>
              <w:ind w:right="649"/>
              <w:jc w:val="right"/>
              <w:rPr>
                <w:sz w:val="16"/>
              </w:rPr>
            </w:pPr>
            <w:r>
              <w:rPr>
                <w:w w:val="95"/>
                <w:sz w:val="16"/>
              </w:rPr>
              <w:t>78%</w:t>
            </w:r>
          </w:p>
        </w:tc>
      </w:tr>
      <w:tr w:rsidR="001439E0" w14:paraId="7E26D88C" w14:textId="77777777">
        <w:trPr>
          <w:trHeight w:val="303"/>
        </w:trPr>
        <w:tc>
          <w:tcPr>
            <w:tcW w:w="3203" w:type="dxa"/>
            <w:tcBorders>
              <w:top w:val="nil"/>
            </w:tcBorders>
          </w:tcPr>
          <w:p w14:paraId="7E26D887" w14:textId="77777777" w:rsidR="001439E0" w:rsidRDefault="008A23E0">
            <w:pPr>
              <w:pStyle w:val="TableParagraph"/>
              <w:spacing w:before="56"/>
              <w:ind w:left="269"/>
              <w:rPr>
                <w:sz w:val="10"/>
              </w:rPr>
            </w:pPr>
            <w:r>
              <w:rPr>
                <w:sz w:val="16"/>
              </w:rPr>
              <w:t>&gt;200 cells/mm</w:t>
            </w:r>
            <w:r>
              <w:rPr>
                <w:position w:val="6"/>
                <w:sz w:val="10"/>
              </w:rPr>
              <w:t>3</w:t>
            </w:r>
          </w:p>
        </w:tc>
        <w:tc>
          <w:tcPr>
            <w:tcW w:w="1635" w:type="dxa"/>
            <w:tcBorders>
              <w:top w:val="nil"/>
            </w:tcBorders>
          </w:tcPr>
          <w:p w14:paraId="7E26D888" w14:textId="77777777" w:rsidR="001439E0" w:rsidRDefault="008A23E0">
            <w:pPr>
              <w:pStyle w:val="TableParagraph"/>
              <w:spacing w:before="60"/>
              <w:ind w:left="654"/>
              <w:rPr>
                <w:sz w:val="16"/>
              </w:rPr>
            </w:pPr>
            <w:r>
              <w:rPr>
                <w:sz w:val="16"/>
              </w:rPr>
              <w:t>84%</w:t>
            </w:r>
          </w:p>
        </w:tc>
        <w:tc>
          <w:tcPr>
            <w:tcW w:w="1636" w:type="dxa"/>
            <w:tcBorders>
              <w:top w:val="nil"/>
              <w:right w:val="single" w:sz="12" w:space="0" w:color="000000"/>
            </w:tcBorders>
          </w:tcPr>
          <w:p w14:paraId="7E26D889" w14:textId="77777777" w:rsidR="001439E0" w:rsidRDefault="008A23E0">
            <w:pPr>
              <w:pStyle w:val="TableParagraph"/>
              <w:spacing w:before="60"/>
              <w:ind w:left="553" w:right="537"/>
              <w:jc w:val="center"/>
              <w:rPr>
                <w:sz w:val="16"/>
              </w:rPr>
            </w:pPr>
            <w:r>
              <w:rPr>
                <w:sz w:val="16"/>
              </w:rPr>
              <w:t>83%</w:t>
            </w:r>
          </w:p>
        </w:tc>
        <w:tc>
          <w:tcPr>
            <w:tcW w:w="1637" w:type="dxa"/>
            <w:tcBorders>
              <w:top w:val="nil"/>
              <w:left w:val="single" w:sz="12" w:space="0" w:color="000000"/>
            </w:tcBorders>
          </w:tcPr>
          <w:p w14:paraId="7E26D88A" w14:textId="77777777" w:rsidR="001439E0" w:rsidRDefault="008A23E0">
            <w:pPr>
              <w:pStyle w:val="TableParagraph"/>
              <w:spacing w:before="60"/>
              <w:ind w:left="545" w:right="550"/>
              <w:jc w:val="center"/>
              <w:rPr>
                <w:sz w:val="16"/>
              </w:rPr>
            </w:pPr>
            <w:r>
              <w:rPr>
                <w:sz w:val="16"/>
              </w:rPr>
              <w:t>87%</w:t>
            </w:r>
          </w:p>
        </w:tc>
        <w:tc>
          <w:tcPr>
            <w:tcW w:w="1636" w:type="dxa"/>
            <w:tcBorders>
              <w:top w:val="nil"/>
            </w:tcBorders>
          </w:tcPr>
          <w:p w14:paraId="7E26D88B" w14:textId="77777777" w:rsidR="001439E0" w:rsidRDefault="008A23E0">
            <w:pPr>
              <w:pStyle w:val="TableParagraph"/>
              <w:spacing w:before="60"/>
              <w:ind w:right="649"/>
              <w:jc w:val="right"/>
              <w:rPr>
                <w:sz w:val="16"/>
              </w:rPr>
            </w:pPr>
            <w:r>
              <w:rPr>
                <w:w w:val="95"/>
                <w:sz w:val="16"/>
              </w:rPr>
              <w:t>81%</w:t>
            </w:r>
          </w:p>
        </w:tc>
      </w:tr>
      <w:tr w:rsidR="001439E0" w14:paraId="7E26D892" w14:textId="77777777">
        <w:trPr>
          <w:trHeight w:val="307"/>
        </w:trPr>
        <w:tc>
          <w:tcPr>
            <w:tcW w:w="3203" w:type="dxa"/>
            <w:tcBorders>
              <w:bottom w:val="nil"/>
            </w:tcBorders>
          </w:tcPr>
          <w:p w14:paraId="7E26D88D" w14:textId="77777777" w:rsidR="001439E0" w:rsidRDefault="008A23E0">
            <w:pPr>
              <w:pStyle w:val="TableParagraph"/>
              <w:spacing w:before="61"/>
              <w:ind w:left="107"/>
              <w:rPr>
                <w:b/>
                <w:sz w:val="16"/>
              </w:rPr>
            </w:pPr>
            <w:r>
              <w:rPr>
                <w:b/>
                <w:sz w:val="16"/>
              </w:rPr>
              <w:t>Viral Subtype</w:t>
            </w:r>
          </w:p>
        </w:tc>
        <w:tc>
          <w:tcPr>
            <w:tcW w:w="1635" w:type="dxa"/>
            <w:tcBorders>
              <w:bottom w:val="nil"/>
            </w:tcBorders>
          </w:tcPr>
          <w:p w14:paraId="7E26D88E" w14:textId="77777777" w:rsidR="001439E0" w:rsidRDefault="001439E0">
            <w:pPr>
              <w:pStyle w:val="TableParagraph"/>
              <w:rPr>
                <w:rFonts w:ascii="Times New Roman"/>
                <w:sz w:val="18"/>
              </w:rPr>
            </w:pPr>
          </w:p>
        </w:tc>
        <w:tc>
          <w:tcPr>
            <w:tcW w:w="1636" w:type="dxa"/>
            <w:tcBorders>
              <w:bottom w:val="nil"/>
              <w:right w:val="single" w:sz="12" w:space="0" w:color="000000"/>
            </w:tcBorders>
          </w:tcPr>
          <w:p w14:paraId="7E26D88F" w14:textId="77777777" w:rsidR="001439E0" w:rsidRDefault="001439E0">
            <w:pPr>
              <w:pStyle w:val="TableParagraph"/>
              <w:rPr>
                <w:rFonts w:ascii="Times New Roman"/>
                <w:sz w:val="18"/>
              </w:rPr>
            </w:pPr>
          </w:p>
        </w:tc>
        <w:tc>
          <w:tcPr>
            <w:tcW w:w="1637" w:type="dxa"/>
            <w:tcBorders>
              <w:left w:val="single" w:sz="12" w:space="0" w:color="000000"/>
              <w:bottom w:val="nil"/>
            </w:tcBorders>
          </w:tcPr>
          <w:p w14:paraId="7E26D890" w14:textId="77777777" w:rsidR="001439E0" w:rsidRDefault="001439E0">
            <w:pPr>
              <w:pStyle w:val="TableParagraph"/>
              <w:rPr>
                <w:rFonts w:ascii="Times New Roman"/>
                <w:sz w:val="18"/>
              </w:rPr>
            </w:pPr>
          </w:p>
        </w:tc>
        <w:tc>
          <w:tcPr>
            <w:tcW w:w="1636" w:type="dxa"/>
            <w:tcBorders>
              <w:bottom w:val="nil"/>
            </w:tcBorders>
          </w:tcPr>
          <w:p w14:paraId="7E26D891" w14:textId="77777777" w:rsidR="001439E0" w:rsidRDefault="001439E0">
            <w:pPr>
              <w:pStyle w:val="TableParagraph"/>
              <w:rPr>
                <w:rFonts w:ascii="Times New Roman"/>
                <w:sz w:val="18"/>
              </w:rPr>
            </w:pPr>
          </w:p>
        </w:tc>
      </w:tr>
      <w:tr w:rsidR="001439E0" w14:paraId="7E26D898" w14:textId="77777777">
        <w:trPr>
          <w:trHeight w:val="303"/>
        </w:trPr>
        <w:tc>
          <w:tcPr>
            <w:tcW w:w="3203" w:type="dxa"/>
            <w:tcBorders>
              <w:top w:val="nil"/>
              <w:bottom w:val="nil"/>
            </w:tcBorders>
          </w:tcPr>
          <w:p w14:paraId="7E26D893" w14:textId="77777777" w:rsidR="001439E0" w:rsidRDefault="008A23E0">
            <w:pPr>
              <w:pStyle w:val="TableParagraph"/>
              <w:spacing w:before="57"/>
              <w:ind w:left="269"/>
              <w:rPr>
                <w:sz w:val="16"/>
              </w:rPr>
            </w:pPr>
            <w:r>
              <w:rPr>
                <w:sz w:val="16"/>
              </w:rPr>
              <w:t>Subtype B</w:t>
            </w:r>
          </w:p>
        </w:tc>
        <w:tc>
          <w:tcPr>
            <w:tcW w:w="1635" w:type="dxa"/>
            <w:tcBorders>
              <w:top w:val="nil"/>
              <w:bottom w:val="nil"/>
            </w:tcBorders>
          </w:tcPr>
          <w:p w14:paraId="7E26D894" w14:textId="77777777" w:rsidR="001439E0" w:rsidRDefault="008A23E0">
            <w:pPr>
              <w:pStyle w:val="TableParagraph"/>
              <w:spacing w:before="57"/>
              <w:ind w:left="654"/>
              <w:rPr>
                <w:sz w:val="16"/>
              </w:rPr>
            </w:pPr>
            <w:r>
              <w:rPr>
                <w:sz w:val="16"/>
              </w:rPr>
              <w:t>84%</w:t>
            </w:r>
          </w:p>
        </w:tc>
        <w:tc>
          <w:tcPr>
            <w:tcW w:w="1636" w:type="dxa"/>
            <w:tcBorders>
              <w:top w:val="nil"/>
              <w:bottom w:val="nil"/>
              <w:right w:val="single" w:sz="12" w:space="0" w:color="000000"/>
            </w:tcBorders>
          </w:tcPr>
          <w:p w14:paraId="7E26D895" w14:textId="77777777" w:rsidR="001439E0" w:rsidRDefault="008A23E0">
            <w:pPr>
              <w:pStyle w:val="TableParagraph"/>
              <w:spacing w:before="57"/>
              <w:ind w:left="553" w:right="537"/>
              <w:jc w:val="center"/>
              <w:rPr>
                <w:sz w:val="16"/>
              </w:rPr>
            </w:pPr>
            <w:r>
              <w:rPr>
                <w:sz w:val="16"/>
              </w:rPr>
              <w:t>82%</w:t>
            </w:r>
          </w:p>
        </w:tc>
        <w:tc>
          <w:tcPr>
            <w:tcW w:w="1637" w:type="dxa"/>
            <w:tcBorders>
              <w:top w:val="nil"/>
              <w:left w:val="single" w:sz="12" w:space="0" w:color="000000"/>
              <w:bottom w:val="nil"/>
            </w:tcBorders>
          </w:tcPr>
          <w:p w14:paraId="7E26D896" w14:textId="77777777" w:rsidR="001439E0" w:rsidRDefault="008A23E0">
            <w:pPr>
              <w:pStyle w:val="TableParagraph"/>
              <w:spacing w:before="57"/>
              <w:ind w:left="544" w:right="550"/>
              <w:jc w:val="center"/>
              <w:rPr>
                <w:sz w:val="16"/>
              </w:rPr>
            </w:pPr>
            <w:r>
              <w:rPr>
                <w:sz w:val="16"/>
              </w:rPr>
              <w:t>84%</w:t>
            </w:r>
          </w:p>
        </w:tc>
        <w:tc>
          <w:tcPr>
            <w:tcW w:w="1636" w:type="dxa"/>
            <w:tcBorders>
              <w:top w:val="nil"/>
              <w:bottom w:val="nil"/>
            </w:tcBorders>
          </w:tcPr>
          <w:p w14:paraId="7E26D897" w14:textId="77777777" w:rsidR="001439E0" w:rsidRDefault="008A23E0">
            <w:pPr>
              <w:pStyle w:val="TableParagraph"/>
              <w:spacing w:before="57"/>
              <w:ind w:right="650"/>
              <w:jc w:val="right"/>
              <w:rPr>
                <w:sz w:val="16"/>
              </w:rPr>
            </w:pPr>
            <w:r>
              <w:rPr>
                <w:w w:val="95"/>
                <w:sz w:val="16"/>
              </w:rPr>
              <w:t>80%</w:t>
            </w:r>
          </w:p>
        </w:tc>
      </w:tr>
      <w:tr w:rsidR="001439E0" w14:paraId="7E26D89E" w14:textId="77777777">
        <w:trPr>
          <w:trHeight w:val="301"/>
        </w:trPr>
        <w:tc>
          <w:tcPr>
            <w:tcW w:w="3203" w:type="dxa"/>
            <w:tcBorders>
              <w:top w:val="nil"/>
            </w:tcBorders>
          </w:tcPr>
          <w:p w14:paraId="7E26D899" w14:textId="77777777" w:rsidR="001439E0" w:rsidRDefault="008A23E0">
            <w:pPr>
              <w:pStyle w:val="TableParagraph"/>
              <w:spacing w:before="57"/>
              <w:ind w:left="269"/>
              <w:rPr>
                <w:sz w:val="16"/>
              </w:rPr>
            </w:pPr>
            <w:r>
              <w:rPr>
                <w:sz w:val="16"/>
              </w:rPr>
              <w:t>Subtype Non-B</w:t>
            </w:r>
          </w:p>
        </w:tc>
        <w:tc>
          <w:tcPr>
            <w:tcW w:w="1635" w:type="dxa"/>
            <w:tcBorders>
              <w:top w:val="nil"/>
            </w:tcBorders>
          </w:tcPr>
          <w:p w14:paraId="7E26D89A" w14:textId="77777777" w:rsidR="001439E0" w:rsidRDefault="008A23E0">
            <w:pPr>
              <w:pStyle w:val="TableParagraph"/>
              <w:spacing w:before="57"/>
              <w:ind w:left="654"/>
              <w:rPr>
                <w:sz w:val="16"/>
              </w:rPr>
            </w:pPr>
            <w:r>
              <w:rPr>
                <w:sz w:val="16"/>
              </w:rPr>
              <w:t>83%</w:t>
            </w:r>
          </w:p>
        </w:tc>
        <w:tc>
          <w:tcPr>
            <w:tcW w:w="1636" w:type="dxa"/>
            <w:tcBorders>
              <w:top w:val="nil"/>
              <w:right w:val="single" w:sz="12" w:space="0" w:color="000000"/>
            </w:tcBorders>
          </w:tcPr>
          <w:p w14:paraId="7E26D89B" w14:textId="77777777" w:rsidR="001439E0" w:rsidRDefault="008A23E0">
            <w:pPr>
              <w:pStyle w:val="TableParagraph"/>
              <w:spacing w:before="57"/>
              <w:ind w:left="553" w:right="537"/>
              <w:jc w:val="center"/>
              <w:rPr>
                <w:sz w:val="16"/>
              </w:rPr>
            </w:pPr>
            <w:r>
              <w:rPr>
                <w:sz w:val="16"/>
              </w:rPr>
              <w:t>76%</w:t>
            </w:r>
          </w:p>
        </w:tc>
        <w:tc>
          <w:tcPr>
            <w:tcW w:w="1637" w:type="dxa"/>
            <w:tcBorders>
              <w:top w:val="nil"/>
              <w:left w:val="single" w:sz="12" w:space="0" w:color="000000"/>
            </w:tcBorders>
          </w:tcPr>
          <w:p w14:paraId="7E26D89C" w14:textId="77777777" w:rsidR="001439E0" w:rsidRDefault="008A23E0">
            <w:pPr>
              <w:pStyle w:val="TableParagraph"/>
              <w:spacing w:before="57"/>
              <w:ind w:left="545" w:right="550"/>
              <w:jc w:val="center"/>
              <w:rPr>
                <w:sz w:val="16"/>
              </w:rPr>
            </w:pPr>
            <w:r>
              <w:rPr>
                <w:sz w:val="16"/>
              </w:rPr>
              <w:t>85%</w:t>
            </w:r>
          </w:p>
        </w:tc>
        <w:tc>
          <w:tcPr>
            <w:tcW w:w="1636" w:type="dxa"/>
            <w:tcBorders>
              <w:top w:val="nil"/>
            </w:tcBorders>
          </w:tcPr>
          <w:p w14:paraId="7E26D89D" w14:textId="77777777" w:rsidR="001439E0" w:rsidRDefault="008A23E0">
            <w:pPr>
              <w:pStyle w:val="TableParagraph"/>
              <w:spacing w:before="57"/>
              <w:ind w:right="649"/>
              <w:jc w:val="right"/>
              <w:rPr>
                <w:sz w:val="16"/>
              </w:rPr>
            </w:pPr>
            <w:r>
              <w:rPr>
                <w:w w:val="95"/>
                <w:sz w:val="16"/>
              </w:rPr>
              <w:t>83%</w:t>
            </w:r>
          </w:p>
        </w:tc>
      </w:tr>
      <w:tr w:rsidR="001439E0" w14:paraId="7E26D8A4" w14:textId="77777777">
        <w:trPr>
          <w:trHeight w:val="1711"/>
        </w:trPr>
        <w:tc>
          <w:tcPr>
            <w:tcW w:w="9747" w:type="dxa"/>
            <w:gridSpan w:val="5"/>
          </w:tcPr>
          <w:p w14:paraId="7E26D89F" w14:textId="77777777" w:rsidR="001439E0" w:rsidRDefault="008A23E0">
            <w:pPr>
              <w:pStyle w:val="TableParagraph"/>
              <w:spacing w:before="29"/>
              <w:ind w:left="107"/>
              <w:rPr>
                <w:sz w:val="16"/>
              </w:rPr>
            </w:pPr>
            <w:r>
              <w:rPr>
                <w:sz w:val="16"/>
              </w:rPr>
              <w:t>*The 95% CIs for the treatment differences were calculated using stratum-adjusted Mantel-</w:t>
            </w:r>
            <w:proofErr w:type="spellStart"/>
            <w:r>
              <w:rPr>
                <w:sz w:val="16"/>
              </w:rPr>
              <w:t>Haenszel</w:t>
            </w:r>
            <w:proofErr w:type="spellEnd"/>
            <w:r>
              <w:rPr>
                <w:sz w:val="16"/>
              </w:rPr>
              <w:t xml:space="preserve"> method.</w:t>
            </w:r>
          </w:p>
          <w:p w14:paraId="7E26D8A0" w14:textId="77777777" w:rsidR="001439E0" w:rsidRDefault="008A23E0">
            <w:pPr>
              <w:pStyle w:val="TableParagraph"/>
              <w:spacing w:before="26"/>
              <w:ind w:left="107" w:right="519" w:hanging="1"/>
              <w:rPr>
                <w:sz w:val="16"/>
              </w:rPr>
            </w:pPr>
            <w:r>
              <w:rPr>
                <w:position w:val="6"/>
                <w:sz w:val="10"/>
              </w:rPr>
              <w:t>†</w:t>
            </w:r>
            <w:r>
              <w:rPr>
                <w:sz w:val="16"/>
              </w:rPr>
              <w:t>Includes subjects who discontinued study drug or study before Week 48 for lack or loss of efficacy and subjects with HIV-1 RNA equal to or above 50 copies/mL in the Week 48 window (relative day 295-378).</w:t>
            </w:r>
          </w:p>
          <w:p w14:paraId="7E26D8A1" w14:textId="77777777" w:rsidR="001439E0" w:rsidRDefault="008A23E0">
            <w:pPr>
              <w:pStyle w:val="TableParagraph"/>
              <w:spacing w:before="27"/>
              <w:ind w:left="107" w:right="652" w:hanging="1"/>
              <w:rPr>
                <w:sz w:val="16"/>
              </w:rPr>
            </w:pPr>
            <w:r>
              <w:rPr>
                <w:position w:val="6"/>
                <w:sz w:val="10"/>
              </w:rPr>
              <w:t>‡</w:t>
            </w:r>
            <w:r>
              <w:rPr>
                <w:sz w:val="16"/>
              </w:rPr>
              <w:t xml:space="preserve">Includes subjects who discontinued because of adverse event (AE) or death if this resulted in no </w:t>
            </w:r>
            <w:proofErr w:type="spellStart"/>
            <w:r>
              <w:rPr>
                <w:sz w:val="16"/>
              </w:rPr>
              <w:t>virologic</w:t>
            </w:r>
            <w:proofErr w:type="spellEnd"/>
            <w:r>
              <w:rPr>
                <w:sz w:val="16"/>
              </w:rPr>
              <w:t xml:space="preserve"> data in the Week 48 window.</w:t>
            </w:r>
          </w:p>
          <w:p w14:paraId="7E26D8A2" w14:textId="77777777" w:rsidR="001439E0" w:rsidRDefault="008A23E0">
            <w:pPr>
              <w:pStyle w:val="TableParagraph"/>
              <w:spacing w:before="27"/>
              <w:ind w:left="107" w:right="252" w:hanging="1"/>
              <w:rPr>
                <w:sz w:val="16"/>
              </w:rPr>
            </w:pPr>
            <w:r>
              <w:rPr>
                <w:position w:val="6"/>
                <w:sz w:val="10"/>
              </w:rPr>
              <w:t>§</w:t>
            </w:r>
            <w:r>
              <w:rPr>
                <w:sz w:val="16"/>
              </w:rPr>
              <w:t>Other Reasons include: lost to follow-up, non-compliance with study drug, physician decision, pregnancy, protocol deviation, screen failure, withdrawal by subject.</w:t>
            </w:r>
          </w:p>
          <w:p w14:paraId="7E26D8A3" w14:textId="77777777" w:rsidR="001439E0" w:rsidRDefault="008A23E0">
            <w:pPr>
              <w:pStyle w:val="TableParagraph"/>
              <w:spacing w:before="59"/>
              <w:ind w:left="107"/>
              <w:rPr>
                <w:sz w:val="16"/>
              </w:rPr>
            </w:pPr>
            <w:r>
              <w:rPr>
                <w:sz w:val="16"/>
              </w:rPr>
              <w:t>Note: NRTIs = FTC/3TC or ABC/3TC.</w:t>
            </w:r>
          </w:p>
        </w:tc>
      </w:tr>
    </w:tbl>
    <w:p w14:paraId="7E26D8A5" w14:textId="77777777" w:rsidR="001439E0" w:rsidRDefault="001439E0">
      <w:pPr>
        <w:pStyle w:val="BodyText"/>
        <w:spacing w:before="0"/>
        <w:ind w:left="0"/>
        <w:jc w:val="left"/>
        <w:rPr>
          <w:b/>
          <w:sz w:val="20"/>
        </w:rPr>
      </w:pPr>
    </w:p>
    <w:p w14:paraId="7E26D8A6" w14:textId="77777777" w:rsidR="001439E0" w:rsidRDefault="001439E0">
      <w:pPr>
        <w:pStyle w:val="BodyText"/>
        <w:spacing w:before="3"/>
        <w:ind w:left="0"/>
        <w:jc w:val="left"/>
        <w:rPr>
          <w:b/>
          <w:sz w:val="19"/>
        </w:rPr>
      </w:pPr>
    </w:p>
    <w:p w14:paraId="7E26D8A7" w14:textId="77777777" w:rsidR="001439E0" w:rsidRDefault="008A23E0">
      <w:pPr>
        <w:pStyle w:val="BodyText"/>
        <w:spacing w:before="1"/>
        <w:ind w:right="1276"/>
      </w:pPr>
      <w:r>
        <w:t>P007 was a Phase 2b trial in antiretroviral treatment-naïve HIV-1 infected adult subjects (n=340). In Part I, subjects were randomized to receive one of 4 doses of PIFELTRO or</w:t>
      </w:r>
      <w:r>
        <w:rPr>
          <w:spacing w:val="-37"/>
        </w:rPr>
        <w:t xml:space="preserve"> </w:t>
      </w:r>
      <w:r>
        <w:t>EFV, each in combination with FTC/TDF. After Week 24, all subjects randomized to receive PIFELTRO</w:t>
      </w:r>
      <w:r>
        <w:rPr>
          <w:spacing w:val="-3"/>
        </w:rPr>
        <w:t xml:space="preserve"> </w:t>
      </w:r>
      <w:r>
        <w:t>were</w:t>
      </w:r>
      <w:r>
        <w:rPr>
          <w:spacing w:val="-5"/>
        </w:rPr>
        <w:t xml:space="preserve"> </w:t>
      </w:r>
      <w:r>
        <w:t>switched</w:t>
      </w:r>
      <w:r>
        <w:rPr>
          <w:spacing w:val="-4"/>
        </w:rPr>
        <w:t xml:space="preserve"> </w:t>
      </w:r>
      <w:r>
        <w:t>to</w:t>
      </w:r>
      <w:r>
        <w:rPr>
          <w:spacing w:val="-4"/>
        </w:rPr>
        <w:t xml:space="preserve"> </w:t>
      </w:r>
      <w:r>
        <w:t>(or</w:t>
      </w:r>
      <w:r>
        <w:rPr>
          <w:spacing w:val="-2"/>
        </w:rPr>
        <w:t xml:space="preserve"> </w:t>
      </w:r>
      <w:r>
        <w:t>maintained</w:t>
      </w:r>
      <w:r>
        <w:rPr>
          <w:spacing w:val="-5"/>
        </w:rPr>
        <w:t xml:space="preserve"> </w:t>
      </w:r>
      <w:r>
        <w:t>on)</w:t>
      </w:r>
      <w:r>
        <w:rPr>
          <w:spacing w:val="-4"/>
        </w:rPr>
        <w:t xml:space="preserve"> </w:t>
      </w:r>
      <w:r>
        <w:t>PIFELTRO</w:t>
      </w:r>
      <w:r>
        <w:rPr>
          <w:spacing w:val="-3"/>
        </w:rPr>
        <w:t xml:space="preserve"> </w:t>
      </w:r>
      <w:r>
        <w:t>100</w:t>
      </w:r>
      <w:r>
        <w:rPr>
          <w:spacing w:val="-4"/>
        </w:rPr>
        <w:t xml:space="preserve"> </w:t>
      </w:r>
      <w:r>
        <w:t>mg.</w:t>
      </w:r>
      <w:r>
        <w:rPr>
          <w:spacing w:val="-3"/>
        </w:rPr>
        <w:t xml:space="preserve"> </w:t>
      </w:r>
      <w:r>
        <w:t>Additional</w:t>
      </w:r>
      <w:r>
        <w:rPr>
          <w:spacing w:val="-4"/>
        </w:rPr>
        <w:t xml:space="preserve"> </w:t>
      </w:r>
      <w:r>
        <w:t>subjects</w:t>
      </w:r>
      <w:r>
        <w:rPr>
          <w:spacing w:val="-5"/>
        </w:rPr>
        <w:t xml:space="preserve"> </w:t>
      </w:r>
      <w:r>
        <w:t>were randomized in Part II to receive either PIFELTRO 100 mg or EFV, each in combination with FTC/TDF.</w:t>
      </w:r>
      <w:r>
        <w:rPr>
          <w:spacing w:val="-11"/>
        </w:rPr>
        <w:t xml:space="preserve"> </w:t>
      </w:r>
      <w:r>
        <w:t>In</w:t>
      </w:r>
      <w:r>
        <w:rPr>
          <w:spacing w:val="-8"/>
        </w:rPr>
        <w:t xml:space="preserve"> </w:t>
      </w:r>
      <w:r>
        <w:t>both</w:t>
      </w:r>
      <w:r>
        <w:rPr>
          <w:spacing w:val="-11"/>
        </w:rPr>
        <w:t xml:space="preserve"> </w:t>
      </w:r>
      <w:r>
        <w:t>parts</w:t>
      </w:r>
      <w:r>
        <w:rPr>
          <w:spacing w:val="-10"/>
        </w:rPr>
        <w:t xml:space="preserve"> </w:t>
      </w:r>
      <w:r>
        <w:t>of</w:t>
      </w:r>
      <w:r>
        <w:rPr>
          <w:spacing w:val="-11"/>
        </w:rPr>
        <w:t xml:space="preserve"> </w:t>
      </w:r>
      <w:r>
        <w:t>the</w:t>
      </w:r>
      <w:r>
        <w:rPr>
          <w:spacing w:val="-10"/>
        </w:rPr>
        <w:t xml:space="preserve"> </w:t>
      </w:r>
      <w:r>
        <w:t>trial,</w:t>
      </w:r>
      <w:r>
        <w:rPr>
          <w:spacing w:val="-10"/>
        </w:rPr>
        <w:t xml:space="preserve"> </w:t>
      </w:r>
      <w:r>
        <w:t>PIFELTRO</w:t>
      </w:r>
      <w:r>
        <w:rPr>
          <w:spacing w:val="-11"/>
        </w:rPr>
        <w:t xml:space="preserve"> </w:t>
      </w:r>
      <w:r>
        <w:t>and</w:t>
      </w:r>
      <w:r>
        <w:rPr>
          <w:spacing w:val="-10"/>
        </w:rPr>
        <w:t xml:space="preserve"> </w:t>
      </w:r>
      <w:r>
        <w:t>EFV</w:t>
      </w:r>
      <w:r>
        <w:rPr>
          <w:spacing w:val="-11"/>
        </w:rPr>
        <w:t xml:space="preserve"> </w:t>
      </w:r>
      <w:r>
        <w:t>were</w:t>
      </w:r>
      <w:r>
        <w:rPr>
          <w:spacing w:val="-8"/>
        </w:rPr>
        <w:t xml:space="preserve"> </w:t>
      </w:r>
      <w:r>
        <w:t>administered</w:t>
      </w:r>
      <w:r>
        <w:rPr>
          <w:spacing w:val="-10"/>
        </w:rPr>
        <w:t xml:space="preserve"> </w:t>
      </w:r>
      <w:r>
        <w:t>as</w:t>
      </w:r>
      <w:r>
        <w:rPr>
          <w:spacing w:val="-11"/>
        </w:rPr>
        <w:t xml:space="preserve"> </w:t>
      </w:r>
      <w:r>
        <w:t>blinded-therapy and FTC/TDF was administered</w:t>
      </w:r>
      <w:r>
        <w:rPr>
          <w:spacing w:val="-1"/>
        </w:rPr>
        <w:t xml:space="preserve"> </w:t>
      </w:r>
      <w:r>
        <w:t>open-label.</w:t>
      </w:r>
    </w:p>
    <w:p w14:paraId="7E26D8A8" w14:textId="77777777" w:rsidR="001439E0" w:rsidRDefault="008A23E0">
      <w:pPr>
        <w:pStyle w:val="BodyText"/>
        <w:spacing w:before="199"/>
        <w:ind w:left="419" w:right="1276"/>
      </w:pPr>
      <w:r>
        <w:t>At Week 48, the proportion of subjects with HIV-1 RNA less than 50 copies/mL was 79% (85/108) and 82% (89/108) for PIFELTRO 100 mg and EFV, respectively (FDA Snapshot Approach). At Week 96, the proportion of subjects with HIV-1 RNA less than 50 copies/mL was 76% (82/108) and 76% (82/108) for PIFELTRO 100 mg and EFV, respectively. At Week 48, mean CD4+ T-cell counts in the PIFELTRO 100 mg and EFV groups increased from baseline by 192 and 195 cells/mm</w:t>
      </w:r>
      <w:r>
        <w:rPr>
          <w:position w:val="7"/>
          <w:sz w:val="14"/>
        </w:rPr>
        <w:t>3</w:t>
      </w:r>
      <w:r>
        <w:t>, respectively. At Week 96, mean CD4+ T-cell counts in the PIFELTRO 100 mg and EFV groups increased from baseline by 259 and 264 cells/mm</w:t>
      </w:r>
      <w:r>
        <w:rPr>
          <w:position w:val="7"/>
          <w:sz w:val="14"/>
        </w:rPr>
        <w:t>3</w:t>
      </w:r>
      <w:r>
        <w:t>, respectively.</w:t>
      </w:r>
    </w:p>
    <w:p w14:paraId="7E26D8A9" w14:textId="77777777" w:rsidR="001439E0" w:rsidRDefault="001439E0">
      <w:pPr>
        <w:pStyle w:val="BodyText"/>
        <w:spacing w:before="0"/>
        <w:ind w:left="0"/>
        <w:jc w:val="left"/>
        <w:rPr>
          <w:sz w:val="21"/>
        </w:rPr>
      </w:pPr>
    </w:p>
    <w:p w14:paraId="7E26D8AA" w14:textId="77777777" w:rsidR="001439E0" w:rsidRDefault="008A23E0">
      <w:pPr>
        <w:pStyle w:val="Heading2"/>
        <w:numPr>
          <w:ilvl w:val="1"/>
          <w:numId w:val="1"/>
        </w:numPr>
        <w:tabs>
          <w:tab w:val="left" w:pos="1139"/>
          <w:tab w:val="left" w:pos="1140"/>
        </w:tabs>
        <w:ind w:hanging="719"/>
      </w:pPr>
      <w:r>
        <w:t>PHARMACOKINETIC</w:t>
      </w:r>
      <w:r>
        <w:rPr>
          <w:spacing w:val="-2"/>
        </w:rPr>
        <w:t xml:space="preserve"> </w:t>
      </w:r>
      <w:r>
        <w:t>PROPERTIES</w:t>
      </w:r>
    </w:p>
    <w:p w14:paraId="7E26D8AB" w14:textId="77777777" w:rsidR="001439E0" w:rsidRDefault="008A23E0">
      <w:pPr>
        <w:pStyle w:val="BodyText"/>
        <w:spacing w:before="119"/>
        <w:ind w:left="419" w:right="1275"/>
      </w:pPr>
      <w:r>
        <w:t>The pharmacokinetics of doravirine were studied in healthy subjects and HIV-1-infected subjects. Doravirine pharmacokinetics are similar in healthy subjects and HIV-1-infected subjects.</w:t>
      </w:r>
      <w:r>
        <w:rPr>
          <w:spacing w:val="-6"/>
        </w:rPr>
        <w:t xml:space="preserve"> </w:t>
      </w:r>
      <w:r>
        <w:t>Steady</w:t>
      </w:r>
      <w:r>
        <w:rPr>
          <w:spacing w:val="-5"/>
        </w:rPr>
        <w:t xml:space="preserve"> </w:t>
      </w:r>
      <w:r>
        <w:t>state</w:t>
      </w:r>
      <w:r>
        <w:rPr>
          <w:spacing w:val="-5"/>
        </w:rPr>
        <w:t xml:space="preserve"> </w:t>
      </w:r>
      <w:r>
        <w:t>is</w:t>
      </w:r>
      <w:r>
        <w:rPr>
          <w:spacing w:val="-5"/>
        </w:rPr>
        <w:t xml:space="preserve"> </w:t>
      </w:r>
      <w:r>
        <w:t>generally</w:t>
      </w:r>
      <w:r>
        <w:rPr>
          <w:spacing w:val="-5"/>
        </w:rPr>
        <w:t xml:space="preserve"> </w:t>
      </w:r>
      <w:r>
        <w:t>achieved</w:t>
      </w:r>
      <w:r>
        <w:rPr>
          <w:spacing w:val="-5"/>
        </w:rPr>
        <w:t xml:space="preserve"> </w:t>
      </w:r>
      <w:r>
        <w:t>by</w:t>
      </w:r>
      <w:r>
        <w:rPr>
          <w:spacing w:val="-6"/>
        </w:rPr>
        <w:t xml:space="preserve"> </w:t>
      </w:r>
      <w:r>
        <w:t>Day</w:t>
      </w:r>
      <w:r>
        <w:rPr>
          <w:spacing w:val="-5"/>
        </w:rPr>
        <w:t xml:space="preserve"> </w:t>
      </w:r>
      <w:r>
        <w:t>2</w:t>
      </w:r>
      <w:r>
        <w:rPr>
          <w:spacing w:val="-5"/>
        </w:rPr>
        <w:t xml:space="preserve"> </w:t>
      </w:r>
      <w:r>
        <w:t>of</w:t>
      </w:r>
      <w:r>
        <w:rPr>
          <w:spacing w:val="-5"/>
        </w:rPr>
        <w:t xml:space="preserve"> </w:t>
      </w:r>
      <w:r>
        <w:t>once</w:t>
      </w:r>
      <w:r>
        <w:rPr>
          <w:spacing w:val="-5"/>
        </w:rPr>
        <w:t xml:space="preserve"> </w:t>
      </w:r>
      <w:r>
        <w:t>daily</w:t>
      </w:r>
      <w:r>
        <w:rPr>
          <w:spacing w:val="-5"/>
        </w:rPr>
        <w:t xml:space="preserve"> </w:t>
      </w:r>
      <w:r>
        <w:t>dosing,</w:t>
      </w:r>
      <w:r>
        <w:rPr>
          <w:spacing w:val="-6"/>
        </w:rPr>
        <w:t xml:space="preserve"> </w:t>
      </w:r>
      <w:r>
        <w:t>with</w:t>
      </w:r>
      <w:r>
        <w:rPr>
          <w:spacing w:val="-5"/>
        </w:rPr>
        <w:t xml:space="preserve"> </w:t>
      </w:r>
      <w:r>
        <w:t>accumulation ratios of 1.2 to 1.4 for AUC</w:t>
      </w:r>
      <w:r>
        <w:rPr>
          <w:vertAlign w:val="subscript"/>
        </w:rPr>
        <w:t>0-24</w:t>
      </w:r>
      <w:r>
        <w:t xml:space="preserve">, </w:t>
      </w:r>
      <w:proofErr w:type="spellStart"/>
      <w:r>
        <w:t>C</w:t>
      </w:r>
      <w:r>
        <w:rPr>
          <w:vertAlign w:val="subscript"/>
        </w:rPr>
        <w:t>max</w:t>
      </w:r>
      <w:proofErr w:type="spellEnd"/>
      <w:r>
        <w:t>, and C</w:t>
      </w:r>
      <w:r>
        <w:rPr>
          <w:vertAlign w:val="subscript"/>
        </w:rPr>
        <w:t>24</w:t>
      </w:r>
      <w:r>
        <w:t>. Doravirine steady state pharmacokinetics following</w:t>
      </w:r>
      <w:r>
        <w:rPr>
          <w:spacing w:val="-16"/>
        </w:rPr>
        <w:t xml:space="preserve"> </w:t>
      </w:r>
      <w:r>
        <w:t>administration</w:t>
      </w:r>
      <w:r>
        <w:rPr>
          <w:spacing w:val="-17"/>
        </w:rPr>
        <w:t xml:space="preserve"> </w:t>
      </w:r>
      <w:r>
        <w:t>of</w:t>
      </w:r>
      <w:r>
        <w:rPr>
          <w:spacing w:val="-17"/>
        </w:rPr>
        <w:t xml:space="preserve"> </w:t>
      </w:r>
      <w:r>
        <w:t>100</w:t>
      </w:r>
      <w:r>
        <w:rPr>
          <w:spacing w:val="-16"/>
        </w:rPr>
        <w:t xml:space="preserve"> </w:t>
      </w:r>
      <w:r>
        <w:t>mg</w:t>
      </w:r>
      <w:r>
        <w:rPr>
          <w:spacing w:val="-17"/>
        </w:rPr>
        <w:t xml:space="preserve"> </w:t>
      </w:r>
      <w:r>
        <w:t>once</w:t>
      </w:r>
      <w:r>
        <w:rPr>
          <w:spacing w:val="-16"/>
        </w:rPr>
        <w:t xml:space="preserve"> </w:t>
      </w:r>
      <w:r>
        <w:t>daily</w:t>
      </w:r>
      <w:r>
        <w:rPr>
          <w:spacing w:val="-17"/>
        </w:rPr>
        <w:t xml:space="preserve"> </w:t>
      </w:r>
      <w:r>
        <w:t>to</w:t>
      </w:r>
      <w:r>
        <w:rPr>
          <w:spacing w:val="-18"/>
        </w:rPr>
        <w:t xml:space="preserve"> </w:t>
      </w:r>
      <w:r>
        <w:t>HIV-1</w:t>
      </w:r>
      <w:r>
        <w:rPr>
          <w:spacing w:val="-16"/>
        </w:rPr>
        <w:t xml:space="preserve"> </w:t>
      </w:r>
      <w:r>
        <w:t>infected</w:t>
      </w:r>
      <w:r>
        <w:rPr>
          <w:spacing w:val="-17"/>
        </w:rPr>
        <w:t xml:space="preserve"> </w:t>
      </w:r>
      <w:r>
        <w:t>subjects,</w:t>
      </w:r>
      <w:r>
        <w:rPr>
          <w:spacing w:val="-17"/>
        </w:rPr>
        <w:t xml:space="preserve"> </w:t>
      </w:r>
      <w:r>
        <w:t>based</w:t>
      </w:r>
      <w:r>
        <w:rPr>
          <w:spacing w:val="-17"/>
        </w:rPr>
        <w:t xml:space="preserve"> </w:t>
      </w:r>
      <w:r>
        <w:t>on</w:t>
      </w:r>
      <w:r>
        <w:rPr>
          <w:spacing w:val="-16"/>
        </w:rPr>
        <w:t xml:space="preserve"> </w:t>
      </w:r>
      <w:r>
        <w:t>a</w:t>
      </w:r>
      <w:r>
        <w:rPr>
          <w:spacing w:val="-18"/>
        </w:rPr>
        <w:t xml:space="preserve"> </w:t>
      </w:r>
      <w:r>
        <w:t>population pharmacokinetic analysis, are provided</w:t>
      </w:r>
      <w:r>
        <w:rPr>
          <w:spacing w:val="-1"/>
        </w:rPr>
        <w:t xml:space="preserve"> </w:t>
      </w:r>
      <w:r>
        <w:t>below.</w:t>
      </w:r>
    </w:p>
    <w:p w14:paraId="7E26D8AC" w14:textId="77777777" w:rsidR="001439E0" w:rsidRDefault="001439E0">
      <w:pPr>
        <w:pStyle w:val="BodyText"/>
        <w:spacing w:before="5"/>
        <w:ind w:left="0"/>
        <w:jc w:val="left"/>
        <w:rPr>
          <w:sz w:val="17"/>
        </w:rPr>
      </w:pPr>
    </w:p>
    <w:tbl>
      <w:tblPr>
        <w:tblW w:w="0" w:type="auto"/>
        <w:tblInd w:w="1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8"/>
        <w:gridCol w:w="1939"/>
        <w:gridCol w:w="1640"/>
        <w:gridCol w:w="1490"/>
      </w:tblGrid>
      <w:tr w:rsidR="001439E0" w14:paraId="7E26D8B3" w14:textId="77777777">
        <w:trPr>
          <w:trHeight w:val="538"/>
        </w:trPr>
        <w:tc>
          <w:tcPr>
            <w:tcW w:w="1518" w:type="dxa"/>
          </w:tcPr>
          <w:p w14:paraId="7E26D8AD" w14:textId="77777777" w:rsidR="001439E0" w:rsidRDefault="008A23E0">
            <w:pPr>
              <w:pStyle w:val="TableParagraph"/>
              <w:spacing w:before="85"/>
              <w:ind w:left="53" w:right="652"/>
              <w:rPr>
                <w:b/>
                <w:sz w:val="16"/>
              </w:rPr>
            </w:pPr>
            <w:r>
              <w:rPr>
                <w:b/>
                <w:sz w:val="16"/>
              </w:rPr>
              <w:t>Parameter</w:t>
            </w:r>
            <w:r>
              <w:rPr>
                <w:b/>
                <w:w w:val="99"/>
                <w:sz w:val="16"/>
              </w:rPr>
              <w:t xml:space="preserve"> </w:t>
            </w:r>
            <w:r>
              <w:rPr>
                <w:b/>
                <w:sz w:val="16"/>
              </w:rPr>
              <w:t>GM (%CV)</w:t>
            </w:r>
          </w:p>
        </w:tc>
        <w:tc>
          <w:tcPr>
            <w:tcW w:w="1939" w:type="dxa"/>
          </w:tcPr>
          <w:p w14:paraId="7E26D8AE" w14:textId="77777777" w:rsidR="001439E0" w:rsidRDefault="008A23E0">
            <w:pPr>
              <w:pStyle w:val="TableParagraph"/>
              <w:spacing w:before="85" w:line="188" w:lineRule="exact"/>
              <w:ind w:left="322"/>
              <w:rPr>
                <w:b/>
                <w:sz w:val="10"/>
              </w:rPr>
            </w:pPr>
            <w:r>
              <w:rPr>
                <w:b/>
                <w:position w:val="2"/>
                <w:sz w:val="16"/>
              </w:rPr>
              <w:t>AUC</w:t>
            </w:r>
            <w:r>
              <w:rPr>
                <w:b/>
                <w:sz w:val="10"/>
              </w:rPr>
              <w:t>0-24</w:t>
            </w:r>
          </w:p>
          <w:p w14:paraId="7E26D8AF" w14:textId="77777777" w:rsidR="001439E0" w:rsidRDefault="008A23E0">
            <w:pPr>
              <w:pStyle w:val="TableParagraph"/>
              <w:spacing w:line="181" w:lineRule="exact"/>
              <w:ind w:left="322"/>
              <w:rPr>
                <w:b/>
                <w:sz w:val="16"/>
              </w:rPr>
            </w:pPr>
            <w:proofErr w:type="spellStart"/>
            <w:r>
              <w:rPr>
                <w:b/>
                <w:sz w:val="16"/>
              </w:rPr>
              <w:t>μM</w:t>
            </w:r>
            <w:proofErr w:type="spellEnd"/>
            <w:r>
              <w:rPr>
                <w:b/>
                <w:sz w:val="16"/>
              </w:rPr>
              <w:t xml:space="preserve"> </w:t>
            </w:r>
            <w:proofErr w:type="spellStart"/>
            <w:r>
              <w:rPr>
                <w:b/>
                <w:sz w:val="16"/>
              </w:rPr>
              <w:t>hr</w:t>
            </w:r>
            <w:proofErr w:type="spellEnd"/>
          </w:p>
        </w:tc>
        <w:tc>
          <w:tcPr>
            <w:tcW w:w="1640" w:type="dxa"/>
          </w:tcPr>
          <w:p w14:paraId="7E26D8B0" w14:textId="77777777" w:rsidR="001439E0" w:rsidRDefault="008A23E0">
            <w:pPr>
              <w:pStyle w:val="TableParagraph"/>
              <w:spacing w:before="92" w:line="230" w:lineRule="auto"/>
              <w:ind w:left="322" w:right="972"/>
              <w:rPr>
                <w:b/>
                <w:sz w:val="16"/>
              </w:rPr>
            </w:pPr>
            <w:r>
              <w:rPr>
                <w:b/>
                <w:position w:val="2"/>
                <w:sz w:val="16"/>
              </w:rPr>
              <w:t>C</w:t>
            </w:r>
            <w:r>
              <w:rPr>
                <w:b/>
                <w:sz w:val="10"/>
              </w:rPr>
              <w:t xml:space="preserve">max </w:t>
            </w:r>
            <w:proofErr w:type="spellStart"/>
            <w:r>
              <w:rPr>
                <w:b/>
                <w:sz w:val="16"/>
              </w:rPr>
              <w:t>μM</w:t>
            </w:r>
            <w:proofErr w:type="spellEnd"/>
          </w:p>
        </w:tc>
        <w:tc>
          <w:tcPr>
            <w:tcW w:w="1490" w:type="dxa"/>
          </w:tcPr>
          <w:p w14:paraId="7E26D8B1" w14:textId="77777777" w:rsidR="001439E0" w:rsidRDefault="008A23E0">
            <w:pPr>
              <w:pStyle w:val="TableParagraph"/>
              <w:spacing w:before="85" w:line="188" w:lineRule="exact"/>
              <w:ind w:left="322"/>
              <w:rPr>
                <w:b/>
                <w:sz w:val="10"/>
              </w:rPr>
            </w:pPr>
            <w:r>
              <w:rPr>
                <w:b/>
                <w:position w:val="2"/>
                <w:sz w:val="16"/>
              </w:rPr>
              <w:t>C</w:t>
            </w:r>
            <w:r>
              <w:rPr>
                <w:b/>
                <w:sz w:val="10"/>
              </w:rPr>
              <w:t>24</w:t>
            </w:r>
          </w:p>
          <w:p w14:paraId="7E26D8B2" w14:textId="77777777" w:rsidR="001439E0" w:rsidRDefault="008A23E0">
            <w:pPr>
              <w:pStyle w:val="TableParagraph"/>
              <w:spacing w:line="181" w:lineRule="exact"/>
              <w:ind w:left="322"/>
              <w:rPr>
                <w:b/>
                <w:sz w:val="16"/>
              </w:rPr>
            </w:pPr>
            <w:proofErr w:type="spellStart"/>
            <w:r>
              <w:rPr>
                <w:b/>
                <w:sz w:val="16"/>
              </w:rPr>
              <w:t>nM</w:t>
            </w:r>
            <w:proofErr w:type="spellEnd"/>
          </w:p>
        </w:tc>
      </w:tr>
      <w:tr w:rsidR="001439E0" w14:paraId="7E26D8BB" w14:textId="77777777">
        <w:trPr>
          <w:trHeight w:val="552"/>
        </w:trPr>
        <w:tc>
          <w:tcPr>
            <w:tcW w:w="1518" w:type="dxa"/>
          </w:tcPr>
          <w:p w14:paraId="7E26D8B4" w14:textId="77777777" w:rsidR="001439E0" w:rsidRDefault="008A23E0">
            <w:pPr>
              <w:pStyle w:val="TableParagraph"/>
              <w:spacing w:before="3" w:line="184" w:lineRule="exact"/>
              <w:ind w:left="53" w:right="714"/>
              <w:rPr>
                <w:sz w:val="16"/>
              </w:rPr>
            </w:pPr>
            <w:r>
              <w:rPr>
                <w:w w:val="95"/>
                <w:sz w:val="16"/>
              </w:rPr>
              <w:t xml:space="preserve">Doravirine </w:t>
            </w:r>
            <w:r>
              <w:rPr>
                <w:sz w:val="16"/>
              </w:rPr>
              <w:t>100 mg once daily</w:t>
            </w:r>
          </w:p>
        </w:tc>
        <w:tc>
          <w:tcPr>
            <w:tcW w:w="1939" w:type="dxa"/>
          </w:tcPr>
          <w:p w14:paraId="7E26D8B5" w14:textId="77777777" w:rsidR="001439E0" w:rsidRDefault="001439E0">
            <w:pPr>
              <w:pStyle w:val="TableParagraph"/>
              <w:rPr>
                <w:sz w:val="16"/>
              </w:rPr>
            </w:pPr>
          </w:p>
          <w:p w14:paraId="7E26D8B6" w14:textId="77777777" w:rsidR="001439E0" w:rsidRDefault="008A23E0">
            <w:pPr>
              <w:pStyle w:val="TableParagraph"/>
              <w:ind w:left="322"/>
              <w:rPr>
                <w:sz w:val="16"/>
              </w:rPr>
            </w:pPr>
            <w:r>
              <w:rPr>
                <w:sz w:val="16"/>
              </w:rPr>
              <w:t>37.8 (29)</w:t>
            </w:r>
          </w:p>
        </w:tc>
        <w:tc>
          <w:tcPr>
            <w:tcW w:w="1640" w:type="dxa"/>
          </w:tcPr>
          <w:p w14:paraId="7E26D8B7" w14:textId="77777777" w:rsidR="001439E0" w:rsidRDefault="001439E0">
            <w:pPr>
              <w:pStyle w:val="TableParagraph"/>
              <w:rPr>
                <w:sz w:val="16"/>
              </w:rPr>
            </w:pPr>
          </w:p>
          <w:p w14:paraId="7E26D8B8" w14:textId="77777777" w:rsidR="001439E0" w:rsidRDefault="008A23E0">
            <w:pPr>
              <w:pStyle w:val="TableParagraph"/>
              <w:ind w:left="322"/>
              <w:rPr>
                <w:sz w:val="16"/>
              </w:rPr>
            </w:pPr>
            <w:r>
              <w:rPr>
                <w:sz w:val="16"/>
              </w:rPr>
              <w:t>2.26 (19)</w:t>
            </w:r>
          </w:p>
        </w:tc>
        <w:tc>
          <w:tcPr>
            <w:tcW w:w="1490" w:type="dxa"/>
          </w:tcPr>
          <w:p w14:paraId="7E26D8B9" w14:textId="77777777" w:rsidR="001439E0" w:rsidRDefault="001439E0">
            <w:pPr>
              <w:pStyle w:val="TableParagraph"/>
              <w:rPr>
                <w:sz w:val="16"/>
              </w:rPr>
            </w:pPr>
          </w:p>
          <w:p w14:paraId="7E26D8BA" w14:textId="77777777" w:rsidR="001439E0" w:rsidRDefault="008A23E0">
            <w:pPr>
              <w:pStyle w:val="TableParagraph"/>
              <w:ind w:left="322"/>
              <w:rPr>
                <w:sz w:val="16"/>
              </w:rPr>
            </w:pPr>
            <w:r>
              <w:rPr>
                <w:sz w:val="16"/>
              </w:rPr>
              <w:t>930 (63)</w:t>
            </w:r>
          </w:p>
        </w:tc>
      </w:tr>
      <w:tr w:rsidR="001439E0" w14:paraId="7E26D8BD" w14:textId="77777777">
        <w:trPr>
          <w:trHeight w:val="182"/>
        </w:trPr>
        <w:tc>
          <w:tcPr>
            <w:tcW w:w="6587" w:type="dxa"/>
            <w:gridSpan w:val="4"/>
          </w:tcPr>
          <w:p w14:paraId="7E26D8BC" w14:textId="77777777" w:rsidR="001439E0" w:rsidRDefault="008A23E0">
            <w:pPr>
              <w:pStyle w:val="TableParagraph"/>
              <w:spacing w:line="162" w:lineRule="exact"/>
              <w:ind w:left="53"/>
              <w:rPr>
                <w:sz w:val="16"/>
              </w:rPr>
            </w:pPr>
            <w:r>
              <w:rPr>
                <w:sz w:val="16"/>
              </w:rPr>
              <w:t>GM: geometric mean, %CV: Geometric coefficient of variation</w:t>
            </w:r>
          </w:p>
        </w:tc>
      </w:tr>
    </w:tbl>
    <w:p w14:paraId="7E26D8BE" w14:textId="77777777" w:rsidR="001439E0" w:rsidRDefault="008A23E0">
      <w:pPr>
        <w:pStyle w:val="Heading3"/>
        <w:spacing w:before="120"/>
      </w:pPr>
      <w:r>
        <w:t>Absorption</w:t>
      </w:r>
    </w:p>
    <w:p w14:paraId="7E26D8BF" w14:textId="77777777" w:rsidR="001439E0" w:rsidRDefault="008A23E0">
      <w:pPr>
        <w:pStyle w:val="BodyText"/>
        <w:spacing w:before="119"/>
        <w:ind w:right="1276"/>
      </w:pPr>
      <w:r>
        <w:t>Following oral dosing, peak plasma concentrations are achieved 2 hours after dosing. Doravirine has an absolute bioavailability of approximately 64% for the 100 mg tablet.</w:t>
      </w:r>
    </w:p>
    <w:p w14:paraId="7E26D8C0" w14:textId="77777777" w:rsidR="001439E0" w:rsidRDefault="008A23E0">
      <w:pPr>
        <w:pStyle w:val="Heading3"/>
        <w:spacing w:before="201"/>
      </w:pPr>
      <w:r>
        <w:t>Distribution</w:t>
      </w:r>
    </w:p>
    <w:p w14:paraId="7E26D8C1" w14:textId="77777777" w:rsidR="001439E0" w:rsidRDefault="008A23E0">
      <w:pPr>
        <w:pStyle w:val="BodyText"/>
        <w:spacing w:before="119"/>
        <w:ind w:right="1277"/>
      </w:pPr>
      <w:r>
        <w:t xml:space="preserve">Based on administration of an IV </w:t>
      </w:r>
      <w:proofErr w:type="spellStart"/>
      <w:r>
        <w:t>microdose</w:t>
      </w:r>
      <w:proofErr w:type="spellEnd"/>
      <w:r>
        <w:t>, the volume of distribution of doravirine is 60.5</w:t>
      </w:r>
      <w:r>
        <w:rPr>
          <w:spacing w:val="-42"/>
        </w:rPr>
        <w:t xml:space="preserve"> </w:t>
      </w:r>
      <w:r>
        <w:t>L. Doravirine is approximately 76% bound to plasma</w:t>
      </w:r>
      <w:r>
        <w:rPr>
          <w:spacing w:val="-1"/>
        </w:rPr>
        <w:t xml:space="preserve"> </w:t>
      </w:r>
      <w:r>
        <w:t>proteins.</w:t>
      </w:r>
    </w:p>
    <w:p w14:paraId="7E26D8C2" w14:textId="77777777" w:rsidR="001439E0" w:rsidRDefault="001439E0">
      <w:pPr>
        <w:sectPr w:rsidR="001439E0">
          <w:pgSz w:w="11910" w:h="16840"/>
          <w:pgMar w:top="1440" w:right="160" w:bottom="1100" w:left="1020" w:header="0" w:footer="839" w:gutter="0"/>
          <w:cols w:space="720"/>
        </w:sectPr>
      </w:pPr>
    </w:p>
    <w:p w14:paraId="7E26D8C3" w14:textId="77777777" w:rsidR="001439E0" w:rsidRDefault="008A23E0">
      <w:pPr>
        <w:pStyle w:val="Heading3"/>
        <w:spacing w:before="80"/>
      </w:pPr>
      <w:r>
        <w:lastRenderedPageBreak/>
        <w:t>Metabolism</w:t>
      </w:r>
    </w:p>
    <w:p w14:paraId="7E26D8C4" w14:textId="77777777" w:rsidR="001439E0" w:rsidRDefault="008A23E0">
      <w:pPr>
        <w:pStyle w:val="BodyText"/>
        <w:jc w:val="left"/>
      </w:pPr>
      <w:r>
        <w:t>Based on in vitro data, doravirine is primarily metabolized by CYP3A.</w:t>
      </w:r>
    </w:p>
    <w:p w14:paraId="7E26D8C5" w14:textId="77777777" w:rsidR="001439E0" w:rsidRDefault="008A23E0">
      <w:pPr>
        <w:pStyle w:val="Heading3"/>
        <w:spacing w:before="199"/>
      </w:pPr>
      <w:r>
        <w:t>Excretion</w:t>
      </w:r>
    </w:p>
    <w:p w14:paraId="7E26D8C6" w14:textId="77777777" w:rsidR="001439E0" w:rsidRDefault="008A23E0">
      <w:pPr>
        <w:pStyle w:val="BodyText"/>
        <w:spacing w:before="121"/>
        <w:ind w:right="1276"/>
      </w:pPr>
      <w:r>
        <w:t>Doravirine has a terminal half-life (t1/2) of approximately 15 hours. Doravirine is primarily eliminated via oxidative metabolism. Excretion of unchanged drug via urinary excretion is minor. Biliary excretion of unchanged drug is not expected to be significant.</w:t>
      </w:r>
    </w:p>
    <w:p w14:paraId="7E26D8C7" w14:textId="77777777" w:rsidR="001439E0" w:rsidRDefault="008A23E0">
      <w:pPr>
        <w:pStyle w:val="Heading3"/>
        <w:spacing w:before="199"/>
      </w:pPr>
      <w:r>
        <w:t>Effect of Food on Oral Absorption</w:t>
      </w:r>
    </w:p>
    <w:p w14:paraId="7E26D8C8" w14:textId="77777777" w:rsidR="001439E0" w:rsidRDefault="008A23E0">
      <w:pPr>
        <w:pStyle w:val="BodyText"/>
        <w:spacing w:before="121"/>
        <w:ind w:right="1277"/>
      </w:pPr>
      <w:r>
        <w:t>The administration of a single PIFELTRO tablet with a high-fat meal to healthy subjects resulted in a 16% and 36% increase in doravirine AUC and C</w:t>
      </w:r>
      <w:r>
        <w:rPr>
          <w:vertAlign w:val="subscript"/>
        </w:rPr>
        <w:t>24</w:t>
      </w:r>
      <w:r>
        <w:t xml:space="preserve">, respectively, while </w:t>
      </w:r>
      <w:proofErr w:type="spellStart"/>
      <w:r>
        <w:t>C</w:t>
      </w:r>
      <w:r>
        <w:rPr>
          <w:vertAlign w:val="subscript"/>
        </w:rPr>
        <w:t>max</w:t>
      </w:r>
      <w:proofErr w:type="spellEnd"/>
      <w:r>
        <w:t xml:space="preserve"> was not significantly affected.</w:t>
      </w:r>
    </w:p>
    <w:p w14:paraId="7E26D8C9" w14:textId="77777777" w:rsidR="001439E0" w:rsidRDefault="008A23E0">
      <w:pPr>
        <w:pStyle w:val="Heading3"/>
      </w:pPr>
      <w:r>
        <w:t>Special populations</w:t>
      </w:r>
    </w:p>
    <w:p w14:paraId="7E26D8CA" w14:textId="77777777" w:rsidR="001439E0" w:rsidRDefault="008A23E0">
      <w:pPr>
        <w:pStyle w:val="BodyText"/>
        <w:jc w:val="left"/>
      </w:pPr>
      <w:r>
        <w:rPr>
          <w:u w:val="single"/>
        </w:rPr>
        <w:t>Renal Impairment</w:t>
      </w:r>
    </w:p>
    <w:p w14:paraId="7E26D8CB" w14:textId="5AA17D51" w:rsidR="001439E0" w:rsidRDefault="008A23E0">
      <w:pPr>
        <w:pStyle w:val="BodyText"/>
        <w:spacing w:before="199"/>
        <w:ind w:right="1275"/>
      </w:pPr>
      <w:r>
        <w:t>Renal</w:t>
      </w:r>
      <w:r>
        <w:rPr>
          <w:spacing w:val="-7"/>
        </w:rPr>
        <w:t xml:space="preserve"> </w:t>
      </w:r>
      <w:r>
        <w:t>excretion</w:t>
      </w:r>
      <w:r>
        <w:rPr>
          <w:spacing w:val="-7"/>
        </w:rPr>
        <w:t xml:space="preserve"> </w:t>
      </w:r>
      <w:r>
        <w:t>of</w:t>
      </w:r>
      <w:r>
        <w:rPr>
          <w:spacing w:val="-7"/>
        </w:rPr>
        <w:t xml:space="preserve"> </w:t>
      </w:r>
      <w:r>
        <w:t>doravirine</w:t>
      </w:r>
      <w:r>
        <w:rPr>
          <w:spacing w:val="-7"/>
        </w:rPr>
        <w:t xml:space="preserve"> </w:t>
      </w:r>
      <w:r>
        <w:t>is</w:t>
      </w:r>
      <w:r>
        <w:rPr>
          <w:spacing w:val="-7"/>
        </w:rPr>
        <w:t xml:space="preserve"> </w:t>
      </w:r>
      <w:r>
        <w:t>minor:</w:t>
      </w:r>
      <w:r>
        <w:rPr>
          <w:spacing w:val="-7"/>
        </w:rPr>
        <w:t xml:space="preserve"> </w:t>
      </w:r>
      <w:r>
        <w:t>approximately</w:t>
      </w:r>
      <w:r>
        <w:rPr>
          <w:spacing w:val="-7"/>
        </w:rPr>
        <w:t xml:space="preserve"> </w:t>
      </w:r>
      <w:r>
        <w:t>6%</w:t>
      </w:r>
      <w:r>
        <w:rPr>
          <w:spacing w:val="-7"/>
        </w:rPr>
        <w:t xml:space="preserve"> </w:t>
      </w:r>
      <w:r>
        <w:t>of</w:t>
      </w:r>
      <w:r>
        <w:rPr>
          <w:spacing w:val="-7"/>
        </w:rPr>
        <w:t xml:space="preserve"> </w:t>
      </w:r>
      <w:r>
        <w:t>the</w:t>
      </w:r>
      <w:r>
        <w:rPr>
          <w:spacing w:val="-4"/>
        </w:rPr>
        <w:t xml:space="preserve"> </w:t>
      </w:r>
      <w:r>
        <w:t>administered</w:t>
      </w:r>
      <w:r>
        <w:rPr>
          <w:spacing w:val="-7"/>
        </w:rPr>
        <w:t xml:space="preserve"> </w:t>
      </w:r>
      <w:r>
        <w:t>dose</w:t>
      </w:r>
      <w:r>
        <w:rPr>
          <w:spacing w:val="-7"/>
        </w:rPr>
        <w:t xml:space="preserve"> </w:t>
      </w:r>
      <w:r>
        <w:t>is</w:t>
      </w:r>
      <w:r>
        <w:rPr>
          <w:spacing w:val="-7"/>
        </w:rPr>
        <w:t xml:space="preserve"> </w:t>
      </w:r>
      <w:r>
        <w:t>excreted unchanged in urine. In a study comparing 8 subjects with severe</w:t>
      </w:r>
      <w:r w:rsidR="00320255">
        <w:t xml:space="preserve"> (</w:t>
      </w:r>
      <w:proofErr w:type="spellStart"/>
      <w:r w:rsidR="00320255">
        <w:t>eGFR</w:t>
      </w:r>
      <w:proofErr w:type="spellEnd"/>
      <w:r w:rsidR="00320255">
        <w:t xml:space="preserve"> 15</w:t>
      </w:r>
      <w:r w:rsidR="00567B25">
        <w:t>-</w:t>
      </w:r>
      <w:r w:rsidR="00105B63">
        <w:t>&lt;30</w:t>
      </w:r>
      <w:r w:rsidR="00320255">
        <w:t xml:space="preserve"> mL/min/1.73 m</w:t>
      </w:r>
      <w:r w:rsidR="00320255">
        <w:rPr>
          <w:vertAlign w:val="superscript"/>
        </w:rPr>
        <w:t>2</w:t>
      </w:r>
      <w:r w:rsidR="00320255">
        <w:t>)</w:t>
      </w:r>
      <w:r>
        <w:t xml:space="preserve"> renal impairment to 8 subjects without renal impairment, the single dose exposure of doravirine was 43% higher in subjects with severe renal impairment. In a population pharmacokinetic analysis, renal function did not have a clinically relevant effect on doravirine pharmacokinetics. No dose adjustment is required in patients with mild, moderate or severe</w:t>
      </w:r>
      <w:r w:rsidR="00F126A6">
        <w:t xml:space="preserve"> </w:t>
      </w:r>
      <w:bookmarkStart w:id="1" w:name="_Hlk534809767"/>
      <w:r w:rsidR="00F126A6">
        <w:t>(</w:t>
      </w:r>
      <w:proofErr w:type="spellStart"/>
      <w:r w:rsidR="00F126A6">
        <w:t>eGFR</w:t>
      </w:r>
      <w:proofErr w:type="spellEnd"/>
      <w:r w:rsidR="00F126A6">
        <w:t xml:space="preserve"> 15</w:t>
      </w:r>
      <w:r w:rsidR="00567B25">
        <w:t>-</w:t>
      </w:r>
      <w:r w:rsidR="00105B63">
        <w:t>&lt;30</w:t>
      </w:r>
      <w:r w:rsidR="005B7C8E">
        <w:t xml:space="preserve"> </w:t>
      </w:r>
      <w:r w:rsidR="00F126A6">
        <w:t>mL/min/1.73 m</w:t>
      </w:r>
      <w:r w:rsidR="00F126A6">
        <w:rPr>
          <w:vertAlign w:val="superscript"/>
        </w:rPr>
        <w:t>2</w:t>
      </w:r>
      <w:r w:rsidR="00F126A6">
        <w:t>)</w:t>
      </w:r>
      <w:r w:rsidR="005B7C8E">
        <w:t xml:space="preserve"> </w:t>
      </w:r>
      <w:bookmarkEnd w:id="1"/>
      <w:r>
        <w:t>renal impairment. Doravirine has</w:t>
      </w:r>
      <w:r>
        <w:rPr>
          <w:spacing w:val="-17"/>
        </w:rPr>
        <w:t xml:space="preserve"> </w:t>
      </w:r>
      <w:r>
        <w:t>not</w:t>
      </w:r>
      <w:r>
        <w:rPr>
          <w:spacing w:val="-16"/>
        </w:rPr>
        <w:t xml:space="preserve"> </w:t>
      </w:r>
      <w:r>
        <w:t>been</w:t>
      </w:r>
      <w:r>
        <w:rPr>
          <w:spacing w:val="-17"/>
        </w:rPr>
        <w:t xml:space="preserve"> </w:t>
      </w:r>
      <w:r>
        <w:t>studied</w:t>
      </w:r>
      <w:r>
        <w:rPr>
          <w:spacing w:val="-17"/>
        </w:rPr>
        <w:t xml:space="preserve"> </w:t>
      </w:r>
      <w:r>
        <w:t>in</w:t>
      </w:r>
      <w:r>
        <w:rPr>
          <w:spacing w:val="-18"/>
        </w:rPr>
        <w:t xml:space="preserve"> </w:t>
      </w:r>
      <w:r>
        <w:t>patients</w:t>
      </w:r>
      <w:r>
        <w:rPr>
          <w:spacing w:val="-16"/>
        </w:rPr>
        <w:t xml:space="preserve"> </w:t>
      </w:r>
      <w:r>
        <w:t>with</w:t>
      </w:r>
      <w:r>
        <w:rPr>
          <w:spacing w:val="-18"/>
        </w:rPr>
        <w:t xml:space="preserve"> </w:t>
      </w:r>
      <w:r>
        <w:t>end-stage</w:t>
      </w:r>
      <w:r>
        <w:rPr>
          <w:spacing w:val="-16"/>
        </w:rPr>
        <w:t xml:space="preserve"> </w:t>
      </w:r>
      <w:r>
        <w:t>renal</w:t>
      </w:r>
      <w:r>
        <w:rPr>
          <w:spacing w:val="-16"/>
        </w:rPr>
        <w:t xml:space="preserve"> </w:t>
      </w:r>
      <w:r>
        <w:t>disease</w:t>
      </w:r>
      <w:r>
        <w:rPr>
          <w:spacing w:val="-18"/>
        </w:rPr>
        <w:t xml:space="preserve"> </w:t>
      </w:r>
      <w:r>
        <w:t>or</w:t>
      </w:r>
      <w:r>
        <w:rPr>
          <w:spacing w:val="-16"/>
        </w:rPr>
        <w:t xml:space="preserve"> </w:t>
      </w:r>
      <w:r>
        <w:t>in</w:t>
      </w:r>
      <w:r>
        <w:rPr>
          <w:spacing w:val="-18"/>
        </w:rPr>
        <w:t xml:space="preserve"> </w:t>
      </w:r>
      <w:r>
        <w:t>patients</w:t>
      </w:r>
      <w:r>
        <w:rPr>
          <w:spacing w:val="-16"/>
        </w:rPr>
        <w:t xml:space="preserve"> </w:t>
      </w:r>
      <w:r>
        <w:t>undergoing</w:t>
      </w:r>
      <w:r>
        <w:rPr>
          <w:spacing w:val="-17"/>
        </w:rPr>
        <w:t xml:space="preserve"> </w:t>
      </w:r>
      <w:r>
        <w:t>dialysis (see section</w:t>
      </w:r>
      <w:r>
        <w:rPr>
          <w:spacing w:val="-2"/>
        </w:rPr>
        <w:t xml:space="preserve"> </w:t>
      </w:r>
      <w:r>
        <w:t>4.4).</w:t>
      </w:r>
    </w:p>
    <w:p w14:paraId="7E26D8CC" w14:textId="77777777" w:rsidR="001439E0" w:rsidRDefault="008A23E0">
      <w:pPr>
        <w:pStyle w:val="BodyText"/>
        <w:spacing w:before="201"/>
        <w:jc w:val="left"/>
      </w:pPr>
      <w:r>
        <w:rPr>
          <w:u w:val="single"/>
        </w:rPr>
        <w:t>Hepatic Impairment</w:t>
      </w:r>
    </w:p>
    <w:p w14:paraId="7E26D8CD" w14:textId="77777777" w:rsidR="001439E0" w:rsidRDefault="008A23E0">
      <w:pPr>
        <w:pStyle w:val="BodyText"/>
        <w:spacing w:before="200"/>
        <w:ind w:right="1275"/>
      </w:pPr>
      <w:r>
        <w:t>Doravirine</w:t>
      </w:r>
      <w:r>
        <w:rPr>
          <w:spacing w:val="-12"/>
        </w:rPr>
        <w:t xml:space="preserve"> </w:t>
      </w:r>
      <w:r>
        <w:t>is</w:t>
      </w:r>
      <w:r>
        <w:rPr>
          <w:spacing w:val="-11"/>
        </w:rPr>
        <w:t xml:space="preserve"> </w:t>
      </w:r>
      <w:r>
        <w:t>primarily</w:t>
      </w:r>
      <w:r>
        <w:rPr>
          <w:spacing w:val="-11"/>
        </w:rPr>
        <w:t xml:space="preserve"> </w:t>
      </w:r>
      <w:r>
        <w:t>metabolized</w:t>
      </w:r>
      <w:r>
        <w:rPr>
          <w:spacing w:val="-13"/>
        </w:rPr>
        <w:t xml:space="preserve"> </w:t>
      </w:r>
      <w:r>
        <w:t>and</w:t>
      </w:r>
      <w:r>
        <w:rPr>
          <w:spacing w:val="-11"/>
        </w:rPr>
        <w:t xml:space="preserve"> </w:t>
      </w:r>
      <w:r>
        <w:t>eliminated</w:t>
      </w:r>
      <w:r>
        <w:rPr>
          <w:spacing w:val="-11"/>
        </w:rPr>
        <w:t xml:space="preserve"> </w:t>
      </w:r>
      <w:r>
        <w:t>by</w:t>
      </w:r>
      <w:r>
        <w:rPr>
          <w:spacing w:val="-11"/>
        </w:rPr>
        <w:t xml:space="preserve"> </w:t>
      </w:r>
      <w:r>
        <w:t>the</w:t>
      </w:r>
      <w:r>
        <w:rPr>
          <w:spacing w:val="-12"/>
        </w:rPr>
        <w:t xml:space="preserve"> </w:t>
      </w:r>
      <w:r>
        <w:t>liver.</w:t>
      </w:r>
      <w:r>
        <w:rPr>
          <w:spacing w:val="-11"/>
        </w:rPr>
        <w:t xml:space="preserve"> </w:t>
      </w:r>
      <w:r>
        <w:t>There</w:t>
      </w:r>
      <w:r>
        <w:rPr>
          <w:spacing w:val="-11"/>
        </w:rPr>
        <w:t xml:space="preserve"> </w:t>
      </w:r>
      <w:r>
        <w:t>was</w:t>
      </w:r>
      <w:r>
        <w:rPr>
          <w:spacing w:val="-13"/>
        </w:rPr>
        <w:t xml:space="preserve"> </w:t>
      </w:r>
      <w:r>
        <w:t>no</w:t>
      </w:r>
      <w:r>
        <w:rPr>
          <w:spacing w:val="-11"/>
        </w:rPr>
        <w:t xml:space="preserve"> </w:t>
      </w:r>
      <w:r>
        <w:t>clinically</w:t>
      </w:r>
      <w:r>
        <w:rPr>
          <w:spacing w:val="-12"/>
        </w:rPr>
        <w:t xml:space="preserve"> </w:t>
      </w:r>
      <w:r>
        <w:t>relevant difference</w:t>
      </w:r>
      <w:r>
        <w:rPr>
          <w:spacing w:val="-15"/>
        </w:rPr>
        <w:t xml:space="preserve"> </w:t>
      </w:r>
      <w:r>
        <w:t>in</w:t>
      </w:r>
      <w:r>
        <w:rPr>
          <w:spacing w:val="-16"/>
        </w:rPr>
        <w:t xml:space="preserve"> </w:t>
      </w:r>
      <w:r>
        <w:t>the</w:t>
      </w:r>
      <w:r>
        <w:rPr>
          <w:spacing w:val="-14"/>
        </w:rPr>
        <w:t xml:space="preserve"> </w:t>
      </w:r>
      <w:r>
        <w:t>pharmacokinetics</w:t>
      </w:r>
      <w:r>
        <w:rPr>
          <w:spacing w:val="-14"/>
        </w:rPr>
        <w:t xml:space="preserve"> </w:t>
      </w:r>
      <w:r>
        <w:t>of</w:t>
      </w:r>
      <w:r>
        <w:rPr>
          <w:spacing w:val="-16"/>
        </w:rPr>
        <w:t xml:space="preserve"> </w:t>
      </w:r>
      <w:r>
        <w:t>doravirine</w:t>
      </w:r>
      <w:r>
        <w:rPr>
          <w:spacing w:val="-14"/>
        </w:rPr>
        <w:t xml:space="preserve"> </w:t>
      </w:r>
      <w:r>
        <w:t>in</w:t>
      </w:r>
      <w:r>
        <w:rPr>
          <w:spacing w:val="-14"/>
        </w:rPr>
        <w:t xml:space="preserve"> </w:t>
      </w:r>
      <w:r>
        <w:t>a</w:t>
      </w:r>
      <w:r>
        <w:rPr>
          <w:spacing w:val="-14"/>
        </w:rPr>
        <w:t xml:space="preserve"> </w:t>
      </w:r>
      <w:r>
        <w:t>study</w:t>
      </w:r>
      <w:r>
        <w:rPr>
          <w:spacing w:val="-14"/>
        </w:rPr>
        <w:t xml:space="preserve"> </w:t>
      </w:r>
      <w:r>
        <w:t>comparing</w:t>
      </w:r>
      <w:r>
        <w:rPr>
          <w:spacing w:val="-14"/>
        </w:rPr>
        <w:t xml:space="preserve"> </w:t>
      </w:r>
      <w:r>
        <w:t>8</w:t>
      </w:r>
      <w:r>
        <w:rPr>
          <w:spacing w:val="-14"/>
        </w:rPr>
        <w:t xml:space="preserve"> </w:t>
      </w:r>
      <w:r>
        <w:t>subjects</w:t>
      </w:r>
      <w:r>
        <w:rPr>
          <w:spacing w:val="-14"/>
        </w:rPr>
        <w:t xml:space="preserve"> </w:t>
      </w:r>
      <w:r>
        <w:t>with</w:t>
      </w:r>
      <w:r>
        <w:rPr>
          <w:spacing w:val="-16"/>
        </w:rPr>
        <w:t xml:space="preserve"> </w:t>
      </w:r>
      <w:r>
        <w:t>moderate hepatic impairment (Child-Pugh score B) to 8 subjects without hepatic impairment. No dose adjustment is required in patients with mild or moderate hepatic impairment. Doravirine has not</w:t>
      </w:r>
      <w:r>
        <w:rPr>
          <w:spacing w:val="-14"/>
        </w:rPr>
        <w:t xml:space="preserve"> </w:t>
      </w:r>
      <w:r>
        <w:t>been</w:t>
      </w:r>
      <w:r>
        <w:rPr>
          <w:spacing w:val="-13"/>
        </w:rPr>
        <w:t xml:space="preserve"> </w:t>
      </w:r>
      <w:r>
        <w:t>studied</w:t>
      </w:r>
      <w:r>
        <w:rPr>
          <w:spacing w:val="-14"/>
        </w:rPr>
        <w:t xml:space="preserve"> </w:t>
      </w:r>
      <w:r>
        <w:t>in</w:t>
      </w:r>
      <w:r>
        <w:rPr>
          <w:spacing w:val="-13"/>
        </w:rPr>
        <w:t xml:space="preserve"> </w:t>
      </w:r>
      <w:r>
        <w:t>subjects</w:t>
      </w:r>
      <w:r>
        <w:rPr>
          <w:spacing w:val="-14"/>
        </w:rPr>
        <w:t xml:space="preserve"> </w:t>
      </w:r>
      <w:r>
        <w:t>with</w:t>
      </w:r>
      <w:r>
        <w:rPr>
          <w:spacing w:val="-13"/>
        </w:rPr>
        <w:t xml:space="preserve"> </w:t>
      </w:r>
      <w:r>
        <w:t>severe</w:t>
      </w:r>
      <w:r>
        <w:rPr>
          <w:spacing w:val="-14"/>
        </w:rPr>
        <w:t xml:space="preserve"> </w:t>
      </w:r>
      <w:r>
        <w:t>hepatic</w:t>
      </w:r>
      <w:r>
        <w:rPr>
          <w:spacing w:val="-13"/>
        </w:rPr>
        <w:t xml:space="preserve"> </w:t>
      </w:r>
      <w:r>
        <w:t>impairment</w:t>
      </w:r>
      <w:r>
        <w:rPr>
          <w:spacing w:val="-14"/>
        </w:rPr>
        <w:t xml:space="preserve"> </w:t>
      </w:r>
      <w:r>
        <w:t>(Child-Pugh</w:t>
      </w:r>
      <w:r>
        <w:rPr>
          <w:spacing w:val="-13"/>
        </w:rPr>
        <w:t xml:space="preserve"> </w:t>
      </w:r>
      <w:r>
        <w:t>score</w:t>
      </w:r>
      <w:r>
        <w:rPr>
          <w:spacing w:val="-14"/>
        </w:rPr>
        <w:t xml:space="preserve"> </w:t>
      </w:r>
      <w:r>
        <w:t>C)</w:t>
      </w:r>
      <w:r>
        <w:rPr>
          <w:spacing w:val="-13"/>
        </w:rPr>
        <w:t xml:space="preserve"> </w:t>
      </w:r>
      <w:r>
        <w:t>(see</w:t>
      </w:r>
      <w:r>
        <w:rPr>
          <w:spacing w:val="-14"/>
        </w:rPr>
        <w:t xml:space="preserve"> </w:t>
      </w:r>
      <w:r>
        <w:t>section 4.4).</w:t>
      </w:r>
    </w:p>
    <w:p w14:paraId="7E26D8CE" w14:textId="77777777" w:rsidR="001439E0" w:rsidRDefault="008A23E0">
      <w:pPr>
        <w:pStyle w:val="BodyText"/>
        <w:spacing w:before="200"/>
        <w:jc w:val="left"/>
      </w:pPr>
      <w:proofErr w:type="spellStart"/>
      <w:r>
        <w:rPr>
          <w:u w:val="single"/>
        </w:rPr>
        <w:t>Paediatric</w:t>
      </w:r>
      <w:proofErr w:type="spellEnd"/>
    </w:p>
    <w:p w14:paraId="7E26D8CF" w14:textId="77777777" w:rsidR="001439E0" w:rsidRDefault="008A23E0">
      <w:pPr>
        <w:pStyle w:val="BodyText"/>
        <w:spacing w:before="200"/>
        <w:ind w:right="1231"/>
        <w:jc w:val="left"/>
      </w:pPr>
      <w:r>
        <w:t>The pharmacokinetics and dosing recommendations of PIFELTRO in patients younger than 18 years of age have not been established (see section 4.4).</w:t>
      </w:r>
    </w:p>
    <w:p w14:paraId="7E26D8D0" w14:textId="77777777" w:rsidR="001439E0" w:rsidRDefault="008A23E0">
      <w:pPr>
        <w:pStyle w:val="BodyText"/>
        <w:spacing w:before="199"/>
        <w:jc w:val="left"/>
      </w:pPr>
      <w:r>
        <w:rPr>
          <w:u w:val="single"/>
        </w:rPr>
        <w:t>Elderly</w:t>
      </w:r>
    </w:p>
    <w:p w14:paraId="7E26D8D1" w14:textId="77777777" w:rsidR="001439E0" w:rsidRDefault="008A23E0">
      <w:pPr>
        <w:pStyle w:val="BodyText"/>
        <w:spacing w:before="201"/>
        <w:ind w:right="1275"/>
      </w:pPr>
      <w:r>
        <w:t>No</w:t>
      </w:r>
      <w:r>
        <w:rPr>
          <w:spacing w:val="-4"/>
        </w:rPr>
        <w:t xml:space="preserve"> </w:t>
      </w:r>
      <w:r>
        <w:t>clinically</w:t>
      </w:r>
      <w:r>
        <w:rPr>
          <w:spacing w:val="-4"/>
        </w:rPr>
        <w:t xml:space="preserve"> </w:t>
      </w:r>
      <w:r>
        <w:t>relevant</w:t>
      </w:r>
      <w:r>
        <w:rPr>
          <w:spacing w:val="-4"/>
        </w:rPr>
        <w:t xml:space="preserve"> </w:t>
      </w:r>
      <w:r>
        <w:t>differences</w:t>
      </w:r>
      <w:r>
        <w:rPr>
          <w:spacing w:val="-4"/>
        </w:rPr>
        <w:t xml:space="preserve"> </w:t>
      </w:r>
      <w:r>
        <w:t>in</w:t>
      </w:r>
      <w:r>
        <w:rPr>
          <w:spacing w:val="-4"/>
        </w:rPr>
        <w:t xml:space="preserve"> </w:t>
      </w:r>
      <w:r>
        <w:t>the</w:t>
      </w:r>
      <w:r>
        <w:rPr>
          <w:spacing w:val="-4"/>
        </w:rPr>
        <w:t xml:space="preserve"> </w:t>
      </w:r>
      <w:r>
        <w:t>pharmacokinetics</w:t>
      </w:r>
      <w:r>
        <w:rPr>
          <w:spacing w:val="-4"/>
        </w:rPr>
        <w:t xml:space="preserve"> </w:t>
      </w:r>
      <w:r>
        <w:t>of</w:t>
      </w:r>
      <w:r>
        <w:rPr>
          <w:spacing w:val="-4"/>
        </w:rPr>
        <w:t xml:space="preserve"> </w:t>
      </w:r>
      <w:r>
        <w:t>doravirine</w:t>
      </w:r>
      <w:r>
        <w:rPr>
          <w:spacing w:val="-4"/>
        </w:rPr>
        <w:t xml:space="preserve"> </w:t>
      </w:r>
      <w:r>
        <w:t>have</w:t>
      </w:r>
      <w:r>
        <w:rPr>
          <w:spacing w:val="-4"/>
        </w:rPr>
        <w:t xml:space="preserve"> </w:t>
      </w:r>
      <w:r>
        <w:t>been</w:t>
      </w:r>
      <w:r>
        <w:rPr>
          <w:spacing w:val="-4"/>
        </w:rPr>
        <w:t xml:space="preserve"> </w:t>
      </w:r>
      <w:r>
        <w:t>identified</w:t>
      </w:r>
      <w:r>
        <w:rPr>
          <w:spacing w:val="-4"/>
        </w:rPr>
        <w:t xml:space="preserve"> </w:t>
      </w:r>
      <w:r>
        <w:t>in subjects at least 65 years of age compared to subjects less than 65 years of age in a Phase 1 trial or in a population pharmacokinetic analysis (see section 4.4). The pharmacokinetics of doravirine have been studied in a limited number of subjects (n=4) over 75 years of age (see section</w:t>
      </w:r>
      <w:r>
        <w:rPr>
          <w:spacing w:val="-1"/>
        </w:rPr>
        <w:t xml:space="preserve"> </w:t>
      </w:r>
      <w:r>
        <w:t>4.4).</w:t>
      </w:r>
    </w:p>
    <w:p w14:paraId="7E26D8D2" w14:textId="77777777" w:rsidR="001439E0" w:rsidRDefault="008A23E0">
      <w:pPr>
        <w:pStyle w:val="BodyText"/>
        <w:spacing w:before="200"/>
        <w:jc w:val="left"/>
      </w:pPr>
      <w:r>
        <w:rPr>
          <w:u w:val="single"/>
        </w:rPr>
        <w:t>Race</w:t>
      </w:r>
    </w:p>
    <w:p w14:paraId="7E26D8D3" w14:textId="77777777" w:rsidR="001439E0" w:rsidRDefault="008A23E0">
      <w:pPr>
        <w:pStyle w:val="BodyText"/>
        <w:spacing w:before="200"/>
        <w:ind w:right="1275"/>
      </w:pPr>
      <w:r>
        <w:t>No clinically relevant racial differences in the pharmacokinetics of doravirine have been identified based on a population pharmacokinetic analysis of doravirine in healthy and HIV-1- infected subjects.</w:t>
      </w:r>
    </w:p>
    <w:p w14:paraId="7E26D8D4" w14:textId="77777777" w:rsidR="001439E0" w:rsidRDefault="008A23E0" w:rsidP="009E2156">
      <w:pPr>
        <w:pStyle w:val="BodyText"/>
        <w:pageBreakBefore/>
        <w:spacing w:before="199"/>
      </w:pPr>
      <w:r>
        <w:rPr>
          <w:u w:val="single"/>
        </w:rPr>
        <w:lastRenderedPageBreak/>
        <w:t>Gender</w:t>
      </w:r>
    </w:p>
    <w:p w14:paraId="7E26D8D6" w14:textId="77777777" w:rsidR="001439E0" w:rsidRDefault="008A23E0">
      <w:pPr>
        <w:pStyle w:val="BodyText"/>
        <w:spacing w:before="80"/>
        <w:ind w:right="1277"/>
      </w:pPr>
      <w:r>
        <w:t>No clinically relevant pharmacokinetic differences have been identified between men and women for doravirine.</w:t>
      </w:r>
    </w:p>
    <w:p w14:paraId="7E26D8D7" w14:textId="77777777" w:rsidR="001439E0" w:rsidRDefault="008A23E0">
      <w:pPr>
        <w:pStyle w:val="Heading3"/>
        <w:spacing w:before="199"/>
      </w:pPr>
      <w:r>
        <w:t>Drug Interaction Studies</w:t>
      </w:r>
    </w:p>
    <w:p w14:paraId="40EDE698" w14:textId="447E0B0D" w:rsidR="00D079EE" w:rsidRDefault="008A23E0" w:rsidP="00D079EE">
      <w:pPr>
        <w:pStyle w:val="BodyText"/>
        <w:spacing w:before="119"/>
        <w:ind w:left="419" w:right="1275"/>
      </w:pPr>
      <w:r>
        <w:t>Doravirine is primarily metabolized by CYP3A, and drugs that induce or inhibit CYP3A may affect the clearance of doravirine. Co-administration of doravirine and drugs that induce CYP3A may result in decreased plasma concentrations of doravirine. Co-administration of doravirine and drugs that inhibit CYP3A may result in increased plasma concentrations of doravirine</w:t>
      </w:r>
      <w:r w:rsidR="001311F8">
        <w:t>.</w:t>
      </w:r>
    </w:p>
    <w:p w14:paraId="7E26D8D9" w14:textId="77777777" w:rsidR="001439E0" w:rsidRDefault="008A23E0">
      <w:pPr>
        <w:pStyle w:val="BodyText"/>
        <w:spacing w:before="200"/>
        <w:ind w:right="1276"/>
      </w:pPr>
      <w:r>
        <w:t>Doravirine</w:t>
      </w:r>
      <w:r>
        <w:rPr>
          <w:spacing w:val="-14"/>
        </w:rPr>
        <w:t xml:space="preserve"> </w:t>
      </w:r>
      <w:r>
        <w:t>is</w:t>
      </w:r>
      <w:r>
        <w:rPr>
          <w:spacing w:val="-13"/>
        </w:rPr>
        <w:t xml:space="preserve"> </w:t>
      </w:r>
      <w:r>
        <w:t>not</w:t>
      </w:r>
      <w:r>
        <w:rPr>
          <w:spacing w:val="-13"/>
        </w:rPr>
        <w:t xml:space="preserve"> </w:t>
      </w:r>
      <w:r>
        <w:t>likely</w:t>
      </w:r>
      <w:r>
        <w:rPr>
          <w:spacing w:val="-13"/>
        </w:rPr>
        <w:t xml:space="preserve"> </w:t>
      </w:r>
      <w:r>
        <w:t>to</w:t>
      </w:r>
      <w:r>
        <w:rPr>
          <w:spacing w:val="-14"/>
        </w:rPr>
        <w:t xml:space="preserve"> </w:t>
      </w:r>
      <w:r>
        <w:t>have</w:t>
      </w:r>
      <w:r>
        <w:rPr>
          <w:spacing w:val="-13"/>
        </w:rPr>
        <w:t xml:space="preserve"> </w:t>
      </w:r>
      <w:r>
        <w:t>a</w:t>
      </w:r>
      <w:r>
        <w:rPr>
          <w:spacing w:val="-13"/>
        </w:rPr>
        <w:t xml:space="preserve"> </w:t>
      </w:r>
      <w:r>
        <w:t>clinically</w:t>
      </w:r>
      <w:r>
        <w:rPr>
          <w:spacing w:val="-13"/>
        </w:rPr>
        <w:t xml:space="preserve"> </w:t>
      </w:r>
      <w:r>
        <w:t>relevant</w:t>
      </w:r>
      <w:r>
        <w:rPr>
          <w:spacing w:val="-14"/>
        </w:rPr>
        <w:t xml:space="preserve"> </w:t>
      </w:r>
      <w:r>
        <w:t>effect</w:t>
      </w:r>
      <w:r>
        <w:rPr>
          <w:spacing w:val="-13"/>
        </w:rPr>
        <w:t xml:space="preserve"> </w:t>
      </w:r>
      <w:r>
        <w:t>on</w:t>
      </w:r>
      <w:r>
        <w:rPr>
          <w:spacing w:val="-13"/>
        </w:rPr>
        <w:t xml:space="preserve"> </w:t>
      </w:r>
      <w:r>
        <w:t>the</w:t>
      </w:r>
      <w:r>
        <w:rPr>
          <w:spacing w:val="-14"/>
        </w:rPr>
        <w:t xml:space="preserve"> </w:t>
      </w:r>
      <w:r>
        <w:t>exposure</w:t>
      </w:r>
      <w:r>
        <w:rPr>
          <w:spacing w:val="-13"/>
        </w:rPr>
        <w:t xml:space="preserve"> </w:t>
      </w:r>
      <w:r>
        <w:t>of</w:t>
      </w:r>
      <w:r>
        <w:rPr>
          <w:spacing w:val="-14"/>
        </w:rPr>
        <w:t xml:space="preserve"> </w:t>
      </w:r>
      <w:r>
        <w:t>medicinal</w:t>
      </w:r>
      <w:r>
        <w:rPr>
          <w:spacing w:val="-13"/>
        </w:rPr>
        <w:t xml:space="preserve"> </w:t>
      </w:r>
      <w:r>
        <w:t>products metabolized by CYP enzymes. Drug interaction studies were performed with doravirine and other drugs likely to be co-administered or commonly used as probes for pharmacokinetic interactions.</w:t>
      </w:r>
      <w:r>
        <w:rPr>
          <w:spacing w:val="-14"/>
        </w:rPr>
        <w:t xml:space="preserve"> </w:t>
      </w:r>
      <w:r>
        <w:t>The</w:t>
      </w:r>
      <w:r>
        <w:rPr>
          <w:spacing w:val="-13"/>
        </w:rPr>
        <w:t xml:space="preserve"> </w:t>
      </w:r>
      <w:r>
        <w:t>effects</w:t>
      </w:r>
      <w:r>
        <w:rPr>
          <w:spacing w:val="-14"/>
        </w:rPr>
        <w:t xml:space="preserve"> </w:t>
      </w:r>
      <w:r>
        <w:t>of</w:t>
      </w:r>
      <w:r>
        <w:rPr>
          <w:spacing w:val="-13"/>
        </w:rPr>
        <w:t xml:space="preserve"> </w:t>
      </w:r>
      <w:r>
        <w:t>co-administration</w:t>
      </w:r>
      <w:r>
        <w:rPr>
          <w:spacing w:val="-13"/>
        </w:rPr>
        <w:t xml:space="preserve"> </w:t>
      </w:r>
      <w:r>
        <w:t>of</w:t>
      </w:r>
      <w:r>
        <w:rPr>
          <w:spacing w:val="-13"/>
        </w:rPr>
        <w:t xml:space="preserve"> </w:t>
      </w:r>
      <w:r>
        <w:t>other</w:t>
      </w:r>
      <w:r>
        <w:rPr>
          <w:spacing w:val="-13"/>
        </w:rPr>
        <w:t xml:space="preserve"> </w:t>
      </w:r>
      <w:r>
        <w:t>drugs</w:t>
      </w:r>
      <w:r>
        <w:rPr>
          <w:spacing w:val="-12"/>
        </w:rPr>
        <w:t xml:space="preserve"> </w:t>
      </w:r>
      <w:r>
        <w:t>on</w:t>
      </w:r>
      <w:r>
        <w:rPr>
          <w:spacing w:val="-13"/>
        </w:rPr>
        <w:t xml:space="preserve"> </w:t>
      </w:r>
      <w:r>
        <w:t>the</w:t>
      </w:r>
      <w:r>
        <w:rPr>
          <w:spacing w:val="-13"/>
        </w:rPr>
        <w:t xml:space="preserve"> </w:t>
      </w:r>
      <w:proofErr w:type="spellStart"/>
      <w:r>
        <w:t>Cmax</w:t>
      </w:r>
      <w:proofErr w:type="spellEnd"/>
      <w:r>
        <w:t>,</w:t>
      </w:r>
      <w:r>
        <w:rPr>
          <w:spacing w:val="-12"/>
        </w:rPr>
        <w:t xml:space="preserve"> </w:t>
      </w:r>
      <w:r>
        <w:t>AUC,</w:t>
      </w:r>
      <w:r>
        <w:rPr>
          <w:spacing w:val="-13"/>
        </w:rPr>
        <w:t xml:space="preserve"> </w:t>
      </w:r>
      <w:r>
        <w:t>and</w:t>
      </w:r>
      <w:r>
        <w:rPr>
          <w:spacing w:val="-13"/>
        </w:rPr>
        <w:t xml:space="preserve"> </w:t>
      </w:r>
      <w:r>
        <w:t>C</w:t>
      </w:r>
      <w:r>
        <w:rPr>
          <w:vertAlign w:val="subscript"/>
        </w:rPr>
        <w:t>24</w:t>
      </w:r>
      <w:r>
        <w:rPr>
          <w:spacing w:val="-13"/>
        </w:rPr>
        <w:t xml:space="preserve"> </w:t>
      </w:r>
      <w:r>
        <w:t xml:space="preserve">values of doravirine are summarized in Table 7. The effects of co-administration of doravirine on the </w:t>
      </w:r>
      <w:proofErr w:type="spellStart"/>
      <w:r>
        <w:t>C</w:t>
      </w:r>
      <w:r>
        <w:rPr>
          <w:vertAlign w:val="subscript"/>
        </w:rPr>
        <w:t>max</w:t>
      </w:r>
      <w:proofErr w:type="spellEnd"/>
      <w:r>
        <w:t xml:space="preserve"> and AUC values of other drugs are summarized in Table 8 (see section</w:t>
      </w:r>
      <w:r>
        <w:rPr>
          <w:spacing w:val="-8"/>
        </w:rPr>
        <w:t xml:space="preserve"> </w:t>
      </w:r>
      <w:r>
        <w:t>4.5).</w:t>
      </w:r>
    </w:p>
    <w:p w14:paraId="7E26D8DA" w14:textId="77777777" w:rsidR="001439E0" w:rsidRDefault="008A23E0">
      <w:pPr>
        <w:pStyle w:val="Heading3"/>
        <w:spacing w:before="199"/>
        <w:ind w:left="2224" w:right="1760" w:hanging="1307"/>
      </w:pPr>
      <w:r>
        <w:t>Table 7: Drug Interactions: Changes in Pharmacokinetic Parameter Values of Doravirine in the Presence of Co-administered Drug</w:t>
      </w:r>
    </w:p>
    <w:p w14:paraId="7E26D8DB" w14:textId="77777777" w:rsidR="001439E0" w:rsidRDefault="001439E0">
      <w:pPr>
        <w:pStyle w:val="BodyText"/>
        <w:spacing w:before="3" w:after="1"/>
        <w:ind w:left="0"/>
        <w:jc w:val="left"/>
        <w:rPr>
          <w:b/>
          <w:sz w:val="18"/>
        </w:rPr>
      </w:pPr>
    </w:p>
    <w:tbl>
      <w:tblPr>
        <w:tblW w:w="0" w:type="auto"/>
        <w:tblInd w:w="4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367"/>
        <w:gridCol w:w="1885"/>
        <w:gridCol w:w="1529"/>
        <w:gridCol w:w="456"/>
        <w:gridCol w:w="1441"/>
        <w:gridCol w:w="1435"/>
        <w:gridCol w:w="1535"/>
      </w:tblGrid>
      <w:tr w:rsidR="001439E0" w14:paraId="7E26D8E4" w14:textId="77777777">
        <w:trPr>
          <w:trHeight w:val="552"/>
        </w:trPr>
        <w:tc>
          <w:tcPr>
            <w:tcW w:w="1367" w:type="dxa"/>
            <w:vMerge w:val="restart"/>
            <w:tcBorders>
              <w:left w:val="single" w:sz="4" w:space="0" w:color="000000"/>
              <w:bottom w:val="single" w:sz="4" w:space="0" w:color="000000"/>
              <w:right w:val="single" w:sz="4" w:space="0" w:color="000000"/>
            </w:tcBorders>
          </w:tcPr>
          <w:p w14:paraId="7E26D8DC" w14:textId="77777777" w:rsidR="001439E0" w:rsidRDefault="008A23E0">
            <w:pPr>
              <w:pStyle w:val="TableParagraph"/>
              <w:spacing w:before="130"/>
              <w:ind w:left="185" w:right="174" w:hanging="3"/>
              <w:jc w:val="center"/>
              <w:rPr>
                <w:b/>
                <w:sz w:val="16"/>
              </w:rPr>
            </w:pPr>
            <w:r>
              <w:rPr>
                <w:b/>
                <w:sz w:val="16"/>
              </w:rPr>
              <w:t>Co-   administered Drug</w:t>
            </w:r>
          </w:p>
        </w:tc>
        <w:tc>
          <w:tcPr>
            <w:tcW w:w="1885" w:type="dxa"/>
            <w:vMerge w:val="restart"/>
            <w:tcBorders>
              <w:left w:val="single" w:sz="4" w:space="0" w:color="000000"/>
              <w:bottom w:val="single" w:sz="4" w:space="0" w:color="000000"/>
              <w:right w:val="single" w:sz="4" w:space="0" w:color="000000"/>
            </w:tcBorders>
          </w:tcPr>
          <w:p w14:paraId="7E26D8DD" w14:textId="77777777" w:rsidR="001439E0" w:rsidRDefault="001439E0">
            <w:pPr>
              <w:pStyle w:val="TableParagraph"/>
              <w:spacing w:before="4"/>
              <w:rPr>
                <w:b/>
                <w:sz w:val="19"/>
              </w:rPr>
            </w:pPr>
          </w:p>
          <w:p w14:paraId="7E26D8DE" w14:textId="77777777" w:rsidR="001439E0" w:rsidRDefault="008A23E0">
            <w:pPr>
              <w:pStyle w:val="TableParagraph"/>
              <w:ind w:left="234" w:right="207" w:firstLine="116"/>
              <w:rPr>
                <w:b/>
                <w:sz w:val="16"/>
              </w:rPr>
            </w:pPr>
            <w:r>
              <w:rPr>
                <w:b/>
                <w:sz w:val="16"/>
              </w:rPr>
              <w:t>Regimen of Co- administered Drug</w:t>
            </w:r>
          </w:p>
        </w:tc>
        <w:tc>
          <w:tcPr>
            <w:tcW w:w="1529" w:type="dxa"/>
            <w:vMerge w:val="restart"/>
            <w:tcBorders>
              <w:left w:val="single" w:sz="4" w:space="0" w:color="000000"/>
              <w:bottom w:val="single" w:sz="4" w:space="0" w:color="000000"/>
              <w:right w:val="single" w:sz="4" w:space="0" w:color="000000"/>
            </w:tcBorders>
          </w:tcPr>
          <w:p w14:paraId="7E26D8DF" w14:textId="77777777" w:rsidR="001439E0" w:rsidRDefault="001439E0">
            <w:pPr>
              <w:pStyle w:val="TableParagraph"/>
              <w:spacing w:before="4"/>
              <w:rPr>
                <w:b/>
                <w:sz w:val="19"/>
              </w:rPr>
            </w:pPr>
          </w:p>
          <w:p w14:paraId="7E26D8E0" w14:textId="77777777" w:rsidR="001439E0" w:rsidRDefault="008A23E0">
            <w:pPr>
              <w:pStyle w:val="TableParagraph"/>
              <w:ind w:left="368" w:right="299" w:hanging="40"/>
              <w:rPr>
                <w:b/>
                <w:sz w:val="16"/>
              </w:rPr>
            </w:pPr>
            <w:r>
              <w:rPr>
                <w:b/>
                <w:sz w:val="16"/>
              </w:rPr>
              <w:t>Regimen of Doravirine</w:t>
            </w:r>
          </w:p>
        </w:tc>
        <w:tc>
          <w:tcPr>
            <w:tcW w:w="456" w:type="dxa"/>
            <w:vMerge w:val="restart"/>
            <w:tcBorders>
              <w:left w:val="single" w:sz="4" w:space="0" w:color="000000"/>
              <w:bottom w:val="single" w:sz="4" w:space="0" w:color="000000"/>
              <w:right w:val="single" w:sz="4" w:space="0" w:color="000000"/>
            </w:tcBorders>
          </w:tcPr>
          <w:p w14:paraId="7E26D8E1" w14:textId="77777777" w:rsidR="001439E0" w:rsidRDefault="001439E0">
            <w:pPr>
              <w:pStyle w:val="TableParagraph"/>
              <w:rPr>
                <w:b/>
                <w:sz w:val="18"/>
              </w:rPr>
            </w:pPr>
          </w:p>
          <w:p w14:paraId="7E26D8E2" w14:textId="77777777" w:rsidR="001439E0" w:rsidRDefault="008A23E0">
            <w:pPr>
              <w:pStyle w:val="TableParagraph"/>
              <w:spacing w:before="106"/>
              <w:ind w:left="9"/>
              <w:jc w:val="center"/>
              <w:rPr>
                <w:b/>
                <w:sz w:val="16"/>
              </w:rPr>
            </w:pPr>
            <w:r>
              <w:rPr>
                <w:b/>
                <w:w w:val="99"/>
                <w:sz w:val="16"/>
              </w:rPr>
              <w:t>N</w:t>
            </w:r>
          </w:p>
        </w:tc>
        <w:tc>
          <w:tcPr>
            <w:tcW w:w="4410" w:type="dxa"/>
            <w:gridSpan w:val="3"/>
            <w:tcBorders>
              <w:left w:val="single" w:sz="4" w:space="0" w:color="000000"/>
              <w:bottom w:val="single" w:sz="4" w:space="0" w:color="000000"/>
              <w:right w:val="single" w:sz="4" w:space="0" w:color="000000"/>
            </w:tcBorders>
          </w:tcPr>
          <w:p w14:paraId="3623035A" w14:textId="77777777" w:rsidR="008A23E0" w:rsidRDefault="008A23E0">
            <w:pPr>
              <w:pStyle w:val="TableParagraph"/>
              <w:spacing w:before="3" w:line="184" w:lineRule="exact"/>
              <w:ind w:left="168" w:right="157" w:hanging="1"/>
              <w:jc w:val="center"/>
              <w:rPr>
                <w:b/>
                <w:sz w:val="16"/>
              </w:rPr>
            </w:pPr>
          </w:p>
          <w:p w14:paraId="7E26D8E3" w14:textId="645BF06A" w:rsidR="001439E0" w:rsidRDefault="008A23E0">
            <w:pPr>
              <w:pStyle w:val="TableParagraph"/>
              <w:spacing w:before="3" w:line="184" w:lineRule="exact"/>
              <w:ind w:left="168" w:right="157" w:hanging="1"/>
              <w:jc w:val="center"/>
              <w:rPr>
                <w:b/>
                <w:sz w:val="16"/>
              </w:rPr>
            </w:pPr>
            <w:r>
              <w:rPr>
                <w:b/>
                <w:sz w:val="16"/>
              </w:rPr>
              <w:t>Geometric Mean Ratio (90% CI) of Doravirine Pharmacokinetics with/without Co-administered Drug (No Effect=1.00)</w:t>
            </w:r>
          </w:p>
        </w:tc>
      </w:tr>
      <w:tr w:rsidR="001439E0" w14:paraId="7E26D8EC" w14:textId="77777777">
        <w:trPr>
          <w:trHeight w:val="246"/>
        </w:trPr>
        <w:tc>
          <w:tcPr>
            <w:tcW w:w="1367" w:type="dxa"/>
            <w:vMerge/>
            <w:tcBorders>
              <w:top w:val="nil"/>
              <w:left w:val="single" w:sz="4" w:space="0" w:color="000000"/>
              <w:bottom w:val="single" w:sz="4" w:space="0" w:color="000000"/>
              <w:right w:val="single" w:sz="4" w:space="0" w:color="000000"/>
            </w:tcBorders>
          </w:tcPr>
          <w:p w14:paraId="7E26D8E5" w14:textId="77777777" w:rsidR="001439E0" w:rsidRDefault="001439E0">
            <w:pPr>
              <w:rPr>
                <w:sz w:val="2"/>
                <w:szCs w:val="2"/>
              </w:rPr>
            </w:pPr>
          </w:p>
        </w:tc>
        <w:tc>
          <w:tcPr>
            <w:tcW w:w="1885" w:type="dxa"/>
            <w:vMerge/>
            <w:tcBorders>
              <w:top w:val="nil"/>
              <w:left w:val="single" w:sz="4" w:space="0" w:color="000000"/>
              <w:bottom w:val="single" w:sz="4" w:space="0" w:color="000000"/>
              <w:right w:val="single" w:sz="4" w:space="0" w:color="000000"/>
            </w:tcBorders>
          </w:tcPr>
          <w:p w14:paraId="7E26D8E6" w14:textId="77777777" w:rsidR="001439E0" w:rsidRDefault="001439E0">
            <w:pPr>
              <w:rPr>
                <w:sz w:val="2"/>
                <w:szCs w:val="2"/>
              </w:rPr>
            </w:pPr>
          </w:p>
        </w:tc>
        <w:tc>
          <w:tcPr>
            <w:tcW w:w="1529" w:type="dxa"/>
            <w:vMerge/>
            <w:tcBorders>
              <w:top w:val="nil"/>
              <w:left w:val="single" w:sz="4" w:space="0" w:color="000000"/>
              <w:bottom w:val="single" w:sz="4" w:space="0" w:color="000000"/>
              <w:right w:val="single" w:sz="4" w:space="0" w:color="000000"/>
            </w:tcBorders>
          </w:tcPr>
          <w:p w14:paraId="7E26D8E7" w14:textId="77777777" w:rsidR="001439E0" w:rsidRDefault="001439E0">
            <w:pPr>
              <w:rPr>
                <w:sz w:val="2"/>
                <w:szCs w:val="2"/>
              </w:rPr>
            </w:pPr>
          </w:p>
        </w:tc>
        <w:tc>
          <w:tcPr>
            <w:tcW w:w="456" w:type="dxa"/>
            <w:vMerge/>
            <w:tcBorders>
              <w:top w:val="nil"/>
              <w:left w:val="single" w:sz="4" w:space="0" w:color="000000"/>
              <w:bottom w:val="single" w:sz="4" w:space="0" w:color="000000"/>
              <w:right w:val="single" w:sz="4" w:space="0" w:color="000000"/>
            </w:tcBorders>
          </w:tcPr>
          <w:p w14:paraId="7E26D8E8" w14:textId="77777777" w:rsidR="001439E0" w:rsidRDefault="001439E0">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14:paraId="7E26D8E9" w14:textId="77777777" w:rsidR="001439E0" w:rsidRDefault="008A23E0">
            <w:pPr>
              <w:pStyle w:val="TableParagraph"/>
              <w:spacing w:before="17" w:line="209" w:lineRule="exact"/>
              <w:ind w:left="109" w:right="103"/>
              <w:jc w:val="center"/>
              <w:rPr>
                <w:b/>
                <w:sz w:val="20"/>
              </w:rPr>
            </w:pPr>
            <w:r>
              <w:rPr>
                <w:b/>
                <w:sz w:val="16"/>
              </w:rPr>
              <w:t>AUC</w:t>
            </w:r>
            <w:r>
              <w:rPr>
                <w:b/>
                <w:sz w:val="20"/>
              </w:rPr>
              <w:t>*</w:t>
            </w:r>
          </w:p>
        </w:tc>
        <w:tc>
          <w:tcPr>
            <w:tcW w:w="1435" w:type="dxa"/>
            <w:tcBorders>
              <w:top w:val="single" w:sz="4" w:space="0" w:color="000000"/>
              <w:left w:val="single" w:sz="4" w:space="0" w:color="000000"/>
              <w:bottom w:val="single" w:sz="4" w:space="0" w:color="000000"/>
              <w:right w:val="single" w:sz="4" w:space="0" w:color="000000"/>
            </w:tcBorders>
          </w:tcPr>
          <w:p w14:paraId="7E26D8EA" w14:textId="77777777" w:rsidR="001439E0" w:rsidRDefault="008A23E0">
            <w:pPr>
              <w:pStyle w:val="TableParagraph"/>
              <w:spacing w:before="40" w:line="186" w:lineRule="exact"/>
              <w:ind w:left="96" w:right="84"/>
              <w:jc w:val="center"/>
              <w:rPr>
                <w:b/>
                <w:sz w:val="10"/>
              </w:rPr>
            </w:pPr>
            <w:r>
              <w:rPr>
                <w:b/>
                <w:position w:val="2"/>
                <w:sz w:val="16"/>
              </w:rPr>
              <w:t>C</w:t>
            </w:r>
            <w:r>
              <w:rPr>
                <w:b/>
                <w:sz w:val="10"/>
              </w:rPr>
              <w:t>max</w:t>
            </w:r>
          </w:p>
        </w:tc>
        <w:tc>
          <w:tcPr>
            <w:tcW w:w="1534" w:type="dxa"/>
            <w:tcBorders>
              <w:top w:val="single" w:sz="4" w:space="0" w:color="000000"/>
              <w:left w:val="single" w:sz="4" w:space="0" w:color="000000"/>
              <w:bottom w:val="single" w:sz="4" w:space="0" w:color="000000"/>
              <w:right w:val="single" w:sz="4" w:space="0" w:color="000000"/>
            </w:tcBorders>
          </w:tcPr>
          <w:p w14:paraId="7E26D8EB" w14:textId="77777777" w:rsidR="001439E0" w:rsidRDefault="008A23E0">
            <w:pPr>
              <w:pStyle w:val="TableParagraph"/>
              <w:spacing w:before="40" w:line="186" w:lineRule="exact"/>
              <w:ind w:left="146" w:right="132"/>
              <w:jc w:val="center"/>
              <w:rPr>
                <w:b/>
                <w:sz w:val="10"/>
              </w:rPr>
            </w:pPr>
            <w:r>
              <w:rPr>
                <w:b/>
                <w:position w:val="2"/>
                <w:sz w:val="16"/>
              </w:rPr>
              <w:t>C</w:t>
            </w:r>
            <w:r>
              <w:rPr>
                <w:b/>
                <w:sz w:val="10"/>
              </w:rPr>
              <w:t>24</w:t>
            </w:r>
          </w:p>
        </w:tc>
      </w:tr>
      <w:tr w:rsidR="001439E0" w14:paraId="7E26D8EE" w14:textId="77777777">
        <w:trPr>
          <w:trHeight w:val="332"/>
        </w:trPr>
        <w:tc>
          <w:tcPr>
            <w:tcW w:w="9647" w:type="dxa"/>
            <w:gridSpan w:val="7"/>
            <w:tcBorders>
              <w:top w:val="single" w:sz="4" w:space="0" w:color="000000"/>
              <w:left w:val="single" w:sz="4" w:space="0" w:color="000000"/>
              <w:bottom w:val="single" w:sz="4" w:space="0" w:color="000000"/>
              <w:right w:val="single" w:sz="4" w:space="0" w:color="000000"/>
            </w:tcBorders>
          </w:tcPr>
          <w:p w14:paraId="7E26D8ED" w14:textId="77777777" w:rsidR="001439E0" w:rsidRDefault="008A23E0">
            <w:pPr>
              <w:pStyle w:val="TableParagraph"/>
              <w:spacing w:before="74"/>
              <w:ind w:left="3748" w:right="3740"/>
              <w:jc w:val="center"/>
              <w:rPr>
                <w:b/>
                <w:sz w:val="16"/>
              </w:rPr>
            </w:pPr>
            <w:r>
              <w:rPr>
                <w:b/>
                <w:sz w:val="16"/>
              </w:rPr>
              <w:t>Azole Antifungal Agents</w:t>
            </w:r>
          </w:p>
        </w:tc>
      </w:tr>
      <w:tr w:rsidR="001439E0" w14:paraId="7E26D8F6" w14:textId="77777777">
        <w:trPr>
          <w:trHeight w:val="341"/>
        </w:trPr>
        <w:tc>
          <w:tcPr>
            <w:tcW w:w="1367" w:type="dxa"/>
            <w:tcBorders>
              <w:top w:val="single" w:sz="4" w:space="0" w:color="000000"/>
              <w:left w:val="single" w:sz="4" w:space="0" w:color="000000"/>
              <w:bottom w:val="single" w:sz="4" w:space="0" w:color="000000"/>
              <w:right w:val="single" w:sz="4" w:space="0" w:color="000000"/>
            </w:tcBorders>
          </w:tcPr>
          <w:p w14:paraId="7E26D8EF" w14:textId="77777777" w:rsidR="001439E0" w:rsidRDefault="008A23E0">
            <w:pPr>
              <w:pStyle w:val="TableParagraph"/>
              <w:spacing w:before="79"/>
              <w:ind w:left="190" w:right="184"/>
              <w:jc w:val="center"/>
              <w:rPr>
                <w:sz w:val="16"/>
              </w:rPr>
            </w:pPr>
            <w:r>
              <w:rPr>
                <w:sz w:val="16"/>
              </w:rPr>
              <w:t>ketoconazole</w:t>
            </w:r>
          </w:p>
        </w:tc>
        <w:tc>
          <w:tcPr>
            <w:tcW w:w="1885" w:type="dxa"/>
            <w:tcBorders>
              <w:top w:val="single" w:sz="4" w:space="0" w:color="000000"/>
              <w:left w:val="single" w:sz="4" w:space="0" w:color="000000"/>
              <w:bottom w:val="single" w:sz="4" w:space="0" w:color="000000"/>
              <w:right w:val="single" w:sz="4" w:space="0" w:color="000000"/>
            </w:tcBorders>
          </w:tcPr>
          <w:p w14:paraId="7E26D8F0" w14:textId="77777777" w:rsidR="001439E0" w:rsidRDefault="008A23E0">
            <w:pPr>
              <w:pStyle w:val="TableParagraph"/>
              <w:spacing w:before="79"/>
              <w:ind w:left="240" w:right="237"/>
              <w:jc w:val="center"/>
              <w:rPr>
                <w:sz w:val="16"/>
              </w:rPr>
            </w:pPr>
            <w:r>
              <w:rPr>
                <w:sz w:val="16"/>
              </w:rPr>
              <w:t>400 mg QD</w:t>
            </w:r>
          </w:p>
        </w:tc>
        <w:tc>
          <w:tcPr>
            <w:tcW w:w="1529" w:type="dxa"/>
            <w:tcBorders>
              <w:top w:val="single" w:sz="4" w:space="0" w:color="000000"/>
              <w:left w:val="single" w:sz="4" w:space="0" w:color="000000"/>
              <w:bottom w:val="single" w:sz="4" w:space="0" w:color="000000"/>
              <w:right w:val="single" w:sz="4" w:space="0" w:color="000000"/>
            </w:tcBorders>
          </w:tcPr>
          <w:p w14:paraId="7E26D8F1" w14:textId="77777777" w:rsidR="001439E0" w:rsidRDefault="008A23E0">
            <w:pPr>
              <w:pStyle w:val="TableParagraph"/>
              <w:spacing w:before="79"/>
              <w:ind w:left="99"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8F2" w14:textId="77777777" w:rsidR="001439E0" w:rsidRDefault="008A23E0">
            <w:pPr>
              <w:pStyle w:val="TableParagraph"/>
              <w:spacing w:before="79"/>
              <w:ind w:left="136"/>
              <w:rPr>
                <w:sz w:val="16"/>
              </w:rPr>
            </w:pPr>
            <w:r>
              <w:rPr>
                <w:sz w:val="16"/>
              </w:rPr>
              <w:t>10</w:t>
            </w:r>
          </w:p>
        </w:tc>
        <w:tc>
          <w:tcPr>
            <w:tcW w:w="1441" w:type="dxa"/>
            <w:tcBorders>
              <w:top w:val="single" w:sz="4" w:space="0" w:color="000000"/>
              <w:left w:val="single" w:sz="4" w:space="0" w:color="000000"/>
              <w:bottom w:val="single" w:sz="4" w:space="0" w:color="000000"/>
              <w:right w:val="single" w:sz="4" w:space="0" w:color="000000"/>
            </w:tcBorders>
          </w:tcPr>
          <w:p w14:paraId="7E26D8F3" w14:textId="77777777" w:rsidR="001439E0" w:rsidRDefault="008A23E0">
            <w:pPr>
              <w:pStyle w:val="TableParagraph"/>
              <w:spacing w:before="79"/>
              <w:ind w:left="109" w:right="105"/>
              <w:jc w:val="center"/>
              <w:rPr>
                <w:sz w:val="16"/>
              </w:rPr>
            </w:pPr>
            <w:r>
              <w:rPr>
                <w:sz w:val="16"/>
              </w:rPr>
              <w:t>3.06 (2.85, 3.29)</w:t>
            </w:r>
          </w:p>
        </w:tc>
        <w:tc>
          <w:tcPr>
            <w:tcW w:w="1435" w:type="dxa"/>
            <w:tcBorders>
              <w:top w:val="single" w:sz="4" w:space="0" w:color="000000"/>
              <w:left w:val="single" w:sz="4" w:space="0" w:color="000000"/>
              <w:bottom w:val="single" w:sz="4" w:space="0" w:color="000000"/>
              <w:right w:val="single" w:sz="4" w:space="0" w:color="000000"/>
            </w:tcBorders>
          </w:tcPr>
          <w:p w14:paraId="7E26D8F4" w14:textId="77777777" w:rsidR="001439E0" w:rsidRDefault="008A23E0">
            <w:pPr>
              <w:pStyle w:val="TableParagraph"/>
              <w:spacing w:before="79"/>
              <w:ind w:left="96" w:right="84"/>
              <w:jc w:val="center"/>
              <w:rPr>
                <w:sz w:val="16"/>
              </w:rPr>
            </w:pPr>
            <w:r>
              <w:rPr>
                <w:sz w:val="16"/>
              </w:rPr>
              <w:t>1.25 (1.05, 1.49)</w:t>
            </w:r>
          </w:p>
        </w:tc>
        <w:tc>
          <w:tcPr>
            <w:tcW w:w="1534" w:type="dxa"/>
            <w:tcBorders>
              <w:top w:val="single" w:sz="4" w:space="0" w:color="000000"/>
              <w:left w:val="single" w:sz="4" w:space="0" w:color="000000"/>
              <w:bottom w:val="single" w:sz="4" w:space="0" w:color="000000"/>
              <w:right w:val="single" w:sz="4" w:space="0" w:color="000000"/>
            </w:tcBorders>
          </w:tcPr>
          <w:p w14:paraId="7E26D8F5" w14:textId="77777777" w:rsidR="001439E0" w:rsidRDefault="008A23E0">
            <w:pPr>
              <w:pStyle w:val="TableParagraph"/>
              <w:spacing w:before="79"/>
              <w:ind w:left="146" w:right="133"/>
              <w:jc w:val="center"/>
              <w:rPr>
                <w:sz w:val="16"/>
              </w:rPr>
            </w:pPr>
            <w:r>
              <w:rPr>
                <w:sz w:val="16"/>
              </w:rPr>
              <w:t>2.75 (2.54, 2.98)</w:t>
            </w:r>
          </w:p>
        </w:tc>
      </w:tr>
      <w:tr w:rsidR="001439E0" w14:paraId="7E26D8F8" w14:textId="77777777">
        <w:trPr>
          <w:trHeight w:val="314"/>
        </w:trPr>
        <w:tc>
          <w:tcPr>
            <w:tcW w:w="9647" w:type="dxa"/>
            <w:gridSpan w:val="7"/>
            <w:tcBorders>
              <w:top w:val="single" w:sz="4" w:space="0" w:color="000000"/>
              <w:left w:val="single" w:sz="4" w:space="0" w:color="000000"/>
              <w:bottom w:val="single" w:sz="4" w:space="0" w:color="000000"/>
              <w:right w:val="single" w:sz="4" w:space="0" w:color="000000"/>
            </w:tcBorders>
          </w:tcPr>
          <w:p w14:paraId="7E26D8F7" w14:textId="77777777" w:rsidR="001439E0" w:rsidRDefault="008A23E0">
            <w:pPr>
              <w:pStyle w:val="TableParagraph"/>
              <w:spacing w:before="64"/>
              <w:ind w:left="3748" w:right="3738"/>
              <w:jc w:val="center"/>
              <w:rPr>
                <w:b/>
                <w:sz w:val="16"/>
              </w:rPr>
            </w:pPr>
            <w:proofErr w:type="spellStart"/>
            <w:r>
              <w:rPr>
                <w:b/>
                <w:sz w:val="16"/>
              </w:rPr>
              <w:t>Antimycobacterials</w:t>
            </w:r>
            <w:proofErr w:type="spellEnd"/>
          </w:p>
        </w:tc>
      </w:tr>
      <w:tr w:rsidR="001439E0" w14:paraId="7E26D901" w14:textId="77777777">
        <w:trPr>
          <w:trHeight w:val="261"/>
        </w:trPr>
        <w:tc>
          <w:tcPr>
            <w:tcW w:w="1367" w:type="dxa"/>
            <w:vMerge w:val="restart"/>
            <w:tcBorders>
              <w:top w:val="single" w:sz="4" w:space="0" w:color="000000"/>
              <w:left w:val="single" w:sz="4" w:space="0" w:color="000000"/>
              <w:bottom w:val="single" w:sz="4" w:space="0" w:color="000000"/>
              <w:right w:val="single" w:sz="4" w:space="0" w:color="000000"/>
            </w:tcBorders>
          </w:tcPr>
          <w:p w14:paraId="7E26D8F9" w14:textId="77777777" w:rsidR="001439E0" w:rsidRDefault="001439E0">
            <w:pPr>
              <w:pStyle w:val="TableParagraph"/>
              <w:spacing w:before="9"/>
              <w:rPr>
                <w:b/>
                <w:sz w:val="15"/>
              </w:rPr>
            </w:pPr>
          </w:p>
          <w:p w14:paraId="7E26D8FA" w14:textId="77777777" w:rsidR="001439E0" w:rsidRDefault="008A23E0">
            <w:pPr>
              <w:pStyle w:val="TableParagraph"/>
              <w:ind w:left="398"/>
              <w:rPr>
                <w:sz w:val="16"/>
              </w:rPr>
            </w:pPr>
            <w:r>
              <w:rPr>
                <w:sz w:val="16"/>
              </w:rPr>
              <w:t>rifampin</w:t>
            </w:r>
          </w:p>
        </w:tc>
        <w:tc>
          <w:tcPr>
            <w:tcW w:w="1885" w:type="dxa"/>
            <w:tcBorders>
              <w:top w:val="single" w:sz="4" w:space="0" w:color="000000"/>
              <w:left w:val="single" w:sz="4" w:space="0" w:color="000000"/>
              <w:bottom w:val="single" w:sz="4" w:space="0" w:color="000000"/>
              <w:right w:val="single" w:sz="4" w:space="0" w:color="000000"/>
            </w:tcBorders>
          </w:tcPr>
          <w:p w14:paraId="7E26D8FB" w14:textId="77777777" w:rsidR="001439E0" w:rsidRDefault="008A23E0">
            <w:pPr>
              <w:pStyle w:val="TableParagraph"/>
              <w:spacing w:before="38"/>
              <w:ind w:left="244" w:right="237"/>
              <w:jc w:val="center"/>
              <w:rPr>
                <w:sz w:val="16"/>
              </w:rPr>
            </w:pPr>
            <w:r>
              <w:rPr>
                <w:sz w:val="16"/>
              </w:rPr>
              <w:t>600 mg SD</w:t>
            </w:r>
          </w:p>
        </w:tc>
        <w:tc>
          <w:tcPr>
            <w:tcW w:w="1529" w:type="dxa"/>
            <w:tcBorders>
              <w:top w:val="single" w:sz="4" w:space="0" w:color="000000"/>
              <w:left w:val="single" w:sz="4" w:space="0" w:color="000000"/>
              <w:bottom w:val="single" w:sz="4" w:space="0" w:color="000000"/>
              <w:right w:val="single" w:sz="4" w:space="0" w:color="000000"/>
            </w:tcBorders>
          </w:tcPr>
          <w:p w14:paraId="7E26D8FC" w14:textId="77777777" w:rsidR="001439E0" w:rsidRDefault="008A23E0">
            <w:pPr>
              <w:pStyle w:val="TableParagraph"/>
              <w:spacing w:before="38"/>
              <w:ind w:left="101"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8FD" w14:textId="77777777" w:rsidR="001439E0" w:rsidRDefault="008A23E0">
            <w:pPr>
              <w:pStyle w:val="TableParagraph"/>
              <w:spacing w:before="38"/>
              <w:ind w:left="137"/>
              <w:rPr>
                <w:sz w:val="16"/>
              </w:rPr>
            </w:pPr>
            <w:r>
              <w:rPr>
                <w:sz w:val="16"/>
              </w:rPr>
              <w:t>11</w:t>
            </w:r>
          </w:p>
        </w:tc>
        <w:tc>
          <w:tcPr>
            <w:tcW w:w="1441" w:type="dxa"/>
            <w:tcBorders>
              <w:top w:val="single" w:sz="4" w:space="0" w:color="000000"/>
              <w:left w:val="single" w:sz="4" w:space="0" w:color="000000"/>
              <w:bottom w:val="single" w:sz="4" w:space="0" w:color="000000"/>
              <w:right w:val="single" w:sz="4" w:space="0" w:color="000000"/>
            </w:tcBorders>
          </w:tcPr>
          <w:p w14:paraId="7E26D8FE" w14:textId="77777777" w:rsidR="001439E0" w:rsidRDefault="008A23E0">
            <w:pPr>
              <w:pStyle w:val="TableParagraph"/>
              <w:spacing w:before="38"/>
              <w:ind w:left="109" w:right="104"/>
              <w:jc w:val="center"/>
              <w:rPr>
                <w:sz w:val="16"/>
              </w:rPr>
            </w:pPr>
            <w:r>
              <w:rPr>
                <w:sz w:val="16"/>
              </w:rPr>
              <w:t>0.91 (0.78, 1.06)</w:t>
            </w:r>
          </w:p>
        </w:tc>
        <w:tc>
          <w:tcPr>
            <w:tcW w:w="1435" w:type="dxa"/>
            <w:tcBorders>
              <w:top w:val="single" w:sz="4" w:space="0" w:color="000000"/>
              <w:left w:val="single" w:sz="4" w:space="0" w:color="000000"/>
              <w:bottom w:val="single" w:sz="4" w:space="0" w:color="000000"/>
              <w:right w:val="single" w:sz="4" w:space="0" w:color="000000"/>
            </w:tcBorders>
          </w:tcPr>
          <w:p w14:paraId="7E26D8FF" w14:textId="77777777" w:rsidR="001439E0" w:rsidRDefault="008A23E0">
            <w:pPr>
              <w:pStyle w:val="TableParagraph"/>
              <w:spacing w:before="38"/>
              <w:ind w:left="96" w:right="84"/>
              <w:jc w:val="center"/>
              <w:rPr>
                <w:sz w:val="16"/>
              </w:rPr>
            </w:pPr>
            <w:r>
              <w:rPr>
                <w:sz w:val="16"/>
              </w:rPr>
              <w:t>1.40 (1.21, 1.63)</w:t>
            </w:r>
          </w:p>
        </w:tc>
        <w:tc>
          <w:tcPr>
            <w:tcW w:w="1534" w:type="dxa"/>
            <w:tcBorders>
              <w:top w:val="single" w:sz="4" w:space="0" w:color="000000"/>
              <w:left w:val="single" w:sz="4" w:space="0" w:color="000000"/>
              <w:bottom w:val="single" w:sz="4" w:space="0" w:color="000000"/>
              <w:right w:val="single" w:sz="4" w:space="0" w:color="000000"/>
            </w:tcBorders>
          </w:tcPr>
          <w:p w14:paraId="7E26D900" w14:textId="77777777" w:rsidR="001439E0" w:rsidRDefault="008A23E0">
            <w:pPr>
              <w:pStyle w:val="TableParagraph"/>
              <w:spacing w:before="38"/>
              <w:ind w:left="146" w:right="134"/>
              <w:jc w:val="center"/>
              <w:rPr>
                <w:sz w:val="16"/>
              </w:rPr>
            </w:pPr>
            <w:r>
              <w:rPr>
                <w:sz w:val="16"/>
              </w:rPr>
              <w:t>0.90 (0.80, 1.01)</w:t>
            </w:r>
          </w:p>
        </w:tc>
      </w:tr>
      <w:tr w:rsidR="001439E0" w14:paraId="7E26D909" w14:textId="77777777">
        <w:trPr>
          <w:trHeight w:val="277"/>
        </w:trPr>
        <w:tc>
          <w:tcPr>
            <w:tcW w:w="1367" w:type="dxa"/>
            <w:vMerge/>
            <w:tcBorders>
              <w:top w:val="nil"/>
              <w:left w:val="single" w:sz="4" w:space="0" w:color="000000"/>
              <w:bottom w:val="single" w:sz="4" w:space="0" w:color="000000"/>
              <w:right w:val="single" w:sz="4" w:space="0" w:color="000000"/>
            </w:tcBorders>
          </w:tcPr>
          <w:p w14:paraId="7E26D902" w14:textId="77777777" w:rsidR="001439E0" w:rsidRDefault="001439E0">
            <w:pPr>
              <w:rPr>
                <w:sz w:val="2"/>
                <w:szCs w:val="2"/>
              </w:rPr>
            </w:pPr>
          </w:p>
        </w:tc>
        <w:tc>
          <w:tcPr>
            <w:tcW w:w="1885" w:type="dxa"/>
            <w:tcBorders>
              <w:top w:val="single" w:sz="4" w:space="0" w:color="000000"/>
              <w:left w:val="single" w:sz="4" w:space="0" w:color="000000"/>
              <w:bottom w:val="single" w:sz="4" w:space="0" w:color="000000"/>
              <w:right w:val="single" w:sz="4" w:space="0" w:color="000000"/>
            </w:tcBorders>
          </w:tcPr>
          <w:p w14:paraId="7E26D903" w14:textId="77777777" w:rsidR="001439E0" w:rsidRDefault="008A23E0">
            <w:pPr>
              <w:pStyle w:val="TableParagraph"/>
              <w:spacing w:before="46"/>
              <w:ind w:left="243" w:right="237"/>
              <w:jc w:val="center"/>
              <w:rPr>
                <w:sz w:val="16"/>
              </w:rPr>
            </w:pPr>
            <w:r>
              <w:rPr>
                <w:sz w:val="16"/>
              </w:rPr>
              <w:t>600 mg QD</w:t>
            </w:r>
          </w:p>
        </w:tc>
        <w:tc>
          <w:tcPr>
            <w:tcW w:w="1529" w:type="dxa"/>
            <w:tcBorders>
              <w:top w:val="single" w:sz="4" w:space="0" w:color="000000"/>
              <w:left w:val="single" w:sz="4" w:space="0" w:color="000000"/>
              <w:bottom w:val="single" w:sz="4" w:space="0" w:color="000000"/>
              <w:right w:val="single" w:sz="4" w:space="0" w:color="000000"/>
            </w:tcBorders>
          </w:tcPr>
          <w:p w14:paraId="7E26D904" w14:textId="77777777" w:rsidR="001439E0" w:rsidRDefault="008A23E0">
            <w:pPr>
              <w:pStyle w:val="TableParagraph"/>
              <w:spacing w:before="46"/>
              <w:ind w:left="100"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05" w14:textId="77777777" w:rsidR="001439E0" w:rsidRDefault="008A23E0">
            <w:pPr>
              <w:pStyle w:val="TableParagraph"/>
              <w:spacing w:before="46"/>
              <w:ind w:left="137"/>
              <w:rPr>
                <w:sz w:val="16"/>
              </w:rPr>
            </w:pPr>
            <w:r>
              <w:rPr>
                <w:sz w:val="16"/>
              </w:rPr>
              <w:t>10</w:t>
            </w:r>
          </w:p>
        </w:tc>
        <w:tc>
          <w:tcPr>
            <w:tcW w:w="1441" w:type="dxa"/>
            <w:tcBorders>
              <w:top w:val="single" w:sz="4" w:space="0" w:color="000000"/>
              <w:left w:val="single" w:sz="4" w:space="0" w:color="000000"/>
              <w:bottom w:val="single" w:sz="4" w:space="0" w:color="000000"/>
              <w:right w:val="single" w:sz="4" w:space="0" w:color="000000"/>
            </w:tcBorders>
          </w:tcPr>
          <w:p w14:paraId="7E26D906" w14:textId="77777777" w:rsidR="001439E0" w:rsidRDefault="008A23E0">
            <w:pPr>
              <w:pStyle w:val="TableParagraph"/>
              <w:spacing w:before="46"/>
              <w:ind w:left="109" w:right="105"/>
              <w:jc w:val="center"/>
              <w:rPr>
                <w:sz w:val="16"/>
              </w:rPr>
            </w:pPr>
            <w:r>
              <w:rPr>
                <w:sz w:val="16"/>
              </w:rPr>
              <w:t>0.12 (0.10, 0.15)</w:t>
            </w:r>
          </w:p>
        </w:tc>
        <w:tc>
          <w:tcPr>
            <w:tcW w:w="1435" w:type="dxa"/>
            <w:tcBorders>
              <w:top w:val="single" w:sz="4" w:space="0" w:color="000000"/>
              <w:left w:val="single" w:sz="4" w:space="0" w:color="000000"/>
              <w:bottom w:val="single" w:sz="4" w:space="0" w:color="000000"/>
              <w:right w:val="single" w:sz="4" w:space="0" w:color="000000"/>
            </w:tcBorders>
          </w:tcPr>
          <w:p w14:paraId="7E26D907" w14:textId="77777777" w:rsidR="001439E0" w:rsidRDefault="008A23E0">
            <w:pPr>
              <w:pStyle w:val="TableParagraph"/>
              <w:spacing w:before="46"/>
              <w:ind w:left="96" w:right="85"/>
              <w:jc w:val="center"/>
              <w:rPr>
                <w:sz w:val="16"/>
              </w:rPr>
            </w:pPr>
            <w:r>
              <w:rPr>
                <w:sz w:val="16"/>
              </w:rPr>
              <w:t>0.43 (0.35, 0.52)</w:t>
            </w:r>
          </w:p>
        </w:tc>
        <w:tc>
          <w:tcPr>
            <w:tcW w:w="1534" w:type="dxa"/>
            <w:tcBorders>
              <w:top w:val="single" w:sz="4" w:space="0" w:color="000000"/>
              <w:left w:val="single" w:sz="4" w:space="0" w:color="000000"/>
              <w:bottom w:val="single" w:sz="4" w:space="0" w:color="000000"/>
              <w:right w:val="single" w:sz="4" w:space="0" w:color="000000"/>
            </w:tcBorders>
          </w:tcPr>
          <w:p w14:paraId="7E26D908" w14:textId="77777777" w:rsidR="001439E0" w:rsidRDefault="008A23E0">
            <w:pPr>
              <w:pStyle w:val="TableParagraph"/>
              <w:spacing w:before="46"/>
              <w:ind w:left="146" w:right="134"/>
              <w:jc w:val="center"/>
              <w:rPr>
                <w:sz w:val="16"/>
              </w:rPr>
            </w:pPr>
            <w:r>
              <w:rPr>
                <w:sz w:val="16"/>
              </w:rPr>
              <w:t>0.03 (0.02, 0.04)</w:t>
            </w:r>
          </w:p>
        </w:tc>
      </w:tr>
      <w:tr w:rsidR="001439E0" w14:paraId="7E26D911" w14:textId="77777777">
        <w:trPr>
          <w:trHeight w:val="260"/>
        </w:trPr>
        <w:tc>
          <w:tcPr>
            <w:tcW w:w="1367" w:type="dxa"/>
            <w:tcBorders>
              <w:top w:val="single" w:sz="4" w:space="0" w:color="000000"/>
              <w:left w:val="single" w:sz="4" w:space="0" w:color="000000"/>
              <w:bottom w:val="single" w:sz="4" w:space="0" w:color="000000"/>
              <w:right w:val="single" w:sz="4" w:space="0" w:color="000000"/>
            </w:tcBorders>
          </w:tcPr>
          <w:p w14:paraId="7E26D90A" w14:textId="77777777" w:rsidR="001439E0" w:rsidRDefault="008A23E0">
            <w:pPr>
              <w:pStyle w:val="TableParagraph"/>
              <w:spacing w:before="38"/>
              <w:ind w:left="190" w:right="183"/>
              <w:jc w:val="center"/>
              <w:rPr>
                <w:sz w:val="16"/>
              </w:rPr>
            </w:pPr>
            <w:proofErr w:type="spellStart"/>
            <w:r>
              <w:rPr>
                <w:sz w:val="16"/>
              </w:rPr>
              <w:t>rifabutin</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7E26D90B" w14:textId="77777777" w:rsidR="001439E0" w:rsidRDefault="008A23E0">
            <w:pPr>
              <w:pStyle w:val="TableParagraph"/>
              <w:spacing w:before="38"/>
              <w:ind w:left="242" w:right="237"/>
              <w:jc w:val="center"/>
              <w:rPr>
                <w:sz w:val="16"/>
              </w:rPr>
            </w:pPr>
            <w:r>
              <w:rPr>
                <w:sz w:val="16"/>
              </w:rPr>
              <w:t>300 mg QD</w:t>
            </w:r>
          </w:p>
        </w:tc>
        <w:tc>
          <w:tcPr>
            <w:tcW w:w="1529" w:type="dxa"/>
            <w:tcBorders>
              <w:top w:val="single" w:sz="4" w:space="0" w:color="000000"/>
              <w:left w:val="single" w:sz="4" w:space="0" w:color="000000"/>
              <w:bottom w:val="single" w:sz="4" w:space="0" w:color="000000"/>
              <w:right w:val="single" w:sz="4" w:space="0" w:color="000000"/>
            </w:tcBorders>
          </w:tcPr>
          <w:p w14:paraId="7E26D90C" w14:textId="77777777" w:rsidR="001439E0" w:rsidRDefault="008A23E0">
            <w:pPr>
              <w:pStyle w:val="TableParagraph"/>
              <w:spacing w:before="38"/>
              <w:ind w:left="100"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0D" w14:textId="77777777" w:rsidR="001439E0" w:rsidRDefault="008A23E0">
            <w:pPr>
              <w:pStyle w:val="TableParagraph"/>
              <w:spacing w:before="38"/>
              <w:ind w:left="137"/>
              <w:rPr>
                <w:sz w:val="16"/>
              </w:rPr>
            </w:pPr>
            <w:r>
              <w:rPr>
                <w:sz w:val="16"/>
              </w:rPr>
              <w:t>12</w:t>
            </w:r>
          </w:p>
        </w:tc>
        <w:tc>
          <w:tcPr>
            <w:tcW w:w="1441" w:type="dxa"/>
            <w:tcBorders>
              <w:top w:val="single" w:sz="4" w:space="0" w:color="000000"/>
              <w:left w:val="single" w:sz="4" w:space="0" w:color="000000"/>
              <w:bottom w:val="single" w:sz="4" w:space="0" w:color="000000"/>
              <w:right w:val="single" w:sz="4" w:space="0" w:color="000000"/>
            </w:tcBorders>
          </w:tcPr>
          <w:p w14:paraId="7E26D90E" w14:textId="77777777" w:rsidR="001439E0" w:rsidRDefault="008A23E0">
            <w:pPr>
              <w:pStyle w:val="TableParagraph"/>
              <w:spacing w:before="38"/>
              <w:ind w:left="109" w:right="105"/>
              <w:jc w:val="center"/>
              <w:rPr>
                <w:sz w:val="16"/>
              </w:rPr>
            </w:pPr>
            <w:r>
              <w:rPr>
                <w:sz w:val="16"/>
              </w:rPr>
              <w:t>0.50 (0.45, 0.55)</w:t>
            </w:r>
          </w:p>
        </w:tc>
        <w:tc>
          <w:tcPr>
            <w:tcW w:w="1435" w:type="dxa"/>
            <w:tcBorders>
              <w:top w:val="single" w:sz="4" w:space="0" w:color="000000"/>
              <w:left w:val="single" w:sz="4" w:space="0" w:color="000000"/>
              <w:bottom w:val="single" w:sz="4" w:space="0" w:color="000000"/>
              <w:right w:val="single" w:sz="4" w:space="0" w:color="000000"/>
            </w:tcBorders>
          </w:tcPr>
          <w:p w14:paraId="7E26D90F" w14:textId="77777777" w:rsidR="001439E0" w:rsidRDefault="008A23E0">
            <w:pPr>
              <w:pStyle w:val="TableParagraph"/>
              <w:spacing w:before="38"/>
              <w:ind w:left="96" w:right="84"/>
              <w:jc w:val="center"/>
              <w:rPr>
                <w:sz w:val="16"/>
              </w:rPr>
            </w:pPr>
            <w:r>
              <w:rPr>
                <w:sz w:val="16"/>
              </w:rPr>
              <w:t>0.99 (0.85, 1.15)</w:t>
            </w:r>
          </w:p>
        </w:tc>
        <w:tc>
          <w:tcPr>
            <w:tcW w:w="1534" w:type="dxa"/>
            <w:tcBorders>
              <w:top w:val="single" w:sz="4" w:space="0" w:color="000000"/>
              <w:left w:val="single" w:sz="4" w:space="0" w:color="000000"/>
              <w:bottom w:val="single" w:sz="4" w:space="0" w:color="000000"/>
              <w:right w:val="single" w:sz="4" w:space="0" w:color="000000"/>
            </w:tcBorders>
          </w:tcPr>
          <w:p w14:paraId="7E26D910" w14:textId="77777777" w:rsidR="001439E0" w:rsidRDefault="008A23E0">
            <w:pPr>
              <w:pStyle w:val="TableParagraph"/>
              <w:spacing w:before="38"/>
              <w:ind w:left="146" w:right="133"/>
              <w:jc w:val="center"/>
              <w:rPr>
                <w:sz w:val="16"/>
              </w:rPr>
            </w:pPr>
            <w:r>
              <w:rPr>
                <w:sz w:val="16"/>
              </w:rPr>
              <w:t>0.32 (0.28, 0.35)</w:t>
            </w:r>
          </w:p>
        </w:tc>
      </w:tr>
      <w:tr w:rsidR="001439E0" w14:paraId="7E26D913" w14:textId="77777777">
        <w:trPr>
          <w:trHeight w:val="400"/>
        </w:trPr>
        <w:tc>
          <w:tcPr>
            <w:tcW w:w="9647" w:type="dxa"/>
            <w:gridSpan w:val="7"/>
            <w:tcBorders>
              <w:top w:val="single" w:sz="4" w:space="0" w:color="000000"/>
              <w:left w:val="single" w:sz="4" w:space="0" w:color="000000"/>
              <w:bottom w:val="single" w:sz="4" w:space="0" w:color="000000"/>
              <w:right w:val="single" w:sz="4" w:space="0" w:color="000000"/>
            </w:tcBorders>
          </w:tcPr>
          <w:p w14:paraId="7E26D912" w14:textId="77777777" w:rsidR="001439E0" w:rsidRDefault="008A23E0">
            <w:pPr>
              <w:pStyle w:val="TableParagraph"/>
              <w:spacing w:before="107"/>
              <w:ind w:left="3748" w:right="3740"/>
              <w:jc w:val="center"/>
              <w:rPr>
                <w:b/>
                <w:sz w:val="16"/>
              </w:rPr>
            </w:pPr>
            <w:r>
              <w:rPr>
                <w:b/>
                <w:sz w:val="16"/>
              </w:rPr>
              <w:t>HIV Antiviral Agents</w:t>
            </w:r>
          </w:p>
        </w:tc>
      </w:tr>
      <w:tr w:rsidR="001439E0" w14:paraId="7E26D91B" w14:textId="77777777">
        <w:trPr>
          <w:trHeight w:val="287"/>
        </w:trPr>
        <w:tc>
          <w:tcPr>
            <w:tcW w:w="1367" w:type="dxa"/>
            <w:tcBorders>
              <w:top w:val="single" w:sz="4" w:space="0" w:color="000000"/>
              <w:left w:val="single" w:sz="4" w:space="0" w:color="000000"/>
              <w:bottom w:val="single" w:sz="4" w:space="0" w:color="000000"/>
              <w:right w:val="single" w:sz="4" w:space="0" w:color="000000"/>
            </w:tcBorders>
          </w:tcPr>
          <w:p w14:paraId="7E26D914" w14:textId="77777777" w:rsidR="001439E0" w:rsidRDefault="008A23E0">
            <w:pPr>
              <w:pStyle w:val="TableParagraph"/>
              <w:spacing w:before="51"/>
              <w:ind w:left="190" w:right="183"/>
              <w:jc w:val="center"/>
              <w:rPr>
                <w:sz w:val="16"/>
              </w:rPr>
            </w:pPr>
            <w:r>
              <w:rPr>
                <w:sz w:val="16"/>
              </w:rPr>
              <w:t>ritonavir</w:t>
            </w:r>
          </w:p>
        </w:tc>
        <w:tc>
          <w:tcPr>
            <w:tcW w:w="1885" w:type="dxa"/>
            <w:tcBorders>
              <w:top w:val="single" w:sz="4" w:space="0" w:color="000000"/>
              <w:left w:val="single" w:sz="4" w:space="0" w:color="000000"/>
              <w:bottom w:val="single" w:sz="4" w:space="0" w:color="000000"/>
              <w:right w:val="single" w:sz="4" w:space="0" w:color="000000"/>
            </w:tcBorders>
          </w:tcPr>
          <w:p w14:paraId="7E26D915" w14:textId="77777777" w:rsidR="001439E0" w:rsidRDefault="008A23E0">
            <w:pPr>
              <w:pStyle w:val="TableParagraph"/>
              <w:spacing w:before="51"/>
              <w:ind w:left="242" w:right="237"/>
              <w:jc w:val="center"/>
              <w:rPr>
                <w:sz w:val="16"/>
              </w:rPr>
            </w:pPr>
            <w:r>
              <w:rPr>
                <w:sz w:val="16"/>
              </w:rPr>
              <w:t>100 mg BID</w:t>
            </w:r>
          </w:p>
        </w:tc>
        <w:tc>
          <w:tcPr>
            <w:tcW w:w="1529" w:type="dxa"/>
            <w:tcBorders>
              <w:top w:val="single" w:sz="4" w:space="0" w:color="000000"/>
              <w:left w:val="single" w:sz="4" w:space="0" w:color="000000"/>
              <w:bottom w:val="single" w:sz="4" w:space="0" w:color="000000"/>
              <w:right w:val="single" w:sz="4" w:space="0" w:color="000000"/>
            </w:tcBorders>
          </w:tcPr>
          <w:p w14:paraId="7E26D916" w14:textId="77777777" w:rsidR="001439E0" w:rsidRDefault="008A23E0">
            <w:pPr>
              <w:pStyle w:val="TableParagraph"/>
              <w:spacing w:before="51"/>
              <w:ind w:left="100" w:right="96"/>
              <w:jc w:val="center"/>
              <w:rPr>
                <w:sz w:val="16"/>
              </w:rPr>
            </w:pPr>
            <w:r>
              <w:rPr>
                <w:sz w:val="16"/>
              </w:rPr>
              <w:t>50 mg SD</w:t>
            </w:r>
          </w:p>
        </w:tc>
        <w:tc>
          <w:tcPr>
            <w:tcW w:w="456" w:type="dxa"/>
            <w:tcBorders>
              <w:top w:val="single" w:sz="4" w:space="0" w:color="000000"/>
              <w:left w:val="single" w:sz="4" w:space="0" w:color="000000"/>
              <w:bottom w:val="single" w:sz="4" w:space="0" w:color="000000"/>
              <w:right w:val="single" w:sz="4" w:space="0" w:color="000000"/>
            </w:tcBorders>
          </w:tcPr>
          <w:p w14:paraId="7E26D917" w14:textId="77777777" w:rsidR="001439E0" w:rsidRDefault="008A23E0">
            <w:pPr>
              <w:pStyle w:val="TableParagraph"/>
              <w:spacing w:before="51"/>
              <w:ind w:left="181"/>
              <w:rPr>
                <w:sz w:val="16"/>
              </w:rPr>
            </w:pPr>
            <w:r>
              <w:rPr>
                <w:w w:val="99"/>
                <w:sz w:val="16"/>
              </w:rPr>
              <w:t>8</w:t>
            </w:r>
          </w:p>
        </w:tc>
        <w:tc>
          <w:tcPr>
            <w:tcW w:w="1441" w:type="dxa"/>
            <w:tcBorders>
              <w:top w:val="single" w:sz="4" w:space="0" w:color="000000"/>
              <w:left w:val="single" w:sz="4" w:space="0" w:color="000000"/>
              <w:bottom w:val="single" w:sz="4" w:space="0" w:color="000000"/>
              <w:right w:val="single" w:sz="4" w:space="0" w:color="000000"/>
            </w:tcBorders>
          </w:tcPr>
          <w:p w14:paraId="7E26D918" w14:textId="77777777" w:rsidR="001439E0" w:rsidRDefault="008A23E0">
            <w:pPr>
              <w:pStyle w:val="TableParagraph"/>
              <w:spacing w:before="51"/>
              <w:ind w:left="109" w:right="104"/>
              <w:jc w:val="center"/>
              <w:rPr>
                <w:sz w:val="16"/>
              </w:rPr>
            </w:pPr>
            <w:r>
              <w:rPr>
                <w:sz w:val="16"/>
              </w:rPr>
              <w:t>3.54 (3.04, 4.11)</w:t>
            </w:r>
          </w:p>
        </w:tc>
        <w:tc>
          <w:tcPr>
            <w:tcW w:w="1435" w:type="dxa"/>
            <w:tcBorders>
              <w:top w:val="single" w:sz="4" w:space="0" w:color="000000"/>
              <w:left w:val="single" w:sz="4" w:space="0" w:color="000000"/>
              <w:bottom w:val="single" w:sz="4" w:space="0" w:color="000000"/>
              <w:right w:val="single" w:sz="4" w:space="0" w:color="000000"/>
            </w:tcBorders>
          </w:tcPr>
          <w:p w14:paraId="7E26D919" w14:textId="77777777" w:rsidR="001439E0" w:rsidRDefault="008A23E0">
            <w:pPr>
              <w:pStyle w:val="TableParagraph"/>
              <w:spacing w:before="51"/>
              <w:ind w:left="96" w:right="84"/>
              <w:jc w:val="center"/>
              <w:rPr>
                <w:sz w:val="16"/>
              </w:rPr>
            </w:pPr>
            <w:r>
              <w:rPr>
                <w:sz w:val="16"/>
              </w:rPr>
              <w:t>1.31 (1.17, 1.46)</w:t>
            </w:r>
          </w:p>
        </w:tc>
        <w:tc>
          <w:tcPr>
            <w:tcW w:w="1534" w:type="dxa"/>
            <w:tcBorders>
              <w:top w:val="single" w:sz="4" w:space="0" w:color="000000"/>
              <w:left w:val="single" w:sz="4" w:space="0" w:color="000000"/>
              <w:bottom w:val="single" w:sz="4" w:space="0" w:color="000000"/>
              <w:right w:val="single" w:sz="4" w:space="0" w:color="000000"/>
            </w:tcBorders>
          </w:tcPr>
          <w:p w14:paraId="7E26D91A" w14:textId="77777777" w:rsidR="001439E0" w:rsidRDefault="008A23E0">
            <w:pPr>
              <w:pStyle w:val="TableParagraph"/>
              <w:spacing w:before="51"/>
              <w:ind w:left="146" w:right="133"/>
              <w:jc w:val="center"/>
              <w:rPr>
                <w:sz w:val="16"/>
              </w:rPr>
            </w:pPr>
            <w:r>
              <w:rPr>
                <w:sz w:val="16"/>
              </w:rPr>
              <w:t>2.91 (2.33, 3.62)</w:t>
            </w:r>
          </w:p>
        </w:tc>
      </w:tr>
      <w:tr w:rsidR="001439E0" w14:paraId="7E26D923" w14:textId="77777777">
        <w:trPr>
          <w:trHeight w:val="331"/>
        </w:trPr>
        <w:tc>
          <w:tcPr>
            <w:tcW w:w="1367" w:type="dxa"/>
            <w:tcBorders>
              <w:top w:val="single" w:sz="4" w:space="0" w:color="000000"/>
              <w:left w:val="single" w:sz="4" w:space="0" w:color="000000"/>
              <w:bottom w:val="single" w:sz="4" w:space="0" w:color="000000"/>
              <w:right w:val="single" w:sz="4" w:space="0" w:color="000000"/>
            </w:tcBorders>
          </w:tcPr>
          <w:p w14:paraId="7E26D91C" w14:textId="77777777" w:rsidR="001439E0" w:rsidRDefault="008A23E0">
            <w:pPr>
              <w:pStyle w:val="TableParagraph"/>
              <w:spacing w:before="74"/>
              <w:ind w:left="190" w:right="183"/>
              <w:jc w:val="center"/>
              <w:rPr>
                <w:sz w:val="16"/>
              </w:rPr>
            </w:pPr>
            <w:proofErr w:type="spellStart"/>
            <w:r>
              <w:rPr>
                <w:sz w:val="16"/>
              </w:rPr>
              <w:t>dolutegravir</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7E26D91D" w14:textId="77777777" w:rsidR="001439E0" w:rsidRDefault="008A23E0">
            <w:pPr>
              <w:pStyle w:val="TableParagraph"/>
              <w:spacing w:before="74"/>
              <w:ind w:left="241" w:right="237"/>
              <w:jc w:val="center"/>
              <w:rPr>
                <w:sz w:val="16"/>
              </w:rPr>
            </w:pPr>
            <w:r>
              <w:rPr>
                <w:sz w:val="16"/>
              </w:rPr>
              <w:t>50 mg QD</w:t>
            </w:r>
          </w:p>
        </w:tc>
        <w:tc>
          <w:tcPr>
            <w:tcW w:w="1529" w:type="dxa"/>
            <w:tcBorders>
              <w:top w:val="single" w:sz="4" w:space="0" w:color="000000"/>
              <w:left w:val="single" w:sz="4" w:space="0" w:color="000000"/>
              <w:bottom w:val="single" w:sz="4" w:space="0" w:color="000000"/>
              <w:right w:val="single" w:sz="4" w:space="0" w:color="000000"/>
            </w:tcBorders>
          </w:tcPr>
          <w:p w14:paraId="7E26D91E" w14:textId="77777777" w:rsidR="001439E0" w:rsidRDefault="008A23E0">
            <w:pPr>
              <w:pStyle w:val="TableParagraph"/>
              <w:spacing w:before="74"/>
              <w:ind w:left="100" w:right="96"/>
              <w:jc w:val="center"/>
              <w:rPr>
                <w:sz w:val="16"/>
              </w:rPr>
            </w:pPr>
            <w:r>
              <w:rPr>
                <w:sz w:val="16"/>
              </w:rPr>
              <w:t>200 mg QD</w:t>
            </w:r>
          </w:p>
        </w:tc>
        <w:tc>
          <w:tcPr>
            <w:tcW w:w="456" w:type="dxa"/>
            <w:tcBorders>
              <w:top w:val="single" w:sz="4" w:space="0" w:color="000000"/>
              <w:left w:val="single" w:sz="4" w:space="0" w:color="000000"/>
              <w:bottom w:val="single" w:sz="4" w:space="0" w:color="000000"/>
              <w:right w:val="single" w:sz="4" w:space="0" w:color="000000"/>
            </w:tcBorders>
          </w:tcPr>
          <w:p w14:paraId="7E26D91F" w14:textId="77777777" w:rsidR="001439E0" w:rsidRDefault="008A23E0">
            <w:pPr>
              <w:pStyle w:val="TableParagraph"/>
              <w:spacing w:before="74"/>
              <w:ind w:left="136"/>
              <w:rPr>
                <w:sz w:val="16"/>
              </w:rPr>
            </w:pPr>
            <w:r>
              <w:rPr>
                <w:sz w:val="16"/>
              </w:rPr>
              <w:t>11</w:t>
            </w:r>
          </w:p>
        </w:tc>
        <w:tc>
          <w:tcPr>
            <w:tcW w:w="1441" w:type="dxa"/>
            <w:tcBorders>
              <w:top w:val="single" w:sz="4" w:space="0" w:color="000000"/>
              <w:left w:val="single" w:sz="4" w:space="0" w:color="000000"/>
              <w:bottom w:val="single" w:sz="4" w:space="0" w:color="000000"/>
              <w:right w:val="single" w:sz="4" w:space="0" w:color="000000"/>
            </w:tcBorders>
          </w:tcPr>
          <w:p w14:paraId="7E26D920" w14:textId="77777777" w:rsidR="001439E0" w:rsidRDefault="008A23E0">
            <w:pPr>
              <w:pStyle w:val="TableParagraph"/>
              <w:spacing w:before="74"/>
              <w:ind w:left="108" w:right="105"/>
              <w:jc w:val="center"/>
              <w:rPr>
                <w:sz w:val="16"/>
              </w:rPr>
            </w:pPr>
            <w:r>
              <w:rPr>
                <w:sz w:val="16"/>
              </w:rPr>
              <w:t>1.00 (0.89, 1.12)</w:t>
            </w:r>
          </w:p>
        </w:tc>
        <w:tc>
          <w:tcPr>
            <w:tcW w:w="1435" w:type="dxa"/>
            <w:tcBorders>
              <w:top w:val="single" w:sz="4" w:space="0" w:color="000000"/>
              <w:left w:val="single" w:sz="4" w:space="0" w:color="000000"/>
              <w:bottom w:val="single" w:sz="4" w:space="0" w:color="000000"/>
              <w:right w:val="single" w:sz="4" w:space="0" w:color="000000"/>
            </w:tcBorders>
          </w:tcPr>
          <w:p w14:paraId="7E26D921" w14:textId="77777777" w:rsidR="001439E0" w:rsidRDefault="008A23E0">
            <w:pPr>
              <w:pStyle w:val="TableParagraph"/>
              <w:spacing w:before="74"/>
              <w:ind w:left="96" w:right="84"/>
              <w:jc w:val="center"/>
              <w:rPr>
                <w:sz w:val="16"/>
              </w:rPr>
            </w:pPr>
            <w:r>
              <w:rPr>
                <w:sz w:val="16"/>
              </w:rPr>
              <w:t>1.06 (0.88, 1.28)</w:t>
            </w:r>
          </w:p>
        </w:tc>
        <w:tc>
          <w:tcPr>
            <w:tcW w:w="1534" w:type="dxa"/>
            <w:tcBorders>
              <w:top w:val="single" w:sz="4" w:space="0" w:color="000000"/>
              <w:left w:val="single" w:sz="4" w:space="0" w:color="000000"/>
              <w:bottom w:val="single" w:sz="4" w:space="0" w:color="000000"/>
              <w:right w:val="single" w:sz="4" w:space="0" w:color="000000"/>
            </w:tcBorders>
          </w:tcPr>
          <w:p w14:paraId="7E26D922" w14:textId="77777777" w:rsidR="001439E0" w:rsidRDefault="008A23E0">
            <w:pPr>
              <w:pStyle w:val="TableParagraph"/>
              <w:spacing w:before="74"/>
              <w:ind w:left="146" w:right="133"/>
              <w:jc w:val="center"/>
              <w:rPr>
                <w:sz w:val="16"/>
              </w:rPr>
            </w:pPr>
            <w:r>
              <w:rPr>
                <w:sz w:val="16"/>
              </w:rPr>
              <w:t>0.98 (0.88, 1.09)</w:t>
            </w:r>
          </w:p>
        </w:tc>
      </w:tr>
      <w:tr w:rsidR="001439E0" w14:paraId="7E26D92C" w14:textId="77777777">
        <w:trPr>
          <w:trHeight w:val="278"/>
        </w:trPr>
        <w:tc>
          <w:tcPr>
            <w:tcW w:w="1367" w:type="dxa"/>
            <w:vMerge w:val="restart"/>
            <w:tcBorders>
              <w:top w:val="single" w:sz="4" w:space="0" w:color="000000"/>
              <w:left w:val="single" w:sz="4" w:space="0" w:color="000000"/>
              <w:bottom w:val="single" w:sz="4" w:space="0" w:color="000000"/>
              <w:right w:val="single" w:sz="4" w:space="0" w:color="000000"/>
            </w:tcBorders>
          </w:tcPr>
          <w:p w14:paraId="7E26D924" w14:textId="77777777" w:rsidR="001439E0" w:rsidRDefault="001439E0">
            <w:pPr>
              <w:pStyle w:val="TableParagraph"/>
              <w:spacing w:before="7"/>
              <w:rPr>
                <w:b/>
                <w:sz w:val="23"/>
              </w:rPr>
            </w:pPr>
          </w:p>
          <w:p w14:paraId="7E26D925" w14:textId="77777777" w:rsidR="001439E0" w:rsidRDefault="008A23E0">
            <w:pPr>
              <w:pStyle w:val="TableParagraph"/>
              <w:ind w:left="330"/>
              <w:rPr>
                <w:sz w:val="10"/>
              </w:rPr>
            </w:pPr>
            <w:proofErr w:type="spellStart"/>
            <w:r>
              <w:rPr>
                <w:sz w:val="16"/>
              </w:rPr>
              <w:t>efavirenz</w:t>
            </w:r>
            <w:proofErr w:type="spellEnd"/>
            <w:r>
              <w:rPr>
                <w:position w:val="6"/>
                <w:sz w:val="10"/>
              </w:rPr>
              <w:t>†</w:t>
            </w:r>
          </w:p>
        </w:tc>
        <w:tc>
          <w:tcPr>
            <w:tcW w:w="1885" w:type="dxa"/>
            <w:tcBorders>
              <w:top w:val="single" w:sz="4" w:space="0" w:color="000000"/>
              <w:left w:val="single" w:sz="4" w:space="0" w:color="000000"/>
              <w:bottom w:val="single" w:sz="4" w:space="0" w:color="000000"/>
              <w:right w:val="single" w:sz="4" w:space="0" w:color="000000"/>
            </w:tcBorders>
          </w:tcPr>
          <w:p w14:paraId="7E26D926" w14:textId="77777777" w:rsidR="001439E0" w:rsidRDefault="008A23E0">
            <w:pPr>
              <w:pStyle w:val="TableParagraph"/>
              <w:spacing w:before="46"/>
              <w:ind w:left="243" w:right="237"/>
              <w:jc w:val="center"/>
              <w:rPr>
                <w:sz w:val="16"/>
              </w:rPr>
            </w:pPr>
            <w:r>
              <w:rPr>
                <w:sz w:val="16"/>
              </w:rPr>
              <w:t>600 mg QD</w:t>
            </w:r>
          </w:p>
        </w:tc>
        <w:tc>
          <w:tcPr>
            <w:tcW w:w="1529" w:type="dxa"/>
            <w:tcBorders>
              <w:top w:val="single" w:sz="4" w:space="0" w:color="000000"/>
              <w:left w:val="single" w:sz="4" w:space="0" w:color="000000"/>
              <w:bottom w:val="single" w:sz="4" w:space="0" w:color="000000"/>
              <w:right w:val="single" w:sz="4" w:space="0" w:color="000000"/>
            </w:tcBorders>
          </w:tcPr>
          <w:p w14:paraId="7E26D927" w14:textId="77777777" w:rsidR="001439E0" w:rsidRDefault="008A23E0">
            <w:pPr>
              <w:pStyle w:val="TableParagraph"/>
              <w:spacing w:before="46"/>
              <w:ind w:left="102" w:right="96"/>
              <w:jc w:val="center"/>
              <w:rPr>
                <w:sz w:val="16"/>
              </w:rPr>
            </w:pPr>
            <w:r>
              <w:rPr>
                <w:sz w:val="16"/>
              </w:rPr>
              <w:t>100 mg QD Day 1</w:t>
            </w:r>
          </w:p>
        </w:tc>
        <w:tc>
          <w:tcPr>
            <w:tcW w:w="456" w:type="dxa"/>
            <w:tcBorders>
              <w:top w:val="single" w:sz="4" w:space="0" w:color="000000"/>
              <w:left w:val="single" w:sz="4" w:space="0" w:color="000000"/>
              <w:bottom w:val="single" w:sz="4" w:space="0" w:color="000000"/>
              <w:right w:val="single" w:sz="4" w:space="0" w:color="000000"/>
            </w:tcBorders>
          </w:tcPr>
          <w:p w14:paraId="7E26D928" w14:textId="77777777" w:rsidR="001439E0" w:rsidRDefault="008A23E0">
            <w:pPr>
              <w:pStyle w:val="TableParagraph"/>
              <w:spacing w:before="46"/>
              <w:ind w:left="137"/>
              <w:rPr>
                <w:sz w:val="16"/>
              </w:rPr>
            </w:pPr>
            <w:r>
              <w:rPr>
                <w:sz w:val="16"/>
              </w:rPr>
              <w:t>17</w:t>
            </w:r>
          </w:p>
        </w:tc>
        <w:tc>
          <w:tcPr>
            <w:tcW w:w="1441" w:type="dxa"/>
            <w:tcBorders>
              <w:top w:val="single" w:sz="4" w:space="0" w:color="000000"/>
              <w:left w:val="single" w:sz="4" w:space="0" w:color="000000"/>
              <w:bottom w:val="single" w:sz="4" w:space="0" w:color="000000"/>
              <w:right w:val="single" w:sz="4" w:space="0" w:color="000000"/>
            </w:tcBorders>
          </w:tcPr>
          <w:p w14:paraId="7E26D929" w14:textId="77777777" w:rsidR="001439E0" w:rsidRDefault="008A23E0">
            <w:pPr>
              <w:pStyle w:val="TableParagraph"/>
              <w:spacing w:before="46"/>
              <w:ind w:left="109" w:right="105"/>
              <w:jc w:val="center"/>
              <w:rPr>
                <w:sz w:val="16"/>
              </w:rPr>
            </w:pPr>
            <w:r>
              <w:rPr>
                <w:sz w:val="16"/>
              </w:rPr>
              <w:t>0.38 (0.33, 0.45)</w:t>
            </w:r>
          </w:p>
        </w:tc>
        <w:tc>
          <w:tcPr>
            <w:tcW w:w="1435" w:type="dxa"/>
            <w:tcBorders>
              <w:top w:val="single" w:sz="4" w:space="0" w:color="000000"/>
              <w:left w:val="single" w:sz="4" w:space="0" w:color="000000"/>
              <w:bottom w:val="single" w:sz="4" w:space="0" w:color="000000"/>
              <w:right w:val="single" w:sz="4" w:space="0" w:color="000000"/>
            </w:tcBorders>
          </w:tcPr>
          <w:p w14:paraId="7E26D92A" w14:textId="77777777" w:rsidR="001439E0" w:rsidRDefault="008A23E0">
            <w:pPr>
              <w:pStyle w:val="TableParagraph"/>
              <w:spacing w:before="46"/>
              <w:ind w:left="96" w:right="84"/>
              <w:jc w:val="center"/>
              <w:rPr>
                <w:sz w:val="16"/>
              </w:rPr>
            </w:pPr>
            <w:r>
              <w:rPr>
                <w:sz w:val="16"/>
              </w:rPr>
              <w:t>0.65 (0.58, 0.73)</w:t>
            </w:r>
          </w:p>
        </w:tc>
        <w:tc>
          <w:tcPr>
            <w:tcW w:w="1534" w:type="dxa"/>
            <w:tcBorders>
              <w:top w:val="single" w:sz="4" w:space="0" w:color="000000"/>
              <w:left w:val="single" w:sz="4" w:space="0" w:color="000000"/>
              <w:bottom w:val="single" w:sz="4" w:space="0" w:color="000000"/>
              <w:right w:val="single" w:sz="4" w:space="0" w:color="000000"/>
            </w:tcBorders>
          </w:tcPr>
          <w:p w14:paraId="7E26D92B" w14:textId="77777777" w:rsidR="001439E0" w:rsidRDefault="008A23E0">
            <w:pPr>
              <w:pStyle w:val="TableParagraph"/>
              <w:spacing w:before="46"/>
              <w:ind w:left="146" w:right="133"/>
              <w:jc w:val="center"/>
              <w:rPr>
                <w:sz w:val="16"/>
              </w:rPr>
            </w:pPr>
            <w:r>
              <w:rPr>
                <w:sz w:val="16"/>
              </w:rPr>
              <w:t>0.15 (0.10, 0.23)</w:t>
            </w:r>
          </w:p>
        </w:tc>
      </w:tr>
      <w:tr w:rsidR="001439E0" w14:paraId="7E26D935" w14:textId="77777777">
        <w:trPr>
          <w:trHeight w:val="448"/>
        </w:trPr>
        <w:tc>
          <w:tcPr>
            <w:tcW w:w="1367" w:type="dxa"/>
            <w:vMerge/>
            <w:tcBorders>
              <w:top w:val="nil"/>
              <w:left w:val="single" w:sz="4" w:space="0" w:color="000000"/>
              <w:bottom w:val="single" w:sz="4" w:space="0" w:color="000000"/>
              <w:right w:val="single" w:sz="4" w:space="0" w:color="000000"/>
            </w:tcBorders>
          </w:tcPr>
          <w:p w14:paraId="7E26D92D" w14:textId="77777777" w:rsidR="001439E0" w:rsidRDefault="001439E0">
            <w:pPr>
              <w:rPr>
                <w:sz w:val="2"/>
                <w:szCs w:val="2"/>
              </w:rPr>
            </w:pPr>
          </w:p>
        </w:tc>
        <w:tc>
          <w:tcPr>
            <w:tcW w:w="1885" w:type="dxa"/>
            <w:tcBorders>
              <w:top w:val="single" w:sz="4" w:space="0" w:color="000000"/>
              <w:left w:val="single" w:sz="4" w:space="0" w:color="000000"/>
              <w:bottom w:val="single" w:sz="4" w:space="0" w:color="000000"/>
              <w:right w:val="single" w:sz="4" w:space="0" w:color="000000"/>
            </w:tcBorders>
          </w:tcPr>
          <w:p w14:paraId="7E26D92E" w14:textId="77777777" w:rsidR="001439E0" w:rsidRDefault="008A23E0">
            <w:pPr>
              <w:pStyle w:val="TableParagraph"/>
              <w:spacing w:before="131"/>
              <w:ind w:left="244" w:right="237"/>
              <w:jc w:val="center"/>
              <w:rPr>
                <w:sz w:val="16"/>
              </w:rPr>
            </w:pPr>
            <w:r>
              <w:rPr>
                <w:sz w:val="16"/>
              </w:rPr>
              <w:t>600 mg QD</w:t>
            </w:r>
          </w:p>
        </w:tc>
        <w:tc>
          <w:tcPr>
            <w:tcW w:w="1529" w:type="dxa"/>
            <w:tcBorders>
              <w:top w:val="single" w:sz="4" w:space="0" w:color="000000"/>
              <w:left w:val="single" w:sz="4" w:space="0" w:color="000000"/>
              <w:bottom w:val="single" w:sz="4" w:space="0" w:color="000000"/>
              <w:right w:val="single" w:sz="4" w:space="0" w:color="000000"/>
            </w:tcBorders>
          </w:tcPr>
          <w:p w14:paraId="7E26D92F" w14:textId="77777777" w:rsidR="001439E0" w:rsidRDefault="008A23E0">
            <w:pPr>
              <w:pStyle w:val="TableParagraph"/>
              <w:spacing w:before="40" w:line="184" w:lineRule="exact"/>
              <w:ind w:left="354"/>
              <w:rPr>
                <w:sz w:val="16"/>
              </w:rPr>
            </w:pPr>
            <w:r>
              <w:rPr>
                <w:sz w:val="16"/>
              </w:rPr>
              <w:t>100 mg QD</w:t>
            </w:r>
          </w:p>
          <w:p w14:paraId="7E26D930" w14:textId="77777777" w:rsidR="001439E0" w:rsidRDefault="008A23E0">
            <w:pPr>
              <w:pStyle w:val="TableParagraph"/>
              <w:ind w:left="305"/>
              <w:rPr>
                <w:sz w:val="16"/>
              </w:rPr>
            </w:pPr>
            <w:r>
              <w:rPr>
                <w:sz w:val="16"/>
              </w:rPr>
              <w:t>Steady State</w:t>
            </w:r>
          </w:p>
        </w:tc>
        <w:tc>
          <w:tcPr>
            <w:tcW w:w="456" w:type="dxa"/>
            <w:tcBorders>
              <w:top w:val="single" w:sz="4" w:space="0" w:color="000000"/>
              <w:left w:val="single" w:sz="4" w:space="0" w:color="000000"/>
              <w:bottom w:val="single" w:sz="4" w:space="0" w:color="000000"/>
              <w:right w:val="single" w:sz="4" w:space="0" w:color="000000"/>
            </w:tcBorders>
          </w:tcPr>
          <w:p w14:paraId="7E26D931" w14:textId="77777777" w:rsidR="001439E0" w:rsidRDefault="008A23E0">
            <w:pPr>
              <w:pStyle w:val="TableParagraph"/>
              <w:spacing w:before="131"/>
              <w:ind w:left="138"/>
              <w:rPr>
                <w:sz w:val="16"/>
              </w:rPr>
            </w:pPr>
            <w:r>
              <w:rPr>
                <w:sz w:val="16"/>
              </w:rPr>
              <w:t>17</w:t>
            </w:r>
          </w:p>
        </w:tc>
        <w:tc>
          <w:tcPr>
            <w:tcW w:w="1441" w:type="dxa"/>
            <w:tcBorders>
              <w:top w:val="single" w:sz="4" w:space="0" w:color="000000"/>
              <w:left w:val="single" w:sz="4" w:space="0" w:color="000000"/>
              <w:bottom w:val="single" w:sz="4" w:space="0" w:color="000000"/>
              <w:right w:val="single" w:sz="4" w:space="0" w:color="000000"/>
            </w:tcBorders>
          </w:tcPr>
          <w:p w14:paraId="7E26D932" w14:textId="77777777" w:rsidR="001439E0" w:rsidRDefault="008A23E0">
            <w:pPr>
              <w:pStyle w:val="TableParagraph"/>
              <w:spacing w:before="131"/>
              <w:ind w:left="109" w:right="103"/>
              <w:jc w:val="center"/>
              <w:rPr>
                <w:sz w:val="16"/>
              </w:rPr>
            </w:pPr>
            <w:r>
              <w:rPr>
                <w:sz w:val="16"/>
              </w:rPr>
              <w:t>0.68 (0.58, 0.80)</w:t>
            </w:r>
          </w:p>
        </w:tc>
        <w:tc>
          <w:tcPr>
            <w:tcW w:w="1435" w:type="dxa"/>
            <w:tcBorders>
              <w:top w:val="single" w:sz="4" w:space="0" w:color="000000"/>
              <w:left w:val="single" w:sz="4" w:space="0" w:color="000000"/>
              <w:bottom w:val="single" w:sz="4" w:space="0" w:color="000000"/>
              <w:right w:val="single" w:sz="4" w:space="0" w:color="000000"/>
            </w:tcBorders>
          </w:tcPr>
          <w:p w14:paraId="7E26D933" w14:textId="77777777" w:rsidR="001439E0" w:rsidRDefault="008A23E0">
            <w:pPr>
              <w:pStyle w:val="TableParagraph"/>
              <w:spacing w:before="131"/>
              <w:ind w:left="96" w:right="84"/>
              <w:jc w:val="center"/>
              <w:rPr>
                <w:sz w:val="16"/>
              </w:rPr>
            </w:pPr>
            <w:r>
              <w:rPr>
                <w:sz w:val="16"/>
              </w:rPr>
              <w:t>0.86 (0.77, 0.97)</w:t>
            </w:r>
          </w:p>
        </w:tc>
        <w:tc>
          <w:tcPr>
            <w:tcW w:w="1534" w:type="dxa"/>
            <w:tcBorders>
              <w:top w:val="single" w:sz="4" w:space="0" w:color="000000"/>
              <w:left w:val="single" w:sz="4" w:space="0" w:color="000000"/>
              <w:bottom w:val="single" w:sz="4" w:space="0" w:color="000000"/>
              <w:right w:val="single" w:sz="4" w:space="0" w:color="000000"/>
            </w:tcBorders>
          </w:tcPr>
          <w:p w14:paraId="7E26D934" w14:textId="77777777" w:rsidR="001439E0" w:rsidRDefault="008A23E0">
            <w:pPr>
              <w:pStyle w:val="TableParagraph"/>
              <w:spacing w:before="131"/>
              <w:ind w:left="146" w:right="134"/>
              <w:jc w:val="center"/>
              <w:rPr>
                <w:sz w:val="16"/>
              </w:rPr>
            </w:pPr>
            <w:r>
              <w:rPr>
                <w:sz w:val="16"/>
              </w:rPr>
              <w:t>0.50 (0.39, 0.64)</w:t>
            </w:r>
          </w:p>
        </w:tc>
      </w:tr>
      <w:tr w:rsidR="001439E0" w14:paraId="7E26D93D" w14:textId="77777777">
        <w:trPr>
          <w:trHeight w:val="350"/>
        </w:trPr>
        <w:tc>
          <w:tcPr>
            <w:tcW w:w="1367" w:type="dxa"/>
            <w:tcBorders>
              <w:top w:val="single" w:sz="4" w:space="0" w:color="000000"/>
              <w:left w:val="single" w:sz="4" w:space="0" w:color="000000"/>
              <w:bottom w:val="single" w:sz="4" w:space="0" w:color="000000"/>
              <w:right w:val="single" w:sz="4" w:space="0" w:color="000000"/>
            </w:tcBorders>
          </w:tcPr>
          <w:p w14:paraId="7E26D936" w14:textId="77777777" w:rsidR="001439E0" w:rsidRDefault="008A23E0">
            <w:pPr>
              <w:pStyle w:val="TableParagraph"/>
              <w:spacing w:before="83"/>
              <w:ind w:left="190" w:right="183"/>
              <w:jc w:val="center"/>
              <w:rPr>
                <w:sz w:val="16"/>
              </w:rPr>
            </w:pPr>
            <w:r>
              <w:rPr>
                <w:sz w:val="16"/>
              </w:rPr>
              <w:t>tenofovir DF</w:t>
            </w:r>
          </w:p>
        </w:tc>
        <w:tc>
          <w:tcPr>
            <w:tcW w:w="1885" w:type="dxa"/>
            <w:tcBorders>
              <w:top w:val="single" w:sz="4" w:space="0" w:color="000000"/>
              <w:left w:val="single" w:sz="4" w:space="0" w:color="000000"/>
              <w:bottom w:val="single" w:sz="4" w:space="0" w:color="000000"/>
              <w:right w:val="single" w:sz="4" w:space="0" w:color="000000"/>
            </w:tcBorders>
          </w:tcPr>
          <w:p w14:paraId="7E26D937" w14:textId="77777777" w:rsidR="001439E0" w:rsidRDefault="008A23E0">
            <w:pPr>
              <w:pStyle w:val="TableParagraph"/>
              <w:spacing w:before="83"/>
              <w:ind w:left="243" w:right="237"/>
              <w:jc w:val="center"/>
              <w:rPr>
                <w:sz w:val="16"/>
              </w:rPr>
            </w:pPr>
            <w:r>
              <w:rPr>
                <w:sz w:val="16"/>
              </w:rPr>
              <w:t>300 mg QD</w:t>
            </w:r>
          </w:p>
        </w:tc>
        <w:tc>
          <w:tcPr>
            <w:tcW w:w="1529" w:type="dxa"/>
            <w:tcBorders>
              <w:top w:val="single" w:sz="4" w:space="0" w:color="000000"/>
              <w:left w:val="single" w:sz="4" w:space="0" w:color="000000"/>
              <w:bottom w:val="single" w:sz="4" w:space="0" w:color="000000"/>
              <w:right w:val="single" w:sz="4" w:space="0" w:color="000000"/>
            </w:tcBorders>
          </w:tcPr>
          <w:p w14:paraId="7E26D938" w14:textId="77777777" w:rsidR="001439E0" w:rsidRDefault="008A23E0">
            <w:pPr>
              <w:pStyle w:val="TableParagraph"/>
              <w:spacing w:before="83"/>
              <w:ind w:left="101"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39" w14:textId="77777777" w:rsidR="001439E0" w:rsidRDefault="008A23E0">
            <w:pPr>
              <w:pStyle w:val="TableParagraph"/>
              <w:spacing w:before="83"/>
              <w:ind w:left="182"/>
              <w:rPr>
                <w:sz w:val="16"/>
              </w:rPr>
            </w:pPr>
            <w:r>
              <w:rPr>
                <w:w w:val="99"/>
                <w:sz w:val="16"/>
              </w:rPr>
              <w:t>7</w:t>
            </w:r>
          </w:p>
        </w:tc>
        <w:tc>
          <w:tcPr>
            <w:tcW w:w="1441" w:type="dxa"/>
            <w:tcBorders>
              <w:top w:val="single" w:sz="4" w:space="0" w:color="000000"/>
              <w:left w:val="single" w:sz="4" w:space="0" w:color="000000"/>
              <w:bottom w:val="single" w:sz="4" w:space="0" w:color="000000"/>
              <w:right w:val="single" w:sz="4" w:space="0" w:color="000000"/>
            </w:tcBorders>
          </w:tcPr>
          <w:p w14:paraId="7E26D93A" w14:textId="77777777" w:rsidR="001439E0" w:rsidRDefault="008A23E0">
            <w:pPr>
              <w:pStyle w:val="TableParagraph"/>
              <w:spacing w:before="83"/>
              <w:ind w:left="109" w:right="104"/>
              <w:jc w:val="center"/>
              <w:rPr>
                <w:sz w:val="16"/>
              </w:rPr>
            </w:pPr>
            <w:r>
              <w:rPr>
                <w:sz w:val="16"/>
              </w:rPr>
              <w:t>0.95 (0.80, 1.12)</w:t>
            </w:r>
          </w:p>
        </w:tc>
        <w:tc>
          <w:tcPr>
            <w:tcW w:w="1435" w:type="dxa"/>
            <w:tcBorders>
              <w:top w:val="single" w:sz="4" w:space="0" w:color="000000"/>
              <w:left w:val="single" w:sz="4" w:space="0" w:color="000000"/>
              <w:bottom w:val="single" w:sz="4" w:space="0" w:color="000000"/>
              <w:right w:val="single" w:sz="4" w:space="0" w:color="000000"/>
            </w:tcBorders>
          </w:tcPr>
          <w:p w14:paraId="7E26D93B" w14:textId="77777777" w:rsidR="001439E0" w:rsidRDefault="008A23E0">
            <w:pPr>
              <w:pStyle w:val="TableParagraph"/>
              <w:spacing w:before="83"/>
              <w:ind w:left="96" w:right="83"/>
              <w:jc w:val="center"/>
              <w:rPr>
                <w:sz w:val="16"/>
              </w:rPr>
            </w:pPr>
            <w:r>
              <w:rPr>
                <w:sz w:val="16"/>
              </w:rPr>
              <w:t>0.80 (0.64, 1.01)</w:t>
            </w:r>
          </w:p>
        </w:tc>
        <w:tc>
          <w:tcPr>
            <w:tcW w:w="1534" w:type="dxa"/>
            <w:tcBorders>
              <w:top w:val="single" w:sz="4" w:space="0" w:color="000000"/>
              <w:left w:val="single" w:sz="4" w:space="0" w:color="000000"/>
              <w:bottom w:val="single" w:sz="4" w:space="0" w:color="000000"/>
              <w:right w:val="single" w:sz="4" w:space="0" w:color="000000"/>
            </w:tcBorders>
          </w:tcPr>
          <w:p w14:paraId="7E26D93C" w14:textId="77777777" w:rsidR="001439E0" w:rsidRDefault="008A23E0">
            <w:pPr>
              <w:pStyle w:val="TableParagraph"/>
              <w:spacing w:before="83"/>
              <w:ind w:left="146" w:right="133"/>
              <w:jc w:val="center"/>
              <w:rPr>
                <w:sz w:val="16"/>
              </w:rPr>
            </w:pPr>
            <w:r>
              <w:rPr>
                <w:sz w:val="16"/>
              </w:rPr>
              <w:t>0.94 (0.78, 1.12)</w:t>
            </w:r>
          </w:p>
        </w:tc>
      </w:tr>
      <w:tr w:rsidR="001439E0" w14:paraId="7E26D94B" w14:textId="77777777">
        <w:trPr>
          <w:trHeight w:val="609"/>
        </w:trPr>
        <w:tc>
          <w:tcPr>
            <w:tcW w:w="1367" w:type="dxa"/>
            <w:tcBorders>
              <w:top w:val="single" w:sz="4" w:space="0" w:color="000000"/>
              <w:left w:val="single" w:sz="4" w:space="0" w:color="000000"/>
              <w:bottom w:val="single" w:sz="4" w:space="0" w:color="000000"/>
              <w:right w:val="single" w:sz="4" w:space="0" w:color="000000"/>
            </w:tcBorders>
          </w:tcPr>
          <w:p w14:paraId="7E26D93E" w14:textId="77777777" w:rsidR="001439E0" w:rsidRDefault="008A23E0">
            <w:pPr>
              <w:pStyle w:val="TableParagraph"/>
              <w:spacing w:before="121"/>
              <w:ind w:left="246" w:right="204" w:hanging="16"/>
              <w:rPr>
                <w:sz w:val="16"/>
              </w:rPr>
            </w:pPr>
            <w:r>
              <w:rPr>
                <w:sz w:val="16"/>
              </w:rPr>
              <w:t>lamivudine + tenofovir DF</w:t>
            </w:r>
          </w:p>
        </w:tc>
        <w:tc>
          <w:tcPr>
            <w:tcW w:w="1885" w:type="dxa"/>
            <w:tcBorders>
              <w:top w:val="single" w:sz="4" w:space="0" w:color="000000"/>
              <w:left w:val="single" w:sz="4" w:space="0" w:color="000000"/>
              <w:bottom w:val="single" w:sz="4" w:space="0" w:color="000000"/>
              <w:right w:val="single" w:sz="4" w:space="0" w:color="000000"/>
            </w:tcBorders>
          </w:tcPr>
          <w:p w14:paraId="7E26D93F" w14:textId="77777777" w:rsidR="001439E0" w:rsidRDefault="008A23E0">
            <w:pPr>
              <w:pStyle w:val="TableParagraph"/>
              <w:spacing w:before="28"/>
              <w:ind w:left="137"/>
              <w:rPr>
                <w:sz w:val="16"/>
              </w:rPr>
            </w:pPr>
            <w:r>
              <w:rPr>
                <w:sz w:val="16"/>
              </w:rPr>
              <w:t>300 mg lamivudine SD</w:t>
            </w:r>
          </w:p>
          <w:p w14:paraId="7E26D940" w14:textId="77777777" w:rsidR="001439E0" w:rsidRDefault="008A23E0">
            <w:pPr>
              <w:pStyle w:val="TableParagraph"/>
              <w:spacing w:before="1"/>
              <w:ind w:left="831" w:right="119" w:hanging="683"/>
              <w:rPr>
                <w:sz w:val="16"/>
              </w:rPr>
            </w:pPr>
            <w:r>
              <w:rPr>
                <w:sz w:val="16"/>
              </w:rPr>
              <w:t>+ 300 mg tenofovir DF SD</w:t>
            </w:r>
          </w:p>
        </w:tc>
        <w:tc>
          <w:tcPr>
            <w:tcW w:w="1529" w:type="dxa"/>
            <w:tcBorders>
              <w:top w:val="single" w:sz="4" w:space="0" w:color="000000"/>
              <w:left w:val="single" w:sz="4" w:space="0" w:color="000000"/>
              <w:bottom w:val="single" w:sz="4" w:space="0" w:color="000000"/>
              <w:right w:val="single" w:sz="4" w:space="0" w:color="000000"/>
            </w:tcBorders>
          </w:tcPr>
          <w:p w14:paraId="7E26D941" w14:textId="77777777" w:rsidR="001439E0" w:rsidRDefault="001439E0">
            <w:pPr>
              <w:pStyle w:val="TableParagraph"/>
              <w:spacing w:before="6"/>
              <w:rPr>
                <w:b/>
                <w:sz w:val="18"/>
              </w:rPr>
            </w:pPr>
          </w:p>
          <w:p w14:paraId="7E26D942" w14:textId="77777777" w:rsidR="001439E0" w:rsidRDefault="008A23E0">
            <w:pPr>
              <w:pStyle w:val="TableParagraph"/>
              <w:ind w:left="102"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43" w14:textId="77777777" w:rsidR="001439E0" w:rsidRDefault="001439E0">
            <w:pPr>
              <w:pStyle w:val="TableParagraph"/>
              <w:spacing w:before="6"/>
              <w:rPr>
                <w:b/>
                <w:sz w:val="18"/>
              </w:rPr>
            </w:pPr>
          </w:p>
          <w:p w14:paraId="7E26D944" w14:textId="77777777" w:rsidR="001439E0" w:rsidRDefault="008A23E0">
            <w:pPr>
              <w:pStyle w:val="TableParagraph"/>
              <w:ind w:left="138"/>
              <w:rPr>
                <w:sz w:val="16"/>
              </w:rPr>
            </w:pPr>
            <w:r>
              <w:rPr>
                <w:sz w:val="16"/>
              </w:rPr>
              <w:t>15</w:t>
            </w:r>
          </w:p>
        </w:tc>
        <w:tc>
          <w:tcPr>
            <w:tcW w:w="1441" w:type="dxa"/>
            <w:tcBorders>
              <w:top w:val="single" w:sz="4" w:space="0" w:color="000000"/>
              <w:left w:val="single" w:sz="4" w:space="0" w:color="000000"/>
              <w:bottom w:val="single" w:sz="4" w:space="0" w:color="000000"/>
              <w:right w:val="single" w:sz="4" w:space="0" w:color="000000"/>
            </w:tcBorders>
          </w:tcPr>
          <w:p w14:paraId="7E26D945" w14:textId="77777777" w:rsidR="001439E0" w:rsidRDefault="001439E0">
            <w:pPr>
              <w:pStyle w:val="TableParagraph"/>
              <w:spacing w:before="6"/>
              <w:rPr>
                <w:b/>
                <w:sz w:val="18"/>
              </w:rPr>
            </w:pPr>
          </w:p>
          <w:p w14:paraId="7E26D946" w14:textId="77777777" w:rsidR="001439E0" w:rsidRDefault="008A23E0">
            <w:pPr>
              <w:pStyle w:val="TableParagraph"/>
              <w:ind w:left="109" w:right="104"/>
              <w:jc w:val="center"/>
              <w:rPr>
                <w:sz w:val="16"/>
              </w:rPr>
            </w:pPr>
            <w:r>
              <w:rPr>
                <w:sz w:val="16"/>
              </w:rPr>
              <w:t>0.96 (0.87, 1.06)</w:t>
            </w:r>
          </w:p>
        </w:tc>
        <w:tc>
          <w:tcPr>
            <w:tcW w:w="1435" w:type="dxa"/>
            <w:tcBorders>
              <w:top w:val="single" w:sz="4" w:space="0" w:color="000000"/>
              <w:left w:val="single" w:sz="4" w:space="0" w:color="000000"/>
              <w:bottom w:val="single" w:sz="4" w:space="0" w:color="000000"/>
              <w:right w:val="single" w:sz="4" w:space="0" w:color="000000"/>
            </w:tcBorders>
          </w:tcPr>
          <w:p w14:paraId="7E26D947" w14:textId="77777777" w:rsidR="001439E0" w:rsidRDefault="001439E0">
            <w:pPr>
              <w:pStyle w:val="TableParagraph"/>
              <w:spacing w:before="6"/>
              <w:rPr>
                <w:b/>
                <w:sz w:val="18"/>
              </w:rPr>
            </w:pPr>
          </w:p>
          <w:p w14:paraId="7E26D948" w14:textId="77777777" w:rsidR="001439E0" w:rsidRDefault="008A23E0">
            <w:pPr>
              <w:pStyle w:val="TableParagraph"/>
              <w:ind w:left="96" w:right="84"/>
              <w:jc w:val="center"/>
              <w:rPr>
                <w:sz w:val="16"/>
              </w:rPr>
            </w:pPr>
            <w:r>
              <w:rPr>
                <w:sz w:val="16"/>
              </w:rPr>
              <w:t>0.97 (0.88, 1.07)</w:t>
            </w:r>
          </w:p>
        </w:tc>
        <w:tc>
          <w:tcPr>
            <w:tcW w:w="1534" w:type="dxa"/>
            <w:tcBorders>
              <w:top w:val="single" w:sz="4" w:space="0" w:color="000000"/>
              <w:left w:val="single" w:sz="4" w:space="0" w:color="000000"/>
              <w:bottom w:val="single" w:sz="4" w:space="0" w:color="000000"/>
              <w:right w:val="single" w:sz="4" w:space="0" w:color="000000"/>
            </w:tcBorders>
          </w:tcPr>
          <w:p w14:paraId="7E26D949" w14:textId="77777777" w:rsidR="001439E0" w:rsidRDefault="001439E0">
            <w:pPr>
              <w:pStyle w:val="TableParagraph"/>
              <w:spacing w:before="6"/>
              <w:rPr>
                <w:b/>
                <w:sz w:val="18"/>
              </w:rPr>
            </w:pPr>
          </w:p>
          <w:p w14:paraId="7E26D94A" w14:textId="77777777" w:rsidR="001439E0" w:rsidRDefault="008A23E0">
            <w:pPr>
              <w:pStyle w:val="TableParagraph"/>
              <w:ind w:left="146" w:right="134"/>
              <w:jc w:val="center"/>
              <w:rPr>
                <w:sz w:val="16"/>
              </w:rPr>
            </w:pPr>
            <w:r>
              <w:rPr>
                <w:sz w:val="16"/>
              </w:rPr>
              <w:t>0.94 (0.83, 1.06)</w:t>
            </w:r>
          </w:p>
        </w:tc>
      </w:tr>
      <w:tr w:rsidR="001439E0" w14:paraId="7E26D94D" w14:textId="77777777">
        <w:trPr>
          <w:trHeight w:val="322"/>
        </w:trPr>
        <w:tc>
          <w:tcPr>
            <w:tcW w:w="9647" w:type="dxa"/>
            <w:gridSpan w:val="7"/>
            <w:tcBorders>
              <w:top w:val="single" w:sz="4" w:space="0" w:color="000000"/>
              <w:left w:val="single" w:sz="4" w:space="0" w:color="000000"/>
              <w:bottom w:val="single" w:sz="4" w:space="0" w:color="000000"/>
              <w:right w:val="single" w:sz="4" w:space="0" w:color="000000"/>
            </w:tcBorders>
          </w:tcPr>
          <w:p w14:paraId="7E26D94C" w14:textId="77777777" w:rsidR="001439E0" w:rsidRDefault="008A23E0">
            <w:pPr>
              <w:pStyle w:val="TableParagraph"/>
              <w:spacing w:before="69"/>
              <w:ind w:left="3748" w:right="3740"/>
              <w:jc w:val="center"/>
              <w:rPr>
                <w:b/>
                <w:sz w:val="16"/>
              </w:rPr>
            </w:pPr>
            <w:r>
              <w:rPr>
                <w:b/>
                <w:sz w:val="16"/>
              </w:rPr>
              <w:t>Hepatitis C Antiviral Agents</w:t>
            </w:r>
          </w:p>
        </w:tc>
      </w:tr>
      <w:tr w:rsidR="001439E0" w14:paraId="7E26D955" w14:textId="77777777">
        <w:trPr>
          <w:trHeight w:val="432"/>
        </w:trPr>
        <w:tc>
          <w:tcPr>
            <w:tcW w:w="1367" w:type="dxa"/>
            <w:tcBorders>
              <w:top w:val="single" w:sz="4" w:space="0" w:color="000000"/>
              <w:left w:val="single" w:sz="4" w:space="0" w:color="000000"/>
              <w:bottom w:val="single" w:sz="4" w:space="0" w:color="000000"/>
              <w:right w:val="single" w:sz="4" w:space="0" w:color="000000"/>
            </w:tcBorders>
          </w:tcPr>
          <w:p w14:paraId="7E26D94E" w14:textId="77777777" w:rsidR="001439E0" w:rsidRDefault="008A23E0">
            <w:pPr>
              <w:pStyle w:val="TableParagraph"/>
              <w:spacing w:before="32"/>
              <w:ind w:left="282" w:right="254" w:firstLine="55"/>
              <w:rPr>
                <w:sz w:val="16"/>
              </w:rPr>
            </w:pPr>
            <w:proofErr w:type="spellStart"/>
            <w:r>
              <w:rPr>
                <w:sz w:val="16"/>
              </w:rPr>
              <w:t>elbasvir</w:t>
            </w:r>
            <w:proofErr w:type="spellEnd"/>
            <w:r>
              <w:rPr>
                <w:sz w:val="16"/>
              </w:rPr>
              <w:t xml:space="preserve"> + </w:t>
            </w:r>
            <w:proofErr w:type="spellStart"/>
            <w:r>
              <w:rPr>
                <w:sz w:val="16"/>
              </w:rPr>
              <w:t>grazoprevir</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7E26D94F" w14:textId="77777777" w:rsidR="001439E0" w:rsidRDefault="008A23E0">
            <w:pPr>
              <w:pStyle w:val="TableParagraph"/>
              <w:spacing w:before="32"/>
              <w:ind w:left="109" w:right="83" w:firstLine="100"/>
              <w:rPr>
                <w:sz w:val="16"/>
              </w:rPr>
            </w:pPr>
            <w:r>
              <w:rPr>
                <w:sz w:val="16"/>
              </w:rPr>
              <w:t xml:space="preserve">50 mg </w:t>
            </w:r>
            <w:proofErr w:type="spellStart"/>
            <w:r>
              <w:rPr>
                <w:sz w:val="16"/>
              </w:rPr>
              <w:t>elbasvir</w:t>
            </w:r>
            <w:proofErr w:type="spellEnd"/>
            <w:r>
              <w:rPr>
                <w:sz w:val="16"/>
              </w:rPr>
              <w:t xml:space="preserve"> QD + 200 mg </w:t>
            </w:r>
            <w:proofErr w:type="spellStart"/>
            <w:r>
              <w:rPr>
                <w:sz w:val="16"/>
              </w:rPr>
              <w:t>grazoprevir</w:t>
            </w:r>
            <w:proofErr w:type="spellEnd"/>
            <w:r>
              <w:rPr>
                <w:sz w:val="16"/>
              </w:rPr>
              <w:t xml:space="preserve"> QD</w:t>
            </w:r>
          </w:p>
        </w:tc>
        <w:tc>
          <w:tcPr>
            <w:tcW w:w="1529" w:type="dxa"/>
            <w:tcBorders>
              <w:top w:val="single" w:sz="4" w:space="0" w:color="000000"/>
              <w:left w:val="single" w:sz="4" w:space="0" w:color="000000"/>
              <w:bottom w:val="single" w:sz="4" w:space="0" w:color="000000"/>
              <w:right w:val="single" w:sz="4" w:space="0" w:color="000000"/>
            </w:tcBorders>
          </w:tcPr>
          <w:p w14:paraId="7E26D950" w14:textId="77777777" w:rsidR="001439E0" w:rsidRDefault="008A23E0">
            <w:pPr>
              <w:pStyle w:val="TableParagraph"/>
              <w:spacing w:before="124"/>
              <w:ind w:left="102" w:right="95"/>
              <w:jc w:val="center"/>
              <w:rPr>
                <w:sz w:val="16"/>
              </w:rPr>
            </w:pPr>
            <w:r>
              <w:rPr>
                <w:sz w:val="16"/>
              </w:rPr>
              <w:t>100 mg QD</w:t>
            </w:r>
          </w:p>
        </w:tc>
        <w:tc>
          <w:tcPr>
            <w:tcW w:w="456" w:type="dxa"/>
            <w:tcBorders>
              <w:top w:val="single" w:sz="4" w:space="0" w:color="000000"/>
              <w:left w:val="single" w:sz="4" w:space="0" w:color="000000"/>
              <w:bottom w:val="single" w:sz="4" w:space="0" w:color="000000"/>
              <w:right w:val="single" w:sz="4" w:space="0" w:color="000000"/>
            </w:tcBorders>
          </w:tcPr>
          <w:p w14:paraId="7E26D951" w14:textId="77777777" w:rsidR="001439E0" w:rsidRDefault="008A23E0">
            <w:pPr>
              <w:pStyle w:val="TableParagraph"/>
              <w:spacing w:before="124"/>
              <w:ind w:left="137"/>
              <w:rPr>
                <w:sz w:val="16"/>
              </w:rPr>
            </w:pPr>
            <w:r>
              <w:rPr>
                <w:sz w:val="16"/>
              </w:rPr>
              <w:t>12</w:t>
            </w:r>
          </w:p>
        </w:tc>
        <w:tc>
          <w:tcPr>
            <w:tcW w:w="1441" w:type="dxa"/>
            <w:tcBorders>
              <w:top w:val="single" w:sz="4" w:space="0" w:color="000000"/>
              <w:left w:val="single" w:sz="4" w:space="0" w:color="000000"/>
              <w:bottom w:val="single" w:sz="4" w:space="0" w:color="000000"/>
              <w:right w:val="single" w:sz="4" w:space="0" w:color="000000"/>
            </w:tcBorders>
          </w:tcPr>
          <w:p w14:paraId="7E26D952" w14:textId="77777777" w:rsidR="001439E0" w:rsidRDefault="008A23E0">
            <w:pPr>
              <w:pStyle w:val="TableParagraph"/>
              <w:spacing w:before="124"/>
              <w:ind w:left="109" w:right="104"/>
              <w:jc w:val="center"/>
              <w:rPr>
                <w:sz w:val="16"/>
              </w:rPr>
            </w:pPr>
            <w:r>
              <w:rPr>
                <w:sz w:val="16"/>
              </w:rPr>
              <w:t>1.56 (1.45, 1.68)</w:t>
            </w:r>
          </w:p>
        </w:tc>
        <w:tc>
          <w:tcPr>
            <w:tcW w:w="1435" w:type="dxa"/>
            <w:tcBorders>
              <w:top w:val="single" w:sz="4" w:space="0" w:color="000000"/>
              <w:left w:val="single" w:sz="4" w:space="0" w:color="000000"/>
              <w:bottom w:val="single" w:sz="4" w:space="0" w:color="000000"/>
              <w:right w:val="single" w:sz="4" w:space="0" w:color="000000"/>
            </w:tcBorders>
          </w:tcPr>
          <w:p w14:paraId="7E26D953" w14:textId="77777777" w:rsidR="001439E0" w:rsidRDefault="008A23E0">
            <w:pPr>
              <w:pStyle w:val="TableParagraph"/>
              <w:spacing w:before="124"/>
              <w:ind w:left="96" w:right="85"/>
              <w:jc w:val="center"/>
              <w:rPr>
                <w:sz w:val="16"/>
              </w:rPr>
            </w:pPr>
            <w:r>
              <w:rPr>
                <w:sz w:val="16"/>
              </w:rPr>
              <w:t>1.41 (1.25, 1.58)</w:t>
            </w:r>
          </w:p>
        </w:tc>
        <w:tc>
          <w:tcPr>
            <w:tcW w:w="1534" w:type="dxa"/>
            <w:tcBorders>
              <w:top w:val="single" w:sz="4" w:space="0" w:color="000000"/>
              <w:left w:val="single" w:sz="4" w:space="0" w:color="000000"/>
              <w:bottom w:val="single" w:sz="4" w:space="0" w:color="000000"/>
              <w:right w:val="single" w:sz="4" w:space="0" w:color="000000"/>
            </w:tcBorders>
          </w:tcPr>
          <w:p w14:paraId="7E26D954" w14:textId="77777777" w:rsidR="001439E0" w:rsidRDefault="008A23E0">
            <w:pPr>
              <w:pStyle w:val="TableParagraph"/>
              <w:spacing w:before="124"/>
              <w:ind w:left="146" w:right="134"/>
              <w:jc w:val="center"/>
              <w:rPr>
                <w:sz w:val="16"/>
              </w:rPr>
            </w:pPr>
            <w:r>
              <w:rPr>
                <w:sz w:val="16"/>
              </w:rPr>
              <w:t>1.61 (1.45, 1.79)</w:t>
            </w:r>
          </w:p>
        </w:tc>
      </w:tr>
      <w:tr w:rsidR="001439E0" w14:paraId="7E26D95D" w14:textId="77777777">
        <w:trPr>
          <w:trHeight w:val="411"/>
        </w:trPr>
        <w:tc>
          <w:tcPr>
            <w:tcW w:w="1367" w:type="dxa"/>
            <w:tcBorders>
              <w:top w:val="single" w:sz="4" w:space="0" w:color="000000"/>
              <w:left w:val="single" w:sz="4" w:space="0" w:color="000000"/>
              <w:bottom w:val="single" w:sz="4" w:space="0" w:color="000000"/>
              <w:right w:val="single" w:sz="4" w:space="0" w:color="000000"/>
            </w:tcBorders>
          </w:tcPr>
          <w:p w14:paraId="7E26D956" w14:textId="77777777" w:rsidR="001439E0" w:rsidRDefault="008A23E0">
            <w:pPr>
              <w:pStyle w:val="TableParagraph"/>
              <w:spacing w:before="21"/>
              <w:ind w:left="317" w:right="248" w:hanging="42"/>
              <w:rPr>
                <w:sz w:val="16"/>
              </w:rPr>
            </w:pPr>
            <w:proofErr w:type="spellStart"/>
            <w:r>
              <w:rPr>
                <w:sz w:val="16"/>
              </w:rPr>
              <w:t>ledipasvir</w:t>
            </w:r>
            <w:proofErr w:type="spellEnd"/>
            <w:r>
              <w:rPr>
                <w:sz w:val="16"/>
              </w:rPr>
              <w:t xml:space="preserve"> + </w:t>
            </w:r>
            <w:proofErr w:type="spellStart"/>
            <w:r>
              <w:rPr>
                <w:sz w:val="16"/>
              </w:rPr>
              <w:t>sofosbuvir</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7E26D957" w14:textId="77777777" w:rsidR="001439E0" w:rsidRDefault="008A23E0">
            <w:pPr>
              <w:pStyle w:val="TableParagraph"/>
              <w:spacing w:before="21"/>
              <w:ind w:left="155" w:right="125" w:firstLine="1"/>
              <w:rPr>
                <w:sz w:val="16"/>
              </w:rPr>
            </w:pPr>
            <w:r>
              <w:rPr>
                <w:sz w:val="16"/>
              </w:rPr>
              <w:t xml:space="preserve">90 mg </w:t>
            </w:r>
            <w:proofErr w:type="spellStart"/>
            <w:r>
              <w:rPr>
                <w:sz w:val="16"/>
              </w:rPr>
              <w:t>ledipasvir</w:t>
            </w:r>
            <w:proofErr w:type="spellEnd"/>
            <w:r>
              <w:rPr>
                <w:sz w:val="16"/>
              </w:rPr>
              <w:t xml:space="preserve"> SD + 400 mg </w:t>
            </w:r>
            <w:proofErr w:type="spellStart"/>
            <w:r>
              <w:rPr>
                <w:sz w:val="16"/>
              </w:rPr>
              <w:t>sofosbuvir</w:t>
            </w:r>
            <w:proofErr w:type="spellEnd"/>
            <w:r>
              <w:rPr>
                <w:sz w:val="16"/>
              </w:rPr>
              <w:t xml:space="preserve"> SD</w:t>
            </w:r>
          </w:p>
        </w:tc>
        <w:tc>
          <w:tcPr>
            <w:tcW w:w="1529" w:type="dxa"/>
            <w:tcBorders>
              <w:top w:val="single" w:sz="4" w:space="0" w:color="000000"/>
              <w:left w:val="single" w:sz="4" w:space="0" w:color="000000"/>
              <w:bottom w:val="single" w:sz="4" w:space="0" w:color="000000"/>
              <w:right w:val="single" w:sz="4" w:space="0" w:color="000000"/>
            </w:tcBorders>
          </w:tcPr>
          <w:p w14:paraId="7E26D958" w14:textId="77777777" w:rsidR="001439E0" w:rsidRDefault="008A23E0">
            <w:pPr>
              <w:pStyle w:val="TableParagraph"/>
              <w:spacing w:before="113"/>
              <w:ind w:left="102"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59" w14:textId="77777777" w:rsidR="001439E0" w:rsidRDefault="008A23E0">
            <w:pPr>
              <w:pStyle w:val="TableParagraph"/>
              <w:spacing w:before="113"/>
              <w:ind w:left="138"/>
              <w:rPr>
                <w:sz w:val="16"/>
              </w:rPr>
            </w:pPr>
            <w:r>
              <w:rPr>
                <w:sz w:val="16"/>
              </w:rPr>
              <w:t>14</w:t>
            </w:r>
          </w:p>
        </w:tc>
        <w:tc>
          <w:tcPr>
            <w:tcW w:w="1441" w:type="dxa"/>
            <w:tcBorders>
              <w:top w:val="single" w:sz="4" w:space="0" w:color="000000"/>
              <w:left w:val="single" w:sz="4" w:space="0" w:color="000000"/>
              <w:bottom w:val="single" w:sz="4" w:space="0" w:color="000000"/>
              <w:right w:val="single" w:sz="4" w:space="0" w:color="000000"/>
            </w:tcBorders>
          </w:tcPr>
          <w:p w14:paraId="7E26D95A" w14:textId="77777777" w:rsidR="001439E0" w:rsidRDefault="008A23E0">
            <w:pPr>
              <w:pStyle w:val="TableParagraph"/>
              <w:spacing w:before="113"/>
              <w:ind w:left="109" w:right="104"/>
              <w:jc w:val="center"/>
              <w:rPr>
                <w:sz w:val="16"/>
              </w:rPr>
            </w:pPr>
            <w:r>
              <w:rPr>
                <w:sz w:val="16"/>
              </w:rPr>
              <w:t>1.15 (1.07, 1.24)</w:t>
            </w:r>
          </w:p>
        </w:tc>
        <w:tc>
          <w:tcPr>
            <w:tcW w:w="1435" w:type="dxa"/>
            <w:tcBorders>
              <w:top w:val="single" w:sz="4" w:space="0" w:color="000000"/>
              <w:left w:val="single" w:sz="4" w:space="0" w:color="000000"/>
              <w:bottom w:val="single" w:sz="4" w:space="0" w:color="000000"/>
              <w:right w:val="single" w:sz="4" w:space="0" w:color="000000"/>
            </w:tcBorders>
          </w:tcPr>
          <w:p w14:paraId="7E26D95B" w14:textId="77777777" w:rsidR="001439E0" w:rsidRDefault="008A23E0">
            <w:pPr>
              <w:pStyle w:val="TableParagraph"/>
              <w:spacing w:before="113"/>
              <w:ind w:left="96" w:right="84"/>
              <w:jc w:val="center"/>
              <w:rPr>
                <w:sz w:val="16"/>
              </w:rPr>
            </w:pPr>
            <w:r>
              <w:rPr>
                <w:sz w:val="16"/>
              </w:rPr>
              <w:t>1.11 (0.97, 1.27)</w:t>
            </w:r>
          </w:p>
        </w:tc>
        <w:tc>
          <w:tcPr>
            <w:tcW w:w="1534" w:type="dxa"/>
            <w:tcBorders>
              <w:top w:val="single" w:sz="4" w:space="0" w:color="000000"/>
              <w:left w:val="single" w:sz="4" w:space="0" w:color="000000"/>
              <w:bottom w:val="single" w:sz="4" w:space="0" w:color="000000"/>
              <w:right w:val="single" w:sz="4" w:space="0" w:color="000000"/>
            </w:tcBorders>
          </w:tcPr>
          <w:p w14:paraId="7E26D95C" w14:textId="77777777" w:rsidR="001439E0" w:rsidRDefault="008A23E0">
            <w:pPr>
              <w:pStyle w:val="TableParagraph"/>
              <w:spacing w:before="113"/>
              <w:ind w:left="146" w:right="134"/>
              <w:jc w:val="center"/>
              <w:rPr>
                <w:sz w:val="16"/>
              </w:rPr>
            </w:pPr>
            <w:r>
              <w:rPr>
                <w:sz w:val="16"/>
              </w:rPr>
              <w:t>1.24 (1.13, 1.36)</w:t>
            </w:r>
          </w:p>
        </w:tc>
      </w:tr>
      <w:tr w:rsidR="001439E0" w14:paraId="7E26D95F" w14:textId="77777777">
        <w:trPr>
          <w:trHeight w:val="281"/>
        </w:trPr>
        <w:tc>
          <w:tcPr>
            <w:tcW w:w="9647" w:type="dxa"/>
            <w:gridSpan w:val="7"/>
            <w:tcBorders>
              <w:top w:val="single" w:sz="4" w:space="0" w:color="000000"/>
              <w:left w:val="single" w:sz="4" w:space="0" w:color="000000"/>
              <w:bottom w:val="single" w:sz="4" w:space="0" w:color="000000"/>
              <w:right w:val="single" w:sz="4" w:space="0" w:color="000000"/>
            </w:tcBorders>
          </w:tcPr>
          <w:p w14:paraId="7E26D95E" w14:textId="77777777" w:rsidR="001439E0" w:rsidRDefault="008A23E0">
            <w:pPr>
              <w:pStyle w:val="TableParagraph"/>
              <w:spacing w:before="49"/>
              <w:ind w:left="3748" w:right="3739"/>
              <w:jc w:val="center"/>
              <w:rPr>
                <w:b/>
                <w:sz w:val="16"/>
              </w:rPr>
            </w:pPr>
            <w:r>
              <w:rPr>
                <w:b/>
                <w:sz w:val="16"/>
              </w:rPr>
              <w:t>Acid-Reducing Agents</w:t>
            </w:r>
          </w:p>
        </w:tc>
      </w:tr>
      <w:tr w:rsidR="001439E0" w14:paraId="7E26D96E" w14:textId="77777777">
        <w:trPr>
          <w:trHeight w:val="920"/>
        </w:trPr>
        <w:tc>
          <w:tcPr>
            <w:tcW w:w="1367" w:type="dxa"/>
            <w:tcBorders>
              <w:top w:val="single" w:sz="4" w:space="0" w:color="000000"/>
              <w:left w:val="single" w:sz="4" w:space="0" w:color="000000"/>
              <w:bottom w:val="single" w:sz="4" w:space="0" w:color="000000"/>
              <w:right w:val="single" w:sz="4" w:space="0" w:color="000000"/>
            </w:tcBorders>
          </w:tcPr>
          <w:p w14:paraId="7E26D960" w14:textId="77777777" w:rsidR="001439E0" w:rsidRDefault="008A23E0">
            <w:pPr>
              <w:pStyle w:val="TableParagraph"/>
              <w:ind w:left="136" w:right="125" w:hanging="2"/>
              <w:jc w:val="center"/>
              <w:rPr>
                <w:sz w:val="16"/>
              </w:rPr>
            </w:pPr>
            <w:r>
              <w:rPr>
                <w:sz w:val="16"/>
              </w:rPr>
              <w:t>antacid (</w:t>
            </w:r>
            <w:proofErr w:type="spellStart"/>
            <w:r>
              <w:rPr>
                <w:sz w:val="16"/>
              </w:rPr>
              <w:t>aluminium</w:t>
            </w:r>
            <w:proofErr w:type="spellEnd"/>
            <w:r>
              <w:rPr>
                <w:sz w:val="16"/>
              </w:rPr>
              <w:t xml:space="preserve"> and magnesium hydroxide oral</w:t>
            </w:r>
          </w:p>
          <w:p w14:paraId="7E26D961" w14:textId="77777777" w:rsidR="001439E0" w:rsidRDefault="008A23E0">
            <w:pPr>
              <w:pStyle w:val="TableParagraph"/>
              <w:spacing w:line="163" w:lineRule="exact"/>
              <w:ind w:left="190" w:right="181"/>
              <w:jc w:val="center"/>
              <w:rPr>
                <w:sz w:val="16"/>
              </w:rPr>
            </w:pPr>
            <w:r>
              <w:rPr>
                <w:sz w:val="16"/>
              </w:rPr>
              <w:t>suspension)</w:t>
            </w:r>
          </w:p>
        </w:tc>
        <w:tc>
          <w:tcPr>
            <w:tcW w:w="1885" w:type="dxa"/>
            <w:tcBorders>
              <w:top w:val="single" w:sz="4" w:space="0" w:color="000000"/>
              <w:left w:val="single" w:sz="4" w:space="0" w:color="000000"/>
              <w:bottom w:val="single" w:sz="4" w:space="0" w:color="000000"/>
              <w:right w:val="single" w:sz="4" w:space="0" w:color="000000"/>
            </w:tcBorders>
          </w:tcPr>
          <w:p w14:paraId="7E26D962" w14:textId="77777777" w:rsidR="001439E0" w:rsidRDefault="001439E0">
            <w:pPr>
              <w:pStyle w:val="TableParagraph"/>
              <w:rPr>
                <w:b/>
                <w:sz w:val="18"/>
              </w:rPr>
            </w:pPr>
          </w:p>
          <w:p w14:paraId="7E26D963" w14:textId="77777777" w:rsidR="001439E0" w:rsidRDefault="008A23E0">
            <w:pPr>
              <w:pStyle w:val="TableParagraph"/>
              <w:spacing w:before="161"/>
              <w:ind w:left="244" w:right="237"/>
              <w:jc w:val="center"/>
              <w:rPr>
                <w:sz w:val="16"/>
              </w:rPr>
            </w:pPr>
            <w:r>
              <w:rPr>
                <w:sz w:val="16"/>
              </w:rPr>
              <w:t>20 mL SD</w:t>
            </w:r>
          </w:p>
        </w:tc>
        <w:tc>
          <w:tcPr>
            <w:tcW w:w="1529" w:type="dxa"/>
            <w:tcBorders>
              <w:top w:val="single" w:sz="4" w:space="0" w:color="000000"/>
              <w:left w:val="single" w:sz="4" w:space="0" w:color="000000"/>
              <w:bottom w:val="single" w:sz="4" w:space="0" w:color="000000"/>
              <w:right w:val="single" w:sz="4" w:space="0" w:color="000000"/>
            </w:tcBorders>
          </w:tcPr>
          <w:p w14:paraId="7E26D964" w14:textId="77777777" w:rsidR="001439E0" w:rsidRDefault="001439E0">
            <w:pPr>
              <w:pStyle w:val="TableParagraph"/>
              <w:rPr>
                <w:b/>
                <w:sz w:val="18"/>
              </w:rPr>
            </w:pPr>
          </w:p>
          <w:p w14:paraId="7E26D965" w14:textId="77777777" w:rsidR="001439E0" w:rsidRDefault="008A23E0">
            <w:pPr>
              <w:pStyle w:val="TableParagraph"/>
              <w:spacing w:before="161"/>
              <w:ind w:left="101"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66" w14:textId="77777777" w:rsidR="001439E0" w:rsidRDefault="001439E0">
            <w:pPr>
              <w:pStyle w:val="TableParagraph"/>
              <w:rPr>
                <w:b/>
                <w:sz w:val="18"/>
              </w:rPr>
            </w:pPr>
          </w:p>
          <w:p w14:paraId="7E26D967" w14:textId="77777777" w:rsidR="001439E0" w:rsidRDefault="008A23E0">
            <w:pPr>
              <w:pStyle w:val="TableParagraph"/>
              <w:spacing w:before="161"/>
              <w:ind w:left="137"/>
              <w:rPr>
                <w:sz w:val="16"/>
              </w:rPr>
            </w:pPr>
            <w:r>
              <w:rPr>
                <w:sz w:val="16"/>
              </w:rPr>
              <w:t>14</w:t>
            </w:r>
          </w:p>
        </w:tc>
        <w:tc>
          <w:tcPr>
            <w:tcW w:w="1441" w:type="dxa"/>
            <w:tcBorders>
              <w:top w:val="single" w:sz="4" w:space="0" w:color="000000"/>
              <w:left w:val="single" w:sz="4" w:space="0" w:color="000000"/>
              <w:bottom w:val="single" w:sz="4" w:space="0" w:color="000000"/>
              <w:right w:val="single" w:sz="4" w:space="0" w:color="000000"/>
            </w:tcBorders>
          </w:tcPr>
          <w:p w14:paraId="7E26D968" w14:textId="77777777" w:rsidR="001439E0" w:rsidRDefault="001439E0">
            <w:pPr>
              <w:pStyle w:val="TableParagraph"/>
              <w:rPr>
                <w:b/>
                <w:sz w:val="18"/>
              </w:rPr>
            </w:pPr>
          </w:p>
          <w:p w14:paraId="7E26D969" w14:textId="77777777" w:rsidR="001439E0" w:rsidRDefault="008A23E0">
            <w:pPr>
              <w:pStyle w:val="TableParagraph"/>
              <w:spacing w:before="161"/>
              <w:ind w:left="109" w:right="104"/>
              <w:jc w:val="center"/>
              <w:rPr>
                <w:sz w:val="16"/>
              </w:rPr>
            </w:pPr>
            <w:r>
              <w:rPr>
                <w:sz w:val="16"/>
              </w:rPr>
              <w:t>1.01 (0.92, 1.11)</w:t>
            </w:r>
          </w:p>
        </w:tc>
        <w:tc>
          <w:tcPr>
            <w:tcW w:w="1435" w:type="dxa"/>
            <w:tcBorders>
              <w:top w:val="single" w:sz="4" w:space="0" w:color="000000"/>
              <w:left w:val="single" w:sz="4" w:space="0" w:color="000000"/>
              <w:bottom w:val="single" w:sz="4" w:space="0" w:color="000000"/>
              <w:right w:val="single" w:sz="4" w:space="0" w:color="000000"/>
            </w:tcBorders>
          </w:tcPr>
          <w:p w14:paraId="7E26D96A" w14:textId="77777777" w:rsidR="001439E0" w:rsidRDefault="001439E0">
            <w:pPr>
              <w:pStyle w:val="TableParagraph"/>
              <w:rPr>
                <w:b/>
                <w:sz w:val="18"/>
              </w:rPr>
            </w:pPr>
          </w:p>
          <w:p w14:paraId="7E26D96B" w14:textId="77777777" w:rsidR="001439E0" w:rsidRDefault="008A23E0">
            <w:pPr>
              <w:pStyle w:val="TableParagraph"/>
              <w:spacing w:before="161"/>
              <w:ind w:left="96" w:right="84"/>
              <w:jc w:val="center"/>
              <w:rPr>
                <w:sz w:val="16"/>
              </w:rPr>
            </w:pPr>
            <w:r>
              <w:rPr>
                <w:sz w:val="16"/>
              </w:rPr>
              <w:t>0.86 (0.74, 1.01)</w:t>
            </w:r>
          </w:p>
        </w:tc>
        <w:tc>
          <w:tcPr>
            <w:tcW w:w="1534" w:type="dxa"/>
            <w:tcBorders>
              <w:top w:val="single" w:sz="4" w:space="0" w:color="000000"/>
              <w:left w:val="single" w:sz="4" w:space="0" w:color="000000"/>
              <w:bottom w:val="single" w:sz="4" w:space="0" w:color="000000"/>
              <w:right w:val="single" w:sz="4" w:space="0" w:color="000000"/>
            </w:tcBorders>
          </w:tcPr>
          <w:p w14:paraId="7E26D96C" w14:textId="77777777" w:rsidR="001439E0" w:rsidRDefault="001439E0">
            <w:pPr>
              <w:pStyle w:val="TableParagraph"/>
              <w:rPr>
                <w:b/>
                <w:sz w:val="18"/>
              </w:rPr>
            </w:pPr>
          </w:p>
          <w:p w14:paraId="7E26D96D" w14:textId="77777777" w:rsidR="001439E0" w:rsidRDefault="008A23E0">
            <w:pPr>
              <w:pStyle w:val="TableParagraph"/>
              <w:spacing w:before="161"/>
              <w:ind w:left="146" w:right="133"/>
              <w:jc w:val="center"/>
              <w:rPr>
                <w:sz w:val="16"/>
              </w:rPr>
            </w:pPr>
            <w:r>
              <w:rPr>
                <w:sz w:val="16"/>
              </w:rPr>
              <w:t>1.03 (0.94, 1.12)</w:t>
            </w:r>
          </w:p>
        </w:tc>
      </w:tr>
      <w:tr w:rsidR="001439E0" w14:paraId="7E26D976" w14:textId="77777777">
        <w:trPr>
          <w:trHeight w:val="353"/>
        </w:trPr>
        <w:tc>
          <w:tcPr>
            <w:tcW w:w="1367" w:type="dxa"/>
            <w:tcBorders>
              <w:top w:val="single" w:sz="4" w:space="0" w:color="000000"/>
              <w:left w:val="single" w:sz="4" w:space="0" w:color="000000"/>
              <w:bottom w:val="single" w:sz="4" w:space="0" w:color="000000"/>
              <w:right w:val="single" w:sz="4" w:space="0" w:color="000000"/>
            </w:tcBorders>
          </w:tcPr>
          <w:p w14:paraId="7E26D96F" w14:textId="77777777" w:rsidR="001439E0" w:rsidRDefault="008A23E0">
            <w:pPr>
              <w:pStyle w:val="TableParagraph"/>
              <w:spacing w:before="85"/>
              <w:ind w:left="190" w:right="183"/>
              <w:jc w:val="center"/>
              <w:rPr>
                <w:sz w:val="16"/>
              </w:rPr>
            </w:pPr>
            <w:r>
              <w:rPr>
                <w:sz w:val="16"/>
              </w:rPr>
              <w:t>pantoprazole</w:t>
            </w:r>
          </w:p>
        </w:tc>
        <w:tc>
          <w:tcPr>
            <w:tcW w:w="1885" w:type="dxa"/>
            <w:tcBorders>
              <w:top w:val="single" w:sz="4" w:space="0" w:color="000000"/>
              <w:left w:val="single" w:sz="4" w:space="0" w:color="000000"/>
              <w:bottom w:val="single" w:sz="4" w:space="0" w:color="000000"/>
              <w:right w:val="single" w:sz="4" w:space="0" w:color="000000"/>
            </w:tcBorders>
          </w:tcPr>
          <w:p w14:paraId="7E26D970" w14:textId="77777777" w:rsidR="001439E0" w:rsidRDefault="008A23E0">
            <w:pPr>
              <w:pStyle w:val="TableParagraph"/>
              <w:spacing w:before="85"/>
              <w:ind w:left="242" w:right="237"/>
              <w:jc w:val="center"/>
              <w:rPr>
                <w:sz w:val="16"/>
              </w:rPr>
            </w:pPr>
            <w:r>
              <w:rPr>
                <w:sz w:val="16"/>
              </w:rPr>
              <w:t>40 mg QD</w:t>
            </w:r>
          </w:p>
        </w:tc>
        <w:tc>
          <w:tcPr>
            <w:tcW w:w="1529" w:type="dxa"/>
            <w:tcBorders>
              <w:top w:val="single" w:sz="4" w:space="0" w:color="000000"/>
              <w:left w:val="single" w:sz="4" w:space="0" w:color="000000"/>
              <w:bottom w:val="single" w:sz="4" w:space="0" w:color="000000"/>
              <w:right w:val="single" w:sz="4" w:space="0" w:color="000000"/>
            </w:tcBorders>
          </w:tcPr>
          <w:p w14:paraId="7E26D971" w14:textId="77777777" w:rsidR="001439E0" w:rsidRDefault="008A23E0">
            <w:pPr>
              <w:pStyle w:val="TableParagraph"/>
              <w:spacing w:before="85"/>
              <w:ind w:left="100" w:right="96"/>
              <w:jc w:val="center"/>
              <w:rPr>
                <w:sz w:val="16"/>
              </w:rPr>
            </w:pPr>
            <w:r>
              <w:rPr>
                <w:sz w:val="16"/>
              </w:rPr>
              <w:t>100 mg SD</w:t>
            </w:r>
          </w:p>
        </w:tc>
        <w:tc>
          <w:tcPr>
            <w:tcW w:w="456" w:type="dxa"/>
            <w:tcBorders>
              <w:top w:val="single" w:sz="4" w:space="0" w:color="000000"/>
              <w:left w:val="single" w:sz="4" w:space="0" w:color="000000"/>
              <w:bottom w:val="single" w:sz="4" w:space="0" w:color="000000"/>
              <w:right w:val="single" w:sz="4" w:space="0" w:color="000000"/>
            </w:tcBorders>
          </w:tcPr>
          <w:p w14:paraId="7E26D972" w14:textId="77777777" w:rsidR="001439E0" w:rsidRDefault="008A23E0">
            <w:pPr>
              <w:pStyle w:val="TableParagraph"/>
              <w:spacing w:before="85"/>
              <w:ind w:left="137"/>
              <w:rPr>
                <w:sz w:val="16"/>
              </w:rPr>
            </w:pPr>
            <w:r>
              <w:rPr>
                <w:sz w:val="16"/>
              </w:rPr>
              <w:t>13</w:t>
            </w:r>
          </w:p>
        </w:tc>
        <w:tc>
          <w:tcPr>
            <w:tcW w:w="1441" w:type="dxa"/>
            <w:tcBorders>
              <w:top w:val="single" w:sz="4" w:space="0" w:color="000000"/>
              <w:left w:val="single" w:sz="4" w:space="0" w:color="000000"/>
              <w:bottom w:val="single" w:sz="4" w:space="0" w:color="000000"/>
              <w:right w:val="single" w:sz="4" w:space="0" w:color="000000"/>
            </w:tcBorders>
          </w:tcPr>
          <w:p w14:paraId="7E26D973" w14:textId="77777777" w:rsidR="001439E0" w:rsidRDefault="008A23E0">
            <w:pPr>
              <w:pStyle w:val="TableParagraph"/>
              <w:spacing w:before="85"/>
              <w:ind w:left="109" w:right="105"/>
              <w:jc w:val="center"/>
              <w:rPr>
                <w:sz w:val="16"/>
              </w:rPr>
            </w:pPr>
            <w:r>
              <w:rPr>
                <w:sz w:val="16"/>
              </w:rPr>
              <w:t>0.83 (0.76, 0.91)</w:t>
            </w:r>
          </w:p>
        </w:tc>
        <w:tc>
          <w:tcPr>
            <w:tcW w:w="1435" w:type="dxa"/>
            <w:tcBorders>
              <w:top w:val="single" w:sz="4" w:space="0" w:color="000000"/>
              <w:left w:val="single" w:sz="4" w:space="0" w:color="000000"/>
              <w:bottom w:val="single" w:sz="4" w:space="0" w:color="000000"/>
              <w:right w:val="single" w:sz="4" w:space="0" w:color="000000"/>
            </w:tcBorders>
          </w:tcPr>
          <w:p w14:paraId="7E26D974" w14:textId="77777777" w:rsidR="001439E0" w:rsidRDefault="008A23E0">
            <w:pPr>
              <w:pStyle w:val="TableParagraph"/>
              <w:spacing w:before="85"/>
              <w:ind w:left="96" w:right="84"/>
              <w:jc w:val="center"/>
              <w:rPr>
                <w:sz w:val="16"/>
              </w:rPr>
            </w:pPr>
            <w:r>
              <w:rPr>
                <w:sz w:val="16"/>
              </w:rPr>
              <w:t>0.88 (0.76, 1.01)</w:t>
            </w:r>
          </w:p>
        </w:tc>
        <w:tc>
          <w:tcPr>
            <w:tcW w:w="1534" w:type="dxa"/>
            <w:tcBorders>
              <w:top w:val="single" w:sz="4" w:space="0" w:color="000000"/>
              <w:left w:val="single" w:sz="4" w:space="0" w:color="000000"/>
              <w:bottom w:val="single" w:sz="4" w:space="0" w:color="000000"/>
              <w:right w:val="single" w:sz="4" w:space="0" w:color="000000"/>
            </w:tcBorders>
          </w:tcPr>
          <w:p w14:paraId="7E26D975" w14:textId="77777777" w:rsidR="001439E0" w:rsidRDefault="008A23E0">
            <w:pPr>
              <w:pStyle w:val="TableParagraph"/>
              <w:spacing w:before="85"/>
              <w:ind w:left="146" w:right="133"/>
              <w:jc w:val="center"/>
              <w:rPr>
                <w:sz w:val="16"/>
              </w:rPr>
            </w:pPr>
            <w:r>
              <w:rPr>
                <w:sz w:val="16"/>
              </w:rPr>
              <w:t>0.84 (0.77, 0.92)</w:t>
            </w:r>
          </w:p>
        </w:tc>
      </w:tr>
      <w:tr w:rsidR="001439E0" w14:paraId="7E26D978" w14:textId="77777777">
        <w:trPr>
          <w:trHeight w:val="287"/>
        </w:trPr>
        <w:tc>
          <w:tcPr>
            <w:tcW w:w="9647" w:type="dxa"/>
            <w:gridSpan w:val="7"/>
            <w:tcBorders>
              <w:top w:val="single" w:sz="4" w:space="0" w:color="000000"/>
              <w:left w:val="single" w:sz="4" w:space="0" w:color="000000"/>
              <w:bottom w:val="single" w:sz="4" w:space="0" w:color="000000"/>
              <w:right w:val="single" w:sz="4" w:space="0" w:color="000000"/>
            </w:tcBorders>
          </w:tcPr>
          <w:p w14:paraId="7E26D977" w14:textId="77777777" w:rsidR="001439E0" w:rsidRDefault="008A23E0">
            <w:pPr>
              <w:pStyle w:val="TableParagraph"/>
              <w:spacing w:before="52"/>
              <w:ind w:left="3748" w:right="3739"/>
              <w:jc w:val="center"/>
              <w:rPr>
                <w:b/>
                <w:sz w:val="16"/>
              </w:rPr>
            </w:pPr>
            <w:r>
              <w:rPr>
                <w:b/>
                <w:sz w:val="16"/>
              </w:rPr>
              <w:t>Opioid Analgesics</w:t>
            </w:r>
          </w:p>
        </w:tc>
      </w:tr>
      <w:tr w:rsidR="001439E0" w14:paraId="7E26D981" w14:textId="77777777">
        <w:trPr>
          <w:trHeight w:val="368"/>
        </w:trPr>
        <w:tc>
          <w:tcPr>
            <w:tcW w:w="1367" w:type="dxa"/>
            <w:tcBorders>
              <w:top w:val="single" w:sz="4" w:space="0" w:color="000000"/>
              <w:left w:val="single" w:sz="4" w:space="0" w:color="000000"/>
              <w:bottom w:val="single" w:sz="4" w:space="0" w:color="000000"/>
              <w:right w:val="single" w:sz="4" w:space="0" w:color="000000"/>
            </w:tcBorders>
          </w:tcPr>
          <w:p w14:paraId="7E26D979" w14:textId="77777777" w:rsidR="001439E0" w:rsidRDefault="008A23E0">
            <w:pPr>
              <w:pStyle w:val="TableParagraph"/>
              <w:spacing w:before="92"/>
              <w:ind w:left="190" w:right="182"/>
              <w:jc w:val="center"/>
              <w:rPr>
                <w:sz w:val="16"/>
              </w:rPr>
            </w:pPr>
            <w:r>
              <w:rPr>
                <w:sz w:val="16"/>
              </w:rPr>
              <w:lastRenderedPageBreak/>
              <w:t>methadone</w:t>
            </w:r>
          </w:p>
        </w:tc>
        <w:tc>
          <w:tcPr>
            <w:tcW w:w="1885" w:type="dxa"/>
            <w:tcBorders>
              <w:top w:val="single" w:sz="4" w:space="0" w:color="000000"/>
              <w:left w:val="single" w:sz="4" w:space="0" w:color="000000"/>
              <w:bottom w:val="single" w:sz="4" w:space="0" w:color="000000"/>
              <w:right w:val="single" w:sz="4" w:space="0" w:color="000000"/>
            </w:tcBorders>
          </w:tcPr>
          <w:p w14:paraId="7E26D97A" w14:textId="77777777" w:rsidR="001439E0" w:rsidRDefault="008A23E0">
            <w:pPr>
              <w:pStyle w:val="TableParagraph"/>
              <w:spacing w:line="184" w:lineRule="exact"/>
              <w:ind w:left="243" w:right="237"/>
              <w:jc w:val="center"/>
              <w:rPr>
                <w:sz w:val="16"/>
              </w:rPr>
            </w:pPr>
            <w:r>
              <w:rPr>
                <w:sz w:val="16"/>
              </w:rPr>
              <w:t>20-200 mg QD</w:t>
            </w:r>
          </w:p>
          <w:p w14:paraId="7E26D97B" w14:textId="77777777" w:rsidR="001439E0" w:rsidRDefault="008A23E0">
            <w:pPr>
              <w:pStyle w:val="TableParagraph"/>
              <w:spacing w:line="164" w:lineRule="exact"/>
              <w:ind w:left="245" w:right="237"/>
              <w:jc w:val="center"/>
              <w:rPr>
                <w:sz w:val="16"/>
              </w:rPr>
            </w:pPr>
            <w:r>
              <w:rPr>
                <w:sz w:val="16"/>
              </w:rPr>
              <w:t>individualized dose</w:t>
            </w:r>
          </w:p>
        </w:tc>
        <w:tc>
          <w:tcPr>
            <w:tcW w:w="1529" w:type="dxa"/>
            <w:tcBorders>
              <w:top w:val="single" w:sz="4" w:space="0" w:color="000000"/>
              <w:left w:val="single" w:sz="4" w:space="0" w:color="000000"/>
              <w:bottom w:val="single" w:sz="4" w:space="0" w:color="000000"/>
              <w:right w:val="single" w:sz="4" w:space="0" w:color="000000"/>
            </w:tcBorders>
          </w:tcPr>
          <w:p w14:paraId="7E26D97C" w14:textId="77777777" w:rsidR="001439E0" w:rsidRDefault="008A23E0">
            <w:pPr>
              <w:pStyle w:val="TableParagraph"/>
              <w:spacing w:before="92"/>
              <w:ind w:left="102" w:right="95"/>
              <w:jc w:val="center"/>
              <w:rPr>
                <w:sz w:val="16"/>
              </w:rPr>
            </w:pPr>
            <w:r>
              <w:rPr>
                <w:sz w:val="16"/>
              </w:rPr>
              <w:t>100 mg QD</w:t>
            </w:r>
          </w:p>
        </w:tc>
        <w:tc>
          <w:tcPr>
            <w:tcW w:w="456" w:type="dxa"/>
            <w:tcBorders>
              <w:top w:val="single" w:sz="4" w:space="0" w:color="000000"/>
              <w:left w:val="single" w:sz="4" w:space="0" w:color="000000"/>
              <w:bottom w:val="single" w:sz="4" w:space="0" w:color="000000"/>
              <w:right w:val="single" w:sz="4" w:space="0" w:color="000000"/>
            </w:tcBorders>
          </w:tcPr>
          <w:p w14:paraId="7E26D97D" w14:textId="77777777" w:rsidR="001439E0" w:rsidRDefault="008A23E0">
            <w:pPr>
              <w:pStyle w:val="TableParagraph"/>
              <w:spacing w:before="92"/>
              <w:ind w:left="137"/>
              <w:rPr>
                <w:sz w:val="16"/>
              </w:rPr>
            </w:pPr>
            <w:r>
              <w:rPr>
                <w:sz w:val="16"/>
              </w:rPr>
              <w:t>14</w:t>
            </w:r>
          </w:p>
        </w:tc>
        <w:tc>
          <w:tcPr>
            <w:tcW w:w="1441" w:type="dxa"/>
            <w:tcBorders>
              <w:top w:val="single" w:sz="4" w:space="0" w:color="000000"/>
              <w:left w:val="single" w:sz="4" w:space="0" w:color="000000"/>
              <w:bottom w:val="single" w:sz="4" w:space="0" w:color="000000"/>
              <w:right w:val="single" w:sz="4" w:space="0" w:color="000000"/>
            </w:tcBorders>
          </w:tcPr>
          <w:p w14:paraId="7E26D97E" w14:textId="77777777" w:rsidR="001439E0" w:rsidRDefault="008A23E0">
            <w:pPr>
              <w:pStyle w:val="TableParagraph"/>
              <w:spacing w:before="92"/>
              <w:ind w:left="109" w:right="104"/>
              <w:jc w:val="center"/>
              <w:rPr>
                <w:sz w:val="16"/>
              </w:rPr>
            </w:pPr>
            <w:r>
              <w:rPr>
                <w:sz w:val="16"/>
              </w:rPr>
              <w:t>0.74 (0.61, 0.90)</w:t>
            </w:r>
          </w:p>
        </w:tc>
        <w:tc>
          <w:tcPr>
            <w:tcW w:w="1435" w:type="dxa"/>
            <w:tcBorders>
              <w:top w:val="single" w:sz="4" w:space="0" w:color="000000"/>
              <w:left w:val="single" w:sz="4" w:space="0" w:color="000000"/>
              <w:bottom w:val="single" w:sz="4" w:space="0" w:color="000000"/>
              <w:right w:val="single" w:sz="4" w:space="0" w:color="000000"/>
            </w:tcBorders>
          </w:tcPr>
          <w:p w14:paraId="7E26D97F" w14:textId="77777777" w:rsidR="001439E0" w:rsidRDefault="008A23E0">
            <w:pPr>
              <w:pStyle w:val="TableParagraph"/>
              <w:spacing w:before="92"/>
              <w:ind w:left="81" w:right="98"/>
              <w:jc w:val="center"/>
              <w:rPr>
                <w:sz w:val="16"/>
              </w:rPr>
            </w:pPr>
            <w:r>
              <w:rPr>
                <w:sz w:val="16"/>
              </w:rPr>
              <w:t>0.76 (0.63, 0.91)</w:t>
            </w:r>
          </w:p>
        </w:tc>
        <w:tc>
          <w:tcPr>
            <w:tcW w:w="1534" w:type="dxa"/>
            <w:tcBorders>
              <w:top w:val="single" w:sz="4" w:space="0" w:color="000000"/>
              <w:left w:val="single" w:sz="4" w:space="0" w:color="000000"/>
              <w:bottom w:val="single" w:sz="4" w:space="0" w:color="000000"/>
              <w:right w:val="single" w:sz="4" w:space="0" w:color="000000"/>
            </w:tcBorders>
          </w:tcPr>
          <w:p w14:paraId="7E26D980" w14:textId="77777777" w:rsidR="001439E0" w:rsidRDefault="008A23E0">
            <w:pPr>
              <w:pStyle w:val="TableParagraph"/>
              <w:spacing w:before="92"/>
              <w:ind w:left="132" w:right="148"/>
              <w:jc w:val="center"/>
              <w:rPr>
                <w:sz w:val="16"/>
              </w:rPr>
            </w:pPr>
            <w:r>
              <w:rPr>
                <w:sz w:val="16"/>
              </w:rPr>
              <w:t>0.80 (0.63, 1.03)</w:t>
            </w:r>
          </w:p>
        </w:tc>
      </w:tr>
      <w:tr w:rsidR="001439E0" w14:paraId="7E26D998" w14:textId="77777777">
        <w:trPr>
          <w:trHeight w:val="598"/>
        </w:trPr>
        <w:tc>
          <w:tcPr>
            <w:tcW w:w="9648" w:type="dxa"/>
            <w:gridSpan w:val="7"/>
            <w:tcBorders>
              <w:top w:val="single" w:sz="4" w:space="0" w:color="000000"/>
              <w:left w:val="single" w:sz="4" w:space="0" w:color="000000"/>
              <w:bottom w:val="single" w:sz="4" w:space="0" w:color="000000"/>
              <w:right w:val="single" w:sz="4" w:space="0" w:color="000000"/>
            </w:tcBorders>
          </w:tcPr>
          <w:p w14:paraId="7E26D995" w14:textId="77777777" w:rsidR="001439E0" w:rsidRDefault="008A23E0">
            <w:pPr>
              <w:pStyle w:val="TableParagraph"/>
              <w:spacing w:line="184" w:lineRule="exact"/>
              <w:ind w:left="107"/>
              <w:rPr>
                <w:sz w:val="16"/>
              </w:rPr>
            </w:pPr>
            <w:r>
              <w:rPr>
                <w:sz w:val="16"/>
              </w:rPr>
              <w:t>CI = Confidence interval; SD = Single Dose; QD = Once Daily; BID = Twice Daily</w:t>
            </w:r>
          </w:p>
          <w:p w14:paraId="7E26D996" w14:textId="77777777" w:rsidR="001439E0" w:rsidRDefault="008A23E0">
            <w:pPr>
              <w:pStyle w:val="TableParagraph"/>
              <w:spacing w:line="228" w:lineRule="exact"/>
              <w:ind w:left="107"/>
              <w:rPr>
                <w:sz w:val="16"/>
              </w:rPr>
            </w:pPr>
            <w:r>
              <w:rPr>
                <w:sz w:val="20"/>
              </w:rPr>
              <w:t>*</w:t>
            </w:r>
            <w:r>
              <w:rPr>
                <w:sz w:val="16"/>
              </w:rPr>
              <w:t>AUC</w:t>
            </w:r>
            <w:r>
              <w:rPr>
                <w:sz w:val="16"/>
                <w:vertAlign w:val="subscript"/>
              </w:rPr>
              <w:t>0-</w:t>
            </w:r>
            <w:r>
              <w:rPr>
                <w:rFonts w:ascii="Symbol" w:hAnsi="Symbol"/>
                <w:sz w:val="16"/>
                <w:vertAlign w:val="subscript"/>
              </w:rPr>
              <w:t></w:t>
            </w:r>
            <w:r>
              <w:rPr>
                <w:rFonts w:ascii="Times New Roman" w:hAnsi="Times New Roman"/>
                <w:sz w:val="16"/>
              </w:rPr>
              <w:t xml:space="preserve"> </w:t>
            </w:r>
            <w:r>
              <w:rPr>
                <w:sz w:val="16"/>
              </w:rPr>
              <w:t>for single-dose, AUC</w:t>
            </w:r>
            <w:r>
              <w:rPr>
                <w:sz w:val="16"/>
                <w:vertAlign w:val="subscript"/>
              </w:rPr>
              <w:t>0-24</w:t>
            </w:r>
            <w:r>
              <w:rPr>
                <w:sz w:val="16"/>
              </w:rPr>
              <w:t xml:space="preserve"> for once daily.</w:t>
            </w:r>
          </w:p>
          <w:p w14:paraId="7E26D997" w14:textId="77777777" w:rsidR="001439E0" w:rsidRDefault="008A23E0">
            <w:pPr>
              <w:pStyle w:val="TableParagraph"/>
              <w:spacing w:line="166" w:lineRule="exact"/>
              <w:ind w:left="107"/>
              <w:rPr>
                <w:sz w:val="16"/>
              </w:rPr>
            </w:pPr>
            <w:r>
              <w:rPr>
                <w:position w:val="6"/>
                <w:sz w:val="10"/>
              </w:rPr>
              <w:t>†</w:t>
            </w:r>
            <w:r>
              <w:rPr>
                <w:sz w:val="16"/>
              </w:rPr>
              <w:t xml:space="preserve">Interaction was assessed following the cessation of </w:t>
            </w:r>
            <w:proofErr w:type="spellStart"/>
            <w:r>
              <w:rPr>
                <w:sz w:val="16"/>
              </w:rPr>
              <w:t>efavirenz</w:t>
            </w:r>
            <w:proofErr w:type="spellEnd"/>
            <w:r>
              <w:rPr>
                <w:sz w:val="16"/>
              </w:rPr>
              <w:t xml:space="preserve"> therapy.</w:t>
            </w:r>
          </w:p>
        </w:tc>
      </w:tr>
    </w:tbl>
    <w:p w14:paraId="7E26D999" w14:textId="77777777" w:rsidR="001439E0" w:rsidRDefault="001439E0">
      <w:pPr>
        <w:pStyle w:val="BodyText"/>
        <w:spacing w:before="0"/>
        <w:ind w:left="0"/>
        <w:jc w:val="left"/>
        <w:rPr>
          <w:b/>
          <w:sz w:val="20"/>
        </w:rPr>
      </w:pPr>
    </w:p>
    <w:p w14:paraId="7E26D99A" w14:textId="77777777" w:rsidR="001439E0" w:rsidRDefault="001439E0">
      <w:pPr>
        <w:pStyle w:val="BodyText"/>
        <w:spacing w:before="2"/>
        <w:ind w:left="0"/>
        <w:jc w:val="left"/>
        <w:rPr>
          <w:b/>
          <w:sz w:val="20"/>
        </w:rPr>
      </w:pPr>
    </w:p>
    <w:p w14:paraId="7E26D99B" w14:textId="77777777" w:rsidR="001439E0" w:rsidRDefault="008A23E0">
      <w:pPr>
        <w:ind w:left="2348" w:right="1504" w:hanging="1688"/>
        <w:rPr>
          <w:b/>
        </w:rPr>
      </w:pPr>
      <w:r>
        <w:rPr>
          <w:b/>
        </w:rPr>
        <w:t>Table 8: Drug Interactions: Changes in Pharmacokinetic Parameter Values for Co- administered Drugs in the Presence of Doravirine</w:t>
      </w:r>
    </w:p>
    <w:p w14:paraId="7E26D99C" w14:textId="77777777" w:rsidR="001439E0" w:rsidRDefault="001439E0">
      <w:pPr>
        <w:pStyle w:val="BodyText"/>
        <w:spacing w:before="2"/>
        <w:ind w:left="0"/>
        <w:jc w:val="left"/>
        <w:rPr>
          <w:b/>
          <w:sz w:val="18"/>
        </w:rPr>
      </w:pPr>
    </w:p>
    <w:tbl>
      <w:tblPr>
        <w:tblW w:w="0" w:type="auto"/>
        <w:tblInd w:w="4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368"/>
        <w:gridCol w:w="2340"/>
        <w:gridCol w:w="1260"/>
        <w:gridCol w:w="540"/>
        <w:gridCol w:w="1620"/>
        <w:gridCol w:w="1620"/>
        <w:gridCol w:w="1440"/>
      </w:tblGrid>
      <w:tr w:rsidR="001439E0" w14:paraId="7E26D9A6" w14:textId="77777777">
        <w:trPr>
          <w:trHeight w:val="552"/>
        </w:trPr>
        <w:tc>
          <w:tcPr>
            <w:tcW w:w="1368" w:type="dxa"/>
            <w:vMerge w:val="restart"/>
            <w:tcBorders>
              <w:left w:val="single" w:sz="4" w:space="0" w:color="000000"/>
              <w:bottom w:val="single" w:sz="4" w:space="0" w:color="000000"/>
              <w:right w:val="single" w:sz="4" w:space="0" w:color="000000"/>
            </w:tcBorders>
          </w:tcPr>
          <w:p w14:paraId="7E26D99D" w14:textId="77777777" w:rsidR="001439E0" w:rsidRDefault="008A23E0">
            <w:pPr>
              <w:pStyle w:val="TableParagraph"/>
              <w:spacing w:before="139"/>
              <w:ind w:left="185" w:right="175" w:hanging="1"/>
              <w:jc w:val="center"/>
              <w:rPr>
                <w:b/>
                <w:sz w:val="16"/>
              </w:rPr>
            </w:pPr>
            <w:r>
              <w:rPr>
                <w:b/>
                <w:sz w:val="16"/>
              </w:rPr>
              <w:t>Co-   administered Drug</w:t>
            </w:r>
          </w:p>
        </w:tc>
        <w:tc>
          <w:tcPr>
            <w:tcW w:w="2340" w:type="dxa"/>
            <w:vMerge w:val="restart"/>
            <w:tcBorders>
              <w:left w:val="single" w:sz="4" w:space="0" w:color="000000"/>
              <w:bottom w:val="single" w:sz="4" w:space="0" w:color="000000"/>
              <w:right w:val="single" w:sz="4" w:space="0" w:color="000000"/>
            </w:tcBorders>
          </w:tcPr>
          <w:p w14:paraId="7E26D99E" w14:textId="77777777" w:rsidR="001439E0" w:rsidRDefault="001439E0">
            <w:pPr>
              <w:pStyle w:val="TableParagraph"/>
              <w:spacing w:before="2"/>
              <w:rPr>
                <w:b/>
                <w:sz w:val="20"/>
              </w:rPr>
            </w:pPr>
          </w:p>
          <w:p w14:paraId="7E26D99F" w14:textId="77777777" w:rsidR="001439E0" w:rsidRDefault="008A23E0">
            <w:pPr>
              <w:pStyle w:val="TableParagraph"/>
              <w:ind w:left="463" w:right="433" w:firstLine="115"/>
              <w:rPr>
                <w:b/>
                <w:sz w:val="16"/>
              </w:rPr>
            </w:pPr>
            <w:r>
              <w:rPr>
                <w:b/>
                <w:sz w:val="16"/>
              </w:rPr>
              <w:t>Regimen of Co- administered Drug</w:t>
            </w:r>
          </w:p>
        </w:tc>
        <w:tc>
          <w:tcPr>
            <w:tcW w:w="1260" w:type="dxa"/>
            <w:vMerge w:val="restart"/>
            <w:tcBorders>
              <w:left w:val="single" w:sz="4" w:space="0" w:color="000000"/>
              <w:bottom w:val="single" w:sz="4" w:space="0" w:color="000000"/>
              <w:right w:val="single" w:sz="4" w:space="0" w:color="000000"/>
            </w:tcBorders>
          </w:tcPr>
          <w:p w14:paraId="7E26D9A0" w14:textId="77777777" w:rsidR="001439E0" w:rsidRDefault="001439E0">
            <w:pPr>
              <w:pStyle w:val="TableParagraph"/>
              <w:spacing w:before="2"/>
              <w:rPr>
                <w:b/>
                <w:sz w:val="20"/>
              </w:rPr>
            </w:pPr>
          </w:p>
          <w:p w14:paraId="7E26D9A1" w14:textId="77777777" w:rsidR="001439E0" w:rsidRDefault="008A23E0">
            <w:pPr>
              <w:pStyle w:val="TableParagraph"/>
              <w:ind w:left="233" w:right="165" w:hanging="40"/>
              <w:rPr>
                <w:b/>
                <w:sz w:val="16"/>
              </w:rPr>
            </w:pPr>
            <w:r>
              <w:rPr>
                <w:b/>
                <w:sz w:val="16"/>
              </w:rPr>
              <w:t>Regimen of Doravirine</w:t>
            </w:r>
          </w:p>
        </w:tc>
        <w:tc>
          <w:tcPr>
            <w:tcW w:w="540" w:type="dxa"/>
            <w:vMerge w:val="restart"/>
            <w:tcBorders>
              <w:left w:val="single" w:sz="4" w:space="0" w:color="000000"/>
              <w:bottom w:val="single" w:sz="4" w:space="0" w:color="000000"/>
              <w:right w:val="single" w:sz="4" w:space="0" w:color="000000"/>
            </w:tcBorders>
          </w:tcPr>
          <w:p w14:paraId="7E26D9A2" w14:textId="77777777" w:rsidR="001439E0" w:rsidRDefault="001439E0">
            <w:pPr>
              <w:pStyle w:val="TableParagraph"/>
              <w:rPr>
                <w:b/>
                <w:sz w:val="18"/>
              </w:rPr>
            </w:pPr>
          </w:p>
          <w:p w14:paraId="7E26D9A3" w14:textId="77777777" w:rsidR="001439E0" w:rsidRDefault="008A23E0">
            <w:pPr>
              <w:pStyle w:val="TableParagraph"/>
              <w:spacing w:before="117"/>
              <w:ind w:left="9"/>
              <w:jc w:val="center"/>
              <w:rPr>
                <w:b/>
                <w:sz w:val="16"/>
              </w:rPr>
            </w:pPr>
            <w:r>
              <w:rPr>
                <w:b/>
                <w:w w:val="99"/>
                <w:sz w:val="16"/>
              </w:rPr>
              <w:t>N</w:t>
            </w:r>
          </w:p>
        </w:tc>
        <w:tc>
          <w:tcPr>
            <w:tcW w:w="4680" w:type="dxa"/>
            <w:gridSpan w:val="3"/>
            <w:tcBorders>
              <w:left w:val="single" w:sz="4" w:space="0" w:color="000000"/>
              <w:bottom w:val="single" w:sz="4" w:space="0" w:color="000000"/>
              <w:right w:val="single" w:sz="4" w:space="0" w:color="000000"/>
            </w:tcBorders>
          </w:tcPr>
          <w:p w14:paraId="13880607" w14:textId="77777777" w:rsidR="008A23E0" w:rsidRDefault="008A23E0">
            <w:pPr>
              <w:pStyle w:val="TableParagraph"/>
              <w:ind w:left="242" w:right="231"/>
              <w:jc w:val="center"/>
              <w:rPr>
                <w:b/>
                <w:sz w:val="16"/>
              </w:rPr>
            </w:pPr>
          </w:p>
          <w:p w14:paraId="7E26D9A4" w14:textId="136E8F9C" w:rsidR="001439E0" w:rsidRDefault="008A23E0">
            <w:pPr>
              <w:pStyle w:val="TableParagraph"/>
              <w:ind w:left="242" w:right="231"/>
              <w:jc w:val="center"/>
              <w:rPr>
                <w:b/>
                <w:sz w:val="16"/>
              </w:rPr>
            </w:pPr>
            <w:r>
              <w:rPr>
                <w:b/>
                <w:sz w:val="16"/>
              </w:rPr>
              <w:t>Geometric Mean Ratio [90% CI] Drug Pharmacokinetics with/without Co-administered Doravirine</w:t>
            </w:r>
          </w:p>
          <w:p w14:paraId="7E26D9A5" w14:textId="77777777" w:rsidR="001439E0" w:rsidRDefault="008A23E0">
            <w:pPr>
              <w:pStyle w:val="TableParagraph"/>
              <w:spacing w:before="1" w:line="163" w:lineRule="exact"/>
              <w:ind w:left="239" w:right="231"/>
              <w:jc w:val="center"/>
              <w:rPr>
                <w:b/>
                <w:sz w:val="16"/>
              </w:rPr>
            </w:pPr>
            <w:r>
              <w:rPr>
                <w:b/>
                <w:sz w:val="16"/>
              </w:rPr>
              <w:t>(No Effect=1.00)</w:t>
            </w:r>
          </w:p>
        </w:tc>
      </w:tr>
      <w:tr w:rsidR="001439E0" w14:paraId="7E26D9AE" w14:textId="77777777">
        <w:trPr>
          <w:trHeight w:val="268"/>
        </w:trPr>
        <w:tc>
          <w:tcPr>
            <w:tcW w:w="1368" w:type="dxa"/>
            <w:vMerge/>
            <w:tcBorders>
              <w:top w:val="nil"/>
              <w:left w:val="single" w:sz="4" w:space="0" w:color="000000"/>
              <w:bottom w:val="single" w:sz="4" w:space="0" w:color="000000"/>
              <w:right w:val="single" w:sz="4" w:space="0" w:color="000000"/>
            </w:tcBorders>
          </w:tcPr>
          <w:p w14:paraId="7E26D9A7" w14:textId="77777777" w:rsidR="001439E0" w:rsidRDefault="001439E0">
            <w:pPr>
              <w:rPr>
                <w:sz w:val="2"/>
                <w:szCs w:val="2"/>
              </w:rPr>
            </w:pPr>
          </w:p>
        </w:tc>
        <w:tc>
          <w:tcPr>
            <w:tcW w:w="2340" w:type="dxa"/>
            <w:vMerge/>
            <w:tcBorders>
              <w:top w:val="nil"/>
              <w:left w:val="single" w:sz="4" w:space="0" w:color="000000"/>
              <w:bottom w:val="single" w:sz="4" w:space="0" w:color="000000"/>
              <w:right w:val="single" w:sz="4" w:space="0" w:color="000000"/>
            </w:tcBorders>
          </w:tcPr>
          <w:p w14:paraId="7E26D9A8"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9A9"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9AA"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9AB" w14:textId="77777777" w:rsidR="001439E0" w:rsidRDefault="008A23E0">
            <w:pPr>
              <w:pStyle w:val="TableParagraph"/>
              <w:spacing w:before="29" w:line="219" w:lineRule="exact"/>
              <w:ind w:left="200" w:right="192"/>
              <w:jc w:val="center"/>
              <w:rPr>
                <w:sz w:val="20"/>
              </w:rPr>
            </w:pPr>
            <w:r>
              <w:rPr>
                <w:b/>
                <w:sz w:val="16"/>
              </w:rPr>
              <w:t>AUC</w:t>
            </w:r>
            <w:r>
              <w:rPr>
                <w:sz w:val="20"/>
              </w:rPr>
              <w:t>*</w:t>
            </w:r>
          </w:p>
        </w:tc>
        <w:tc>
          <w:tcPr>
            <w:tcW w:w="1620" w:type="dxa"/>
            <w:tcBorders>
              <w:top w:val="single" w:sz="4" w:space="0" w:color="000000"/>
              <w:left w:val="single" w:sz="4" w:space="0" w:color="000000"/>
              <w:bottom w:val="single" w:sz="4" w:space="0" w:color="000000"/>
              <w:right w:val="single" w:sz="4" w:space="0" w:color="000000"/>
            </w:tcBorders>
          </w:tcPr>
          <w:p w14:paraId="7E26D9AC" w14:textId="77777777" w:rsidR="001439E0" w:rsidRDefault="008A23E0">
            <w:pPr>
              <w:pStyle w:val="TableParagraph"/>
              <w:spacing w:before="53"/>
              <w:ind w:left="200" w:right="193"/>
              <w:jc w:val="center"/>
              <w:rPr>
                <w:b/>
                <w:sz w:val="10"/>
              </w:rPr>
            </w:pPr>
            <w:r>
              <w:rPr>
                <w:b/>
                <w:position w:val="2"/>
                <w:sz w:val="16"/>
              </w:rPr>
              <w:t>C</w:t>
            </w:r>
            <w:r>
              <w:rPr>
                <w:b/>
                <w:sz w:val="10"/>
              </w:rPr>
              <w:t>max</w:t>
            </w:r>
          </w:p>
        </w:tc>
        <w:tc>
          <w:tcPr>
            <w:tcW w:w="1440" w:type="dxa"/>
            <w:tcBorders>
              <w:top w:val="single" w:sz="4" w:space="0" w:color="000000"/>
              <w:left w:val="single" w:sz="4" w:space="0" w:color="000000"/>
              <w:bottom w:val="single" w:sz="4" w:space="0" w:color="000000"/>
              <w:right w:val="single" w:sz="4" w:space="0" w:color="000000"/>
            </w:tcBorders>
          </w:tcPr>
          <w:p w14:paraId="7E26D9AD" w14:textId="77777777" w:rsidR="001439E0" w:rsidRDefault="008A23E0">
            <w:pPr>
              <w:pStyle w:val="TableParagraph"/>
              <w:spacing w:before="53"/>
              <w:ind w:left="110" w:right="103"/>
              <w:jc w:val="center"/>
              <w:rPr>
                <w:b/>
                <w:sz w:val="10"/>
              </w:rPr>
            </w:pPr>
            <w:r>
              <w:rPr>
                <w:b/>
                <w:position w:val="2"/>
                <w:sz w:val="16"/>
              </w:rPr>
              <w:t>C</w:t>
            </w:r>
            <w:r>
              <w:rPr>
                <w:b/>
                <w:sz w:val="10"/>
              </w:rPr>
              <w:t>24</w:t>
            </w:r>
          </w:p>
        </w:tc>
      </w:tr>
      <w:tr w:rsidR="001439E0" w14:paraId="7E26D9B0" w14:textId="77777777">
        <w:trPr>
          <w:trHeight w:val="277"/>
        </w:trPr>
        <w:tc>
          <w:tcPr>
            <w:tcW w:w="10188" w:type="dxa"/>
            <w:gridSpan w:val="7"/>
            <w:tcBorders>
              <w:top w:val="single" w:sz="4" w:space="0" w:color="000000"/>
              <w:left w:val="single" w:sz="4" w:space="0" w:color="000000"/>
              <w:bottom w:val="single" w:sz="4" w:space="0" w:color="000000"/>
              <w:right w:val="single" w:sz="4" w:space="0" w:color="000000"/>
            </w:tcBorders>
          </w:tcPr>
          <w:p w14:paraId="7E26D9AF" w14:textId="77777777" w:rsidR="001439E0" w:rsidRDefault="008A23E0">
            <w:pPr>
              <w:pStyle w:val="TableParagraph"/>
              <w:spacing w:before="46"/>
              <w:ind w:left="4018" w:right="4009"/>
              <w:jc w:val="center"/>
              <w:rPr>
                <w:b/>
                <w:sz w:val="16"/>
              </w:rPr>
            </w:pPr>
            <w:r>
              <w:rPr>
                <w:b/>
                <w:sz w:val="16"/>
              </w:rPr>
              <w:t>CYP3A Substrate</w:t>
            </w:r>
          </w:p>
        </w:tc>
      </w:tr>
      <w:tr w:rsidR="001439E0" w14:paraId="7E26D9B8" w14:textId="77777777">
        <w:trPr>
          <w:trHeight w:val="286"/>
        </w:trPr>
        <w:tc>
          <w:tcPr>
            <w:tcW w:w="1368" w:type="dxa"/>
            <w:tcBorders>
              <w:top w:val="single" w:sz="4" w:space="0" w:color="000000"/>
              <w:left w:val="single" w:sz="4" w:space="0" w:color="000000"/>
              <w:bottom w:val="single" w:sz="4" w:space="0" w:color="000000"/>
              <w:right w:val="single" w:sz="4" w:space="0" w:color="000000"/>
            </w:tcBorders>
          </w:tcPr>
          <w:p w14:paraId="7E26D9B1" w14:textId="77777777" w:rsidR="001439E0" w:rsidRDefault="008A23E0">
            <w:pPr>
              <w:pStyle w:val="TableParagraph"/>
              <w:spacing w:before="51"/>
              <w:ind w:left="127" w:right="121"/>
              <w:jc w:val="center"/>
              <w:rPr>
                <w:sz w:val="16"/>
              </w:rPr>
            </w:pPr>
            <w:r>
              <w:rPr>
                <w:sz w:val="16"/>
              </w:rPr>
              <w:t>midazolam</w:t>
            </w:r>
          </w:p>
        </w:tc>
        <w:tc>
          <w:tcPr>
            <w:tcW w:w="2340" w:type="dxa"/>
            <w:tcBorders>
              <w:top w:val="single" w:sz="4" w:space="0" w:color="000000"/>
              <w:left w:val="single" w:sz="4" w:space="0" w:color="000000"/>
              <w:bottom w:val="single" w:sz="4" w:space="0" w:color="000000"/>
              <w:right w:val="single" w:sz="4" w:space="0" w:color="000000"/>
            </w:tcBorders>
          </w:tcPr>
          <w:p w14:paraId="7E26D9B2" w14:textId="77777777" w:rsidR="001439E0" w:rsidRDefault="008A23E0">
            <w:pPr>
              <w:pStyle w:val="TableParagraph"/>
              <w:spacing w:before="51"/>
              <w:ind w:left="469" w:right="465"/>
              <w:jc w:val="center"/>
              <w:rPr>
                <w:sz w:val="16"/>
              </w:rPr>
            </w:pPr>
            <w:r>
              <w:rPr>
                <w:sz w:val="16"/>
              </w:rPr>
              <w:t>2 mg SD</w:t>
            </w:r>
          </w:p>
        </w:tc>
        <w:tc>
          <w:tcPr>
            <w:tcW w:w="1260" w:type="dxa"/>
            <w:tcBorders>
              <w:top w:val="single" w:sz="4" w:space="0" w:color="000000"/>
              <w:left w:val="single" w:sz="4" w:space="0" w:color="000000"/>
              <w:bottom w:val="single" w:sz="4" w:space="0" w:color="000000"/>
              <w:right w:val="single" w:sz="4" w:space="0" w:color="000000"/>
            </w:tcBorders>
          </w:tcPr>
          <w:p w14:paraId="7E26D9B3" w14:textId="77777777" w:rsidR="001439E0" w:rsidRDefault="008A23E0">
            <w:pPr>
              <w:pStyle w:val="TableParagraph"/>
              <w:spacing w:before="51"/>
              <w:ind w:left="196" w:right="192"/>
              <w:jc w:val="center"/>
              <w:rPr>
                <w:sz w:val="16"/>
              </w:rPr>
            </w:pPr>
            <w:r>
              <w:rPr>
                <w:sz w:val="16"/>
              </w:rPr>
              <w:t>120 mg QD</w:t>
            </w:r>
          </w:p>
        </w:tc>
        <w:tc>
          <w:tcPr>
            <w:tcW w:w="540" w:type="dxa"/>
            <w:tcBorders>
              <w:top w:val="single" w:sz="4" w:space="0" w:color="000000"/>
              <w:left w:val="single" w:sz="4" w:space="0" w:color="000000"/>
              <w:bottom w:val="single" w:sz="4" w:space="0" w:color="000000"/>
              <w:right w:val="single" w:sz="4" w:space="0" w:color="000000"/>
            </w:tcBorders>
          </w:tcPr>
          <w:p w14:paraId="7E26D9B4" w14:textId="77777777" w:rsidR="001439E0" w:rsidRDefault="008A23E0">
            <w:pPr>
              <w:pStyle w:val="TableParagraph"/>
              <w:spacing w:before="51"/>
              <w:ind w:left="223"/>
              <w:rPr>
                <w:sz w:val="16"/>
              </w:rPr>
            </w:pPr>
            <w:r>
              <w:rPr>
                <w:w w:val="99"/>
                <w:sz w:val="16"/>
              </w:rPr>
              <w:t>7</w:t>
            </w:r>
          </w:p>
        </w:tc>
        <w:tc>
          <w:tcPr>
            <w:tcW w:w="1620" w:type="dxa"/>
            <w:tcBorders>
              <w:top w:val="single" w:sz="4" w:space="0" w:color="000000"/>
              <w:left w:val="single" w:sz="4" w:space="0" w:color="000000"/>
              <w:bottom w:val="single" w:sz="4" w:space="0" w:color="000000"/>
              <w:right w:val="single" w:sz="4" w:space="0" w:color="000000"/>
            </w:tcBorders>
          </w:tcPr>
          <w:p w14:paraId="7E26D9B5" w14:textId="77777777" w:rsidR="001439E0" w:rsidRDefault="008A23E0">
            <w:pPr>
              <w:pStyle w:val="TableParagraph"/>
              <w:spacing w:before="51"/>
              <w:ind w:left="198" w:right="193"/>
              <w:jc w:val="center"/>
              <w:rPr>
                <w:sz w:val="16"/>
              </w:rPr>
            </w:pPr>
            <w:r>
              <w:rPr>
                <w:sz w:val="16"/>
              </w:rPr>
              <w:t>0.82 (0.70, 0.97)</w:t>
            </w:r>
          </w:p>
        </w:tc>
        <w:tc>
          <w:tcPr>
            <w:tcW w:w="1620" w:type="dxa"/>
            <w:tcBorders>
              <w:top w:val="single" w:sz="4" w:space="0" w:color="000000"/>
              <w:left w:val="single" w:sz="4" w:space="0" w:color="000000"/>
              <w:bottom w:val="single" w:sz="4" w:space="0" w:color="000000"/>
              <w:right w:val="single" w:sz="4" w:space="0" w:color="000000"/>
            </w:tcBorders>
          </w:tcPr>
          <w:p w14:paraId="7E26D9B6" w14:textId="77777777" w:rsidR="001439E0" w:rsidRDefault="008A23E0">
            <w:pPr>
              <w:pStyle w:val="TableParagraph"/>
              <w:spacing w:before="51"/>
              <w:ind w:left="200" w:right="193"/>
              <w:jc w:val="center"/>
              <w:rPr>
                <w:sz w:val="16"/>
              </w:rPr>
            </w:pPr>
            <w:r>
              <w:rPr>
                <w:sz w:val="16"/>
              </w:rPr>
              <w:t>1.02 (0.81, 1.28)</w:t>
            </w:r>
          </w:p>
        </w:tc>
        <w:tc>
          <w:tcPr>
            <w:tcW w:w="1440" w:type="dxa"/>
            <w:tcBorders>
              <w:top w:val="single" w:sz="4" w:space="0" w:color="000000"/>
              <w:left w:val="single" w:sz="4" w:space="0" w:color="000000"/>
              <w:bottom w:val="single" w:sz="4" w:space="0" w:color="000000"/>
              <w:right w:val="single" w:sz="4" w:space="0" w:color="000000"/>
            </w:tcBorders>
          </w:tcPr>
          <w:p w14:paraId="7E26D9B7" w14:textId="77777777" w:rsidR="001439E0" w:rsidRDefault="008A23E0">
            <w:pPr>
              <w:pStyle w:val="TableParagraph"/>
              <w:spacing w:before="51"/>
              <w:ind w:left="9"/>
              <w:jc w:val="center"/>
              <w:rPr>
                <w:sz w:val="16"/>
              </w:rPr>
            </w:pPr>
            <w:r>
              <w:rPr>
                <w:w w:val="99"/>
                <w:sz w:val="16"/>
              </w:rPr>
              <w:t>-</w:t>
            </w:r>
          </w:p>
        </w:tc>
      </w:tr>
      <w:tr w:rsidR="001439E0" w14:paraId="7E26D9BA" w14:textId="77777777">
        <w:trPr>
          <w:trHeight w:val="341"/>
        </w:trPr>
        <w:tc>
          <w:tcPr>
            <w:tcW w:w="10188" w:type="dxa"/>
            <w:gridSpan w:val="7"/>
            <w:tcBorders>
              <w:top w:val="single" w:sz="4" w:space="0" w:color="000000"/>
              <w:left w:val="single" w:sz="4" w:space="0" w:color="000000"/>
              <w:bottom w:val="single" w:sz="4" w:space="0" w:color="000000"/>
              <w:right w:val="single" w:sz="4" w:space="0" w:color="000000"/>
            </w:tcBorders>
          </w:tcPr>
          <w:p w14:paraId="7E26D9B9" w14:textId="77777777" w:rsidR="001439E0" w:rsidRDefault="008A23E0">
            <w:pPr>
              <w:pStyle w:val="TableParagraph"/>
              <w:spacing w:before="79"/>
              <w:ind w:left="4018" w:right="4011"/>
              <w:jc w:val="center"/>
              <w:rPr>
                <w:b/>
                <w:sz w:val="16"/>
              </w:rPr>
            </w:pPr>
            <w:r>
              <w:rPr>
                <w:b/>
                <w:sz w:val="16"/>
              </w:rPr>
              <w:t>HIV Antiviral Agents</w:t>
            </w:r>
          </w:p>
        </w:tc>
      </w:tr>
      <w:tr w:rsidR="001439E0" w14:paraId="7E26D9C2" w14:textId="77777777">
        <w:trPr>
          <w:trHeight w:val="277"/>
        </w:trPr>
        <w:tc>
          <w:tcPr>
            <w:tcW w:w="1368" w:type="dxa"/>
            <w:tcBorders>
              <w:top w:val="single" w:sz="4" w:space="0" w:color="000000"/>
              <w:left w:val="single" w:sz="4" w:space="0" w:color="000000"/>
              <w:bottom w:val="single" w:sz="4" w:space="0" w:color="000000"/>
              <w:right w:val="single" w:sz="4" w:space="0" w:color="000000"/>
            </w:tcBorders>
          </w:tcPr>
          <w:p w14:paraId="7E26D9BB" w14:textId="77777777" w:rsidR="001439E0" w:rsidRDefault="008A23E0">
            <w:pPr>
              <w:pStyle w:val="TableParagraph"/>
              <w:spacing w:before="46"/>
              <w:ind w:left="127" w:right="121"/>
              <w:jc w:val="center"/>
              <w:rPr>
                <w:sz w:val="16"/>
              </w:rPr>
            </w:pPr>
            <w:proofErr w:type="spellStart"/>
            <w:r>
              <w:rPr>
                <w:sz w:val="16"/>
              </w:rPr>
              <w:t>dolutegravir</w:t>
            </w:r>
            <w:proofErr w:type="spellEnd"/>
          </w:p>
        </w:tc>
        <w:tc>
          <w:tcPr>
            <w:tcW w:w="2340" w:type="dxa"/>
            <w:tcBorders>
              <w:top w:val="single" w:sz="4" w:space="0" w:color="000000"/>
              <w:left w:val="single" w:sz="4" w:space="0" w:color="000000"/>
              <w:bottom w:val="single" w:sz="4" w:space="0" w:color="000000"/>
              <w:right w:val="single" w:sz="4" w:space="0" w:color="000000"/>
            </w:tcBorders>
          </w:tcPr>
          <w:p w14:paraId="7E26D9BC" w14:textId="77777777" w:rsidR="001439E0" w:rsidRDefault="008A23E0">
            <w:pPr>
              <w:pStyle w:val="TableParagraph"/>
              <w:spacing w:before="46"/>
              <w:ind w:left="470" w:right="465"/>
              <w:jc w:val="center"/>
              <w:rPr>
                <w:sz w:val="16"/>
              </w:rPr>
            </w:pPr>
            <w:r>
              <w:rPr>
                <w:sz w:val="16"/>
              </w:rPr>
              <w:t>50 mg QD</w:t>
            </w:r>
          </w:p>
        </w:tc>
        <w:tc>
          <w:tcPr>
            <w:tcW w:w="1260" w:type="dxa"/>
            <w:tcBorders>
              <w:top w:val="single" w:sz="4" w:space="0" w:color="000000"/>
              <w:left w:val="single" w:sz="4" w:space="0" w:color="000000"/>
              <w:bottom w:val="single" w:sz="4" w:space="0" w:color="000000"/>
              <w:right w:val="single" w:sz="4" w:space="0" w:color="000000"/>
            </w:tcBorders>
          </w:tcPr>
          <w:p w14:paraId="7E26D9BD" w14:textId="77777777" w:rsidR="001439E0" w:rsidRDefault="008A23E0">
            <w:pPr>
              <w:pStyle w:val="TableParagraph"/>
              <w:spacing w:before="46"/>
              <w:ind w:left="196" w:right="192"/>
              <w:jc w:val="center"/>
              <w:rPr>
                <w:sz w:val="16"/>
              </w:rPr>
            </w:pPr>
            <w:r>
              <w:rPr>
                <w:sz w:val="16"/>
              </w:rPr>
              <w:t>200 mg QD</w:t>
            </w:r>
          </w:p>
        </w:tc>
        <w:tc>
          <w:tcPr>
            <w:tcW w:w="540" w:type="dxa"/>
            <w:tcBorders>
              <w:top w:val="single" w:sz="4" w:space="0" w:color="000000"/>
              <w:left w:val="single" w:sz="4" w:space="0" w:color="000000"/>
              <w:bottom w:val="single" w:sz="4" w:space="0" w:color="000000"/>
              <w:right w:val="single" w:sz="4" w:space="0" w:color="000000"/>
            </w:tcBorders>
          </w:tcPr>
          <w:p w14:paraId="7E26D9BE" w14:textId="77777777" w:rsidR="001439E0" w:rsidRDefault="008A23E0">
            <w:pPr>
              <w:pStyle w:val="TableParagraph"/>
              <w:spacing w:before="46"/>
              <w:ind w:left="178"/>
              <w:rPr>
                <w:sz w:val="16"/>
              </w:rPr>
            </w:pPr>
            <w:r>
              <w:rPr>
                <w:sz w:val="16"/>
              </w:rPr>
              <w:t>11</w:t>
            </w:r>
          </w:p>
        </w:tc>
        <w:tc>
          <w:tcPr>
            <w:tcW w:w="1620" w:type="dxa"/>
            <w:tcBorders>
              <w:top w:val="single" w:sz="4" w:space="0" w:color="000000"/>
              <w:left w:val="single" w:sz="4" w:space="0" w:color="000000"/>
              <w:bottom w:val="single" w:sz="4" w:space="0" w:color="000000"/>
              <w:right w:val="single" w:sz="4" w:space="0" w:color="000000"/>
            </w:tcBorders>
          </w:tcPr>
          <w:p w14:paraId="7E26D9BF" w14:textId="77777777" w:rsidR="001439E0" w:rsidRDefault="008A23E0">
            <w:pPr>
              <w:pStyle w:val="TableParagraph"/>
              <w:spacing w:before="46"/>
              <w:ind w:left="198" w:right="193"/>
              <w:jc w:val="center"/>
              <w:rPr>
                <w:sz w:val="16"/>
              </w:rPr>
            </w:pPr>
            <w:r>
              <w:rPr>
                <w:sz w:val="16"/>
              </w:rPr>
              <w:t>1.36 (1.15, 1.62)</w:t>
            </w:r>
          </w:p>
        </w:tc>
        <w:tc>
          <w:tcPr>
            <w:tcW w:w="1620" w:type="dxa"/>
            <w:tcBorders>
              <w:top w:val="single" w:sz="4" w:space="0" w:color="000000"/>
              <w:left w:val="single" w:sz="4" w:space="0" w:color="000000"/>
              <w:bottom w:val="single" w:sz="4" w:space="0" w:color="000000"/>
              <w:right w:val="single" w:sz="4" w:space="0" w:color="000000"/>
            </w:tcBorders>
          </w:tcPr>
          <w:p w14:paraId="7E26D9C0" w14:textId="77777777" w:rsidR="001439E0" w:rsidRDefault="008A23E0">
            <w:pPr>
              <w:pStyle w:val="TableParagraph"/>
              <w:spacing w:before="46"/>
              <w:ind w:left="200" w:right="193"/>
              <w:jc w:val="center"/>
              <w:rPr>
                <w:sz w:val="16"/>
              </w:rPr>
            </w:pPr>
            <w:r>
              <w:rPr>
                <w:sz w:val="16"/>
              </w:rPr>
              <w:t>1.43 (1.20, 1.71)</w:t>
            </w:r>
          </w:p>
        </w:tc>
        <w:tc>
          <w:tcPr>
            <w:tcW w:w="1440" w:type="dxa"/>
            <w:tcBorders>
              <w:top w:val="single" w:sz="4" w:space="0" w:color="000000"/>
              <w:left w:val="single" w:sz="4" w:space="0" w:color="000000"/>
              <w:bottom w:val="single" w:sz="4" w:space="0" w:color="000000"/>
              <w:right w:val="single" w:sz="4" w:space="0" w:color="000000"/>
            </w:tcBorders>
          </w:tcPr>
          <w:p w14:paraId="7E26D9C1" w14:textId="77777777" w:rsidR="001439E0" w:rsidRDefault="008A23E0">
            <w:pPr>
              <w:pStyle w:val="TableParagraph"/>
              <w:spacing w:before="46"/>
              <w:ind w:left="111" w:right="103"/>
              <w:jc w:val="center"/>
              <w:rPr>
                <w:sz w:val="16"/>
              </w:rPr>
            </w:pPr>
            <w:r>
              <w:rPr>
                <w:sz w:val="16"/>
              </w:rPr>
              <w:t>1.27 (1.06, 1.53)</w:t>
            </w:r>
          </w:p>
        </w:tc>
      </w:tr>
      <w:tr w:rsidR="001439E0" w14:paraId="7E26D9D4" w14:textId="77777777">
        <w:trPr>
          <w:trHeight w:val="662"/>
        </w:trPr>
        <w:tc>
          <w:tcPr>
            <w:tcW w:w="1368" w:type="dxa"/>
            <w:tcBorders>
              <w:top w:val="single" w:sz="4" w:space="0" w:color="000000"/>
              <w:left w:val="single" w:sz="4" w:space="0" w:color="000000"/>
              <w:bottom w:val="single" w:sz="4" w:space="0" w:color="000000"/>
              <w:right w:val="single" w:sz="4" w:space="0" w:color="000000"/>
            </w:tcBorders>
          </w:tcPr>
          <w:p w14:paraId="7E26D9C3" w14:textId="77777777" w:rsidR="001439E0" w:rsidRDefault="001439E0">
            <w:pPr>
              <w:pStyle w:val="TableParagraph"/>
              <w:spacing w:before="8"/>
              <w:rPr>
                <w:b/>
                <w:sz w:val="20"/>
              </w:rPr>
            </w:pPr>
          </w:p>
          <w:p w14:paraId="7E26D9C4" w14:textId="77777777" w:rsidR="001439E0" w:rsidRDefault="008A23E0">
            <w:pPr>
              <w:pStyle w:val="TableParagraph"/>
              <w:ind w:left="128" w:right="119"/>
              <w:jc w:val="center"/>
              <w:rPr>
                <w:sz w:val="16"/>
              </w:rPr>
            </w:pPr>
            <w:r>
              <w:rPr>
                <w:sz w:val="16"/>
              </w:rPr>
              <w:t>lamivudine</w:t>
            </w:r>
          </w:p>
        </w:tc>
        <w:tc>
          <w:tcPr>
            <w:tcW w:w="2340" w:type="dxa"/>
            <w:vMerge w:val="restart"/>
            <w:tcBorders>
              <w:top w:val="single" w:sz="4" w:space="0" w:color="000000"/>
              <w:left w:val="single" w:sz="4" w:space="0" w:color="000000"/>
              <w:bottom w:val="single" w:sz="4" w:space="0" w:color="000000"/>
              <w:right w:val="single" w:sz="4" w:space="0" w:color="000000"/>
            </w:tcBorders>
          </w:tcPr>
          <w:p w14:paraId="7E26D9C5" w14:textId="77777777" w:rsidR="001439E0" w:rsidRDefault="001439E0">
            <w:pPr>
              <w:pStyle w:val="TableParagraph"/>
              <w:rPr>
                <w:b/>
                <w:sz w:val="18"/>
              </w:rPr>
            </w:pPr>
          </w:p>
          <w:p w14:paraId="7E26D9C6" w14:textId="77777777" w:rsidR="001439E0" w:rsidRDefault="001439E0">
            <w:pPr>
              <w:pStyle w:val="TableParagraph"/>
              <w:spacing w:before="11"/>
              <w:rPr>
                <w:b/>
                <w:sz w:val="15"/>
              </w:rPr>
            </w:pPr>
          </w:p>
          <w:p w14:paraId="7E26D9C7" w14:textId="77777777" w:rsidR="001439E0" w:rsidRDefault="008A23E0">
            <w:pPr>
              <w:pStyle w:val="TableParagraph"/>
              <w:ind w:left="467" w:right="112" w:hanging="328"/>
              <w:rPr>
                <w:sz w:val="16"/>
              </w:rPr>
            </w:pPr>
            <w:r>
              <w:rPr>
                <w:sz w:val="16"/>
              </w:rPr>
              <w:t>300 mg lamivudine SD + 300 mg tenofovir DF SD</w:t>
            </w:r>
          </w:p>
        </w:tc>
        <w:tc>
          <w:tcPr>
            <w:tcW w:w="1260" w:type="dxa"/>
            <w:vMerge w:val="restart"/>
            <w:tcBorders>
              <w:top w:val="single" w:sz="4" w:space="0" w:color="000000"/>
              <w:left w:val="single" w:sz="4" w:space="0" w:color="000000"/>
              <w:bottom w:val="single" w:sz="4" w:space="0" w:color="000000"/>
              <w:right w:val="single" w:sz="4" w:space="0" w:color="000000"/>
            </w:tcBorders>
          </w:tcPr>
          <w:p w14:paraId="7E26D9C8" w14:textId="77777777" w:rsidR="001439E0" w:rsidRDefault="001439E0">
            <w:pPr>
              <w:pStyle w:val="TableParagraph"/>
              <w:rPr>
                <w:b/>
                <w:sz w:val="18"/>
              </w:rPr>
            </w:pPr>
          </w:p>
          <w:p w14:paraId="7E26D9C9" w14:textId="77777777" w:rsidR="001439E0" w:rsidRDefault="001439E0">
            <w:pPr>
              <w:pStyle w:val="TableParagraph"/>
              <w:rPr>
                <w:b/>
                <w:sz w:val="24"/>
              </w:rPr>
            </w:pPr>
          </w:p>
          <w:p w14:paraId="7E26D9CA" w14:textId="77777777" w:rsidR="001439E0" w:rsidRDefault="008A23E0">
            <w:pPr>
              <w:pStyle w:val="TableParagraph"/>
              <w:ind w:left="228"/>
              <w:rPr>
                <w:sz w:val="16"/>
              </w:rPr>
            </w:pPr>
            <w:r>
              <w:rPr>
                <w:sz w:val="16"/>
              </w:rPr>
              <w:t>100 mg SD</w:t>
            </w:r>
          </w:p>
        </w:tc>
        <w:tc>
          <w:tcPr>
            <w:tcW w:w="540" w:type="dxa"/>
            <w:vMerge w:val="restart"/>
            <w:tcBorders>
              <w:top w:val="single" w:sz="4" w:space="0" w:color="000000"/>
              <w:left w:val="single" w:sz="4" w:space="0" w:color="000000"/>
              <w:bottom w:val="single" w:sz="4" w:space="0" w:color="000000"/>
              <w:right w:val="single" w:sz="4" w:space="0" w:color="000000"/>
            </w:tcBorders>
          </w:tcPr>
          <w:p w14:paraId="7E26D9CB" w14:textId="77777777" w:rsidR="001439E0" w:rsidRDefault="001439E0">
            <w:pPr>
              <w:pStyle w:val="TableParagraph"/>
              <w:rPr>
                <w:b/>
                <w:sz w:val="18"/>
              </w:rPr>
            </w:pPr>
          </w:p>
          <w:p w14:paraId="7E26D9CC" w14:textId="77777777" w:rsidR="001439E0" w:rsidRDefault="001439E0">
            <w:pPr>
              <w:pStyle w:val="TableParagraph"/>
              <w:rPr>
                <w:b/>
                <w:sz w:val="24"/>
              </w:rPr>
            </w:pPr>
          </w:p>
          <w:p w14:paraId="7E26D9CD" w14:textId="77777777" w:rsidR="001439E0" w:rsidRDefault="008A23E0">
            <w:pPr>
              <w:pStyle w:val="TableParagraph"/>
              <w:ind w:left="180"/>
              <w:rPr>
                <w:sz w:val="16"/>
              </w:rPr>
            </w:pPr>
            <w:r>
              <w:rPr>
                <w:sz w:val="16"/>
              </w:rPr>
              <w:t>15</w:t>
            </w:r>
          </w:p>
        </w:tc>
        <w:tc>
          <w:tcPr>
            <w:tcW w:w="1620" w:type="dxa"/>
            <w:tcBorders>
              <w:top w:val="single" w:sz="4" w:space="0" w:color="000000"/>
              <w:left w:val="single" w:sz="4" w:space="0" w:color="000000"/>
              <w:bottom w:val="single" w:sz="4" w:space="0" w:color="000000"/>
              <w:right w:val="single" w:sz="4" w:space="0" w:color="000000"/>
            </w:tcBorders>
          </w:tcPr>
          <w:p w14:paraId="7E26D9CE" w14:textId="77777777" w:rsidR="001439E0" w:rsidRDefault="001439E0">
            <w:pPr>
              <w:pStyle w:val="TableParagraph"/>
              <w:spacing w:before="8"/>
              <w:rPr>
                <w:b/>
                <w:sz w:val="20"/>
              </w:rPr>
            </w:pPr>
          </w:p>
          <w:p w14:paraId="7E26D9CF" w14:textId="77777777" w:rsidR="001439E0" w:rsidRDefault="008A23E0">
            <w:pPr>
              <w:pStyle w:val="TableParagraph"/>
              <w:ind w:left="200" w:right="192"/>
              <w:jc w:val="center"/>
              <w:rPr>
                <w:sz w:val="16"/>
              </w:rPr>
            </w:pPr>
            <w:r>
              <w:rPr>
                <w:sz w:val="16"/>
              </w:rPr>
              <w:t>0.94 (0.88, 1.00)</w:t>
            </w:r>
          </w:p>
        </w:tc>
        <w:tc>
          <w:tcPr>
            <w:tcW w:w="1620" w:type="dxa"/>
            <w:tcBorders>
              <w:top w:val="single" w:sz="4" w:space="0" w:color="000000"/>
              <w:left w:val="single" w:sz="4" w:space="0" w:color="000000"/>
              <w:bottom w:val="single" w:sz="4" w:space="0" w:color="000000"/>
              <w:right w:val="single" w:sz="4" w:space="0" w:color="000000"/>
            </w:tcBorders>
          </w:tcPr>
          <w:p w14:paraId="7E26D9D0" w14:textId="77777777" w:rsidR="001439E0" w:rsidRDefault="001439E0">
            <w:pPr>
              <w:pStyle w:val="TableParagraph"/>
              <w:spacing w:before="8"/>
              <w:rPr>
                <w:b/>
                <w:sz w:val="20"/>
              </w:rPr>
            </w:pPr>
          </w:p>
          <w:p w14:paraId="7E26D9D1" w14:textId="77777777" w:rsidR="001439E0" w:rsidRDefault="008A23E0">
            <w:pPr>
              <w:pStyle w:val="TableParagraph"/>
              <w:ind w:left="200" w:right="192"/>
              <w:jc w:val="center"/>
              <w:rPr>
                <w:sz w:val="16"/>
              </w:rPr>
            </w:pPr>
            <w:r>
              <w:rPr>
                <w:sz w:val="16"/>
              </w:rPr>
              <w:t>0.92 (0.81, 1.05)</w:t>
            </w:r>
          </w:p>
        </w:tc>
        <w:tc>
          <w:tcPr>
            <w:tcW w:w="1440" w:type="dxa"/>
            <w:tcBorders>
              <w:top w:val="single" w:sz="4" w:space="0" w:color="000000"/>
              <w:left w:val="single" w:sz="4" w:space="0" w:color="000000"/>
              <w:bottom w:val="single" w:sz="4" w:space="0" w:color="000000"/>
              <w:right w:val="single" w:sz="4" w:space="0" w:color="000000"/>
            </w:tcBorders>
          </w:tcPr>
          <w:p w14:paraId="7E26D9D2" w14:textId="77777777" w:rsidR="001439E0" w:rsidRDefault="001439E0">
            <w:pPr>
              <w:pStyle w:val="TableParagraph"/>
              <w:spacing w:before="8"/>
              <w:rPr>
                <w:b/>
                <w:sz w:val="20"/>
              </w:rPr>
            </w:pPr>
          </w:p>
          <w:p w14:paraId="7E26D9D3" w14:textId="77777777" w:rsidR="001439E0" w:rsidRDefault="008A23E0">
            <w:pPr>
              <w:pStyle w:val="TableParagraph"/>
              <w:ind w:left="9"/>
              <w:jc w:val="center"/>
              <w:rPr>
                <w:sz w:val="16"/>
              </w:rPr>
            </w:pPr>
            <w:r>
              <w:rPr>
                <w:w w:val="99"/>
                <w:sz w:val="16"/>
              </w:rPr>
              <w:t>-</w:t>
            </w:r>
          </w:p>
        </w:tc>
      </w:tr>
      <w:tr w:rsidR="001439E0" w14:paraId="7E26D9E0" w14:textId="77777777">
        <w:trPr>
          <w:trHeight w:val="661"/>
        </w:trPr>
        <w:tc>
          <w:tcPr>
            <w:tcW w:w="1368" w:type="dxa"/>
            <w:tcBorders>
              <w:top w:val="single" w:sz="4" w:space="0" w:color="000000"/>
              <w:left w:val="single" w:sz="4" w:space="0" w:color="000000"/>
              <w:bottom w:val="single" w:sz="4" w:space="0" w:color="000000"/>
              <w:right w:val="single" w:sz="4" w:space="0" w:color="000000"/>
            </w:tcBorders>
          </w:tcPr>
          <w:p w14:paraId="7E26D9D5" w14:textId="77777777" w:rsidR="001439E0" w:rsidRDefault="001439E0">
            <w:pPr>
              <w:pStyle w:val="TableParagraph"/>
              <w:spacing w:before="8"/>
              <w:rPr>
                <w:b/>
                <w:sz w:val="20"/>
              </w:rPr>
            </w:pPr>
          </w:p>
          <w:p w14:paraId="7E26D9D6" w14:textId="77777777" w:rsidR="001439E0" w:rsidRDefault="008A23E0">
            <w:pPr>
              <w:pStyle w:val="TableParagraph"/>
              <w:ind w:left="128" w:right="120"/>
              <w:jc w:val="center"/>
              <w:rPr>
                <w:sz w:val="16"/>
              </w:rPr>
            </w:pPr>
            <w:r>
              <w:rPr>
                <w:sz w:val="16"/>
              </w:rPr>
              <w:t>tenofovir DF</w:t>
            </w:r>
          </w:p>
        </w:tc>
        <w:tc>
          <w:tcPr>
            <w:tcW w:w="2340" w:type="dxa"/>
            <w:vMerge/>
            <w:tcBorders>
              <w:top w:val="nil"/>
              <w:left w:val="single" w:sz="4" w:space="0" w:color="000000"/>
              <w:bottom w:val="single" w:sz="4" w:space="0" w:color="000000"/>
              <w:right w:val="single" w:sz="4" w:space="0" w:color="000000"/>
            </w:tcBorders>
          </w:tcPr>
          <w:p w14:paraId="7E26D9D7"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9D8"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9D9"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9DA" w14:textId="77777777" w:rsidR="001439E0" w:rsidRDefault="001439E0">
            <w:pPr>
              <w:pStyle w:val="TableParagraph"/>
              <w:spacing w:before="8"/>
              <w:rPr>
                <w:b/>
                <w:sz w:val="20"/>
              </w:rPr>
            </w:pPr>
          </w:p>
          <w:p w14:paraId="7E26D9DB" w14:textId="77777777" w:rsidR="001439E0" w:rsidRDefault="008A23E0">
            <w:pPr>
              <w:pStyle w:val="TableParagraph"/>
              <w:ind w:left="200" w:right="192"/>
              <w:jc w:val="center"/>
              <w:rPr>
                <w:sz w:val="16"/>
              </w:rPr>
            </w:pPr>
            <w:r>
              <w:rPr>
                <w:sz w:val="16"/>
              </w:rPr>
              <w:t>1.11 (0.97, 1.28)</w:t>
            </w:r>
          </w:p>
        </w:tc>
        <w:tc>
          <w:tcPr>
            <w:tcW w:w="1620" w:type="dxa"/>
            <w:tcBorders>
              <w:top w:val="single" w:sz="4" w:space="0" w:color="000000"/>
              <w:left w:val="single" w:sz="4" w:space="0" w:color="000000"/>
              <w:bottom w:val="single" w:sz="4" w:space="0" w:color="000000"/>
              <w:right w:val="single" w:sz="4" w:space="0" w:color="000000"/>
            </w:tcBorders>
          </w:tcPr>
          <w:p w14:paraId="7E26D9DC" w14:textId="77777777" w:rsidR="001439E0" w:rsidRDefault="001439E0">
            <w:pPr>
              <w:pStyle w:val="TableParagraph"/>
              <w:spacing w:before="8"/>
              <w:rPr>
                <w:b/>
                <w:sz w:val="20"/>
              </w:rPr>
            </w:pPr>
          </w:p>
          <w:p w14:paraId="7E26D9DD" w14:textId="77777777" w:rsidR="001439E0" w:rsidRDefault="008A23E0">
            <w:pPr>
              <w:pStyle w:val="TableParagraph"/>
              <w:ind w:left="200" w:right="192"/>
              <w:jc w:val="center"/>
              <w:rPr>
                <w:sz w:val="16"/>
              </w:rPr>
            </w:pPr>
            <w:r>
              <w:rPr>
                <w:sz w:val="16"/>
              </w:rPr>
              <w:t>1.17 (0.96, 1.42)</w:t>
            </w:r>
          </w:p>
        </w:tc>
        <w:tc>
          <w:tcPr>
            <w:tcW w:w="1440" w:type="dxa"/>
            <w:tcBorders>
              <w:top w:val="single" w:sz="4" w:space="0" w:color="000000"/>
              <w:left w:val="single" w:sz="4" w:space="0" w:color="000000"/>
              <w:bottom w:val="single" w:sz="4" w:space="0" w:color="000000"/>
              <w:right w:val="single" w:sz="4" w:space="0" w:color="000000"/>
            </w:tcBorders>
          </w:tcPr>
          <w:p w14:paraId="7E26D9DE" w14:textId="77777777" w:rsidR="001439E0" w:rsidRDefault="001439E0">
            <w:pPr>
              <w:pStyle w:val="TableParagraph"/>
              <w:spacing w:before="8"/>
              <w:rPr>
                <w:b/>
                <w:sz w:val="20"/>
              </w:rPr>
            </w:pPr>
          </w:p>
          <w:p w14:paraId="7E26D9DF" w14:textId="77777777" w:rsidR="001439E0" w:rsidRDefault="008A23E0">
            <w:pPr>
              <w:pStyle w:val="TableParagraph"/>
              <w:ind w:left="9"/>
              <w:jc w:val="center"/>
              <w:rPr>
                <w:sz w:val="16"/>
              </w:rPr>
            </w:pPr>
            <w:r>
              <w:rPr>
                <w:w w:val="99"/>
                <w:sz w:val="16"/>
              </w:rPr>
              <w:t>-</w:t>
            </w:r>
          </w:p>
        </w:tc>
      </w:tr>
      <w:tr w:rsidR="001439E0" w14:paraId="7E26D9E2" w14:textId="77777777">
        <w:trPr>
          <w:trHeight w:val="268"/>
        </w:trPr>
        <w:tc>
          <w:tcPr>
            <w:tcW w:w="10188" w:type="dxa"/>
            <w:gridSpan w:val="7"/>
            <w:tcBorders>
              <w:top w:val="single" w:sz="4" w:space="0" w:color="000000"/>
              <w:left w:val="single" w:sz="4" w:space="0" w:color="000000"/>
              <w:bottom w:val="single" w:sz="4" w:space="0" w:color="000000"/>
              <w:right w:val="single" w:sz="4" w:space="0" w:color="000000"/>
            </w:tcBorders>
          </w:tcPr>
          <w:p w14:paraId="7E26D9E1" w14:textId="77777777" w:rsidR="001439E0" w:rsidRDefault="008A23E0">
            <w:pPr>
              <w:pStyle w:val="TableParagraph"/>
              <w:spacing w:before="43"/>
              <w:ind w:left="4018" w:right="4011"/>
              <w:jc w:val="center"/>
              <w:rPr>
                <w:b/>
                <w:sz w:val="16"/>
              </w:rPr>
            </w:pPr>
            <w:r>
              <w:rPr>
                <w:b/>
                <w:sz w:val="16"/>
              </w:rPr>
              <w:t>Hepatitis C Antiviral Agents</w:t>
            </w:r>
          </w:p>
        </w:tc>
      </w:tr>
      <w:tr w:rsidR="001439E0" w14:paraId="7E26D9F4" w14:textId="77777777">
        <w:trPr>
          <w:trHeight w:val="661"/>
        </w:trPr>
        <w:tc>
          <w:tcPr>
            <w:tcW w:w="1368" w:type="dxa"/>
            <w:tcBorders>
              <w:top w:val="single" w:sz="4" w:space="0" w:color="000000"/>
              <w:left w:val="single" w:sz="4" w:space="0" w:color="000000"/>
              <w:bottom w:val="single" w:sz="4" w:space="0" w:color="000000"/>
              <w:right w:val="single" w:sz="4" w:space="0" w:color="000000"/>
            </w:tcBorders>
          </w:tcPr>
          <w:p w14:paraId="7E26D9E3" w14:textId="77777777" w:rsidR="001439E0" w:rsidRDefault="001439E0">
            <w:pPr>
              <w:pStyle w:val="TableParagraph"/>
              <w:spacing w:before="9"/>
              <w:rPr>
                <w:b/>
                <w:sz w:val="20"/>
              </w:rPr>
            </w:pPr>
          </w:p>
          <w:p w14:paraId="7E26D9E4" w14:textId="77777777" w:rsidR="001439E0" w:rsidRDefault="008A23E0">
            <w:pPr>
              <w:pStyle w:val="TableParagraph"/>
              <w:ind w:left="128" w:right="118"/>
              <w:jc w:val="center"/>
              <w:rPr>
                <w:sz w:val="16"/>
              </w:rPr>
            </w:pPr>
            <w:proofErr w:type="spellStart"/>
            <w:r>
              <w:rPr>
                <w:sz w:val="16"/>
              </w:rPr>
              <w:t>elbasvir</w:t>
            </w:r>
            <w:proofErr w:type="spellEnd"/>
          </w:p>
        </w:tc>
        <w:tc>
          <w:tcPr>
            <w:tcW w:w="2340" w:type="dxa"/>
            <w:vMerge w:val="restart"/>
            <w:tcBorders>
              <w:top w:val="single" w:sz="4" w:space="0" w:color="000000"/>
              <w:left w:val="single" w:sz="4" w:space="0" w:color="000000"/>
              <w:bottom w:val="single" w:sz="4" w:space="0" w:color="000000"/>
              <w:right w:val="single" w:sz="4" w:space="0" w:color="000000"/>
            </w:tcBorders>
          </w:tcPr>
          <w:p w14:paraId="7E26D9E5" w14:textId="77777777" w:rsidR="001439E0" w:rsidRDefault="001439E0">
            <w:pPr>
              <w:pStyle w:val="TableParagraph"/>
              <w:rPr>
                <w:b/>
                <w:sz w:val="18"/>
              </w:rPr>
            </w:pPr>
          </w:p>
          <w:p w14:paraId="7E26D9E6" w14:textId="77777777" w:rsidR="001439E0" w:rsidRDefault="001439E0">
            <w:pPr>
              <w:pStyle w:val="TableParagraph"/>
              <w:spacing w:before="1"/>
              <w:rPr>
                <w:b/>
                <w:sz w:val="16"/>
              </w:rPr>
            </w:pPr>
          </w:p>
          <w:p w14:paraId="7E26D9E7" w14:textId="77777777" w:rsidR="001439E0" w:rsidRDefault="008A23E0">
            <w:pPr>
              <w:pStyle w:val="TableParagraph"/>
              <w:ind w:left="627" w:right="120" w:hanging="478"/>
              <w:rPr>
                <w:sz w:val="16"/>
              </w:rPr>
            </w:pPr>
            <w:r>
              <w:rPr>
                <w:sz w:val="16"/>
              </w:rPr>
              <w:t xml:space="preserve">50 mg </w:t>
            </w:r>
            <w:proofErr w:type="spellStart"/>
            <w:r>
              <w:rPr>
                <w:sz w:val="16"/>
              </w:rPr>
              <w:t>elbasvir</w:t>
            </w:r>
            <w:proofErr w:type="spellEnd"/>
            <w:r>
              <w:rPr>
                <w:sz w:val="16"/>
              </w:rPr>
              <w:t xml:space="preserve"> QD + 200 mg </w:t>
            </w:r>
            <w:proofErr w:type="spellStart"/>
            <w:r>
              <w:rPr>
                <w:sz w:val="16"/>
              </w:rPr>
              <w:t>grazoprevir</w:t>
            </w:r>
            <w:proofErr w:type="spellEnd"/>
            <w:r>
              <w:rPr>
                <w:sz w:val="16"/>
              </w:rPr>
              <w:t xml:space="preserve"> QD</w:t>
            </w:r>
          </w:p>
        </w:tc>
        <w:tc>
          <w:tcPr>
            <w:tcW w:w="1260" w:type="dxa"/>
            <w:vMerge w:val="restart"/>
            <w:tcBorders>
              <w:top w:val="single" w:sz="4" w:space="0" w:color="000000"/>
              <w:left w:val="single" w:sz="4" w:space="0" w:color="000000"/>
              <w:bottom w:val="single" w:sz="4" w:space="0" w:color="000000"/>
              <w:right w:val="single" w:sz="4" w:space="0" w:color="000000"/>
            </w:tcBorders>
          </w:tcPr>
          <w:p w14:paraId="7E26D9E8" w14:textId="77777777" w:rsidR="001439E0" w:rsidRDefault="001439E0">
            <w:pPr>
              <w:pStyle w:val="TableParagraph"/>
              <w:rPr>
                <w:b/>
                <w:sz w:val="18"/>
              </w:rPr>
            </w:pPr>
          </w:p>
          <w:p w14:paraId="7E26D9E9" w14:textId="77777777" w:rsidR="001439E0" w:rsidRDefault="001439E0">
            <w:pPr>
              <w:pStyle w:val="TableParagraph"/>
              <w:rPr>
                <w:b/>
                <w:sz w:val="24"/>
              </w:rPr>
            </w:pPr>
          </w:p>
          <w:p w14:paraId="7E26D9EA" w14:textId="77777777" w:rsidR="001439E0" w:rsidRDefault="008A23E0">
            <w:pPr>
              <w:pStyle w:val="TableParagraph"/>
              <w:ind w:left="220"/>
              <w:rPr>
                <w:sz w:val="16"/>
              </w:rPr>
            </w:pPr>
            <w:r>
              <w:rPr>
                <w:sz w:val="16"/>
              </w:rPr>
              <w:t>100 mg QD</w:t>
            </w:r>
          </w:p>
        </w:tc>
        <w:tc>
          <w:tcPr>
            <w:tcW w:w="540" w:type="dxa"/>
            <w:vMerge w:val="restart"/>
            <w:tcBorders>
              <w:top w:val="single" w:sz="4" w:space="0" w:color="000000"/>
              <w:left w:val="single" w:sz="4" w:space="0" w:color="000000"/>
              <w:bottom w:val="single" w:sz="4" w:space="0" w:color="000000"/>
              <w:right w:val="single" w:sz="4" w:space="0" w:color="000000"/>
            </w:tcBorders>
          </w:tcPr>
          <w:p w14:paraId="7E26D9EB" w14:textId="77777777" w:rsidR="001439E0" w:rsidRDefault="001439E0">
            <w:pPr>
              <w:pStyle w:val="TableParagraph"/>
              <w:rPr>
                <w:b/>
                <w:sz w:val="18"/>
              </w:rPr>
            </w:pPr>
          </w:p>
          <w:p w14:paraId="7E26D9EC" w14:textId="77777777" w:rsidR="001439E0" w:rsidRDefault="001439E0">
            <w:pPr>
              <w:pStyle w:val="TableParagraph"/>
              <w:rPr>
                <w:b/>
                <w:sz w:val="24"/>
              </w:rPr>
            </w:pPr>
          </w:p>
          <w:p w14:paraId="7E26D9ED" w14:textId="77777777" w:rsidR="001439E0" w:rsidRDefault="008A23E0">
            <w:pPr>
              <w:pStyle w:val="TableParagraph"/>
              <w:ind w:left="181"/>
              <w:rPr>
                <w:sz w:val="16"/>
              </w:rPr>
            </w:pPr>
            <w:r>
              <w:rPr>
                <w:sz w:val="16"/>
              </w:rPr>
              <w:t>12</w:t>
            </w:r>
          </w:p>
        </w:tc>
        <w:tc>
          <w:tcPr>
            <w:tcW w:w="1620" w:type="dxa"/>
            <w:tcBorders>
              <w:top w:val="single" w:sz="4" w:space="0" w:color="000000"/>
              <w:left w:val="single" w:sz="4" w:space="0" w:color="000000"/>
              <w:bottom w:val="single" w:sz="4" w:space="0" w:color="000000"/>
              <w:right w:val="single" w:sz="4" w:space="0" w:color="000000"/>
            </w:tcBorders>
          </w:tcPr>
          <w:p w14:paraId="7E26D9EE" w14:textId="77777777" w:rsidR="001439E0" w:rsidRDefault="001439E0">
            <w:pPr>
              <w:pStyle w:val="TableParagraph"/>
              <w:spacing w:before="9"/>
              <w:rPr>
                <w:b/>
                <w:sz w:val="20"/>
              </w:rPr>
            </w:pPr>
          </w:p>
          <w:p w14:paraId="7E26D9EF" w14:textId="77777777" w:rsidR="001439E0" w:rsidRDefault="008A23E0">
            <w:pPr>
              <w:pStyle w:val="TableParagraph"/>
              <w:ind w:left="200" w:right="192"/>
              <w:jc w:val="center"/>
              <w:rPr>
                <w:sz w:val="16"/>
              </w:rPr>
            </w:pPr>
            <w:r>
              <w:rPr>
                <w:sz w:val="16"/>
              </w:rPr>
              <w:t>0.96 (0.90, 1.02)</w:t>
            </w:r>
          </w:p>
        </w:tc>
        <w:tc>
          <w:tcPr>
            <w:tcW w:w="1620" w:type="dxa"/>
            <w:tcBorders>
              <w:top w:val="single" w:sz="4" w:space="0" w:color="000000"/>
              <w:left w:val="single" w:sz="4" w:space="0" w:color="000000"/>
              <w:bottom w:val="single" w:sz="4" w:space="0" w:color="000000"/>
              <w:right w:val="single" w:sz="4" w:space="0" w:color="000000"/>
            </w:tcBorders>
          </w:tcPr>
          <w:p w14:paraId="7E26D9F0" w14:textId="77777777" w:rsidR="001439E0" w:rsidRDefault="001439E0">
            <w:pPr>
              <w:pStyle w:val="TableParagraph"/>
              <w:spacing w:before="9"/>
              <w:rPr>
                <w:b/>
                <w:sz w:val="20"/>
              </w:rPr>
            </w:pPr>
          </w:p>
          <w:p w14:paraId="7E26D9F1" w14:textId="77777777" w:rsidR="001439E0" w:rsidRDefault="008A23E0">
            <w:pPr>
              <w:pStyle w:val="TableParagraph"/>
              <w:ind w:left="200" w:right="192"/>
              <w:jc w:val="center"/>
              <w:rPr>
                <w:sz w:val="16"/>
              </w:rPr>
            </w:pPr>
            <w:r>
              <w:rPr>
                <w:sz w:val="16"/>
              </w:rPr>
              <w:t>0.96 (0.91, 1.01)</w:t>
            </w:r>
          </w:p>
        </w:tc>
        <w:tc>
          <w:tcPr>
            <w:tcW w:w="1440" w:type="dxa"/>
            <w:tcBorders>
              <w:top w:val="single" w:sz="4" w:space="0" w:color="000000"/>
              <w:left w:val="single" w:sz="4" w:space="0" w:color="000000"/>
              <w:bottom w:val="single" w:sz="4" w:space="0" w:color="000000"/>
              <w:right w:val="single" w:sz="4" w:space="0" w:color="000000"/>
            </w:tcBorders>
          </w:tcPr>
          <w:p w14:paraId="7E26D9F2" w14:textId="77777777" w:rsidR="001439E0" w:rsidRDefault="001439E0">
            <w:pPr>
              <w:pStyle w:val="TableParagraph"/>
              <w:spacing w:before="9"/>
              <w:rPr>
                <w:b/>
                <w:sz w:val="20"/>
              </w:rPr>
            </w:pPr>
          </w:p>
          <w:p w14:paraId="7E26D9F3" w14:textId="77777777" w:rsidR="001439E0" w:rsidRDefault="008A23E0">
            <w:pPr>
              <w:pStyle w:val="TableParagraph"/>
              <w:ind w:left="111" w:right="103"/>
              <w:jc w:val="center"/>
              <w:rPr>
                <w:sz w:val="16"/>
              </w:rPr>
            </w:pPr>
            <w:r>
              <w:rPr>
                <w:sz w:val="16"/>
              </w:rPr>
              <w:t>0.96 (0.89, 1.04)</w:t>
            </w:r>
          </w:p>
        </w:tc>
      </w:tr>
      <w:tr w:rsidR="001439E0" w14:paraId="7E26DA00" w14:textId="77777777">
        <w:trPr>
          <w:trHeight w:val="662"/>
        </w:trPr>
        <w:tc>
          <w:tcPr>
            <w:tcW w:w="1368" w:type="dxa"/>
            <w:tcBorders>
              <w:top w:val="single" w:sz="4" w:space="0" w:color="000000"/>
              <w:left w:val="single" w:sz="4" w:space="0" w:color="000000"/>
              <w:bottom w:val="single" w:sz="4" w:space="0" w:color="000000"/>
              <w:right w:val="single" w:sz="4" w:space="0" w:color="000000"/>
            </w:tcBorders>
          </w:tcPr>
          <w:p w14:paraId="7E26D9F5" w14:textId="77777777" w:rsidR="001439E0" w:rsidRDefault="001439E0">
            <w:pPr>
              <w:pStyle w:val="TableParagraph"/>
              <w:spacing w:before="9"/>
              <w:rPr>
                <w:b/>
                <w:sz w:val="20"/>
              </w:rPr>
            </w:pPr>
          </w:p>
          <w:p w14:paraId="7E26D9F6" w14:textId="77777777" w:rsidR="001439E0" w:rsidRDefault="008A23E0">
            <w:pPr>
              <w:pStyle w:val="TableParagraph"/>
              <w:ind w:left="127" w:right="121"/>
              <w:jc w:val="center"/>
              <w:rPr>
                <w:sz w:val="16"/>
              </w:rPr>
            </w:pPr>
            <w:proofErr w:type="spellStart"/>
            <w:r>
              <w:rPr>
                <w:sz w:val="16"/>
              </w:rPr>
              <w:t>grazoprevir</w:t>
            </w:r>
            <w:proofErr w:type="spellEnd"/>
          </w:p>
        </w:tc>
        <w:tc>
          <w:tcPr>
            <w:tcW w:w="2340" w:type="dxa"/>
            <w:vMerge/>
            <w:tcBorders>
              <w:top w:val="nil"/>
              <w:left w:val="single" w:sz="4" w:space="0" w:color="000000"/>
              <w:bottom w:val="single" w:sz="4" w:space="0" w:color="000000"/>
              <w:right w:val="single" w:sz="4" w:space="0" w:color="000000"/>
            </w:tcBorders>
          </w:tcPr>
          <w:p w14:paraId="7E26D9F7"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9F8"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9F9"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9FA" w14:textId="77777777" w:rsidR="001439E0" w:rsidRDefault="001439E0">
            <w:pPr>
              <w:pStyle w:val="TableParagraph"/>
              <w:spacing w:before="9"/>
              <w:rPr>
                <w:b/>
                <w:sz w:val="20"/>
              </w:rPr>
            </w:pPr>
          </w:p>
          <w:p w14:paraId="7E26D9FB" w14:textId="77777777" w:rsidR="001439E0" w:rsidRDefault="008A23E0">
            <w:pPr>
              <w:pStyle w:val="TableParagraph"/>
              <w:ind w:left="200" w:right="193"/>
              <w:jc w:val="center"/>
              <w:rPr>
                <w:sz w:val="16"/>
              </w:rPr>
            </w:pPr>
            <w:r>
              <w:rPr>
                <w:sz w:val="16"/>
              </w:rPr>
              <w:t>1.07 (0.94, 1.23)</w:t>
            </w:r>
          </w:p>
        </w:tc>
        <w:tc>
          <w:tcPr>
            <w:tcW w:w="1620" w:type="dxa"/>
            <w:tcBorders>
              <w:top w:val="single" w:sz="4" w:space="0" w:color="000000"/>
              <w:left w:val="single" w:sz="4" w:space="0" w:color="000000"/>
              <w:bottom w:val="single" w:sz="4" w:space="0" w:color="000000"/>
              <w:right w:val="single" w:sz="4" w:space="0" w:color="000000"/>
            </w:tcBorders>
          </w:tcPr>
          <w:p w14:paraId="7E26D9FC" w14:textId="77777777" w:rsidR="001439E0" w:rsidRDefault="001439E0">
            <w:pPr>
              <w:pStyle w:val="TableParagraph"/>
              <w:spacing w:before="9"/>
              <w:rPr>
                <w:b/>
                <w:sz w:val="20"/>
              </w:rPr>
            </w:pPr>
          </w:p>
          <w:p w14:paraId="7E26D9FD" w14:textId="77777777" w:rsidR="001439E0" w:rsidRDefault="008A23E0">
            <w:pPr>
              <w:pStyle w:val="TableParagraph"/>
              <w:ind w:left="200" w:right="192"/>
              <w:jc w:val="center"/>
              <w:rPr>
                <w:sz w:val="16"/>
              </w:rPr>
            </w:pPr>
            <w:r>
              <w:rPr>
                <w:sz w:val="16"/>
              </w:rPr>
              <w:t>1.22 (1.01, 1.47)</w:t>
            </w:r>
          </w:p>
        </w:tc>
        <w:tc>
          <w:tcPr>
            <w:tcW w:w="1440" w:type="dxa"/>
            <w:tcBorders>
              <w:top w:val="single" w:sz="4" w:space="0" w:color="000000"/>
              <w:left w:val="single" w:sz="4" w:space="0" w:color="000000"/>
              <w:bottom w:val="single" w:sz="4" w:space="0" w:color="000000"/>
              <w:right w:val="single" w:sz="4" w:space="0" w:color="000000"/>
            </w:tcBorders>
          </w:tcPr>
          <w:p w14:paraId="7E26D9FE" w14:textId="77777777" w:rsidR="001439E0" w:rsidRDefault="001439E0">
            <w:pPr>
              <w:pStyle w:val="TableParagraph"/>
              <w:spacing w:before="9"/>
              <w:rPr>
                <w:b/>
                <w:sz w:val="20"/>
              </w:rPr>
            </w:pPr>
          </w:p>
          <w:p w14:paraId="7E26D9FF" w14:textId="77777777" w:rsidR="001439E0" w:rsidRDefault="008A23E0">
            <w:pPr>
              <w:pStyle w:val="TableParagraph"/>
              <w:ind w:left="111" w:right="103"/>
              <w:jc w:val="center"/>
              <w:rPr>
                <w:sz w:val="16"/>
              </w:rPr>
            </w:pPr>
            <w:r>
              <w:rPr>
                <w:sz w:val="16"/>
              </w:rPr>
              <w:t>0.90 (0.83, 0.96)</w:t>
            </w:r>
          </w:p>
        </w:tc>
      </w:tr>
      <w:tr w:rsidR="001439E0" w14:paraId="7E26DA17" w14:textId="77777777">
        <w:trPr>
          <w:trHeight w:val="662"/>
        </w:trPr>
        <w:tc>
          <w:tcPr>
            <w:tcW w:w="1368" w:type="dxa"/>
            <w:tcBorders>
              <w:top w:val="single" w:sz="4" w:space="0" w:color="000000"/>
              <w:left w:val="single" w:sz="4" w:space="0" w:color="000000"/>
              <w:bottom w:val="single" w:sz="4" w:space="0" w:color="000000"/>
              <w:right w:val="single" w:sz="4" w:space="0" w:color="000000"/>
            </w:tcBorders>
          </w:tcPr>
          <w:p w14:paraId="7E26DA01" w14:textId="77777777" w:rsidR="001439E0" w:rsidRDefault="001439E0">
            <w:pPr>
              <w:pStyle w:val="TableParagraph"/>
              <w:spacing w:before="9"/>
              <w:rPr>
                <w:b/>
                <w:sz w:val="20"/>
              </w:rPr>
            </w:pPr>
          </w:p>
          <w:p w14:paraId="7E26DA02" w14:textId="77777777" w:rsidR="001439E0" w:rsidRDefault="008A23E0">
            <w:pPr>
              <w:pStyle w:val="TableParagraph"/>
              <w:ind w:left="128" w:right="118"/>
              <w:jc w:val="center"/>
              <w:rPr>
                <w:sz w:val="16"/>
              </w:rPr>
            </w:pPr>
            <w:proofErr w:type="spellStart"/>
            <w:r>
              <w:rPr>
                <w:sz w:val="16"/>
              </w:rPr>
              <w:t>ledipasvir</w:t>
            </w:r>
            <w:proofErr w:type="spellEnd"/>
          </w:p>
        </w:tc>
        <w:tc>
          <w:tcPr>
            <w:tcW w:w="2340" w:type="dxa"/>
            <w:vMerge w:val="restart"/>
            <w:tcBorders>
              <w:top w:val="single" w:sz="4" w:space="0" w:color="000000"/>
              <w:left w:val="single" w:sz="4" w:space="0" w:color="000000"/>
              <w:bottom w:val="single" w:sz="4" w:space="0" w:color="000000"/>
              <w:right w:val="single" w:sz="4" w:space="0" w:color="000000"/>
            </w:tcBorders>
          </w:tcPr>
          <w:p w14:paraId="7E26DA03" w14:textId="77777777" w:rsidR="001439E0" w:rsidRDefault="001439E0">
            <w:pPr>
              <w:pStyle w:val="TableParagraph"/>
              <w:rPr>
                <w:b/>
                <w:sz w:val="18"/>
              </w:rPr>
            </w:pPr>
          </w:p>
          <w:p w14:paraId="7E26DA04" w14:textId="77777777" w:rsidR="001439E0" w:rsidRDefault="001439E0">
            <w:pPr>
              <w:pStyle w:val="TableParagraph"/>
              <w:rPr>
                <w:b/>
                <w:sz w:val="18"/>
              </w:rPr>
            </w:pPr>
          </w:p>
          <w:p w14:paraId="7E26DA05" w14:textId="77777777" w:rsidR="001439E0" w:rsidRDefault="001439E0">
            <w:pPr>
              <w:pStyle w:val="TableParagraph"/>
              <w:rPr>
                <w:b/>
                <w:sz w:val="18"/>
              </w:rPr>
            </w:pPr>
          </w:p>
          <w:p w14:paraId="7E26DA06" w14:textId="77777777" w:rsidR="001439E0" w:rsidRDefault="008A23E0">
            <w:pPr>
              <w:pStyle w:val="TableParagraph"/>
              <w:spacing w:before="107"/>
              <w:ind w:left="538" w:right="200" w:hanging="310"/>
              <w:rPr>
                <w:sz w:val="16"/>
              </w:rPr>
            </w:pPr>
            <w:r>
              <w:rPr>
                <w:sz w:val="16"/>
              </w:rPr>
              <w:t xml:space="preserve">90 mg </w:t>
            </w:r>
            <w:proofErr w:type="spellStart"/>
            <w:r>
              <w:rPr>
                <w:sz w:val="16"/>
              </w:rPr>
              <w:t>ledipasvir</w:t>
            </w:r>
            <w:proofErr w:type="spellEnd"/>
            <w:r>
              <w:rPr>
                <w:sz w:val="16"/>
              </w:rPr>
              <w:t xml:space="preserve"> SD + 400 mg </w:t>
            </w:r>
            <w:proofErr w:type="spellStart"/>
            <w:r>
              <w:rPr>
                <w:sz w:val="16"/>
              </w:rPr>
              <w:t>sofosbuvir</w:t>
            </w:r>
            <w:proofErr w:type="spellEnd"/>
            <w:r>
              <w:rPr>
                <w:sz w:val="16"/>
              </w:rPr>
              <w:t xml:space="preserve"> SD</w:t>
            </w:r>
          </w:p>
        </w:tc>
        <w:tc>
          <w:tcPr>
            <w:tcW w:w="1260" w:type="dxa"/>
            <w:vMerge w:val="restart"/>
            <w:tcBorders>
              <w:top w:val="single" w:sz="4" w:space="0" w:color="000000"/>
              <w:left w:val="single" w:sz="4" w:space="0" w:color="000000"/>
              <w:bottom w:val="single" w:sz="4" w:space="0" w:color="000000"/>
              <w:right w:val="single" w:sz="4" w:space="0" w:color="000000"/>
            </w:tcBorders>
          </w:tcPr>
          <w:p w14:paraId="7E26DA07" w14:textId="77777777" w:rsidR="001439E0" w:rsidRDefault="001439E0">
            <w:pPr>
              <w:pStyle w:val="TableParagraph"/>
              <w:rPr>
                <w:b/>
                <w:sz w:val="18"/>
              </w:rPr>
            </w:pPr>
          </w:p>
          <w:p w14:paraId="7E26DA08" w14:textId="77777777" w:rsidR="001439E0" w:rsidRDefault="001439E0">
            <w:pPr>
              <w:pStyle w:val="TableParagraph"/>
              <w:rPr>
                <w:b/>
                <w:sz w:val="18"/>
              </w:rPr>
            </w:pPr>
          </w:p>
          <w:p w14:paraId="7E26DA09" w14:textId="77777777" w:rsidR="001439E0" w:rsidRDefault="001439E0">
            <w:pPr>
              <w:pStyle w:val="TableParagraph"/>
              <w:rPr>
                <w:b/>
                <w:sz w:val="18"/>
              </w:rPr>
            </w:pPr>
          </w:p>
          <w:p w14:paraId="7E26DA0A" w14:textId="77777777" w:rsidR="001439E0" w:rsidRDefault="001439E0">
            <w:pPr>
              <w:pStyle w:val="TableParagraph"/>
              <w:spacing w:before="2"/>
              <w:rPr>
                <w:b/>
                <w:sz w:val="17"/>
              </w:rPr>
            </w:pPr>
          </w:p>
          <w:p w14:paraId="7E26DA0B" w14:textId="77777777" w:rsidR="001439E0" w:rsidRDefault="008A23E0">
            <w:pPr>
              <w:pStyle w:val="TableParagraph"/>
              <w:spacing w:before="1"/>
              <w:ind w:left="228"/>
              <w:rPr>
                <w:sz w:val="16"/>
              </w:rPr>
            </w:pPr>
            <w:r>
              <w:rPr>
                <w:sz w:val="16"/>
              </w:rPr>
              <w:t>100 mg SD</w:t>
            </w:r>
          </w:p>
        </w:tc>
        <w:tc>
          <w:tcPr>
            <w:tcW w:w="540" w:type="dxa"/>
            <w:vMerge w:val="restart"/>
            <w:tcBorders>
              <w:top w:val="single" w:sz="4" w:space="0" w:color="000000"/>
              <w:left w:val="single" w:sz="4" w:space="0" w:color="000000"/>
              <w:bottom w:val="single" w:sz="4" w:space="0" w:color="000000"/>
              <w:right w:val="single" w:sz="4" w:space="0" w:color="000000"/>
            </w:tcBorders>
          </w:tcPr>
          <w:p w14:paraId="7E26DA0C" w14:textId="77777777" w:rsidR="001439E0" w:rsidRDefault="001439E0">
            <w:pPr>
              <w:pStyle w:val="TableParagraph"/>
              <w:rPr>
                <w:b/>
                <w:sz w:val="18"/>
              </w:rPr>
            </w:pPr>
          </w:p>
          <w:p w14:paraId="7E26DA0D" w14:textId="77777777" w:rsidR="001439E0" w:rsidRDefault="001439E0">
            <w:pPr>
              <w:pStyle w:val="TableParagraph"/>
              <w:rPr>
                <w:b/>
                <w:sz w:val="18"/>
              </w:rPr>
            </w:pPr>
          </w:p>
          <w:p w14:paraId="7E26DA0E" w14:textId="77777777" w:rsidR="001439E0" w:rsidRDefault="001439E0">
            <w:pPr>
              <w:pStyle w:val="TableParagraph"/>
              <w:rPr>
                <w:b/>
                <w:sz w:val="18"/>
              </w:rPr>
            </w:pPr>
          </w:p>
          <w:p w14:paraId="7E26DA0F" w14:textId="77777777" w:rsidR="001439E0" w:rsidRDefault="001439E0">
            <w:pPr>
              <w:pStyle w:val="TableParagraph"/>
              <w:spacing w:before="2"/>
              <w:rPr>
                <w:b/>
                <w:sz w:val="17"/>
              </w:rPr>
            </w:pPr>
          </w:p>
          <w:p w14:paraId="7E26DA10" w14:textId="77777777" w:rsidR="001439E0" w:rsidRDefault="008A23E0">
            <w:pPr>
              <w:pStyle w:val="TableParagraph"/>
              <w:spacing w:before="1"/>
              <w:ind w:left="180"/>
              <w:rPr>
                <w:sz w:val="16"/>
              </w:rPr>
            </w:pPr>
            <w:r>
              <w:rPr>
                <w:sz w:val="16"/>
              </w:rPr>
              <w:t>14</w:t>
            </w:r>
          </w:p>
        </w:tc>
        <w:tc>
          <w:tcPr>
            <w:tcW w:w="1620" w:type="dxa"/>
            <w:tcBorders>
              <w:top w:val="single" w:sz="4" w:space="0" w:color="000000"/>
              <w:left w:val="single" w:sz="4" w:space="0" w:color="000000"/>
              <w:bottom w:val="single" w:sz="4" w:space="0" w:color="000000"/>
              <w:right w:val="single" w:sz="4" w:space="0" w:color="000000"/>
            </w:tcBorders>
          </w:tcPr>
          <w:p w14:paraId="7E26DA11" w14:textId="77777777" w:rsidR="001439E0" w:rsidRDefault="001439E0">
            <w:pPr>
              <w:pStyle w:val="TableParagraph"/>
              <w:spacing w:before="9"/>
              <w:rPr>
                <w:b/>
                <w:sz w:val="20"/>
              </w:rPr>
            </w:pPr>
          </w:p>
          <w:p w14:paraId="7E26DA12" w14:textId="77777777" w:rsidR="001439E0" w:rsidRDefault="008A23E0">
            <w:pPr>
              <w:pStyle w:val="TableParagraph"/>
              <w:ind w:left="200" w:right="192"/>
              <w:jc w:val="center"/>
              <w:rPr>
                <w:sz w:val="16"/>
              </w:rPr>
            </w:pPr>
            <w:r>
              <w:rPr>
                <w:sz w:val="16"/>
              </w:rPr>
              <w:t>0.92 (0.80, 1.06)</w:t>
            </w:r>
          </w:p>
        </w:tc>
        <w:tc>
          <w:tcPr>
            <w:tcW w:w="1620" w:type="dxa"/>
            <w:tcBorders>
              <w:top w:val="single" w:sz="4" w:space="0" w:color="000000"/>
              <w:left w:val="single" w:sz="4" w:space="0" w:color="000000"/>
              <w:bottom w:val="single" w:sz="4" w:space="0" w:color="000000"/>
              <w:right w:val="single" w:sz="4" w:space="0" w:color="000000"/>
            </w:tcBorders>
          </w:tcPr>
          <w:p w14:paraId="7E26DA13" w14:textId="77777777" w:rsidR="001439E0" w:rsidRDefault="001439E0">
            <w:pPr>
              <w:pStyle w:val="TableParagraph"/>
              <w:spacing w:before="9"/>
              <w:rPr>
                <w:b/>
                <w:sz w:val="20"/>
              </w:rPr>
            </w:pPr>
          </w:p>
          <w:p w14:paraId="7E26DA14" w14:textId="77777777" w:rsidR="001439E0" w:rsidRDefault="008A23E0">
            <w:pPr>
              <w:pStyle w:val="TableParagraph"/>
              <w:ind w:left="200" w:right="192"/>
              <w:jc w:val="center"/>
              <w:rPr>
                <w:sz w:val="16"/>
              </w:rPr>
            </w:pPr>
            <w:r>
              <w:rPr>
                <w:sz w:val="16"/>
              </w:rPr>
              <w:t>0.91 (0.80, 1.02)</w:t>
            </w:r>
          </w:p>
        </w:tc>
        <w:tc>
          <w:tcPr>
            <w:tcW w:w="1440" w:type="dxa"/>
            <w:tcBorders>
              <w:top w:val="single" w:sz="4" w:space="0" w:color="000000"/>
              <w:left w:val="single" w:sz="4" w:space="0" w:color="000000"/>
              <w:bottom w:val="single" w:sz="4" w:space="0" w:color="000000"/>
              <w:right w:val="single" w:sz="4" w:space="0" w:color="000000"/>
            </w:tcBorders>
          </w:tcPr>
          <w:p w14:paraId="7E26DA15" w14:textId="77777777" w:rsidR="001439E0" w:rsidRDefault="001439E0">
            <w:pPr>
              <w:pStyle w:val="TableParagraph"/>
              <w:spacing w:before="9"/>
              <w:rPr>
                <w:b/>
                <w:sz w:val="20"/>
              </w:rPr>
            </w:pPr>
          </w:p>
          <w:p w14:paraId="7E26DA16" w14:textId="77777777" w:rsidR="001439E0" w:rsidRDefault="008A23E0">
            <w:pPr>
              <w:pStyle w:val="TableParagraph"/>
              <w:ind w:left="110" w:right="103"/>
              <w:jc w:val="center"/>
              <w:rPr>
                <w:sz w:val="16"/>
              </w:rPr>
            </w:pPr>
            <w:r>
              <w:rPr>
                <w:sz w:val="16"/>
              </w:rPr>
              <w:t>--</w:t>
            </w:r>
          </w:p>
        </w:tc>
      </w:tr>
      <w:tr w:rsidR="001439E0" w14:paraId="7E26DA23" w14:textId="77777777">
        <w:trPr>
          <w:trHeight w:val="661"/>
        </w:trPr>
        <w:tc>
          <w:tcPr>
            <w:tcW w:w="1368" w:type="dxa"/>
            <w:tcBorders>
              <w:top w:val="single" w:sz="4" w:space="0" w:color="000000"/>
              <w:left w:val="single" w:sz="4" w:space="0" w:color="000000"/>
              <w:bottom w:val="single" w:sz="4" w:space="0" w:color="000000"/>
              <w:right w:val="single" w:sz="4" w:space="0" w:color="000000"/>
            </w:tcBorders>
          </w:tcPr>
          <w:p w14:paraId="7E26DA18" w14:textId="77777777" w:rsidR="001439E0" w:rsidRDefault="001439E0">
            <w:pPr>
              <w:pStyle w:val="TableParagraph"/>
              <w:spacing w:before="9"/>
              <w:rPr>
                <w:b/>
                <w:sz w:val="20"/>
              </w:rPr>
            </w:pPr>
          </w:p>
          <w:p w14:paraId="7E26DA19" w14:textId="77777777" w:rsidR="001439E0" w:rsidRDefault="008A23E0">
            <w:pPr>
              <w:pStyle w:val="TableParagraph"/>
              <w:ind w:left="128" w:right="120"/>
              <w:jc w:val="center"/>
              <w:rPr>
                <w:sz w:val="16"/>
              </w:rPr>
            </w:pPr>
            <w:proofErr w:type="spellStart"/>
            <w:r>
              <w:rPr>
                <w:sz w:val="16"/>
              </w:rPr>
              <w:t>sofosbuvir</w:t>
            </w:r>
            <w:proofErr w:type="spellEnd"/>
          </w:p>
        </w:tc>
        <w:tc>
          <w:tcPr>
            <w:tcW w:w="2340" w:type="dxa"/>
            <w:vMerge/>
            <w:tcBorders>
              <w:top w:val="nil"/>
              <w:left w:val="single" w:sz="4" w:space="0" w:color="000000"/>
              <w:bottom w:val="single" w:sz="4" w:space="0" w:color="000000"/>
              <w:right w:val="single" w:sz="4" w:space="0" w:color="000000"/>
            </w:tcBorders>
          </w:tcPr>
          <w:p w14:paraId="7E26DA1A"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A1B"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A1C"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A1D" w14:textId="77777777" w:rsidR="001439E0" w:rsidRDefault="001439E0">
            <w:pPr>
              <w:pStyle w:val="TableParagraph"/>
              <w:spacing w:before="9"/>
              <w:rPr>
                <w:b/>
                <w:sz w:val="20"/>
              </w:rPr>
            </w:pPr>
          </w:p>
          <w:p w14:paraId="7E26DA1E" w14:textId="77777777" w:rsidR="001439E0" w:rsidRDefault="008A23E0">
            <w:pPr>
              <w:pStyle w:val="TableParagraph"/>
              <w:ind w:left="199" w:right="193"/>
              <w:jc w:val="center"/>
              <w:rPr>
                <w:sz w:val="16"/>
              </w:rPr>
            </w:pPr>
            <w:r>
              <w:rPr>
                <w:sz w:val="16"/>
              </w:rPr>
              <w:t>1.04 (0.91, 1.18)</w:t>
            </w:r>
          </w:p>
        </w:tc>
        <w:tc>
          <w:tcPr>
            <w:tcW w:w="1620" w:type="dxa"/>
            <w:tcBorders>
              <w:top w:val="single" w:sz="4" w:space="0" w:color="000000"/>
              <w:left w:val="single" w:sz="4" w:space="0" w:color="000000"/>
              <w:bottom w:val="single" w:sz="4" w:space="0" w:color="000000"/>
              <w:right w:val="single" w:sz="4" w:space="0" w:color="000000"/>
            </w:tcBorders>
          </w:tcPr>
          <w:p w14:paraId="7E26DA1F" w14:textId="77777777" w:rsidR="001439E0" w:rsidRDefault="001439E0">
            <w:pPr>
              <w:pStyle w:val="TableParagraph"/>
              <w:spacing w:before="9"/>
              <w:rPr>
                <w:b/>
                <w:sz w:val="20"/>
              </w:rPr>
            </w:pPr>
          </w:p>
          <w:p w14:paraId="7E26DA20" w14:textId="77777777" w:rsidR="001439E0" w:rsidRDefault="008A23E0">
            <w:pPr>
              <w:pStyle w:val="TableParagraph"/>
              <w:ind w:left="200" w:right="193"/>
              <w:jc w:val="center"/>
              <w:rPr>
                <w:sz w:val="16"/>
              </w:rPr>
            </w:pPr>
            <w:r>
              <w:rPr>
                <w:sz w:val="16"/>
              </w:rPr>
              <w:t>0.89 (0.79, 1.00)</w:t>
            </w:r>
          </w:p>
        </w:tc>
        <w:tc>
          <w:tcPr>
            <w:tcW w:w="1440" w:type="dxa"/>
            <w:tcBorders>
              <w:top w:val="single" w:sz="4" w:space="0" w:color="000000"/>
              <w:left w:val="single" w:sz="4" w:space="0" w:color="000000"/>
              <w:bottom w:val="single" w:sz="4" w:space="0" w:color="000000"/>
              <w:right w:val="single" w:sz="4" w:space="0" w:color="000000"/>
            </w:tcBorders>
          </w:tcPr>
          <w:p w14:paraId="7E26DA21" w14:textId="77777777" w:rsidR="001439E0" w:rsidRDefault="001439E0">
            <w:pPr>
              <w:pStyle w:val="TableParagraph"/>
              <w:spacing w:before="9"/>
              <w:rPr>
                <w:b/>
                <w:sz w:val="20"/>
              </w:rPr>
            </w:pPr>
          </w:p>
          <w:p w14:paraId="7E26DA22" w14:textId="77777777" w:rsidR="001439E0" w:rsidRDefault="008A23E0">
            <w:pPr>
              <w:pStyle w:val="TableParagraph"/>
              <w:ind w:left="110" w:right="103"/>
              <w:jc w:val="center"/>
              <w:rPr>
                <w:sz w:val="16"/>
              </w:rPr>
            </w:pPr>
            <w:r>
              <w:rPr>
                <w:sz w:val="16"/>
              </w:rPr>
              <w:t>--</w:t>
            </w:r>
          </w:p>
        </w:tc>
      </w:tr>
      <w:tr w:rsidR="001439E0" w14:paraId="7E26DA2F" w14:textId="77777777">
        <w:trPr>
          <w:trHeight w:val="661"/>
        </w:trPr>
        <w:tc>
          <w:tcPr>
            <w:tcW w:w="1368" w:type="dxa"/>
            <w:tcBorders>
              <w:top w:val="single" w:sz="4" w:space="0" w:color="000000"/>
              <w:left w:val="single" w:sz="4" w:space="0" w:color="000000"/>
              <w:bottom w:val="single" w:sz="4" w:space="0" w:color="000000"/>
              <w:right w:val="single" w:sz="4" w:space="0" w:color="000000"/>
            </w:tcBorders>
          </w:tcPr>
          <w:p w14:paraId="7E26DA24" w14:textId="77777777" w:rsidR="001439E0" w:rsidRDefault="001439E0">
            <w:pPr>
              <w:pStyle w:val="TableParagraph"/>
              <w:spacing w:before="9"/>
              <w:rPr>
                <w:b/>
                <w:sz w:val="20"/>
              </w:rPr>
            </w:pPr>
          </w:p>
          <w:p w14:paraId="7E26DA25" w14:textId="77777777" w:rsidR="001439E0" w:rsidRDefault="008A23E0">
            <w:pPr>
              <w:pStyle w:val="TableParagraph"/>
              <w:ind w:left="128" w:right="120"/>
              <w:jc w:val="center"/>
              <w:rPr>
                <w:sz w:val="16"/>
              </w:rPr>
            </w:pPr>
            <w:r>
              <w:rPr>
                <w:sz w:val="16"/>
              </w:rPr>
              <w:t>GS-331007</w:t>
            </w:r>
          </w:p>
        </w:tc>
        <w:tc>
          <w:tcPr>
            <w:tcW w:w="2340" w:type="dxa"/>
            <w:vMerge/>
            <w:tcBorders>
              <w:top w:val="nil"/>
              <w:left w:val="single" w:sz="4" w:space="0" w:color="000000"/>
              <w:bottom w:val="single" w:sz="4" w:space="0" w:color="000000"/>
              <w:right w:val="single" w:sz="4" w:space="0" w:color="000000"/>
            </w:tcBorders>
          </w:tcPr>
          <w:p w14:paraId="7E26DA26"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A27"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A28"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A29" w14:textId="77777777" w:rsidR="001439E0" w:rsidRDefault="001439E0">
            <w:pPr>
              <w:pStyle w:val="TableParagraph"/>
              <w:spacing w:before="9"/>
              <w:rPr>
                <w:b/>
                <w:sz w:val="20"/>
              </w:rPr>
            </w:pPr>
          </w:p>
          <w:p w14:paraId="7E26DA2A" w14:textId="77777777" w:rsidR="001439E0" w:rsidRDefault="008A23E0">
            <w:pPr>
              <w:pStyle w:val="TableParagraph"/>
              <w:ind w:left="200" w:right="191"/>
              <w:jc w:val="center"/>
              <w:rPr>
                <w:sz w:val="16"/>
              </w:rPr>
            </w:pPr>
            <w:r>
              <w:rPr>
                <w:sz w:val="16"/>
              </w:rPr>
              <w:t>1.03 (0.98, 1.09)</w:t>
            </w:r>
          </w:p>
        </w:tc>
        <w:tc>
          <w:tcPr>
            <w:tcW w:w="1620" w:type="dxa"/>
            <w:tcBorders>
              <w:top w:val="single" w:sz="4" w:space="0" w:color="000000"/>
              <w:left w:val="single" w:sz="4" w:space="0" w:color="000000"/>
              <w:bottom w:val="single" w:sz="4" w:space="0" w:color="000000"/>
              <w:right w:val="single" w:sz="4" w:space="0" w:color="000000"/>
            </w:tcBorders>
          </w:tcPr>
          <w:p w14:paraId="7E26DA2B" w14:textId="77777777" w:rsidR="001439E0" w:rsidRDefault="001439E0">
            <w:pPr>
              <w:pStyle w:val="TableParagraph"/>
              <w:spacing w:before="9"/>
              <w:rPr>
                <w:b/>
                <w:sz w:val="20"/>
              </w:rPr>
            </w:pPr>
          </w:p>
          <w:p w14:paraId="7E26DA2C" w14:textId="77777777" w:rsidR="001439E0" w:rsidRDefault="008A23E0">
            <w:pPr>
              <w:pStyle w:val="TableParagraph"/>
              <w:ind w:left="200" w:right="191"/>
              <w:jc w:val="center"/>
              <w:rPr>
                <w:sz w:val="16"/>
              </w:rPr>
            </w:pPr>
            <w:r>
              <w:rPr>
                <w:sz w:val="16"/>
              </w:rPr>
              <w:t>1.03 (0.97, 1.09)</w:t>
            </w:r>
          </w:p>
        </w:tc>
        <w:tc>
          <w:tcPr>
            <w:tcW w:w="1440" w:type="dxa"/>
            <w:tcBorders>
              <w:top w:val="single" w:sz="4" w:space="0" w:color="000000"/>
              <w:left w:val="single" w:sz="4" w:space="0" w:color="000000"/>
              <w:bottom w:val="single" w:sz="4" w:space="0" w:color="000000"/>
              <w:right w:val="single" w:sz="4" w:space="0" w:color="000000"/>
            </w:tcBorders>
          </w:tcPr>
          <w:p w14:paraId="7E26DA2D" w14:textId="77777777" w:rsidR="001439E0" w:rsidRDefault="001439E0">
            <w:pPr>
              <w:pStyle w:val="TableParagraph"/>
              <w:spacing w:before="9"/>
              <w:rPr>
                <w:b/>
                <w:sz w:val="20"/>
              </w:rPr>
            </w:pPr>
          </w:p>
          <w:p w14:paraId="7E26DA2E" w14:textId="77777777" w:rsidR="001439E0" w:rsidRDefault="008A23E0">
            <w:pPr>
              <w:pStyle w:val="TableParagraph"/>
              <w:ind w:left="110" w:right="103"/>
              <w:jc w:val="center"/>
              <w:rPr>
                <w:sz w:val="16"/>
              </w:rPr>
            </w:pPr>
            <w:r>
              <w:rPr>
                <w:sz w:val="16"/>
              </w:rPr>
              <w:t>--</w:t>
            </w:r>
          </w:p>
        </w:tc>
      </w:tr>
      <w:tr w:rsidR="001439E0" w14:paraId="7E26DA31" w14:textId="77777777">
        <w:trPr>
          <w:trHeight w:val="331"/>
        </w:trPr>
        <w:tc>
          <w:tcPr>
            <w:tcW w:w="10188" w:type="dxa"/>
            <w:gridSpan w:val="7"/>
            <w:tcBorders>
              <w:top w:val="single" w:sz="4" w:space="0" w:color="000000"/>
              <w:left w:val="single" w:sz="4" w:space="0" w:color="000000"/>
              <w:bottom w:val="single" w:sz="4" w:space="0" w:color="000000"/>
              <w:right w:val="single" w:sz="4" w:space="0" w:color="000000"/>
            </w:tcBorders>
          </w:tcPr>
          <w:p w14:paraId="7E26DA30" w14:textId="77777777" w:rsidR="001439E0" w:rsidRDefault="008A23E0">
            <w:pPr>
              <w:pStyle w:val="TableParagraph"/>
              <w:spacing w:before="74"/>
              <w:ind w:left="4018" w:right="4011"/>
              <w:jc w:val="center"/>
              <w:rPr>
                <w:b/>
                <w:sz w:val="16"/>
              </w:rPr>
            </w:pPr>
            <w:r>
              <w:rPr>
                <w:b/>
                <w:sz w:val="16"/>
              </w:rPr>
              <w:t>Oral Contraceptives</w:t>
            </w:r>
          </w:p>
        </w:tc>
      </w:tr>
      <w:tr w:rsidR="001439E0" w14:paraId="7E26DA3C" w14:textId="77777777">
        <w:trPr>
          <w:trHeight w:val="269"/>
        </w:trPr>
        <w:tc>
          <w:tcPr>
            <w:tcW w:w="1368" w:type="dxa"/>
            <w:tcBorders>
              <w:top w:val="single" w:sz="4" w:space="0" w:color="000000"/>
              <w:left w:val="single" w:sz="4" w:space="0" w:color="000000"/>
              <w:bottom w:val="single" w:sz="4" w:space="0" w:color="000000"/>
              <w:right w:val="single" w:sz="4" w:space="0" w:color="000000"/>
            </w:tcBorders>
          </w:tcPr>
          <w:p w14:paraId="7E26DA32" w14:textId="77777777" w:rsidR="001439E0" w:rsidRDefault="008A23E0">
            <w:pPr>
              <w:pStyle w:val="TableParagraph"/>
              <w:spacing w:before="43"/>
              <w:ind w:left="128" w:right="121"/>
              <w:jc w:val="center"/>
              <w:rPr>
                <w:sz w:val="16"/>
              </w:rPr>
            </w:pPr>
            <w:proofErr w:type="spellStart"/>
            <w:r>
              <w:rPr>
                <w:sz w:val="16"/>
              </w:rPr>
              <w:t>ethinylestradiol</w:t>
            </w:r>
            <w:proofErr w:type="spellEnd"/>
          </w:p>
        </w:tc>
        <w:tc>
          <w:tcPr>
            <w:tcW w:w="2340" w:type="dxa"/>
            <w:vMerge w:val="restart"/>
            <w:tcBorders>
              <w:top w:val="single" w:sz="4" w:space="0" w:color="000000"/>
              <w:left w:val="single" w:sz="4" w:space="0" w:color="000000"/>
              <w:bottom w:val="single" w:sz="4" w:space="0" w:color="000000"/>
              <w:right w:val="single" w:sz="4" w:space="0" w:color="000000"/>
            </w:tcBorders>
          </w:tcPr>
          <w:p w14:paraId="7E26DA33" w14:textId="77777777" w:rsidR="001439E0" w:rsidRDefault="008A23E0">
            <w:pPr>
              <w:pStyle w:val="TableParagraph"/>
              <w:spacing w:before="1" w:line="184" w:lineRule="exact"/>
              <w:ind w:left="255"/>
              <w:rPr>
                <w:sz w:val="16"/>
              </w:rPr>
            </w:pPr>
            <w:r>
              <w:rPr>
                <w:sz w:val="16"/>
              </w:rPr>
              <w:t xml:space="preserve">0.03 mg </w:t>
            </w:r>
            <w:proofErr w:type="spellStart"/>
            <w:r>
              <w:rPr>
                <w:sz w:val="16"/>
              </w:rPr>
              <w:t>ethinylestradiol</w:t>
            </w:r>
            <w:proofErr w:type="spellEnd"/>
            <w:r>
              <w:rPr>
                <w:sz w:val="16"/>
              </w:rPr>
              <w:t xml:space="preserve"> +</w:t>
            </w:r>
          </w:p>
          <w:p w14:paraId="7E26DA34" w14:textId="77777777" w:rsidR="001439E0" w:rsidRDefault="008A23E0">
            <w:pPr>
              <w:pStyle w:val="TableParagraph"/>
              <w:ind w:left="501" w:right="345" w:hanging="146"/>
              <w:rPr>
                <w:sz w:val="16"/>
              </w:rPr>
            </w:pPr>
            <w:r>
              <w:rPr>
                <w:sz w:val="16"/>
              </w:rPr>
              <w:t xml:space="preserve">0.15 mg </w:t>
            </w:r>
            <w:proofErr w:type="spellStart"/>
            <w:r>
              <w:rPr>
                <w:sz w:val="16"/>
              </w:rPr>
              <w:t>levonorgestrel</w:t>
            </w:r>
            <w:proofErr w:type="spellEnd"/>
            <w:r>
              <w:rPr>
                <w:sz w:val="16"/>
              </w:rPr>
              <w:t xml:space="preserve"> (Nordette®-28) SD</w:t>
            </w:r>
          </w:p>
        </w:tc>
        <w:tc>
          <w:tcPr>
            <w:tcW w:w="1260" w:type="dxa"/>
            <w:vMerge w:val="restart"/>
            <w:tcBorders>
              <w:top w:val="single" w:sz="4" w:space="0" w:color="000000"/>
              <w:left w:val="single" w:sz="4" w:space="0" w:color="000000"/>
              <w:bottom w:val="single" w:sz="4" w:space="0" w:color="000000"/>
              <w:right w:val="single" w:sz="4" w:space="0" w:color="000000"/>
            </w:tcBorders>
          </w:tcPr>
          <w:p w14:paraId="7E26DA35" w14:textId="77777777" w:rsidR="001439E0" w:rsidRDefault="001439E0">
            <w:pPr>
              <w:pStyle w:val="TableParagraph"/>
              <w:rPr>
                <w:b/>
                <w:sz w:val="16"/>
              </w:rPr>
            </w:pPr>
          </w:p>
          <w:p w14:paraId="7E26DA36" w14:textId="77777777" w:rsidR="001439E0" w:rsidRDefault="008A23E0">
            <w:pPr>
              <w:pStyle w:val="TableParagraph"/>
              <w:ind w:left="220"/>
              <w:rPr>
                <w:sz w:val="16"/>
              </w:rPr>
            </w:pPr>
            <w:r>
              <w:rPr>
                <w:sz w:val="16"/>
              </w:rPr>
              <w:t>100 mg QD</w:t>
            </w:r>
          </w:p>
        </w:tc>
        <w:tc>
          <w:tcPr>
            <w:tcW w:w="540" w:type="dxa"/>
            <w:vMerge w:val="restart"/>
            <w:tcBorders>
              <w:top w:val="single" w:sz="4" w:space="0" w:color="000000"/>
              <w:left w:val="single" w:sz="4" w:space="0" w:color="000000"/>
              <w:bottom w:val="single" w:sz="4" w:space="0" w:color="000000"/>
              <w:right w:val="single" w:sz="4" w:space="0" w:color="000000"/>
            </w:tcBorders>
          </w:tcPr>
          <w:p w14:paraId="7E26DA37" w14:textId="77777777" w:rsidR="001439E0" w:rsidRDefault="001439E0">
            <w:pPr>
              <w:pStyle w:val="TableParagraph"/>
              <w:rPr>
                <w:b/>
                <w:sz w:val="16"/>
              </w:rPr>
            </w:pPr>
          </w:p>
          <w:p w14:paraId="7E26DA38" w14:textId="77777777" w:rsidR="001439E0" w:rsidRDefault="008A23E0">
            <w:pPr>
              <w:pStyle w:val="TableParagraph"/>
              <w:ind w:left="181"/>
              <w:rPr>
                <w:sz w:val="16"/>
              </w:rPr>
            </w:pPr>
            <w:r>
              <w:rPr>
                <w:sz w:val="16"/>
              </w:rPr>
              <w:t>19</w:t>
            </w:r>
          </w:p>
        </w:tc>
        <w:tc>
          <w:tcPr>
            <w:tcW w:w="1620" w:type="dxa"/>
            <w:tcBorders>
              <w:top w:val="single" w:sz="4" w:space="0" w:color="000000"/>
              <w:left w:val="single" w:sz="4" w:space="0" w:color="000000"/>
              <w:bottom w:val="single" w:sz="4" w:space="0" w:color="000000"/>
              <w:right w:val="single" w:sz="4" w:space="0" w:color="000000"/>
            </w:tcBorders>
          </w:tcPr>
          <w:p w14:paraId="7E26DA39" w14:textId="77777777" w:rsidR="001439E0" w:rsidRDefault="008A23E0">
            <w:pPr>
              <w:pStyle w:val="TableParagraph"/>
              <w:spacing w:before="43"/>
              <w:ind w:left="200" w:right="192"/>
              <w:jc w:val="center"/>
              <w:rPr>
                <w:sz w:val="16"/>
              </w:rPr>
            </w:pPr>
            <w:r>
              <w:rPr>
                <w:sz w:val="16"/>
              </w:rPr>
              <w:t>0.98 (0.94, 1.03)</w:t>
            </w:r>
          </w:p>
        </w:tc>
        <w:tc>
          <w:tcPr>
            <w:tcW w:w="1620" w:type="dxa"/>
            <w:tcBorders>
              <w:top w:val="single" w:sz="4" w:space="0" w:color="000000"/>
              <w:left w:val="single" w:sz="4" w:space="0" w:color="000000"/>
              <w:bottom w:val="single" w:sz="4" w:space="0" w:color="000000"/>
              <w:right w:val="single" w:sz="4" w:space="0" w:color="000000"/>
            </w:tcBorders>
          </w:tcPr>
          <w:p w14:paraId="7E26DA3A" w14:textId="77777777" w:rsidR="001439E0" w:rsidRDefault="008A23E0">
            <w:pPr>
              <w:pStyle w:val="TableParagraph"/>
              <w:spacing w:before="43"/>
              <w:ind w:left="200" w:right="192"/>
              <w:jc w:val="center"/>
              <w:rPr>
                <w:sz w:val="16"/>
              </w:rPr>
            </w:pPr>
            <w:r>
              <w:rPr>
                <w:sz w:val="16"/>
              </w:rPr>
              <w:t>0.83 (0.80, 0.87)</w:t>
            </w:r>
          </w:p>
        </w:tc>
        <w:tc>
          <w:tcPr>
            <w:tcW w:w="1440" w:type="dxa"/>
            <w:tcBorders>
              <w:top w:val="single" w:sz="4" w:space="0" w:color="000000"/>
              <w:left w:val="single" w:sz="4" w:space="0" w:color="000000"/>
              <w:bottom w:val="single" w:sz="4" w:space="0" w:color="000000"/>
              <w:right w:val="single" w:sz="4" w:space="0" w:color="000000"/>
            </w:tcBorders>
          </w:tcPr>
          <w:p w14:paraId="7E26DA3B" w14:textId="77777777" w:rsidR="001439E0" w:rsidRDefault="008A23E0">
            <w:pPr>
              <w:pStyle w:val="TableParagraph"/>
              <w:spacing w:before="43"/>
              <w:ind w:left="110" w:right="103"/>
              <w:jc w:val="center"/>
              <w:rPr>
                <w:sz w:val="16"/>
              </w:rPr>
            </w:pPr>
            <w:r>
              <w:rPr>
                <w:sz w:val="16"/>
              </w:rPr>
              <w:t>--</w:t>
            </w:r>
          </w:p>
        </w:tc>
      </w:tr>
      <w:tr w:rsidR="001439E0" w14:paraId="7E26DA44" w14:textId="77777777">
        <w:trPr>
          <w:trHeight w:val="456"/>
        </w:trPr>
        <w:tc>
          <w:tcPr>
            <w:tcW w:w="1368" w:type="dxa"/>
            <w:tcBorders>
              <w:top w:val="single" w:sz="4" w:space="0" w:color="000000"/>
              <w:left w:val="single" w:sz="4" w:space="0" w:color="000000"/>
              <w:bottom w:val="single" w:sz="4" w:space="0" w:color="000000"/>
              <w:right w:val="single" w:sz="4" w:space="0" w:color="000000"/>
            </w:tcBorders>
          </w:tcPr>
          <w:p w14:paraId="7E26DA3D" w14:textId="77777777" w:rsidR="001439E0" w:rsidRDefault="008A23E0">
            <w:pPr>
              <w:pStyle w:val="TableParagraph"/>
              <w:spacing w:before="136"/>
              <w:ind w:left="127" w:right="121"/>
              <w:jc w:val="center"/>
              <w:rPr>
                <w:sz w:val="16"/>
              </w:rPr>
            </w:pPr>
            <w:proofErr w:type="spellStart"/>
            <w:r>
              <w:rPr>
                <w:sz w:val="16"/>
              </w:rPr>
              <w:t>levonorgestrel</w:t>
            </w:r>
            <w:proofErr w:type="spellEnd"/>
          </w:p>
        </w:tc>
        <w:tc>
          <w:tcPr>
            <w:tcW w:w="2340" w:type="dxa"/>
            <w:vMerge/>
            <w:tcBorders>
              <w:top w:val="nil"/>
              <w:left w:val="single" w:sz="4" w:space="0" w:color="000000"/>
              <w:bottom w:val="single" w:sz="4" w:space="0" w:color="000000"/>
              <w:right w:val="single" w:sz="4" w:space="0" w:color="000000"/>
            </w:tcBorders>
          </w:tcPr>
          <w:p w14:paraId="7E26DA3E"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A3F"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A40"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A41" w14:textId="77777777" w:rsidR="001439E0" w:rsidRDefault="008A23E0">
            <w:pPr>
              <w:pStyle w:val="TableParagraph"/>
              <w:spacing w:before="136"/>
              <w:ind w:left="198" w:right="193"/>
              <w:jc w:val="center"/>
              <w:rPr>
                <w:sz w:val="16"/>
              </w:rPr>
            </w:pPr>
            <w:r>
              <w:rPr>
                <w:sz w:val="16"/>
              </w:rPr>
              <w:t>1.21 (1.14, 1.28)</w:t>
            </w:r>
          </w:p>
        </w:tc>
        <w:tc>
          <w:tcPr>
            <w:tcW w:w="1620" w:type="dxa"/>
            <w:tcBorders>
              <w:top w:val="single" w:sz="4" w:space="0" w:color="000000"/>
              <w:left w:val="single" w:sz="4" w:space="0" w:color="000000"/>
              <w:bottom w:val="single" w:sz="4" w:space="0" w:color="000000"/>
              <w:right w:val="single" w:sz="4" w:space="0" w:color="000000"/>
            </w:tcBorders>
          </w:tcPr>
          <w:p w14:paraId="7E26DA42" w14:textId="77777777" w:rsidR="001439E0" w:rsidRDefault="008A23E0">
            <w:pPr>
              <w:pStyle w:val="TableParagraph"/>
              <w:spacing w:before="136"/>
              <w:ind w:left="199" w:right="193"/>
              <w:jc w:val="center"/>
              <w:rPr>
                <w:sz w:val="16"/>
              </w:rPr>
            </w:pPr>
            <w:r>
              <w:rPr>
                <w:sz w:val="16"/>
              </w:rPr>
              <w:t>0.96 (0.88, 1.05)</w:t>
            </w:r>
          </w:p>
        </w:tc>
        <w:tc>
          <w:tcPr>
            <w:tcW w:w="1440" w:type="dxa"/>
            <w:tcBorders>
              <w:top w:val="single" w:sz="4" w:space="0" w:color="000000"/>
              <w:left w:val="single" w:sz="4" w:space="0" w:color="000000"/>
              <w:bottom w:val="single" w:sz="4" w:space="0" w:color="000000"/>
              <w:right w:val="single" w:sz="4" w:space="0" w:color="000000"/>
            </w:tcBorders>
          </w:tcPr>
          <w:p w14:paraId="7E26DA43" w14:textId="77777777" w:rsidR="001439E0" w:rsidRDefault="008A23E0">
            <w:pPr>
              <w:pStyle w:val="TableParagraph"/>
              <w:spacing w:before="136"/>
              <w:ind w:left="108" w:right="103"/>
              <w:jc w:val="center"/>
              <w:rPr>
                <w:sz w:val="16"/>
              </w:rPr>
            </w:pPr>
            <w:r>
              <w:rPr>
                <w:sz w:val="16"/>
              </w:rPr>
              <w:t>--</w:t>
            </w:r>
          </w:p>
        </w:tc>
      </w:tr>
      <w:tr w:rsidR="001439E0" w14:paraId="7E26DA46" w14:textId="77777777">
        <w:trPr>
          <w:trHeight w:val="296"/>
        </w:trPr>
        <w:tc>
          <w:tcPr>
            <w:tcW w:w="10188" w:type="dxa"/>
            <w:gridSpan w:val="7"/>
            <w:tcBorders>
              <w:top w:val="single" w:sz="4" w:space="0" w:color="000000"/>
              <w:left w:val="single" w:sz="4" w:space="0" w:color="000000"/>
              <w:bottom w:val="single" w:sz="4" w:space="0" w:color="000000"/>
              <w:right w:val="single" w:sz="4" w:space="0" w:color="000000"/>
            </w:tcBorders>
          </w:tcPr>
          <w:p w14:paraId="7E26DA45" w14:textId="77777777" w:rsidR="001439E0" w:rsidRDefault="008A23E0">
            <w:pPr>
              <w:pStyle w:val="TableParagraph"/>
              <w:spacing w:before="56"/>
              <w:ind w:left="4018" w:right="4011"/>
              <w:jc w:val="center"/>
              <w:rPr>
                <w:b/>
                <w:sz w:val="16"/>
              </w:rPr>
            </w:pPr>
            <w:r>
              <w:rPr>
                <w:b/>
                <w:sz w:val="16"/>
              </w:rPr>
              <w:t>Statins</w:t>
            </w:r>
          </w:p>
        </w:tc>
      </w:tr>
      <w:tr w:rsidR="001439E0" w14:paraId="7E26DA4E" w14:textId="77777777">
        <w:trPr>
          <w:trHeight w:val="233"/>
        </w:trPr>
        <w:tc>
          <w:tcPr>
            <w:tcW w:w="1368" w:type="dxa"/>
            <w:tcBorders>
              <w:top w:val="single" w:sz="4" w:space="0" w:color="000000"/>
              <w:left w:val="single" w:sz="4" w:space="0" w:color="000000"/>
              <w:bottom w:val="single" w:sz="4" w:space="0" w:color="000000"/>
              <w:right w:val="single" w:sz="4" w:space="0" w:color="000000"/>
            </w:tcBorders>
          </w:tcPr>
          <w:p w14:paraId="7E26DA47" w14:textId="77777777" w:rsidR="001439E0" w:rsidRDefault="008A23E0">
            <w:pPr>
              <w:pStyle w:val="TableParagraph"/>
              <w:spacing w:before="25"/>
              <w:ind w:left="128" w:right="121"/>
              <w:jc w:val="center"/>
              <w:rPr>
                <w:sz w:val="16"/>
              </w:rPr>
            </w:pPr>
            <w:r>
              <w:rPr>
                <w:sz w:val="16"/>
              </w:rPr>
              <w:t>atorvastatin</w:t>
            </w:r>
          </w:p>
        </w:tc>
        <w:tc>
          <w:tcPr>
            <w:tcW w:w="2340" w:type="dxa"/>
            <w:tcBorders>
              <w:top w:val="single" w:sz="4" w:space="0" w:color="000000"/>
              <w:left w:val="single" w:sz="4" w:space="0" w:color="000000"/>
              <w:bottom w:val="single" w:sz="4" w:space="0" w:color="000000"/>
              <w:right w:val="single" w:sz="4" w:space="0" w:color="000000"/>
            </w:tcBorders>
          </w:tcPr>
          <w:p w14:paraId="7E26DA48" w14:textId="77777777" w:rsidR="001439E0" w:rsidRDefault="008A23E0">
            <w:pPr>
              <w:pStyle w:val="TableParagraph"/>
              <w:spacing w:before="25"/>
              <w:ind w:left="469" w:right="465"/>
              <w:jc w:val="center"/>
              <w:rPr>
                <w:sz w:val="16"/>
              </w:rPr>
            </w:pPr>
            <w:r>
              <w:rPr>
                <w:sz w:val="16"/>
              </w:rPr>
              <w:t>20 mg SD</w:t>
            </w:r>
          </w:p>
        </w:tc>
        <w:tc>
          <w:tcPr>
            <w:tcW w:w="1260" w:type="dxa"/>
            <w:tcBorders>
              <w:top w:val="single" w:sz="4" w:space="0" w:color="000000"/>
              <w:left w:val="single" w:sz="4" w:space="0" w:color="000000"/>
              <w:bottom w:val="single" w:sz="4" w:space="0" w:color="000000"/>
              <w:right w:val="single" w:sz="4" w:space="0" w:color="000000"/>
            </w:tcBorders>
          </w:tcPr>
          <w:p w14:paraId="7E26DA49" w14:textId="77777777" w:rsidR="001439E0" w:rsidRDefault="008A23E0">
            <w:pPr>
              <w:pStyle w:val="TableParagraph"/>
              <w:spacing w:before="25"/>
              <w:ind w:left="196" w:right="192"/>
              <w:jc w:val="center"/>
              <w:rPr>
                <w:sz w:val="16"/>
              </w:rPr>
            </w:pPr>
            <w:r>
              <w:rPr>
                <w:sz w:val="16"/>
              </w:rPr>
              <w:t>100 mg QD</w:t>
            </w:r>
          </w:p>
        </w:tc>
        <w:tc>
          <w:tcPr>
            <w:tcW w:w="540" w:type="dxa"/>
            <w:tcBorders>
              <w:top w:val="single" w:sz="4" w:space="0" w:color="000000"/>
              <w:left w:val="single" w:sz="4" w:space="0" w:color="000000"/>
              <w:bottom w:val="single" w:sz="4" w:space="0" w:color="000000"/>
              <w:right w:val="single" w:sz="4" w:space="0" w:color="000000"/>
            </w:tcBorders>
          </w:tcPr>
          <w:p w14:paraId="7E26DA4A" w14:textId="77777777" w:rsidR="001439E0" w:rsidRDefault="008A23E0">
            <w:pPr>
              <w:pStyle w:val="TableParagraph"/>
              <w:spacing w:before="25"/>
              <w:ind w:left="178"/>
              <w:rPr>
                <w:sz w:val="16"/>
              </w:rPr>
            </w:pPr>
            <w:r>
              <w:rPr>
                <w:sz w:val="16"/>
              </w:rPr>
              <w:t>14</w:t>
            </w:r>
          </w:p>
        </w:tc>
        <w:tc>
          <w:tcPr>
            <w:tcW w:w="1620" w:type="dxa"/>
            <w:tcBorders>
              <w:top w:val="single" w:sz="4" w:space="0" w:color="000000"/>
              <w:left w:val="single" w:sz="4" w:space="0" w:color="000000"/>
              <w:bottom w:val="single" w:sz="4" w:space="0" w:color="000000"/>
              <w:right w:val="single" w:sz="4" w:space="0" w:color="000000"/>
            </w:tcBorders>
          </w:tcPr>
          <w:p w14:paraId="7E26DA4B" w14:textId="77777777" w:rsidR="001439E0" w:rsidRDefault="008A23E0">
            <w:pPr>
              <w:pStyle w:val="TableParagraph"/>
              <w:spacing w:before="25"/>
              <w:ind w:left="198" w:right="193"/>
              <w:jc w:val="center"/>
              <w:rPr>
                <w:sz w:val="16"/>
              </w:rPr>
            </w:pPr>
            <w:r>
              <w:rPr>
                <w:sz w:val="16"/>
              </w:rPr>
              <w:t>0.98 (0.90, 1.06)</w:t>
            </w:r>
          </w:p>
        </w:tc>
        <w:tc>
          <w:tcPr>
            <w:tcW w:w="1620" w:type="dxa"/>
            <w:tcBorders>
              <w:top w:val="single" w:sz="4" w:space="0" w:color="000000"/>
              <w:left w:val="single" w:sz="4" w:space="0" w:color="000000"/>
              <w:bottom w:val="single" w:sz="4" w:space="0" w:color="000000"/>
              <w:right w:val="single" w:sz="4" w:space="0" w:color="000000"/>
            </w:tcBorders>
          </w:tcPr>
          <w:p w14:paraId="7E26DA4C" w14:textId="77777777" w:rsidR="001439E0" w:rsidRDefault="008A23E0">
            <w:pPr>
              <w:pStyle w:val="TableParagraph"/>
              <w:spacing w:before="25"/>
              <w:ind w:left="200" w:right="193"/>
              <w:jc w:val="center"/>
              <w:rPr>
                <w:sz w:val="16"/>
              </w:rPr>
            </w:pPr>
            <w:r>
              <w:rPr>
                <w:sz w:val="16"/>
              </w:rPr>
              <w:t>0.67 (0.52, 0.85)</w:t>
            </w:r>
          </w:p>
        </w:tc>
        <w:tc>
          <w:tcPr>
            <w:tcW w:w="1440" w:type="dxa"/>
            <w:tcBorders>
              <w:top w:val="single" w:sz="4" w:space="0" w:color="000000"/>
              <w:left w:val="single" w:sz="4" w:space="0" w:color="000000"/>
              <w:bottom w:val="single" w:sz="4" w:space="0" w:color="000000"/>
              <w:right w:val="single" w:sz="4" w:space="0" w:color="000000"/>
            </w:tcBorders>
          </w:tcPr>
          <w:p w14:paraId="7E26DA4D" w14:textId="77777777" w:rsidR="001439E0" w:rsidRDefault="008A23E0">
            <w:pPr>
              <w:pStyle w:val="TableParagraph"/>
              <w:spacing w:before="25"/>
              <w:ind w:left="9"/>
              <w:jc w:val="center"/>
              <w:rPr>
                <w:sz w:val="16"/>
              </w:rPr>
            </w:pPr>
            <w:r>
              <w:rPr>
                <w:w w:val="99"/>
                <w:sz w:val="16"/>
              </w:rPr>
              <w:t>-</w:t>
            </w:r>
          </w:p>
        </w:tc>
      </w:tr>
      <w:tr w:rsidR="001439E0" w14:paraId="7E26DA50" w14:textId="77777777">
        <w:trPr>
          <w:trHeight w:val="242"/>
        </w:trPr>
        <w:tc>
          <w:tcPr>
            <w:tcW w:w="10188" w:type="dxa"/>
            <w:gridSpan w:val="7"/>
            <w:tcBorders>
              <w:top w:val="single" w:sz="4" w:space="0" w:color="000000"/>
              <w:left w:val="single" w:sz="4" w:space="0" w:color="000000"/>
              <w:bottom w:val="single" w:sz="4" w:space="0" w:color="000000"/>
              <w:right w:val="single" w:sz="4" w:space="0" w:color="000000"/>
            </w:tcBorders>
          </w:tcPr>
          <w:p w14:paraId="7E26DA4F" w14:textId="77777777" w:rsidR="001439E0" w:rsidRDefault="008A23E0">
            <w:pPr>
              <w:pStyle w:val="TableParagraph"/>
              <w:spacing w:before="28"/>
              <w:ind w:left="4018" w:right="4011"/>
              <w:jc w:val="center"/>
              <w:rPr>
                <w:b/>
                <w:sz w:val="16"/>
              </w:rPr>
            </w:pPr>
            <w:r>
              <w:rPr>
                <w:b/>
                <w:sz w:val="16"/>
              </w:rPr>
              <w:t>Antidiabetics</w:t>
            </w:r>
          </w:p>
        </w:tc>
      </w:tr>
      <w:tr w:rsidR="001439E0" w14:paraId="7E26DA58" w14:textId="77777777">
        <w:trPr>
          <w:trHeight w:val="277"/>
        </w:trPr>
        <w:tc>
          <w:tcPr>
            <w:tcW w:w="1368" w:type="dxa"/>
            <w:tcBorders>
              <w:top w:val="single" w:sz="4" w:space="0" w:color="000000"/>
              <w:left w:val="single" w:sz="4" w:space="0" w:color="000000"/>
              <w:bottom w:val="single" w:sz="4" w:space="0" w:color="000000"/>
              <w:right w:val="single" w:sz="4" w:space="0" w:color="000000"/>
            </w:tcBorders>
          </w:tcPr>
          <w:p w14:paraId="7E26DA51" w14:textId="77777777" w:rsidR="001439E0" w:rsidRDefault="008A23E0">
            <w:pPr>
              <w:pStyle w:val="TableParagraph"/>
              <w:spacing w:before="46"/>
              <w:ind w:left="127" w:right="121"/>
              <w:jc w:val="center"/>
              <w:rPr>
                <w:sz w:val="16"/>
              </w:rPr>
            </w:pPr>
            <w:r>
              <w:rPr>
                <w:sz w:val="16"/>
              </w:rPr>
              <w:t>metformin</w:t>
            </w:r>
          </w:p>
        </w:tc>
        <w:tc>
          <w:tcPr>
            <w:tcW w:w="2340" w:type="dxa"/>
            <w:tcBorders>
              <w:top w:val="single" w:sz="4" w:space="0" w:color="000000"/>
              <w:left w:val="single" w:sz="4" w:space="0" w:color="000000"/>
              <w:bottom w:val="single" w:sz="4" w:space="0" w:color="000000"/>
              <w:right w:val="single" w:sz="4" w:space="0" w:color="000000"/>
            </w:tcBorders>
          </w:tcPr>
          <w:p w14:paraId="7E26DA52" w14:textId="77777777" w:rsidR="001439E0" w:rsidRDefault="008A23E0">
            <w:pPr>
              <w:pStyle w:val="TableParagraph"/>
              <w:spacing w:before="46"/>
              <w:ind w:left="471" w:right="465"/>
              <w:jc w:val="center"/>
              <w:rPr>
                <w:sz w:val="16"/>
              </w:rPr>
            </w:pPr>
            <w:r>
              <w:rPr>
                <w:sz w:val="16"/>
              </w:rPr>
              <w:t>1000 mg SD</w:t>
            </w:r>
          </w:p>
        </w:tc>
        <w:tc>
          <w:tcPr>
            <w:tcW w:w="1260" w:type="dxa"/>
            <w:tcBorders>
              <w:top w:val="single" w:sz="4" w:space="0" w:color="000000"/>
              <w:left w:val="single" w:sz="4" w:space="0" w:color="000000"/>
              <w:bottom w:val="single" w:sz="4" w:space="0" w:color="000000"/>
              <w:right w:val="single" w:sz="4" w:space="0" w:color="000000"/>
            </w:tcBorders>
          </w:tcPr>
          <w:p w14:paraId="7E26DA53" w14:textId="77777777" w:rsidR="001439E0" w:rsidRDefault="008A23E0">
            <w:pPr>
              <w:pStyle w:val="TableParagraph"/>
              <w:spacing w:before="46"/>
              <w:ind w:left="197" w:right="191"/>
              <w:jc w:val="center"/>
              <w:rPr>
                <w:sz w:val="16"/>
              </w:rPr>
            </w:pPr>
            <w:r>
              <w:rPr>
                <w:sz w:val="16"/>
              </w:rPr>
              <w:t>100 mg QD</w:t>
            </w:r>
          </w:p>
        </w:tc>
        <w:tc>
          <w:tcPr>
            <w:tcW w:w="540" w:type="dxa"/>
            <w:tcBorders>
              <w:top w:val="single" w:sz="4" w:space="0" w:color="000000"/>
              <w:left w:val="single" w:sz="4" w:space="0" w:color="000000"/>
              <w:bottom w:val="single" w:sz="4" w:space="0" w:color="000000"/>
              <w:right w:val="single" w:sz="4" w:space="0" w:color="000000"/>
            </w:tcBorders>
          </w:tcPr>
          <w:p w14:paraId="7E26DA54" w14:textId="77777777" w:rsidR="001439E0" w:rsidRDefault="008A23E0">
            <w:pPr>
              <w:pStyle w:val="TableParagraph"/>
              <w:spacing w:before="46"/>
              <w:ind w:left="179"/>
              <w:rPr>
                <w:sz w:val="16"/>
              </w:rPr>
            </w:pPr>
            <w:r>
              <w:rPr>
                <w:sz w:val="16"/>
              </w:rPr>
              <w:t>14</w:t>
            </w:r>
          </w:p>
        </w:tc>
        <w:tc>
          <w:tcPr>
            <w:tcW w:w="1620" w:type="dxa"/>
            <w:tcBorders>
              <w:top w:val="single" w:sz="4" w:space="0" w:color="000000"/>
              <w:left w:val="single" w:sz="4" w:space="0" w:color="000000"/>
              <w:bottom w:val="single" w:sz="4" w:space="0" w:color="000000"/>
              <w:right w:val="single" w:sz="4" w:space="0" w:color="000000"/>
            </w:tcBorders>
          </w:tcPr>
          <w:p w14:paraId="7E26DA55" w14:textId="77777777" w:rsidR="001439E0" w:rsidRDefault="008A23E0">
            <w:pPr>
              <w:pStyle w:val="TableParagraph"/>
              <w:spacing w:before="46"/>
              <w:ind w:left="199" w:right="193"/>
              <w:jc w:val="center"/>
              <w:rPr>
                <w:sz w:val="16"/>
              </w:rPr>
            </w:pPr>
            <w:r>
              <w:rPr>
                <w:sz w:val="16"/>
              </w:rPr>
              <w:t>0.94 (0.88, 1.00)</w:t>
            </w:r>
          </w:p>
        </w:tc>
        <w:tc>
          <w:tcPr>
            <w:tcW w:w="1620" w:type="dxa"/>
            <w:tcBorders>
              <w:top w:val="single" w:sz="4" w:space="0" w:color="000000"/>
              <w:left w:val="single" w:sz="4" w:space="0" w:color="000000"/>
              <w:bottom w:val="single" w:sz="4" w:space="0" w:color="000000"/>
              <w:right w:val="single" w:sz="4" w:space="0" w:color="000000"/>
            </w:tcBorders>
          </w:tcPr>
          <w:p w14:paraId="7E26DA56" w14:textId="77777777" w:rsidR="001439E0" w:rsidRDefault="008A23E0">
            <w:pPr>
              <w:pStyle w:val="TableParagraph"/>
              <w:spacing w:before="46"/>
              <w:ind w:left="200" w:right="192"/>
              <w:jc w:val="center"/>
              <w:rPr>
                <w:sz w:val="16"/>
              </w:rPr>
            </w:pPr>
            <w:r>
              <w:rPr>
                <w:sz w:val="16"/>
              </w:rPr>
              <w:t>0.94 (0.86, 1.03)</w:t>
            </w:r>
          </w:p>
        </w:tc>
        <w:tc>
          <w:tcPr>
            <w:tcW w:w="1440" w:type="dxa"/>
            <w:tcBorders>
              <w:top w:val="single" w:sz="4" w:space="0" w:color="000000"/>
              <w:left w:val="single" w:sz="4" w:space="0" w:color="000000"/>
              <w:bottom w:val="single" w:sz="4" w:space="0" w:color="000000"/>
              <w:right w:val="single" w:sz="4" w:space="0" w:color="000000"/>
            </w:tcBorders>
          </w:tcPr>
          <w:p w14:paraId="7E26DA57" w14:textId="77777777" w:rsidR="001439E0" w:rsidRDefault="008A23E0">
            <w:pPr>
              <w:pStyle w:val="TableParagraph"/>
              <w:spacing w:before="46"/>
              <w:ind w:left="9"/>
              <w:jc w:val="center"/>
              <w:rPr>
                <w:sz w:val="16"/>
              </w:rPr>
            </w:pPr>
            <w:r>
              <w:rPr>
                <w:w w:val="99"/>
                <w:sz w:val="16"/>
              </w:rPr>
              <w:t>-</w:t>
            </w:r>
          </w:p>
        </w:tc>
      </w:tr>
      <w:tr w:rsidR="001439E0" w14:paraId="7E26DA5A" w14:textId="77777777">
        <w:trPr>
          <w:trHeight w:val="248"/>
        </w:trPr>
        <w:tc>
          <w:tcPr>
            <w:tcW w:w="10188" w:type="dxa"/>
            <w:gridSpan w:val="7"/>
            <w:tcBorders>
              <w:top w:val="single" w:sz="4" w:space="0" w:color="000000"/>
              <w:left w:val="single" w:sz="4" w:space="0" w:color="000000"/>
              <w:bottom w:val="single" w:sz="4" w:space="0" w:color="000000"/>
              <w:right w:val="single" w:sz="4" w:space="0" w:color="000000"/>
            </w:tcBorders>
          </w:tcPr>
          <w:p w14:paraId="7E26DA59" w14:textId="77777777" w:rsidR="001439E0" w:rsidRDefault="008A23E0">
            <w:pPr>
              <w:pStyle w:val="TableParagraph"/>
              <w:spacing w:before="32"/>
              <w:ind w:left="4018" w:right="4010"/>
              <w:jc w:val="center"/>
              <w:rPr>
                <w:b/>
                <w:sz w:val="16"/>
              </w:rPr>
            </w:pPr>
            <w:r>
              <w:rPr>
                <w:b/>
                <w:sz w:val="16"/>
              </w:rPr>
              <w:t>Opioid Analgesics</w:t>
            </w:r>
          </w:p>
        </w:tc>
      </w:tr>
      <w:tr w:rsidR="001439E0" w14:paraId="7E26DA66" w14:textId="77777777">
        <w:trPr>
          <w:trHeight w:val="440"/>
        </w:trPr>
        <w:tc>
          <w:tcPr>
            <w:tcW w:w="1368" w:type="dxa"/>
            <w:tcBorders>
              <w:top w:val="single" w:sz="4" w:space="0" w:color="000000"/>
              <w:left w:val="single" w:sz="4" w:space="0" w:color="000000"/>
              <w:bottom w:val="single" w:sz="4" w:space="0" w:color="000000"/>
              <w:right w:val="single" w:sz="4" w:space="0" w:color="000000"/>
            </w:tcBorders>
          </w:tcPr>
          <w:p w14:paraId="7E26DA5B" w14:textId="77777777" w:rsidR="001439E0" w:rsidRDefault="008A23E0">
            <w:pPr>
              <w:pStyle w:val="TableParagraph"/>
              <w:spacing w:before="35"/>
              <w:ind w:left="144" w:right="135" w:firstLine="138"/>
              <w:rPr>
                <w:sz w:val="16"/>
              </w:rPr>
            </w:pPr>
            <w:r>
              <w:rPr>
                <w:sz w:val="16"/>
              </w:rPr>
              <w:t xml:space="preserve">methadone </w:t>
            </w:r>
            <w:r>
              <w:rPr>
                <w:w w:val="95"/>
                <w:sz w:val="16"/>
              </w:rPr>
              <w:t>(R-methadone)</w:t>
            </w:r>
          </w:p>
        </w:tc>
        <w:tc>
          <w:tcPr>
            <w:tcW w:w="2340" w:type="dxa"/>
            <w:vMerge w:val="restart"/>
            <w:tcBorders>
              <w:top w:val="single" w:sz="4" w:space="0" w:color="000000"/>
              <w:left w:val="single" w:sz="4" w:space="0" w:color="000000"/>
              <w:bottom w:val="single" w:sz="4" w:space="0" w:color="000000"/>
              <w:right w:val="single" w:sz="4" w:space="0" w:color="000000"/>
            </w:tcBorders>
          </w:tcPr>
          <w:p w14:paraId="7E26DA5C" w14:textId="77777777" w:rsidR="001439E0" w:rsidRDefault="001439E0">
            <w:pPr>
              <w:pStyle w:val="TableParagraph"/>
              <w:spacing w:before="7"/>
              <w:rPr>
                <w:b/>
                <w:sz w:val="14"/>
              </w:rPr>
            </w:pPr>
          </w:p>
          <w:p w14:paraId="7E26DA5D" w14:textId="77777777" w:rsidR="001439E0" w:rsidRDefault="008A23E0">
            <w:pPr>
              <w:pStyle w:val="TableParagraph"/>
              <w:spacing w:before="1" w:line="184" w:lineRule="exact"/>
              <w:ind w:left="472" w:right="464"/>
              <w:jc w:val="center"/>
              <w:rPr>
                <w:sz w:val="16"/>
              </w:rPr>
            </w:pPr>
            <w:r>
              <w:rPr>
                <w:sz w:val="16"/>
              </w:rPr>
              <w:t>20-200 mg QD</w:t>
            </w:r>
          </w:p>
          <w:p w14:paraId="7E26DA5E" w14:textId="77777777" w:rsidR="001439E0" w:rsidRDefault="008A23E0">
            <w:pPr>
              <w:pStyle w:val="TableParagraph"/>
              <w:ind w:left="472" w:right="465"/>
              <w:jc w:val="center"/>
              <w:rPr>
                <w:sz w:val="16"/>
              </w:rPr>
            </w:pPr>
            <w:r>
              <w:rPr>
                <w:sz w:val="16"/>
              </w:rPr>
              <w:t>individualized dose</w:t>
            </w:r>
          </w:p>
        </w:tc>
        <w:tc>
          <w:tcPr>
            <w:tcW w:w="1260" w:type="dxa"/>
            <w:vMerge w:val="restart"/>
            <w:tcBorders>
              <w:top w:val="single" w:sz="4" w:space="0" w:color="000000"/>
              <w:left w:val="single" w:sz="4" w:space="0" w:color="000000"/>
              <w:bottom w:val="single" w:sz="4" w:space="0" w:color="000000"/>
              <w:right w:val="single" w:sz="4" w:space="0" w:color="000000"/>
            </w:tcBorders>
          </w:tcPr>
          <w:p w14:paraId="7E26DA5F" w14:textId="77777777" w:rsidR="001439E0" w:rsidRDefault="001439E0">
            <w:pPr>
              <w:pStyle w:val="TableParagraph"/>
              <w:spacing w:before="7"/>
              <w:rPr>
                <w:b/>
              </w:rPr>
            </w:pPr>
          </w:p>
          <w:p w14:paraId="7E26DA60" w14:textId="77777777" w:rsidR="001439E0" w:rsidRDefault="008A23E0">
            <w:pPr>
              <w:pStyle w:val="TableParagraph"/>
              <w:ind w:left="220"/>
              <w:rPr>
                <w:sz w:val="16"/>
              </w:rPr>
            </w:pPr>
            <w:r>
              <w:rPr>
                <w:sz w:val="16"/>
              </w:rPr>
              <w:t>100 mg QD</w:t>
            </w:r>
          </w:p>
        </w:tc>
        <w:tc>
          <w:tcPr>
            <w:tcW w:w="540" w:type="dxa"/>
            <w:vMerge w:val="restart"/>
            <w:tcBorders>
              <w:top w:val="single" w:sz="4" w:space="0" w:color="000000"/>
              <w:left w:val="single" w:sz="4" w:space="0" w:color="000000"/>
              <w:bottom w:val="single" w:sz="4" w:space="0" w:color="000000"/>
              <w:right w:val="single" w:sz="4" w:space="0" w:color="000000"/>
            </w:tcBorders>
          </w:tcPr>
          <w:p w14:paraId="7E26DA61" w14:textId="77777777" w:rsidR="001439E0" w:rsidRDefault="001439E0">
            <w:pPr>
              <w:pStyle w:val="TableParagraph"/>
              <w:spacing w:before="7"/>
              <w:rPr>
                <w:b/>
              </w:rPr>
            </w:pPr>
          </w:p>
          <w:p w14:paraId="7E26DA62" w14:textId="77777777" w:rsidR="001439E0" w:rsidRDefault="008A23E0">
            <w:pPr>
              <w:pStyle w:val="TableParagraph"/>
              <w:ind w:left="180"/>
              <w:rPr>
                <w:sz w:val="16"/>
              </w:rPr>
            </w:pPr>
            <w:r>
              <w:rPr>
                <w:sz w:val="16"/>
              </w:rPr>
              <w:t>14</w:t>
            </w:r>
          </w:p>
        </w:tc>
        <w:tc>
          <w:tcPr>
            <w:tcW w:w="1620" w:type="dxa"/>
            <w:tcBorders>
              <w:top w:val="single" w:sz="4" w:space="0" w:color="000000"/>
              <w:left w:val="single" w:sz="4" w:space="0" w:color="000000"/>
              <w:bottom w:val="single" w:sz="4" w:space="0" w:color="000000"/>
              <w:right w:val="single" w:sz="4" w:space="0" w:color="000000"/>
            </w:tcBorders>
          </w:tcPr>
          <w:p w14:paraId="7E26DA63" w14:textId="77777777" w:rsidR="001439E0" w:rsidRDefault="008A23E0">
            <w:pPr>
              <w:pStyle w:val="TableParagraph"/>
              <w:spacing w:before="128"/>
              <w:ind w:left="200" w:right="192"/>
              <w:jc w:val="center"/>
              <w:rPr>
                <w:sz w:val="16"/>
              </w:rPr>
            </w:pPr>
            <w:r>
              <w:rPr>
                <w:sz w:val="16"/>
              </w:rPr>
              <w:t>0.95 (0.90, 1.01)</w:t>
            </w:r>
          </w:p>
        </w:tc>
        <w:tc>
          <w:tcPr>
            <w:tcW w:w="1620" w:type="dxa"/>
            <w:tcBorders>
              <w:top w:val="single" w:sz="4" w:space="0" w:color="000000"/>
              <w:left w:val="single" w:sz="4" w:space="0" w:color="000000"/>
              <w:bottom w:val="single" w:sz="4" w:space="0" w:color="000000"/>
              <w:right w:val="single" w:sz="4" w:space="0" w:color="000000"/>
            </w:tcBorders>
          </w:tcPr>
          <w:p w14:paraId="7E26DA64" w14:textId="77777777" w:rsidR="001439E0" w:rsidRDefault="008A23E0">
            <w:pPr>
              <w:pStyle w:val="TableParagraph"/>
              <w:spacing w:before="128"/>
              <w:ind w:left="200" w:right="192"/>
              <w:jc w:val="center"/>
              <w:rPr>
                <w:sz w:val="16"/>
              </w:rPr>
            </w:pPr>
            <w:r>
              <w:rPr>
                <w:sz w:val="16"/>
              </w:rPr>
              <w:t>0.98 (0.93, 1.03)</w:t>
            </w:r>
          </w:p>
        </w:tc>
        <w:tc>
          <w:tcPr>
            <w:tcW w:w="1440" w:type="dxa"/>
            <w:tcBorders>
              <w:top w:val="single" w:sz="4" w:space="0" w:color="000000"/>
              <w:left w:val="single" w:sz="4" w:space="0" w:color="000000"/>
              <w:bottom w:val="single" w:sz="4" w:space="0" w:color="000000"/>
              <w:right w:val="single" w:sz="4" w:space="0" w:color="000000"/>
            </w:tcBorders>
          </w:tcPr>
          <w:p w14:paraId="7E26DA65" w14:textId="77777777" w:rsidR="001439E0" w:rsidRDefault="008A23E0">
            <w:pPr>
              <w:pStyle w:val="TableParagraph"/>
              <w:spacing w:before="128"/>
              <w:ind w:left="111" w:right="103"/>
              <w:jc w:val="center"/>
              <w:rPr>
                <w:sz w:val="16"/>
              </w:rPr>
            </w:pPr>
            <w:r>
              <w:rPr>
                <w:sz w:val="16"/>
              </w:rPr>
              <w:t>0.95 (0.88, 1.03)</w:t>
            </w:r>
          </w:p>
        </w:tc>
      </w:tr>
      <w:tr w:rsidR="001439E0" w14:paraId="7E26DA6E" w14:textId="77777777">
        <w:trPr>
          <w:trHeight w:val="440"/>
        </w:trPr>
        <w:tc>
          <w:tcPr>
            <w:tcW w:w="1368" w:type="dxa"/>
            <w:tcBorders>
              <w:top w:val="single" w:sz="4" w:space="0" w:color="000000"/>
              <w:left w:val="single" w:sz="4" w:space="0" w:color="000000"/>
              <w:bottom w:val="single" w:sz="4" w:space="0" w:color="000000"/>
              <w:right w:val="single" w:sz="4" w:space="0" w:color="000000"/>
            </w:tcBorders>
          </w:tcPr>
          <w:p w14:paraId="7E26DA67" w14:textId="77777777" w:rsidR="001439E0" w:rsidRDefault="008A23E0">
            <w:pPr>
              <w:pStyle w:val="TableParagraph"/>
              <w:spacing w:before="35"/>
              <w:ind w:left="149" w:right="140" w:firstLine="133"/>
              <w:rPr>
                <w:sz w:val="16"/>
              </w:rPr>
            </w:pPr>
            <w:r>
              <w:rPr>
                <w:sz w:val="16"/>
              </w:rPr>
              <w:t>methadone (S-methadone)</w:t>
            </w:r>
          </w:p>
        </w:tc>
        <w:tc>
          <w:tcPr>
            <w:tcW w:w="2340" w:type="dxa"/>
            <w:vMerge/>
            <w:tcBorders>
              <w:top w:val="nil"/>
              <w:left w:val="single" w:sz="4" w:space="0" w:color="000000"/>
              <w:bottom w:val="single" w:sz="4" w:space="0" w:color="000000"/>
              <w:right w:val="single" w:sz="4" w:space="0" w:color="000000"/>
            </w:tcBorders>
          </w:tcPr>
          <w:p w14:paraId="7E26DA68" w14:textId="77777777" w:rsidR="001439E0" w:rsidRDefault="001439E0">
            <w:pPr>
              <w:rPr>
                <w:sz w:val="2"/>
                <w:szCs w:val="2"/>
              </w:rPr>
            </w:pPr>
          </w:p>
        </w:tc>
        <w:tc>
          <w:tcPr>
            <w:tcW w:w="1260" w:type="dxa"/>
            <w:vMerge/>
            <w:tcBorders>
              <w:top w:val="nil"/>
              <w:left w:val="single" w:sz="4" w:space="0" w:color="000000"/>
              <w:bottom w:val="single" w:sz="4" w:space="0" w:color="000000"/>
              <w:right w:val="single" w:sz="4" w:space="0" w:color="000000"/>
            </w:tcBorders>
          </w:tcPr>
          <w:p w14:paraId="7E26DA69" w14:textId="77777777" w:rsidR="001439E0" w:rsidRDefault="001439E0">
            <w:pPr>
              <w:rPr>
                <w:sz w:val="2"/>
                <w:szCs w:val="2"/>
              </w:rPr>
            </w:pPr>
          </w:p>
        </w:tc>
        <w:tc>
          <w:tcPr>
            <w:tcW w:w="540" w:type="dxa"/>
            <w:vMerge/>
            <w:tcBorders>
              <w:top w:val="nil"/>
              <w:left w:val="single" w:sz="4" w:space="0" w:color="000000"/>
              <w:bottom w:val="single" w:sz="4" w:space="0" w:color="000000"/>
              <w:right w:val="single" w:sz="4" w:space="0" w:color="000000"/>
            </w:tcBorders>
          </w:tcPr>
          <w:p w14:paraId="7E26DA6A" w14:textId="77777777" w:rsidR="001439E0" w:rsidRDefault="001439E0">
            <w:pPr>
              <w:rPr>
                <w:sz w:val="2"/>
                <w:szCs w:val="2"/>
              </w:rPr>
            </w:pPr>
          </w:p>
        </w:tc>
        <w:tc>
          <w:tcPr>
            <w:tcW w:w="1620" w:type="dxa"/>
            <w:tcBorders>
              <w:top w:val="single" w:sz="4" w:space="0" w:color="000000"/>
              <w:left w:val="single" w:sz="4" w:space="0" w:color="000000"/>
              <w:bottom w:val="single" w:sz="4" w:space="0" w:color="000000"/>
              <w:right w:val="single" w:sz="4" w:space="0" w:color="000000"/>
            </w:tcBorders>
          </w:tcPr>
          <w:p w14:paraId="7E26DA6B" w14:textId="77777777" w:rsidR="001439E0" w:rsidRDefault="008A23E0">
            <w:pPr>
              <w:pStyle w:val="TableParagraph"/>
              <w:spacing w:before="128"/>
              <w:ind w:left="200" w:right="192"/>
              <w:jc w:val="center"/>
              <w:rPr>
                <w:sz w:val="16"/>
              </w:rPr>
            </w:pPr>
            <w:r>
              <w:rPr>
                <w:sz w:val="16"/>
              </w:rPr>
              <w:t>0.98 (0.90, 1.06)</w:t>
            </w:r>
          </w:p>
        </w:tc>
        <w:tc>
          <w:tcPr>
            <w:tcW w:w="1620" w:type="dxa"/>
            <w:tcBorders>
              <w:top w:val="single" w:sz="4" w:space="0" w:color="000000"/>
              <w:left w:val="single" w:sz="4" w:space="0" w:color="000000"/>
              <w:bottom w:val="single" w:sz="4" w:space="0" w:color="000000"/>
              <w:right w:val="single" w:sz="4" w:space="0" w:color="000000"/>
            </w:tcBorders>
          </w:tcPr>
          <w:p w14:paraId="7E26DA6C" w14:textId="77777777" w:rsidR="001439E0" w:rsidRDefault="008A23E0">
            <w:pPr>
              <w:pStyle w:val="TableParagraph"/>
              <w:spacing w:before="128"/>
              <w:ind w:left="200" w:right="192"/>
              <w:jc w:val="center"/>
              <w:rPr>
                <w:sz w:val="16"/>
              </w:rPr>
            </w:pPr>
            <w:r>
              <w:rPr>
                <w:sz w:val="16"/>
              </w:rPr>
              <w:t>0.97 (0.91, 1.04)</w:t>
            </w:r>
          </w:p>
        </w:tc>
        <w:tc>
          <w:tcPr>
            <w:tcW w:w="1440" w:type="dxa"/>
            <w:tcBorders>
              <w:top w:val="single" w:sz="4" w:space="0" w:color="000000"/>
              <w:left w:val="single" w:sz="4" w:space="0" w:color="000000"/>
              <w:bottom w:val="single" w:sz="4" w:space="0" w:color="000000"/>
              <w:right w:val="single" w:sz="4" w:space="0" w:color="000000"/>
            </w:tcBorders>
          </w:tcPr>
          <w:p w14:paraId="7E26DA6D" w14:textId="77777777" w:rsidR="001439E0" w:rsidRDefault="008A23E0">
            <w:pPr>
              <w:pStyle w:val="TableParagraph"/>
              <w:spacing w:before="128"/>
              <w:ind w:left="111" w:right="103"/>
              <w:jc w:val="center"/>
              <w:rPr>
                <w:sz w:val="16"/>
              </w:rPr>
            </w:pPr>
            <w:r>
              <w:rPr>
                <w:sz w:val="16"/>
              </w:rPr>
              <w:t>0.97 (0.86, 1.10)</w:t>
            </w:r>
          </w:p>
        </w:tc>
      </w:tr>
      <w:tr w:rsidR="001439E0" w14:paraId="7E26DA71" w14:textId="77777777">
        <w:trPr>
          <w:trHeight w:val="413"/>
        </w:trPr>
        <w:tc>
          <w:tcPr>
            <w:tcW w:w="10188" w:type="dxa"/>
            <w:gridSpan w:val="7"/>
            <w:tcBorders>
              <w:top w:val="single" w:sz="4" w:space="0" w:color="000000"/>
              <w:left w:val="single" w:sz="4" w:space="0" w:color="000000"/>
              <w:bottom w:val="single" w:sz="4" w:space="0" w:color="000000"/>
              <w:right w:val="single" w:sz="4" w:space="0" w:color="000000"/>
            </w:tcBorders>
          </w:tcPr>
          <w:p w14:paraId="7E26DA6F" w14:textId="77777777" w:rsidR="001439E0" w:rsidRDefault="008A23E0">
            <w:pPr>
              <w:pStyle w:val="TableParagraph"/>
              <w:spacing w:line="184" w:lineRule="exact"/>
              <w:ind w:left="107"/>
              <w:rPr>
                <w:sz w:val="16"/>
              </w:rPr>
            </w:pPr>
            <w:r>
              <w:rPr>
                <w:sz w:val="16"/>
              </w:rPr>
              <w:t>CI = Confidence interval; SD = Single Dose; QD = Once Daily.</w:t>
            </w:r>
          </w:p>
          <w:p w14:paraId="7E26DA70" w14:textId="77777777" w:rsidR="001439E0" w:rsidRDefault="008A23E0">
            <w:pPr>
              <w:pStyle w:val="TableParagraph"/>
              <w:spacing w:line="209" w:lineRule="exact"/>
              <w:ind w:left="107"/>
              <w:rPr>
                <w:sz w:val="16"/>
              </w:rPr>
            </w:pPr>
            <w:r>
              <w:rPr>
                <w:sz w:val="20"/>
              </w:rPr>
              <w:t>*</w:t>
            </w:r>
            <w:r>
              <w:rPr>
                <w:sz w:val="16"/>
              </w:rPr>
              <w:t>AUC</w:t>
            </w:r>
            <w:r>
              <w:rPr>
                <w:sz w:val="16"/>
                <w:vertAlign w:val="subscript"/>
              </w:rPr>
              <w:t>0-</w:t>
            </w:r>
            <w:r>
              <w:rPr>
                <w:rFonts w:ascii="Symbol" w:hAnsi="Symbol"/>
                <w:sz w:val="16"/>
                <w:vertAlign w:val="subscript"/>
              </w:rPr>
              <w:t></w:t>
            </w:r>
            <w:r>
              <w:rPr>
                <w:rFonts w:ascii="Times New Roman" w:hAnsi="Times New Roman"/>
                <w:sz w:val="16"/>
              </w:rPr>
              <w:t xml:space="preserve"> </w:t>
            </w:r>
            <w:r>
              <w:rPr>
                <w:sz w:val="16"/>
              </w:rPr>
              <w:t>for single-dose, AUC</w:t>
            </w:r>
            <w:r>
              <w:rPr>
                <w:sz w:val="16"/>
                <w:vertAlign w:val="subscript"/>
              </w:rPr>
              <w:t>0-24</w:t>
            </w:r>
            <w:r>
              <w:rPr>
                <w:sz w:val="16"/>
              </w:rPr>
              <w:t xml:space="preserve"> for once daily.</w:t>
            </w:r>
          </w:p>
        </w:tc>
      </w:tr>
    </w:tbl>
    <w:p w14:paraId="7E26DA72" w14:textId="77777777" w:rsidR="001439E0" w:rsidRDefault="001439E0">
      <w:pPr>
        <w:spacing w:line="209" w:lineRule="exact"/>
        <w:rPr>
          <w:sz w:val="16"/>
        </w:rPr>
        <w:sectPr w:rsidR="001439E0">
          <w:pgSz w:w="11910" w:h="16840"/>
          <w:pgMar w:top="1440" w:right="160" w:bottom="1100" w:left="1020" w:header="0" w:footer="839" w:gutter="0"/>
          <w:cols w:space="720"/>
        </w:sectPr>
      </w:pPr>
    </w:p>
    <w:p w14:paraId="7E26DA73" w14:textId="77777777" w:rsidR="001439E0" w:rsidRDefault="008A23E0">
      <w:pPr>
        <w:pStyle w:val="ListParagraph"/>
        <w:numPr>
          <w:ilvl w:val="1"/>
          <w:numId w:val="1"/>
        </w:numPr>
        <w:tabs>
          <w:tab w:val="left" w:pos="1139"/>
          <w:tab w:val="left" w:pos="1140"/>
        </w:tabs>
        <w:spacing w:before="80"/>
        <w:ind w:hanging="719"/>
        <w:rPr>
          <w:b/>
          <w:sz w:val="24"/>
        </w:rPr>
      </w:pPr>
      <w:r>
        <w:rPr>
          <w:b/>
          <w:sz w:val="24"/>
        </w:rPr>
        <w:lastRenderedPageBreak/>
        <w:t>PRECLINICAL SAFETY</w:t>
      </w:r>
      <w:r>
        <w:rPr>
          <w:b/>
          <w:spacing w:val="-3"/>
          <w:sz w:val="24"/>
        </w:rPr>
        <w:t xml:space="preserve"> </w:t>
      </w:r>
      <w:r>
        <w:rPr>
          <w:b/>
          <w:sz w:val="24"/>
        </w:rPr>
        <w:t>DATA</w:t>
      </w:r>
    </w:p>
    <w:p w14:paraId="7E26DA74" w14:textId="77777777" w:rsidR="001439E0" w:rsidRDefault="008A23E0">
      <w:pPr>
        <w:spacing w:before="120"/>
        <w:ind w:left="420"/>
        <w:rPr>
          <w:b/>
        </w:rPr>
      </w:pPr>
      <w:proofErr w:type="spellStart"/>
      <w:r>
        <w:rPr>
          <w:b/>
        </w:rPr>
        <w:t>Genotoxicity</w:t>
      </w:r>
      <w:proofErr w:type="spellEnd"/>
    </w:p>
    <w:p w14:paraId="7E26DA75" w14:textId="77777777" w:rsidR="001439E0" w:rsidRDefault="008A23E0">
      <w:pPr>
        <w:pStyle w:val="BodyText"/>
        <w:ind w:right="1275"/>
      </w:pPr>
      <w:r>
        <w:t xml:space="preserve">Doravirine was not genotoxic in a battery of </w:t>
      </w:r>
      <w:r>
        <w:rPr>
          <w:i/>
        </w:rPr>
        <w:t xml:space="preserve">in vitro </w:t>
      </w:r>
      <w:r>
        <w:t xml:space="preserve">or </w:t>
      </w:r>
      <w:r>
        <w:rPr>
          <w:i/>
        </w:rPr>
        <w:t xml:space="preserve">in vivo </w:t>
      </w:r>
      <w:r>
        <w:t xml:space="preserve">assays, including microbial mutagenesis, chromosomal aberration in Chinese Hamster Ovary cells, and in </w:t>
      </w:r>
      <w:r>
        <w:rPr>
          <w:i/>
        </w:rPr>
        <w:t xml:space="preserve">in vivo </w:t>
      </w:r>
      <w:r>
        <w:t>rat micronucleus assays.</w:t>
      </w:r>
    </w:p>
    <w:p w14:paraId="7E26DA76" w14:textId="77777777" w:rsidR="001439E0" w:rsidRDefault="008A23E0">
      <w:pPr>
        <w:pStyle w:val="Heading3"/>
      </w:pPr>
      <w:r>
        <w:t>Carcinogenicity</w:t>
      </w:r>
    </w:p>
    <w:p w14:paraId="7E26DA77" w14:textId="77777777" w:rsidR="001439E0" w:rsidRDefault="008A23E0">
      <w:pPr>
        <w:pStyle w:val="BodyText"/>
        <w:ind w:right="1275"/>
      </w:pPr>
      <w:r>
        <w:t>Long-term oral carcinogenicity studies of doravirine in mice and rats showed no evidence of carcinogenic potential at exposures up to 5 times (mice) and 7 times (rats) the human exposures at the RHD.</w:t>
      </w:r>
    </w:p>
    <w:p w14:paraId="7E26DA78" w14:textId="77777777" w:rsidR="001439E0" w:rsidRDefault="008A23E0">
      <w:pPr>
        <w:pStyle w:val="Heading3"/>
      </w:pPr>
      <w:r>
        <w:t>Animal Toxicology</w:t>
      </w:r>
    </w:p>
    <w:p w14:paraId="7E26DA79" w14:textId="77777777" w:rsidR="001439E0" w:rsidRDefault="008A23E0">
      <w:pPr>
        <w:pStyle w:val="BodyText"/>
        <w:spacing w:before="119"/>
        <w:ind w:right="1275"/>
      </w:pPr>
      <w:r>
        <w:t>In repeat-dose oral toxicity studies, doravirine was very well tolerated in all animal species</w:t>
      </w:r>
      <w:r>
        <w:rPr>
          <w:spacing w:val="-39"/>
        </w:rPr>
        <w:t xml:space="preserve"> </w:t>
      </w:r>
      <w:r>
        <w:t>up to the highest doses tested. There were no adverse effects or target organs of toxicity identified</w:t>
      </w:r>
      <w:r>
        <w:rPr>
          <w:spacing w:val="-17"/>
        </w:rPr>
        <w:t xml:space="preserve"> </w:t>
      </w:r>
      <w:r>
        <w:t>in</w:t>
      </w:r>
      <w:r>
        <w:rPr>
          <w:spacing w:val="-17"/>
        </w:rPr>
        <w:t xml:space="preserve"> </w:t>
      </w:r>
      <w:r>
        <w:t>rats</w:t>
      </w:r>
      <w:r>
        <w:rPr>
          <w:spacing w:val="-17"/>
        </w:rPr>
        <w:t xml:space="preserve"> </w:t>
      </w:r>
      <w:r>
        <w:t>dosed</w:t>
      </w:r>
      <w:r>
        <w:rPr>
          <w:spacing w:val="-17"/>
        </w:rPr>
        <w:t xml:space="preserve"> </w:t>
      </w:r>
      <w:r>
        <w:t>for</w:t>
      </w:r>
      <w:r>
        <w:rPr>
          <w:spacing w:val="-17"/>
        </w:rPr>
        <w:t xml:space="preserve"> </w:t>
      </w:r>
      <w:r>
        <w:t>6</w:t>
      </w:r>
      <w:r>
        <w:rPr>
          <w:spacing w:val="-17"/>
        </w:rPr>
        <w:t xml:space="preserve"> </w:t>
      </w:r>
      <w:r>
        <w:t>months</w:t>
      </w:r>
      <w:r>
        <w:rPr>
          <w:spacing w:val="-17"/>
        </w:rPr>
        <w:t xml:space="preserve"> </w:t>
      </w:r>
      <w:r>
        <w:t>with</w:t>
      </w:r>
      <w:r>
        <w:rPr>
          <w:spacing w:val="-17"/>
        </w:rPr>
        <w:t xml:space="preserve"> </w:t>
      </w:r>
      <w:r>
        <w:t>450</w:t>
      </w:r>
      <w:r>
        <w:rPr>
          <w:spacing w:val="-17"/>
        </w:rPr>
        <w:t xml:space="preserve"> </w:t>
      </w:r>
      <w:r>
        <w:t>mg/kg/day,</w:t>
      </w:r>
      <w:r>
        <w:rPr>
          <w:spacing w:val="-17"/>
        </w:rPr>
        <w:t xml:space="preserve"> </w:t>
      </w:r>
      <w:r>
        <w:t>or</w:t>
      </w:r>
      <w:r>
        <w:rPr>
          <w:spacing w:val="-17"/>
        </w:rPr>
        <w:t xml:space="preserve"> </w:t>
      </w:r>
      <w:r>
        <w:t>in</w:t>
      </w:r>
      <w:r>
        <w:rPr>
          <w:spacing w:val="-15"/>
        </w:rPr>
        <w:t xml:space="preserve"> </w:t>
      </w:r>
      <w:r>
        <w:t>dogs</w:t>
      </w:r>
      <w:r>
        <w:rPr>
          <w:spacing w:val="-17"/>
        </w:rPr>
        <w:t xml:space="preserve"> </w:t>
      </w:r>
      <w:r>
        <w:t>dosed</w:t>
      </w:r>
      <w:r>
        <w:rPr>
          <w:spacing w:val="-17"/>
        </w:rPr>
        <w:t xml:space="preserve"> </w:t>
      </w:r>
      <w:r>
        <w:t>with</w:t>
      </w:r>
      <w:r>
        <w:rPr>
          <w:spacing w:val="-17"/>
        </w:rPr>
        <w:t xml:space="preserve"> </w:t>
      </w:r>
      <w:r>
        <w:t>1000</w:t>
      </w:r>
      <w:r>
        <w:rPr>
          <w:spacing w:val="-17"/>
        </w:rPr>
        <w:t xml:space="preserve"> </w:t>
      </w:r>
      <w:r>
        <w:t>mg/kg/day for 9 months (approximately 7 times and 18 times, respectively, above the exposure at the RHD).</w:t>
      </w:r>
    </w:p>
    <w:p w14:paraId="7E26DA7A" w14:textId="77777777" w:rsidR="001439E0" w:rsidRDefault="008A23E0">
      <w:pPr>
        <w:pStyle w:val="Heading1"/>
        <w:numPr>
          <w:ilvl w:val="0"/>
          <w:numId w:val="1"/>
        </w:numPr>
        <w:tabs>
          <w:tab w:val="left" w:pos="851"/>
          <w:tab w:val="left" w:pos="852"/>
        </w:tabs>
        <w:spacing w:before="200"/>
        <w:ind w:left="851" w:hanging="431"/>
      </w:pPr>
      <w:r>
        <w:t>PHARMACEUTICAL</w:t>
      </w:r>
      <w:r>
        <w:rPr>
          <w:spacing w:val="-1"/>
        </w:rPr>
        <w:t xml:space="preserve"> </w:t>
      </w:r>
      <w:r>
        <w:t>PARTICULARS</w:t>
      </w:r>
    </w:p>
    <w:p w14:paraId="7E26DA7B" w14:textId="77777777" w:rsidR="001439E0" w:rsidRDefault="008A23E0">
      <w:pPr>
        <w:pStyle w:val="Heading2"/>
        <w:numPr>
          <w:ilvl w:val="1"/>
          <w:numId w:val="1"/>
        </w:numPr>
        <w:tabs>
          <w:tab w:val="left" w:pos="1139"/>
          <w:tab w:val="left" w:pos="1140"/>
        </w:tabs>
        <w:spacing w:before="242"/>
        <w:ind w:hanging="719"/>
      </w:pPr>
      <w:r>
        <w:t>LIST OF EXCIPIENTS</w:t>
      </w:r>
    </w:p>
    <w:p w14:paraId="7E26DA7C" w14:textId="77777777" w:rsidR="001439E0" w:rsidRDefault="008A23E0">
      <w:pPr>
        <w:pStyle w:val="BodyText"/>
        <w:spacing w:before="119"/>
        <w:ind w:right="1274"/>
      </w:pPr>
      <w:r>
        <w:t xml:space="preserve">Each tablet includes the following inactive ingredients: colloidal anhydrous silica, </w:t>
      </w:r>
      <w:proofErr w:type="spellStart"/>
      <w:r>
        <w:t>croscarmellose</w:t>
      </w:r>
      <w:proofErr w:type="spellEnd"/>
      <w:r>
        <w:t xml:space="preserve"> sodium, </w:t>
      </w:r>
      <w:proofErr w:type="spellStart"/>
      <w:r>
        <w:t>hypromellose</w:t>
      </w:r>
      <w:proofErr w:type="spellEnd"/>
      <w:r>
        <w:t xml:space="preserve"> acetate succinate, lactose monohydrate, magnesium stearate, microcrystalline cellulose and carnauba wax. The tablets are film coated with a coating material containing the following inactive ingredients: </w:t>
      </w:r>
      <w:proofErr w:type="spellStart"/>
      <w:r>
        <w:t>hypromellose</w:t>
      </w:r>
      <w:proofErr w:type="spellEnd"/>
      <w:r>
        <w:t>, lactose monohydrate, titanium dioxide, and</w:t>
      </w:r>
      <w:r>
        <w:rPr>
          <w:spacing w:val="-1"/>
        </w:rPr>
        <w:t xml:space="preserve"> </w:t>
      </w:r>
      <w:proofErr w:type="spellStart"/>
      <w:r>
        <w:t>triacetin</w:t>
      </w:r>
      <w:proofErr w:type="spellEnd"/>
      <w:r>
        <w:t>.</w:t>
      </w:r>
    </w:p>
    <w:p w14:paraId="7E26DA7D" w14:textId="77777777" w:rsidR="001439E0" w:rsidRDefault="001439E0">
      <w:pPr>
        <w:pStyle w:val="BodyText"/>
        <w:spacing w:before="9"/>
        <w:ind w:left="0"/>
        <w:jc w:val="left"/>
        <w:rPr>
          <w:sz w:val="20"/>
        </w:rPr>
      </w:pPr>
    </w:p>
    <w:p w14:paraId="7E26DA7E" w14:textId="77777777" w:rsidR="001439E0" w:rsidRDefault="008A23E0">
      <w:pPr>
        <w:pStyle w:val="Heading2"/>
        <w:numPr>
          <w:ilvl w:val="1"/>
          <w:numId w:val="1"/>
        </w:numPr>
        <w:tabs>
          <w:tab w:val="left" w:pos="1139"/>
          <w:tab w:val="left" w:pos="1140"/>
        </w:tabs>
        <w:ind w:hanging="719"/>
      </w:pPr>
      <w:r>
        <w:t>INCOMPATIBILITIES</w:t>
      </w:r>
    </w:p>
    <w:p w14:paraId="7E26DA7F" w14:textId="77777777" w:rsidR="001439E0" w:rsidRDefault="008A23E0">
      <w:pPr>
        <w:pStyle w:val="BodyText"/>
        <w:spacing w:before="121"/>
        <w:jc w:val="left"/>
      </w:pPr>
      <w:r>
        <w:t>Not applicable.</w:t>
      </w:r>
    </w:p>
    <w:p w14:paraId="7E26DA80" w14:textId="77777777" w:rsidR="001439E0" w:rsidRDefault="001439E0">
      <w:pPr>
        <w:pStyle w:val="BodyText"/>
        <w:spacing w:before="9"/>
        <w:ind w:left="0"/>
        <w:jc w:val="left"/>
        <w:rPr>
          <w:sz w:val="20"/>
        </w:rPr>
      </w:pPr>
    </w:p>
    <w:p w14:paraId="7E26DA81" w14:textId="77777777" w:rsidR="001439E0" w:rsidRDefault="008A23E0">
      <w:pPr>
        <w:pStyle w:val="Heading2"/>
        <w:numPr>
          <w:ilvl w:val="1"/>
          <w:numId w:val="1"/>
        </w:numPr>
        <w:tabs>
          <w:tab w:val="left" w:pos="1139"/>
          <w:tab w:val="left" w:pos="1140"/>
        </w:tabs>
        <w:spacing w:before="1"/>
        <w:ind w:hanging="719"/>
      </w:pPr>
      <w:r>
        <w:t>SHELF LIFE</w:t>
      </w:r>
    </w:p>
    <w:p w14:paraId="7E26DA82" w14:textId="77777777" w:rsidR="001439E0" w:rsidRDefault="008A23E0">
      <w:pPr>
        <w:pStyle w:val="BodyText"/>
        <w:spacing w:before="119"/>
        <w:ind w:right="1231"/>
        <w:jc w:val="left"/>
      </w:pPr>
      <w:r>
        <w:t>The expiry date can be found on the packaging. In Australia, information on the shelf life can be found on the public summary of the Australian Register of Therapeutic Goods (ARTG).</w:t>
      </w:r>
    </w:p>
    <w:p w14:paraId="7E26DA83" w14:textId="77777777" w:rsidR="001439E0" w:rsidRDefault="001439E0">
      <w:pPr>
        <w:pStyle w:val="BodyText"/>
        <w:spacing w:before="11"/>
        <w:ind w:left="0"/>
        <w:jc w:val="left"/>
        <w:rPr>
          <w:sz w:val="20"/>
        </w:rPr>
      </w:pPr>
    </w:p>
    <w:p w14:paraId="7E26DA84" w14:textId="77777777" w:rsidR="001439E0" w:rsidRDefault="008A23E0">
      <w:pPr>
        <w:pStyle w:val="Heading2"/>
        <w:numPr>
          <w:ilvl w:val="1"/>
          <w:numId w:val="1"/>
        </w:numPr>
        <w:tabs>
          <w:tab w:val="left" w:pos="1139"/>
          <w:tab w:val="left" w:pos="1140"/>
        </w:tabs>
        <w:ind w:hanging="719"/>
      </w:pPr>
      <w:r>
        <w:t>SPECIAL PRECAUTIONS FOR</w:t>
      </w:r>
      <w:r>
        <w:rPr>
          <w:spacing w:val="-2"/>
        </w:rPr>
        <w:t xml:space="preserve"> </w:t>
      </w:r>
      <w:r>
        <w:t>STORAGE</w:t>
      </w:r>
    </w:p>
    <w:p w14:paraId="7E26DA85" w14:textId="77777777" w:rsidR="001439E0" w:rsidRDefault="008A23E0">
      <w:pPr>
        <w:pStyle w:val="BodyText"/>
        <w:ind w:right="1231"/>
        <w:jc w:val="left"/>
      </w:pPr>
      <w:r>
        <w:t>Store PIFELTRO in the original bottle. Keep the bottle tightly closed to protect from moisture. Do not remove the desiccant.</w:t>
      </w:r>
    </w:p>
    <w:p w14:paraId="7E26DA86" w14:textId="77777777" w:rsidR="001439E0" w:rsidRDefault="008A23E0">
      <w:pPr>
        <w:pStyle w:val="BodyText"/>
        <w:spacing w:before="199"/>
      </w:pPr>
      <w:r>
        <w:t>Store PIFELTRO below 30°C.</w:t>
      </w:r>
    </w:p>
    <w:p w14:paraId="7E26DA87" w14:textId="77777777" w:rsidR="001439E0" w:rsidRDefault="001439E0">
      <w:pPr>
        <w:pStyle w:val="BodyText"/>
        <w:spacing w:before="11"/>
        <w:ind w:left="0"/>
        <w:jc w:val="left"/>
        <w:rPr>
          <w:sz w:val="20"/>
        </w:rPr>
      </w:pPr>
    </w:p>
    <w:p w14:paraId="7E26DA88" w14:textId="77777777" w:rsidR="001439E0" w:rsidRDefault="008A23E0">
      <w:pPr>
        <w:pStyle w:val="Heading2"/>
        <w:numPr>
          <w:ilvl w:val="1"/>
          <w:numId w:val="1"/>
        </w:numPr>
        <w:tabs>
          <w:tab w:val="left" w:pos="1140"/>
        </w:tabs>
        <w:ind w:hanging="719"/>
        <w:jc w:val="both"/>
      </w:pPr>
      <w:r>
        <w:t>NATURE AND CONTENTS OF</w:t>
      </w:r>
      <w:r>
        <w:rPr>
          <w:spacing w:val="-4"/>
        </w:rPr>
        <w:t xml:space="preserve"> </w:t>
      </w:r>
      <w:r>
        <w:t>CONTAINER</w:t>
      </w:r>
    </w:p>
    <w:p w14:paraId="7E26DA89" w14:textId="77777777" w:rsidR="001439E0" w:rsidRDefault="008A23E0">
      <w:pPr>
        <w:pStyle w:val="BodyText"/>
      </w:pPr>
      <w:r>
        <w:t>PIFELTRO (doravirine) is available in HDPE (high density polyethylene) bottles of 30 tablets.</w:t>
      </w:r>
    </w:p>
    <w:p w14:paraId="7E26DA8A" w14:textId="77777777" w:rsidR="001439E0" w:rsidRDefault="001439E0">
      <w:pPr>
        <w:pStyle w:val="BodyText"/>
        <w:spacing w:before="10"/>
        <w:ind w:left="0"/>
        <w:jc w:val="left"/>
        <w:rPr>
          <w:sz w:val="20"/>
        </w:rPr>
      </w:pPr>
    </w:p>
    <w:p w14:paraId="7E26DA8B" w14:textId="77777777" w:rsidR="001439E0" w:rsidRDefault="008A23E0">
      <w:pPr>
        <w:pStyle w:val="Heading2"/>
        <w:numPr>
          <w:ilvl w:val="1"/>
          <w:numId w:val="1"/>
        </w:numPr>
        <w:tabs>
          <w:tab w:val="left" w:pos="1140"/>
        </w:tabs>
        <w:ind w:hanging="719"/>
        <w:jc w:val="both"/>
      </w:pPr>
      <w:r>
        <w:t>SPECIAL PRECAUTIONS FOR</w:t>
      </w:r>
      <w:r>
        <w:rPr>
          <w:spacing w:val="-2"/>
        </w:rPr>
        <w:t xml:space="preserve"> </w:t>
      </w:r>
      <w:r>
        <w:t>DISPOSAL</w:t>
      </w:r>
    </w:p>
    <w:p w14:paraId="7E26DA8C" w14:textId="77777777" w:rsidR="001439E0" w:rsidRDefault="008A23E0">
      <w:pPr>
        <w:pStyle w:val="BodyText"/>
        <w:ind w:right="1231"/>
        <w:jc w:val="left"/>
      </w:pPr>
      <w:r>
        <w:t>In Australia, any unused medicine or waste material should be disposed of by taking to your local pharmacy.</w:t>
      </w:r>
    </w:p>
    <w:p w14:paraId="7E26DA8D" w14:textId="77777777" w:rsidR="001439E0" w:rsidRDefault="001439E0">
      <w:pPr>
        <w:pStyle w:val="BodyText"/>
        <w:spacing w:before="9"/>
        <w:ind w:left="0"/>
        <w:jc w:val="left"/>
        <w:rPr>
          <w:sz w:val="20"/>
        </w:rPr>
      </w:pPr>
    </w:p>
    <w:p w14:paraId="7E26DA8E" w14:textId="77777777" w:rsidR="001439E0" w:rsidRDefault="008A23E0">
      <w:pPr>
        <w:pStyle w:val="Heading2"/>
        <w:numPr>
          <w:ilvl w:val="1"/>
          <w:numId w:val="1"/>
        </w:numPr>
        <w:tabs>
          <w:tab w:val="left" w:pos="1139"/>
          <w:tab w:val="left" w:pos="1140"/>
        </w:tabs>
        <w:ind w:hanging="719"/>
      </w:pPr>
      <w:r>
        <w:t>PHYSICOCHEMICAL</w:t>
      </w:r>
      <w:r>
        <w:rPr>
          <w:spacing w:val="-1"/>
        </w:rPr>
        <w:t xml:space="preserve"> </w:t>
      </w:r>
      <w:r>
        <w:t>PROPERTIES</w:t>
      </w:r>
    </w:p>
    <w:p w14:paraId="7E26DA8F" w14:textId="77777777" w:rsidR="001439E0" w:rsidRDefault="008A23E0">
      <w:pPr>
        <w:pStyle w:val="BodyText"/>
        <w:ind w:right="1278"/>
        <w:jc w:val="left"/>
      </w:pPr>
      <w:r>
        <w:t>The chemical name for doravirine is 3-chloro-5-[[1-[(4,5-dihydro-4-methyl-5-oxo-1</w:t>
      </w:r>
      <w:r>
        <w:rPr>
          <w:i/>
        </w:rPr>
        <w:t>H</w:t>
      </w:r>
      <w:r>
        <w:t>-1,2,4- triazol-3-yl)methyl]-1,2-dihydro-2-oxo-4-(trifluoromethyl)-3-pyridinyl]oxy]benzonitrile.</w:t>
      </w:r>
    </w:p>
    <w:p w14:paraId="7E26DA90" w14:textId="77777777" w:rsidR="001439E0" w:rsidRDefault="001439E0">
      <w:pPr>
        <w:sectPr w:rsidR="001439E0">
          <w:pgSz w:w="11910" w:h="16840"/>
          <w:pgMar w:top="1360" w:right="160" w:bottom="1100" w:left="1020" w:header="0" w:footer="839" w:gutter="0"/>
          <w:cols w:space="720"/>
        </w:sectPr>
      </w:pPr>
    </w:p>
    <w:p w14:paraId="7E26DA91" w14:textId="77777777" w:rsidR="001439E0" w:rsidRDefault="008A23E0">
      <w:pPr>
        <w:pStyle w:val="BodyText"/>
        <w:spacing w:before="80"/>
        <w:jc w:val="left"/>
      </w:pPr>
      <w:r>
        <w:lastRenderedPageBreak/>
        <w:t>It has a molecular formula of C</w:t>
      </w:r>
      <w:r>
        <w:rPr>
          <w:vertAlign w:val="subscript"/>
        </w:rPr>
        <w:t>17</w:t>
      </w:r>
      <w:r>
        <w:t>H</w:t>
      </w:r>
      <w:r>
        <w:rPr>
          <w:vertAlign w:val="subscript"/>
        </w:rPr>
        <w:t>11</w:t>
      </w:r>
      <w:r>
        <w:t>ClF</w:t>
      </w:r>
      <w:r>
        <w:rPr>
          <w:vertAlign w:val="subscript"/>
        </w:rPr>
        <w:t>3</w:t>
      </w:r>
      <w:r>
        <w:t>N</w:t>
      </w:r>
      <w:r>
        <w:rPr>
          <w:vertAlign w:val="subscript"/>
        </w:rPr>
        <w:t>5</w:t>
      </w:r>
      <w:r>
        <w:t>O</w:t>
      </w:r>
      <w:r>
        <w:rPr>
          <w:vertAlign w:val="subscript"/>
        </w:rPr>
        <w:t>3</w:t>
      </w:r>
      <w:r>
        <w:t xml:space="preserve"> and a molecular weight of 425.75.</w:t>
      </w:r>
    </w:p>
    <w:p w14:paraId="7E26DA92" w14:textId="77777777" w:rsidR="001439E0" w:rsidRDefault="008A23E0">
      <w:pPr>
        <w:pStyle w:val="Heading3"/>
        <w:spacing w:before="199"/>
      </w:pPr>
      <w:r>
        <w:t>Chemical structure</w:t>
      </w:r>
      <w:bookmarkStart w:id="2" w:name="_GoBack"/>
      <w:bookmarkEnd w:id="2"/>
    </w:p>
    <w:p w14:paraId="7E26DA93" w14:textId="4CAF8FCE" w:rsidR="001439E0" w:rsidRDefault="00685032">
      <w:pPr>
        <w:pStyle w:val="BodyText"/>
        <w:spacing w:before="4"/>
        <w:ind w:left="0"/>
        <w:jc w:val="left"/>
        <w:rPr>
          <w:b/>
          <w:sz w:val="11"/>
        </w:rPr>
      </w:pPr>
      <w:r>
        <w:rPr>
          <w:noProof/>
          <w:lang w:val="en-AU" w:eastAsia="en-AU"/>
        </w:rPr>
        <mc:AlternateContent>
          <mc:Choice Requires="wpg">
            <w:drawing>
              <wp:anchor distT="0" distB="0" distL="0" distR="0" simplePos="0" relativeHeight="251659264" behindDoc="1" locked="0" layoutInCell="1" allowOverlap="1" wp14:anchorId="7E26DAA0" wp14:editId="0A9C85FC">
                <wp:simplePos x="0" y="0"/>
                <wp:positionH relativeFrom="page">
                  <wp:posOffset>683895</wp:posOffset>
                </wp:positionH>
                <wp:positionV relativeFrom="paragraph">
                  <wp:posOffset>52401</wp:posOffset>
                </wp:positionV>
                <wp:extent cx="1723390" cy="1292225"/>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92225"/>
                          <a:chOff x="1077" y="86"/>
                          <a:chExt cx="2714" cy="2035"/>
                        </a:xfrm>
                      </wpg:grpSpPr>
                      <wps:wsp>
                        <wps:cNvPr id="4" name="Line 43"/>
                        <wps:cNvCnPr>
                          <a:cxnSpLocks noChangeShapeType="1"/>
                        </wps:cNvCnPr>
                        <wps:spPr bwMode="auto">
                          <a:xfrm>
                            <a:off x="1828" y="351"/>
                            <a:ext cx="0" cy="241"/>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5" name="Line 42"/>
                        <wps:cNvCnPr>
                          <a:cxnSpLocks noChangeShapeType="1"/>
                        </wps:cNvCnPr>
                        <wps:spPr bwMode="auto">
                          <a:xfrm>
                            <a:off x="1871" y="376"/>
                            <a:ext cx="0" cy="191"/>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41"/>
                        <wps:cNvSpPr>
                          <a:spLocks/>
                        </wps:cNvSpPr>
                        <wps:spPr bwMode="auto">
                          <a:xfrm>
                            <a:off x="1827" y="592"/>
                            <a:ext cx="425" cy="122"/>
                          </a:xfrm>
                          <a:custGeom>
                            <a:avLst/>
                            <a:gdLst>
                              <a:gd name="T0" fmla="+- 0 1828 1828"/>
                              <a:gd name="T1" fmla="*/ T0 w 425"/>
                              <a:gd name="T2" fmla="+- 0 592 592"/>
                              <a:gd name="T3" fmla="*/ 592 h 122"/>
                              <a:gd name="T4" fmla="+- 0 2040 1828"/>
                              <a:gd name="T5" fmla="*/ T4 w 425"/>
                              <a:gd name="T6" fmla="+- 0 713 592"/>
                              <a:gd name="T7" fmla="*/ 713 h 122"/>
                              <a:gd name="T8" fmla="+- 0 2252 1828"/>
                              <a:gd name="T9" fmla="*/ T8 w 425"/>
                              <a:gd name="T10" fmla="+- 0 592 592"/>
                              <a:gd name="T11" fmla="*/ 592 h 122"/>
                            </a:gdLst>
                            <a:ahLst/>
                            <a:cxnLst>
                              <a:cxn ang="0">
                                <a:pos x="T1" y="T3"/>
                              </a:cxn>
                              <a:cxn ang="0">
                                <a:pos x="T5" y="T7"/>
                              </a:cxn>
                              <a:cxn ang="0">
                                <a:pos x="T9" y="T11"/>
                              </a:cxn>
                            </a:cxnLst>
                            <a:rect l="0" t="0" r="r" b="b"/>
                            <a:pathLst>
                              <a:path w="425" h="122">
                                <a:moveTo>
                                  <a:pt x="0" y="0"/>
                                </a:moveTo>
                                <a:lnTo>
                                  <a:pt x="212" y="121"/>
                                </a:lnTo>
                                <a:lnTo>
                                  <a:pt x="424" y="0"/>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40"/>
                        <wps:cNvCnPr>
                          <a:cxnSpLocks noChangeShapeType="1"/>
                        </wps:cNvCnPr>
                        <wps:spPr bwMode="auto">
                          <a:xfrm>
                            <a:off x="2040" y="663"/>
                            <a:ext cx="168"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8" name="Freeform 39"/>
                        <wps:cNvSpPr>
                          <a:spLocks/>
                        </wps:cNvSpPr>
                        <wps:spPr bwMode="auto">
                          <a:xfrm>
                            <a:off x="2040" y="229"/>
                            <a:ext cx="213" cy="363"/>
                          </a:xfrm>
                          <a:custGeom>
                            <a:avLst/>
                            <a:gdLst>
                              <a:gd name="T0" fmla="+- 0 2252 2040"/>
                              <a:gd name="T1" fmla="*/ T0 w 213"/>
                              <a:gd name="T2" fmla="+- 0 592 230"/>
                              <a:gd name="T3" fmla="*/ 592 h 363"/>
                              <a:gd name="T4" fmla="+- 0 2252 2040"/>
                              <a:gd name="T5" fmla="*/ T4 w 213"/>
                              <a:gd name="T6" fmla="+- 0 351 230"/>
                              <a:gd name="T7" fmla="*/ 351 h 363"/>
                              <a:gd name="T8" fmla="+- 0 2040 2040"/>
                              <a:gd name="T9" fmla="*/ T8 w 213"/>
                              <a:gd name="T10" fmla="+- 0 230 230"/>
                              <a:gd name="T11" fmla="*/ 230 h 363"/>
                            </a:gdLst>
                            <a:ahLst/>
                            <a:cxnLst>
                              <a:cxn ang="0">
                                <a:pos x="T1" y="T3"/>
                              </a:cxn>
                              <a:cxn ang="0">
                                <a:pos x="T5" y="T7"/>
                              </a:cxn>
                              <a:cxn ang="0">
                                <a:pos x="T9" y="T11"/>
                              </a:cxn>
                            </a:cxnLst>
                            <a:rect l="0" t="0" r="r" b="b"/>
                            <a:pathLst>
                              <a:path w="213" h="363">
                                <a:moveTo>
                                  <a:pt x="212" y="362"/>
                                </a:moveTo>
                                <a:lnTo>
                                  <a:pt x="212" y="121"/>
                                </a:lnTo>
                                <a:lnTo>
                                  <a:pt x="0" y="0"/>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38"/>
                        <wps:cNvCnPr>
                          <a:cxnSpLocks noChangeShapeType="1"/>
                        </wps:cNvCnPr>
                        <wps:spPr bwMode="auto">
                          <a:xfrm>
                            <a:off x="2208" y="376"/>
                            <a:ext cx="0"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10" name="Line 37"/>
                        <wps:cNvCnPr>
                          <a:cxnSpLocks noChangeShapeType="1"/>
                        </wps:cNvCnPr>
                        <wps:spPr bwMode="auto">
                          <a:xfrm>
                            <a:off x="2040" y="230"/>
                            <a:ext cx="0" cy="121"/>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479" y="174"/>
                            <a:ext cx="144" cy="124"/>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35"/>
                        <wps:cNvCnPr>
                          <a:cxnSpLocks noChangeShapeType="1"/>
                        </wps:cNvCnPr>
                        <wps:spPr bwMode="auto">
                          <a:xfrm>
                            <a:off x="1828" y="351"/>
                            <a:ext cx="0"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409" y="174"/>
                            <a:ext cx="227" cy="124"/>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33"/>
                        <wps:cNvCnPr>
                          <a:cxnSpLocks noChangeShapeType="1"/>
                        </wps:cNvCnPr>
                        <wps:spPr bwMode="auto">
                          <a:xfrm>
                            <a:off x="2252" y="351"/>
                            <a:ext cx="135"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15" name="Line 32"/>
                        <wps:cNvCnPr>
                          <a:cxnSpLocks noChangeShapeType="1"/>
                        </wps:cNvCnPr>
                        <wps:spPr bwMode="auto">
                          <a:xfrm>
                            <a:off x="2040" y="713"/>
                            <a:ext cx="0" cy="159"/>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16" name="Line 31"/>
                        <wps:cNvCnPr>
                          <a:cxnSpLocks noChangeShapeType="1"/>
                        </wps:cNvCnPr>
                        <wps:spPr bwMode="auto">
                          <a:xfrm>
                            <a:off x="2119" y="999"/>
                            <a:ext cx="132" cy="76"/>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17" name="Line 30"/>
                        <wps:cNvCnPr>
                          <a:cxnSpLocks noChangeShapeType="1"/>
                        </wps:cNvCnPr>
                        <wps:spPr bwMode="auto">
                          <a:xfrm>
                            <a:off x="2251" y="1075"/>
                            <a:ext cx="0" cy="241"/>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2296" y="1099"/>
                            <a:ext cx="0" cy="192"/>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19" name="Freeform 28"/>
                        <wps:cNvSpPr>
                          <a:spLocks/>
                        </wps:cNvSpPr>
                        <wps:spPr bwMode="auto">
                          <a:xfrm>
                            <a:off x="2251" y="1315"/>
                            <a:ext cx="426" cy="120"/>
                          </a:xfrm>
                          <a:custGeom>
                            <a:avLst/>
                            <a:gdLst>
                              <a:gd name="T0" fmla="+- 0 2251 2251"/>
                              <a:gd name="T1" fmla="*/ T0 w 426"/>
                              <a:gd name="T2" fmla="+- 0 1316 1316"/>
                              <a:gd name="T3" fmla="*/ 1316 h 120"/>
                              <a:gd name="T4" fmla="+- 0 2465 2251"/>
                              <a:gd name="T5" fmla="*/ T4 w 426"/>
                              <a:gd name="T6" fmla="+- 0 1436 1316"/>
                              <a:gd name="T7" fmla="*/ 1436 h 120"/>
                              <a:gd name="T8" fmla="+- 0 2677 2251"/>
                              <a:gd name="T9" fmla="*/ T8 w 426"/>
                              <a:gd name="T10" fmla="+- 0 1316 1316"/>
                              <a:gd name="T11" fmla="*/ 1316 h 120"/>
                            </a:gdLst>
                            <a:ahLst/>
                            <a:cxnLst>
                              <a:cxn ang="0">
                                <a:pos x="T1" y="T3"/>
                              </a:cxn>
                              <a:cxn ang="0">
                                <a:pos x="T5" y="T7"/>
                              </a:cxn>
                              <a:cxn ang="0">
                                <a:pos x="T9" y="T11"/>
                              </a:cxn>
                            </a:cxnLst>
                            <a:rect l="0" t="0" r="r" b="b"/>
                            <a:pathLst>
                              <a:path w="426" h="120">
                                <a:moveTo>
                                  <a:pt x="0" y="0"/>
                                </a:moveTo>
                                <a:lnTo>
                                  <a:pt x="214" y="120"/>
                                </a:lnTo>
                                <a:lnTo>
                                  <a:pt x="426" y="0"/>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7"/>
                        <wps:cNvCnPr>
                          <a:cxnSpLocks noChangeShapeType="1"/>
                        </wps:cNvCnPr>
                        <wps:spPr bwMode="auto">
                          <a:xfrm>
                            <a:off x="2465" y="1385"/>
                            <a:ext cx="168"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629" y="1019"/>
                            <a:ext cx="98" cy="120"/>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25"/>
                        <wps:cNvCnPr>
                          <a:cxnSpLocks noChangeShapeType="1"/>
                        </wps:cNvCnPr>
                        <wps:spPr bwMode="auto">
                          <a:xfrm>
                            <a:off x="2677" y="1316"/>
                            <a:ext cx="0"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24"/>
                        <wps:cNvSpPr>
                          <a:spLocks/>
                        </wps:cNvSpPr>
                        <wps:spPr bwMode="auto">
                          <a:xfrm>
                            <a:off x="2251" y="953"/>
                            <a:ext cx="342" cy="122"/>
                          </a:xfrm>
                          <a:custGeom>
                            <a:avLst/>
                            <a:gdLst>
                              <a:gd name="T0" fmla="+- 0 2593 2251"/>
                              <a:gd name="T1" fmla="*/ T0 w 342"/>
                              <a:gd name="T2" fmla="+- 0 1027 953"/>
                              <a:gd name="T3" fmla="*/ 1027 h 122"/>
                              <a:gd name="T4" fmla="+- 0 2465 2251"/>
                              <a:gd name="T5" fmla="*/ T4 w 342"/>
                              <a:gd name="T6" fmla="+- 0 953 953"/>
                              <a:gd name="T7" fmla="*/ 953 h 122"/>
                              <a:gd name="T8" fmla="+- 0 2251 2251"/>
                              <a:gd name="T9" fmla="*/ T8 w 342"/>
                              <a:gd name="T10" fmla="+- 0 1075 953"/>
                              <a:gd name="T11" fmla="*/ 1075 h 122"/>
                            </a:gdLst>
                            <a:ahLst/>
                            <a:cxnLst>
                              <a:cxn ang="0">
                                <a:pos x="T1" y="T3"/>
                              </a:cxn>
                              <a:cxn ang="0">
                                <a:pos x="T5" y="T7"/>
                              </a:cxn>
                              <a:cxn ang="0">
                                <a:pos x="T9" y="T11"/>
                              </a:cxn>
                            </a:cxnLst>
                            <a:rect l="0" t="0" r="r" b="b"/>
                            <a:pathLst>
                              <a:path w="342" h="122">
                                <a:moveTo>
                                  <a:pt x="342" y="74"/>
                                </a:moveTo>
                                <a:lnTo>
                                  <a:pt x="214" y="0"/>
                                </a:lnTo>
                                <a:lnTo>
                                  <a:pt x="0" y="122"/>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404" y="655"/>
                            <a:ext cx="125" cy="742"/>
                          </a:xfrm>
                          <a:prstGeom prst="rect">
                            <a:avLst/>
                          </a:prstGeom>
                          <a:noFill/>
                          <a:extLst>
                            <a:ext uri="{909E8E84-426E-40DD-AFC4-6F175D3DCCD1}">
                              <a14:hiddenFill xmlns:a14="http://schemas.microsoft.com/office/drawing/2010/main">
                                <a:solidFill>
                                  <a:srgbClr val="FFFFFF"/>
                                </a:solidFill>
                              </a14:hiddenFill>
                            </a:ext>
                          </a:extLst>
                        </pic:spPr>
                      </pic:pic>
                      <wps:wsp>
                        <wps:cNvPr id="25" name="Line 22"/>
                        <wps:cNvCnPr>
                          <a:cxnSpLocks noChangeShapeType="1"/>
                        </wps:cNvCnPr>
                        <wps:spPr bwMode="auto">
                          <a:xfrm>
                            <a:off x="2442" y="965"/>
                            <a:ext cx="0"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2486" y="965"/>
                            <a:ext cx="0"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815" y="897"/>
                            <a:ext cx="282" cy="6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984" y="1379"/>
                            <a:ext cx="116" cy="742"/>
                          </a:xfrm>
                          <a:prstGeom prst="rect">
                            <a:avLst/>
                          </a:prstGeom>
                          <a:noFill/>
                          <a:extLst>
                            <a:ext uri="{909E8E84-426E-40DD-AFC4-6F175D3DCCD1}">
                              <a14:hiddenFill xmlns:a14="http://schemas.microsoft.com/office/drawing/2010/main">
                                <a:solidFill>
                                  <a:srgbClr val="FFFFFF"/>
                                </a:solidFill>
                              </a14:hiddenFill>
                            </a:ext>
                          </a:extLst>
                        </pic:spPr>
                      </pic:pic>
                      <wps:wsp>
                        <wps:cNvPr id="29" name="Line 18"/>
                        <wps:cNvCnPr>
                          <a:cxnSpLocks noChangeShapeType="1"/>
                        </wps:cNvCnPr>
                        <wps:spPr bwMode="auto">
                          <a:xfrm>
                            <a:off x="2251" y="1316"/>
                            <a:ext cx="0" cy="78"/>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17"/>
                        <wps:cNvSpPr>
                          <a:spLocks/>
                        </wps:cNvSpPr>
                        <wps:spPr bwMode="auto">
                          <a:xfrm>
                            <a:off x="2758" y="953"/>
                            <a:ext cx="342" cy="122"/>
                          </a:xfrm>
                          <a:custGeom>
                            <a:avLst/>
                            <a:gdLst>
                              <a:gd name="T0" fmla="+- 0 2759 2759"/>
                              <a:gd name="T1" fmla="*/ T0 w 342"/>
                              <a:gd name="T2" fmla="+- 0 1028 953"/>
                              <a:gd name="T3" fmla="*/ 1028 h 122"/>
                              <a:gd name="T4" fmla="+- 0 2890 2759"/>
                              <a:gd name="T5" fmla="*/ T4 w 342"/>
                              <a:gd name="T6" fmla="+- 0 953 953"/>
                              <a:gd name="T7" fmla="*/ 953 h 122"/>
                              <a:gd name="T8" fmla="+- 0 3101 2759"/>
                              <a:gd name="T9" fmla="*/ T8 w 342"/>
                              <a:gd name="T10" fmla="+- 0 1075 953"/>
                              <a:gd name="T11" fmla="*/ 1075 h 122"/>
                            </a:gdLst>
                            <a:ahLst/>
                            <a:cxnLst>
                              <a:cxn ang="0">
                                <a:pos x="T1" y="T3"/>
                              </a:cxn>
                              <a:cxn ang="0">
                                <a:pos x="T5" y="T7"/>
                              </a:cxn>
                              <a:cxn ang="0">
                                <a:pos x="T9" y="T11"/>
                              </a:cxn>
                            </a:cxnLst>
                            <a:rect l="0" t="0" r="r" b="b"/>
                            <a:pathLst>
                              <a:path w="342" h="122">
                                <a:moveTo>
                                  <a:pt x="0" y="75"/>
                                </a:moveTo>
                                <a:lnTo>
                                  <a:pt x="131" y="0"/>
                                </a:lnTo>
                                <a:lnTo>
                                  <a:pt x="342" y="122"/>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078" y="1259"/>
                            <a:ext cx="98" cy="120"/>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15"/>
                        <wps:cNvCnPr>
                          <a:cxnSpLocks noChangeShapeType="1"/>
                        </wps:cNvCnPr>
                        <wps:spPr bwMode="auto">
                          <a:xfrm>
                            <a:off x="3101" y="1075"/>
                            <a:ext cx="18" cy="16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a:off x="3149" y="1101"/>
                            <a:ext cx="13" cy="13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319" y="1309"/>
                            <a:ext cx="22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3277" y="922"/>
                            <a:ext cx="106" cy="720"/>
                          </a:xfrm>
                          <a:prstGeom prst="rect">
                            <a:avLst/>
                          </a:prstGeom>
                          <a:noFill/>
                          <a:extLst>
                            <a:ext uri="{909E8E84-426E-40DD-AFC4-6F175D3DCCD1}">
                              <a14:hiddenFill xmlns:a14="http://schemas.microsoft.com/office/drawing/2010/main">
                                <a:solidFill>
                                  <a:srgbClr val="FFFFFF"/>
                                </a:solidFill>
                              </a14:hiddenFill>
                            </a:ext>
                          </a:extLst>
                        </pic:spPr>
                      </pic:pic>
                      <wps:wsp>
                        <wps:cNvPr id="36" name="Line 11"/>
                        <wps:cNvCnPr>
                          <a:cxnSpLocks noChangeShapeType="1"/>
                        </wps:cNvCnPr>
                        <wps:spPr bwMode="auto">
                          <a:xfrm>
                            <a:off x="3206" y="1330"/>
                            <a:ext cx="78" cy="17"/>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37" name="Freeform 10"/>
                        <wps:cNvSpPr>
                          <a:spLocks/>
                        </wps:cNvSpPr>
                        <wps:spPr bwMode="auto">
                          <a:xfrm>
                            <a:off x="3397" y="1054"/>
                            <a:ext cx="93" cy="228"/>
                          </a:xfrm>
                          <a:custGeom>
                            <a:avLst/>
                            <a:gdLst>
                              <a:gd name="T0" fmla="+- 0 3415 3397"/>
                              <a:gd name="T1" fmla="*/ T0 w 93"/>
                              <a:gd name="T2" fmla="+- 0 1282 1054"/>
                              <a:gd name="T3" fmla="*/ 1282 h 228"/>
                              <a:gd name="T4" fmla="+- 0 3490 3397"/>
                              <a:gd name="T5" fmla="*/ T4 w 93"/>
                              <a:gd name="T6" fmla="+- 0 1155 1054"/>
                              <a:gd name="T7" fmla="*/ 1155 h 228"/>
                              <a:gd name="T8" fmla="+- 0 3397 3397"/>
                              <a:gd name="T9" fmla="*/ T8 w 93"/>
                              <a:gd name="T10" fmla="+- 0 1054 1054"/>
                              <a:gd name="T11" fmla="*/ 1054 h 228"/>
                            </a:gdLst>
                            <a:ahLst/>
                            <a:cxnLst>
                              <a:cxn ang="0">
                                <a:pos x="T1" y="T3"/>
                              </a:cxn>
                              <a:cxn ang="0">
                                <a:pos x="T5" y="T7"/>
                              </a:cxn>
                              <a:cxn ang="0">
                                <a:pos x="T9" y="T11"/>
                              </a:cxn>
                            </a:cxnLst>
                            <a:rect l="0" t="0" r="r" b="b"/>
                            <a:pathLst>
                              <a:path w="93" h="228">
                                <a:moveTo>
                                  <a:pt x="18" y="228"/>
                                </a:moveTo>
                                <a:lnTo>
                                  <a:pt x="93" y="101"/>
                                </a:lnTo>
                                <a:lnTo>
                                  <a:pt x="0" y="0"/>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9"/>
                        <wps:cNvCnPr>
                          <a:cxnSpLocks noChangeShapeType="1"/>
                        </wps:cNvCnPr>
                        <wps:spPr bwMode="auto">
                          <a:xfrm>
                            <a:off x="3239" y="1013"/>
                            <a:ext cx="0" cy="62"/>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674" y="1073"/>
                            <a:ext cx="117" cy="124"/>
                          </a:xfrm>
                          <a:prstGeom prst="rect">
                            <a:avLst/>
                          </a:prstGeom>
                          <a:noFill/>
                          <a:extLst>
                            <a:ext uri="{909E8E84-426E-40DD-AFC4-6F175D3DCCD1}">
                              <a14:hiddenFill xmlns:a14="http://schemas.microsoft.com/office/drawing/2010/main">
                                <a:solidFill>
                                  <a:srgbClr val="FFFFFF"/>
                                </a:solidFill>
                              </a14:hiddenFill>
                            </a:ext>
                          </a:extLst>
                        </pic:spPr>
                      </pic:pic>
                      <wps:wsp>
                        <wps:cNvPr id="40" name="Line 7"/>
                        <wps:cNvCnPr>
                          <a:cxnSpLocks noChangeShapeType="1"/>
                        </wps:cNvCnPr>
                        <wps:spPr bwMode="auto">
                          <a:xfrm>
                            <a:off x="3472" y="1136"/>
                            <a:ext cx="174"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41" name="Line 6"/>
                        <wps:cNvCnPr>
                          <a:cxnSpLocks noChangeShapeType="1"/>
                        </wps:cNvCnPr>
                        <wps:spPr bwMode="auto">
                          <a:xfrm>
                            <a:off x="3476" y="1178"/>
                            <a:ext cx="174"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3316" y="685"/>
                            <a:ext cx="221" cy="728"/>
                          </a:xfrm>
                          <a:prstGeom prst="rect">
                            <a:avLst/>
                          </a:prstGeom>
                          <a:noFill/>
                          <a:extLst>
                            <a:ext uri="{909E8E84-426E-40DD-AFC4-6F175D3DCCD1}">
                              <a14:hiddenFill xmlns:a14="http://schemas.microsoft.com/office/drawing/2010/main">
                                <a:solidFill>
                                  <a:srgbClr val="FFFFFF"/>
                                </a:solidFill>
                              </a14:hiddenFill>
                            </a:ext>
                          </a:extLst>
                        </pic:spPr>
                      </pic:pic>
                      <wps:wsp>
                        <wps:cNvPr id="43" name="Line 4"/>
                        <wps:cNvCnPr>
                          <a:cxnSpLocks noChangeShapeType="1"/>
                        </wps:cNvCnPr>
                        <wps:spPr bwMode="auto">
                          <a:xfrm>
                            <a:off x="3344" y="891"/>
                            <a:ext cx="11"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
                        <wps:cNvSpPr txBox="1">
                          <a:spLocks noChangeArrowheads="1"/>
                        </wps:cNvSpPr>
                        <wps:spPr bwMode="auto">
                          <a:xfrm>
                            <a:off x="1077" y="86"/>
                            <a:ext cx="2351" cy="1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6DAA4" w14:textId="77777777" w:rsidR="00B26C5F" w:rsidRDefault="00B26C5F">
                              <w:pPr>
                                <w:rPr>
                                  <w:b/>
                                  <w:sz w:val="24"/>
                                </w:rPr>
                              </w:pPr>
                            </w:p>
                            <w:p w14:paraId="7E26DAA5" w14:textId="77777777" w:rsidR="00B26C5F" w:rsidRDefault="00B26C5F">
                              <w:pPr>
                                <w:rPr>
                                  <w:b/>
                                  <w:sz w:val="24"/>
                                </w:rPr>
                              </w:pPr>
                            </w:p>
                            <w:p w14:paraId="7E26DAA6" w14:textId="77777777" w:rsidR="00B26C5F" w:rsidRDefault="00B26C5F">
                              <w:pPr>
                                <w:rPr>
                                  <w:b/>
                                  <w:sz w:val="24"/>
                                </w:rPr>
                              </w:pPr>
                            </w:p>
                            <w:p w14:paraId="7E26DAA7" w14:textId="77777777" w:rsidR="00B26C5F" w:rsidRDefault="00B26C5F">
                              <w:pPr>
                                <w:rPr>
                                  <w:b/>
                                  <w:sz w:val="24"/>
                                </w:rPr>
                              </w:pPr>
                            </w:p>
                            <w:p w14:paraId="7E26DAA8" w14:textId="77777777" w:rsidR="00B26C5F" w:rsidRDefault="00B26C5F">
                              <w:pPr>
                                <w:rPr>
                                  <w:b/>
                                  <w:sz w:val="24"/>
                                </w:rPr>
                              </w:pPr>
                            </w:p>
                            <w:p w14:paraId="7E26DAA9" w14:textId="77777777" w:rsidR="00B26C5F" w:rsidRDefault="00B26C5F">
                              <w:pPr>
                                <w:spacing w:before="10"/>
                                <w:rPr>
                                  <w:b/>
                                  <w:sz w:val="18"/>
                                </w:rPr>
                              </w:pPr>
                            </w:p>
                            <w:p w14:paraId="7E26DAAA" w14:textId="77777777" w:rsidR="00B26C5F" w:rsidRDefault="00B26C5F">
                              <w:pPr>
                                <w:rPr>
                                  <w:b/>
                                </w:rPr>
                              </w:pPr>
                              <w:r>
                                <w:rPr>
                                  <w:b/>
                                </w:rPr>
                                <w:t>CAS 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6DAA0" id="Group 2" o:spid="_x0000_s1026" style="position:absolute;margin-left:53.85pt;margin-top:4.15pt;width:135.7pt;height:101.75pt;z-index:-251657216;mso-wrap-distance-left:0;mso-wrap-distance-right:0;mso-position-horizontal-relative:page" coordorigin="1077,86" coordsize="2714,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">
                <v:line id="Line 43" o:spid="_x0000_s1027" style="position:absolute;visibility:visible;mso-wrap-style:square" from="1828,351" to="182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" strokeweight=".16864mm"/>
                <v:line id="Line 42" o:spid="_x0000_s1028" style="position:absolute;visibility:visible;mso-wrap-style:square" from="1871,376" to="187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" strokeweight=".16864mm"/>
                <v:shape id="Freeform 41" o:spid="_x0000_s1029" style="position:absolute;left:1827;top:592;width:425;height:122;visibility:visible;mso-wrap-style:square;v-text-anchor:top" coordsize="42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" path="m,l212,121,424,e" filled="f" strokeweight=".16864mm">
                  <v:path arrowok="t" o:connecttype="custom" o:connectlocs="0,592;212,713;424,592" o:connectangles="0,0,0"/>
                </v:shape>
                <v:line id="Line 40" o:spid="_x0000_s1030" style="position:absolute;visibility:visible;mso-wrap-style:square" from="2040,663" to="2208,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" strokeweight=".16864mm"/>
                <v:shape id="Freeform 39" o:spid="_x0000_s1031" style="position:absolute;left:2040;top:229;width:213;height:363;visibility:visible;mso-wrap-style:square;v-text-anchor:top" coordsize="2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" path="m212,362r,-241l,e" filled="f" strokeweight=".16864mm">
                  <v:path arrowok="t" o:connecttype="custom" o:connectlocs="212,592;212,351;0,230" o:connectangles="0,0,0"/>
                </v:shape>
                <v:line id="Line 38" o:spid="_x0000_s1032" style="position:absolute;visibility:visible;mso-wrap-style:square" from="2208,376" to="220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" strokeweight=".16864mm"/>
                <v:line id="Line 37" o:spid="_x0000_s1033" style="position:absolute;visibility:visible;mso-wrap-style:square" from="2040,230" to="204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" strokeweight=".1686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4" type="#_x0000_t75" style="position:absolute;left:1479;top:174;width:144;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">
                  <v:imagedata r:id="rId31" o:title=""/>
                </v:shape>
                <v:line id="Line 35" o:spid="_x0000_s1035" style="position:absolute;visibility:visible;mso-wrap-style:square" from="1828,351" to="1828,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" strokeweight=".16864mm"/>
                <v:shape id="Picture 34" o:spid="_x0000_s1036" type="#_x0000_t75" style="position:absolute;left:2409;top:174;width:227;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">
                  <v:imagedata r:id="rId32" o:title=""/>
                </v:shape>
                <v:line id="Line 33" o:spid="_x0000_s1037" style="position:absolute;visibility:visible;mso-wrap-style:square" from="2252,351" to="2387,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" strokeweight=".16864mm"/>
                <v:line id="Line 32" o:spid="_x0000_s1038" style="position:absolute;visibility:visible;mso-wrap-style:square" from="2040,713" to="204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" strokeweight=".16864mm"/>
                <v:line id="Line 31" o:spid="_x0000_s1039" style="position:absolute;visibility:visible;mso-wrap-style:square" from="2119,999" to="2251,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" strokeweight=".16864mm"/>
                <v:line id="Line 30" o:spid="_x0000_s1040" style="position:absolute;visibility:visible;mso-wrap-style:square" from="2251,1075" to="225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" strokeweight=".16864mm"/>
                <v:line id="Line 29" o:spid="_x0000_s1041" style="position:absolute;visibility:visible;mso-wrap-style:square" from="2296,1099" to="2296,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" strokeweight=".16864mm"/>
                <v:shape id="Freeform 28" o:spid="_x0000_s1042" style="position:absolute;left:2251;top:1315;width:426;height:120;visibility:visible;mso-wrap-style:square;v-text-anchor:top" coordsize="42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" path="m,l214,120,426,e" filled="f" strokeweight=".16864mm">
                  <v:path arrowok="t" o:connecttype="custom" o:connectlocs="0,1316;214,1436;426,1316" o:connectangles="0,0,0"/>
                </v:shape>
                <v:line id="Line 27" o:spid="_x0000_s1043" style="position:absolute;visibility:visible;mso-wrap-style:square" from="2465,1385" to="2633,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" strokeweight=".16864mm"/>
                <v:shape id="Picture 26" o:spid="_x0000_s1044" type="#_x0000_t75" style="position:absolute;left:2629;top:1019;width:9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">
                  <v:imagedata r:id="rId33" o:title=""/>
                </v:shape>
                <v:line id="Line 25" o:spid="_x0000_s1045" style="position:absolute;visibility:visible;mso-wrap-style:square" from="2677,1316" to="2677,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" strokeweight=".16864mm"/>
                <v:shape id="Freeform 24" o:spid="_x0000_s1046" style="position:absolute;left:2251;top:953;width:342;height:122;visibility:visible;mso-wrap-style:square;v-text-anchor:top" coordsize="34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" path="m342,74l214,,,122e" filled="f" strokeweight=".16864mm">
                  <v:path arrowok="t" o:connecttype="custom" o:connectlocs="342,1027;214,953;0,1075" o:connectangles="0,0,0"/>
                </v:shape>
                <v:shape id="Picture 23" o:spid="_x0000_s1047" type="#_x0000_t75" style="position:absolute;left:2404;top:655;width:125;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">
                  <v:imagedata r:id="rId34" o:title=""/>
                </v:shape>
                <v:line id="Line 22" o:spid="_x0000_s1048" style="position:absolute;visibility:visible;mso-wrap-style:square" from="2442,965" to="244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" strokeweight=".16864mm"/>
                <v:line id="Line 21" o:spid="_x0000_s1049" style="position:absolute;visibility:visible;mso-wrap-style:square" from="2486,965" to="248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" strokeweight=".16864mm"/>
                <v:shape id="Picture 20" o:spid="_x0000_s1050" type="#_x0000_t75" style="position:absolute;left:1815;top:897;width:282;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">
                  <v:imagedata r:id="rId35" o:title=""/>
                </v:shape>
                <v:shape id="Picture 19" o:spid="_x0000_s1051" type="#_x0000_t75" style="position:absolute;left:1984;top:1379;width:116;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">
                  <v:imagedata r:id="rId36" o:title=""/>
                </v:shape>
                <v:line id="Line 18" o:spid="_x0000_s1052" style="position:absolute;visibility:visible;mso-wrap-style:square" from="2251,1316" to="225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" strokeweight=".16864mm"/>
                <v:shape id="Freeform 17" o:spid="_x0000_s1053" style="position:absolute;left:2758;top:953;width:342;height:122;visibility:visible;mso-wrap-style:square;v-text-anchor:top" coordsize="34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" path="m,75l131,,342,122e" filled="f" strokeweight=".16864mm">
                  <v:path arrowok="t" o:connecttype="custom" o:connectlocs="0,1028;131,953;342,1075" o:connectangles="0,0,0"/>
                </v:shape>
                <v:shape id="Picture 16" o:spid="_x0000_s1054" type="#_x0000_t75" style="position:absolute;left:3078;top:1259;width:9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">
                  <v:imagedata r:id="rId33" o:title=""/>
                </v:shape>
                <v:line id="Line 15" o:spid="_x0000_s1055" style="position:absolute;visibility:visible;mso-wrap-style:square" from="3101,1075" to="3119,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" strokeweight=".16864mm"/>
                <v:line id="Line 14" o:spid="_x0000_s1056" style="position:absolute;visibility:visible;mso-wrap-style:square" from="3149,1101" to="3162,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" strokeweight=".16864mm"/>
                <v:shape id="Picture 13" o:spid="_x0000_s1057" type="#_x0000_t75" style="position:absolute;left:3319;top:1309;width:221;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">
                  <v:imagedata r:id="rId37" o:title=""/>
                </v:shape>
                <v:shape id="Picture 12" o:spid="_x0000_s1058" type="#_x0000_t75" style="position:absolute;left:3277;top:922;width:106;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">
                  <v:imagedata r:id="rId38" o:title=""/>
                </v:shape>
                <v:line id="Line 11" o:spid="_x0000_s1059" style="position:absolute;visibility:visible;mso-wrap-style:square" from="3206,1330" to="3284,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" strokeweight=".16864mm"/>
                <v:shape id="Freeform 10" o:spid="_x0000_s1060" style="position:absolute;left:3397;top:1054;width:93;height:228;visibility:visible;mso-wrap-style:square;v-text-anchor:top" coordsize="9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" path="m18,228l93,101,,e" filled="f" strokeweight=".16864mm">
                  <v:path arrowok="t" o:connecttype="custom" o:connectlocs="18,1282;93,1155;0,1054" o:connectangles="0,0,0"/>
                </v:shape>
                <v:line id="Line 9" o:spid="_x0000_s1061" style="position:absolute;visibility:visible;mso-wrap-style:square" from="3239,1013" to="3239,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" strokeweight=".16864mm"/>
                <v:shape id="Picture 8" o:spid="_x0000_s1062" type="#_x0000_t75" style="position:absolute;left:3674;top:1073;width:117;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">
                  <v:imagedata r:id="rId39" o:title=""/>
                </v:shape>
                <v:line id="Line 7" o:spid="_x0000_s1063" style="position:absolute;visibility:visible;mso-wrap-style:square" from="3472,1136" to="3646,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" strokeweight=".16864mm"/>
                <v:line id="Line 6" o:spid="_x0000_s1064" style="position:absolute;visibility:visible;mso-wrap-style:square" from="3476,1178" to="3650,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" strokeweight=".16864mm"/>
                <v:shape id="Picture 5" o:spid="_x0000_s1065" type="#_x0000_t75" style="position:absolute;left:3316;top:685;width:221;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">
                  <v:imagedata r:id="rId40" o:title=""/>
                </v:shape>
                <v:line id="Line 4" o:spid="_x0000_s1066" style="position:absolute;visibility:visible;mso-wrap-style:square" from="3344,891" to="335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" strokeweight=".16864mm"/>
                <v:shapetype id="_x0000_t202" coordsize="21600,21600" o:spt="202" path="m,l,21600r21600,l21600,xe">
                  <v:stroke joinstyle="miter"/>
                  <v:path gradientshapeok="t" o:connecttype="rect"/>
                </v:shapetype>
                <v:shape id="Text Box 3" o:spid="_x0000_s1067" type="#_x0000_t202" style="position:absolute;left:1077;top:86;width:2351;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E26DAA4" w14:textId="77777777" w:rsidR="00B26C5F" w:rsidRDefault="00B26C5F">
                        <w:pPr>
                          <w:rPr>
                            <w:b/>
                            <w:sz w:val="24"/>
                          </w:rPr>
                        </w:pPr>
                      </w:p>
                      <w:p w14:paraId="7E26DAA5" w14:textId="77777777" w:rsidR="00B26C5F" w:rsidRDefault="00B26C5F">
                        <w:pPr>
                          <w:rPr>
                            <w:b/>
                            <w:sz w:val="24"/>
                          </w:rPr>
                        </w:pPr>
                      </w:p>
                      <w:p w14:paraId="7E26DAA6" w14:textId="77777777" w:rsidR="00B26C5F" w:rsidRDefault="00B26C5F">
                        <w:pPr>
                          <w:rPr>
                            <w:b/>
                            <w:sz w:val="24"/>
                          </w:rPr>
                        </w:pPr>
                      </w:p>
                      <w:p w14:paraId="7E26DAA7" w14:textId="77777777" w:rsidR="00B26C5F" w:rsidRDefault="00B26C5F">
                        <w:pPr>
                          <w:rPr>
                            <w:b/>
                            <w:sz w:val="24"/>
                          </w:rPr>
                        </w:pPr>
                      </w:p>
                      <w:p w14:paraId="7E26DAA8" w14:textId="77777777" w:rsidR="00B26C5F" w:rsidRDefault="00B26C5F">
                        <w:pPr>
                          <w:rPr>
                            <w:b/>
                            <w:sz w:val="24"/>
                          </w:rPr>
                        </w:pPr>
                      </w:p>
                      <w:p w14:paraId="7E26DAA9" w14:textId="77777777" w:rsidR="00B26C5F" w:rsidRDefault="00B26C5F">
                        <w:pPr>
                          <w:spacing w:before="10"/>
                          <w:rPr>
                            <w:b/>
                            <w:sz w:val="18"/>
                          </w:rPr>
                        </w:pPr>
                      </w:p>
                      <w:p w14:paraId="7E26DAAA" w14:textId="77777777" w:rsidR="00B26C5F" w:rsidRDefault="00B26C5F">
                        <w:pPr>
                          <w:rPr>
                            <w:b/>
                          </w:rPr>
                        </w:pPr>
                        <w:r>
                          <w:rPr>
                            <w:b/>
                          </w:rPr>
                          <w:t>CAS number</w:t>
                        </w:r>
                      </w:p>
                    </w:txbxContent>
                  </v:textbox>
                </v:shape>
                <w10:wrap type="topAndBottom" anchorx="page"/>
              </v:group>
            </w:pict>
          </mc:Fallback>
        </mc:AlternateContent>
      </w:r>
    </w:p>
    <w:p w14:paraId="7E26DA94" w14:textId="77777777" w:rsidR="001439E0" w:rsidRDefault="008A23E0">
      <w:pPr>
        <w:pStyle w:val="BodyText"/>
        <w:spacing w:before="0" w:line="243" w:lineRule="exact"/>
        <w:ind w:left="419"/>
        <w:jc w:val="left"/>
      </w:pPr>
      <w:r>
        <w:t>1338225-97-0.</w:t>
      </w:r>
    </w:p>
    <w:p w14:paraId="7E26DA95" w14:textId="77777777" w:rsidR="001439E0" w:rsidRDefault="008A23E0">
      <w:pPr>
        <w:pStyle w:val="Heading1"/>
        <w:numPr>
          <w:ilvl w:val="0"/>
          <w:numId w:val="1"/>
        </w:numPr>
        <w:tabs>
          <w:tab w:val="left" w:pos="851"/>
          <w:tab w:val="left" w:pos="852"/>
        </w:tabs>
        <w:spacing w:before="199"/>
        <w:ind w:left="851" w:hanging="431"/>
      </w:pPr>
      <w:r>
        <w:t>MEDICINE SCHEDULE (POISONS STANDARD)</w:t>
      </w:r>
    </w:p>
    <w:p w14:paraId="7E26DA96" w14:textId="77777777" w:rsidR="001439E0" w:rsidRDefault="008A23E0">
      <w:pPr>
        <w:pStyle w:val="BodyText"/>
        <w:jc w:val="left"/>
      </w:pPr>
      <w:r>
        <w:t>Prescription Only Medicine (Schedule 4).</w:t>
      </w:r>
    </w:p>
    <w:p w14:paraId="7E26DA97" w14:textId="77777777" w:rsidR="001439E0" w:rsidRDefault="008A23E0">
      <w:pPr>
        <w:pStyle w:val="Heading1"/>
        <w:numPr>
          <w:ilvl w:val="0"/>
          <w:numId w:val="1"/>
        </w:numPr>
        <w:tabs>
          <w:tab w:val="left" w:pos="851"/>
          <w:tab w:val="left" w:pos="852"/>
        </w:tabs>
        <w:spacing w:before="200"/>
        <w:ind w:left="851" w:hanging="431"/>
      </w:pPr>
      <w:r>
        <w:t>SPONSOR</w:t>
      </w:r>
    </w:p>
    <w:p w14:paraId="7E26DA98" w14:textId="77777777" w:rsidR="001439E0" w:rsidRDefault="008A23E0">
      <w:pPr>
        <w:pStyle w:val="BodyText"/>
        <w:ind w:right="5729"/>
        <w:jc w:val="left"/>
      </w:pPr>
      <w:r>
        <w:t xml:space="preserve">Merck Sharpe &amp; </w:t>
      </w:r>
      <w:proofErr w:type="spellStart"/>
      <w:r>
        <w:t>Dohme</w:t>
      </w:r>
      <w:proofErr w:type="spellEnd"/>
      <w:r>
        <w:t xml:space="preserve"> (Australia) Pty Limited Level 1, Building A, 26 Talavera Road Macquarie Park NSW</w:t>
      </w:r>
      <w:r>
        <w:rPr>
          <w:spacing w:val="-1"/>
        </w:rPr>
        <w:t xml:space="preserve"> </w:t>
      </w:r>
      <w:r>
        <w:t>2113</w:t>
      </w:r>
    </w:p>
    <w:p w14:paraId="7E26DA99" w14:textId="77777777" w:rsidR="001439E0" w:rsidRDefault="00B26C5F">
      <w:pPr>
        <w:pStyle w:val="BodyText"/>
        <w:spacing w:before="1"/>
        <w:jc w:val="left"/>
      </w:pPr>
      <w:hyperlink r:id="rId41">
        <w:r w:rsidR="008A23E0">
          <w:rPr>
            <w:color w:val="0000FF"/>
            <w:u w:val="single" w:color="0000FF"/>
          </w:rPr>
          <w:t>www.msd-australia.com.au</w:t>
        </w:r>
      </w:hyperlink>
    </w:p>
    <w:p w14:paraId="7E26DA9A" w14:textId="77777777" w:rsidR="001439E0" w:rsidRDefault="008A23E0">
      <w:pPr>
        <w:pStyle w:val="Heading1"/>
        <w:numPr>
          <w:ilvl w:val="0"/>
          <w:numId w:val="1"/>
        </w:numPr>
        <w:tabs>
          <w:tab w:val="left" w:pos="929"/>
          <w:tab w:val="left" w:pos="930"/>
        </w:tabs>
        <w:spacing w:before="199"/>
        <w:ind w:left="929" w:hanging="509"/>
      </w:pPr>
      <w:r>
        <w:t>DATE OF FIRST</w:t>
      </w:r>
      <w:r>
        <w:rPr>
          <w:spacing w:val="-1"/>
        </w:rPr>
        <w:t xml:space="preserve"> </w:t>
      </w:r>
      <w:r>
        <w:t>APPROVAL</w:t>
      </w:r>
    </w:p>
    <w:p w14:paraId="7E26DA9B" w14:textId="47379E99" w:rsidR="001439E0" w:rsidRDefault="00ED6F76">
      <w:pPr>
        <w:pStyle w:val="BodyText"/>
        <w:jc w:val="left"/>
      </w:pPr>
      <w:r>
        <w:t>18 January 2019</w:t>
      </w:r>
    </w:p>
    <w:p w14:paraId="7E26DA9C" w14:textId="77777777" w:rsidR="001439E0" w:rsidRDefault="001439E0">
      <w:pPr>
        <w:pStyle w:val="BodyText"/>
        <w:spacing w:before="0"/>
        <w:ind w:left="0"/>
        <w:jc w:val="left"/>
        <w:rPr>
          <w:sz w:val="24"/>
        </w:rPr>
      </w:pPr>
    </w:p>
    <w:p w14:paraId="7E26DA9D" w14:textId="77777777" w:rsidR="001439E0" w:rsidRDefault="001439E0">
      <w:pPr>
        <w:pStyle w:val="BodyText"/>
        <w:spacing w:before="9"/>
        <w:ind w:left="0"/>
        <w:jc w:val="left"/>
        <w:rPr>
          <w:sz w:val="26"/>
        </w:rPr>
      </w:pPr>
    </w:p>
    <w:p w14:paraId="7E26DA9E" w14:textId="567824CE" w:rsidR="001439E0" w:rsidRDefault="008A23E0">
      <w:pPr>
        <w:spacing w:line="501" w:lineRule="auto"/>
        <w:ind w:left="420" w:right="7839"/>
        <w:rPr>
          <w:sz w:val="16"/>
        </w:rPr>
      </w:pPr>
      <w:r>
        <w:rPr>
          <w:sz w:val="16"/>
        </w:rPr>
        <w:t>PIFELTRO_PI_AU_</w:t>
      </w:r>
      <w:r w:rsidR="00ED6F76">
        <w:rPr>
          <w:sz w:val="16"/>
        </w:rPr>
        <w:t>A190118_v1.0</w:t>
      </w:r>
      <w:r>
        <w:rPr>
          <w:sz w:val="16"/>
        </w:rPr>
        <w:t xml:space="preserve"> MK1439-AUS-2018-018820-PC-T</w:t>
      </w:r>
    </w:p>
    <w:sectPr w:rsidR="001439E0">
      <w:pgSz w:w="11910" w:h="16840"/>
      <w:pgMar w:top="1360" w:right="160" w:bottom="1100" w:left="1020"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DAA6" w14:textId="77777777" w:rsidR="00B26C5F" w:rsidRDefault="00B26C5F">
      <w:r>
        <w:separator/>
      </w:r>
    </w:p>
  </w:endnote>
  <w:endnote w:type="continuationSeparator" w:id="0">
    <w:p w14:paraId="7E26DAA8" w14:textId="77777777" w:rsidR="00B26C5F" w:rsidRDefault="00B2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A1A4" w14:textId="77777777" w:rsidR="00B26C5F" w:rsidRDefault="00B26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DAA1" w14:textId="2D9D20D2" w:rsidR="00B26C5F" w:rsidRDefault="00B26C5F">
    <w:pPr>
      <w:pStyle w:val="BodyText"/>
      <w:spacing w:before="0" w:line="14" w:lineRule="auto"/>
      <w:ind w:left="0"/>
      <w:jc w:val="left"/>
      <w:rPr>
        <w:sz w:val="20"/>
      </w:rPr>
    </w:pPr>
    <w:r>
      <w:rPr>
        <w:noProof/>
        <w:lang w:val="en-AU" w:eastAsia="en-AU"/>
      </w:rPr>
      <mc:AlternateContent>
        <mc:Choice Requires="wps">
          <w:drawing>
            <wp:anchor distT="0" distB="0" distL="114300" distR="114300" simplePos="0" relativeHeight="503237960" behindDoc="1" locked="0" layoutInCell="1" allowOverlap="1" wp14:anchorId="7E26DAA2" wp14:editId="7070ACAB">
              <wp:simplePos x="0" y="0"/>
              <wp:positionH relativeFrom="page">
                <wp:posOffset>5922010</wp:posOffset>
              </wp:positionH>
              <wp:positionV relativeFrom="page">
                <wp:posOffset>9970135</wp:posOffset>
              </wp:positionV>
              <wp:extent cx="736600" cy="15367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6DAAB" w14:textId="65017BEE" w:rsidR="00B26C5F" w:rsidRDefault="00B26C5F">
                          <w:pPr>
                            <w:spacing w:before="14"/>
                            <w:ind w:left="20"/>
                            <w:rPr>
                              <w:b/>
                              <w:sz w:val="18"/>
                            </w:rPr>
                          </w:pPr>
                          <w:r>
                            <w:rPr>
                              <w:sz w:val="18"/>
                            </w:rPr>
                            <w:t xml:space="preserve">Page </w:t>
                          </w:r>
                          <w:r>
                            <w:fldChar w:fldCharType="begin"/>
                          </w:r>
                          <w:r>
                            <w:rPr>
                              <w:b/>
                              <w:sz w:val="18"/>
                            </w:rPr>
                            <w:instrText xml:space="preserve"> PAGE </w:instrText>
                          </w:r>
                          <w:r>
                            <w:fldChar w:fldCharType="separate"/>
                          </w:r>
                          <w:r w:rsidR="009E2156">
                            <w:rPr>
                              <w:b/>
                              <w:noProof/>
                              <w:sz w:val="18"/>
                            </w:rPr>
                            <w:t>19</w:t>
                          </w:r>
                          <w:r>
                            <w:fldChar w:fldCharType="end"/>
                          </w:r>
                          <w:r>
                            <w:rPr>
                              <w:b/>
                              <w:sz w:val="18"/>
                            </w:rPr>
                            <w:t xml:space="preserve"> </w:t>
                          </w:r>
                          <w:r>
                            <w:rPr>
                              <w:sz w:val="18"/>
                            </w:rPr>
                            <w:t xml:space="preserve">of </w:t>
                          </w:r>
                          <w:r>
                            <w:rPr>
                              <w:b/>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6DAA2" id="_x0000_t202" coordsize="21600,21600" o:spt="202" path="m,l,21600r21600,l21600,xe">
              <v:stroke joinstyle="miter"/>
              <v:path gradientshapeok="t" o:connecttype="rect"/>
            </v:shapetype>
            <v:shape id="Text Box 2" o:spid="_x0000_s1068" type="#_x0000_t202" style="position:absolute;margin-left:466.3pt;margin-top:785.05pt;width:58pt;height:12.1pt;z-index:-7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sIrgIAAKg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" filled="f" stroked="f">
              <v:textbox inset="0,0,0,0">
                <w:txbxContent>
                  <w:p w14:paraId="7E26DAAB" w14:textId="65017BEE" w:rsidR="00B26C5F" w:rsidRDefault="00B26C5F">
                    <w:pPr>
                      <w:spacing w:before="14"/>
                      <w:ind w:left="20"/>
                      <w:rPr>
                        <w:b/>
                        <w:sz w:val="18"/>
                      </w:rPr>
                    </w:pPr>
                    <w:r>
                      <w:rPr>
                        <w:sz w:val="18"/>
                      </w:rPr>
                      <w:t xml:space="preserve">Page </w:t>
                    </w:r>
                    <w:r>
                      <w:fldChar w:fldCharType="begin"/>
                    </w:r>
                    <w:r>
                      <w:rPr>
                        <w:b/>
                        <w:sz w:val="18"/>
                      </w:rPr>
                      <w:instrText xml:space="preserve"> PAGE </w:instrText>
                    </w:r>
                    <w:r>
                      <w:fldChar w:fldCharType="separate"/>
                    </w:r>
                    <w:r w:rsidR="009E2156">
                      <w:rPr>
                        <w:b/>
                        <w:noProof/>
                        <w:sz w:val="18"/>
                      </w:rPr>
                      <w:t>19</w:t>
                    </w:r>
                    <w:r>
                      <w:fldChar w:fldCharType="end"/>
                    </w:r>
                    <w:r>
                      <w:rPr>
                        <w:b/>
                        <w:sz w:val="18"/>
                      </w:rPr>
                      <w:t xml:space="preserve"> </w:t>
                    </w:r>
                    <w:r>
                      <w:rPr>
                        <w:sz w:val="18"/>
                      </w:rPr>
                      <w:t xml:space="preserve">of </w:t>
                    </w:r>
                    <w:r>
                      <w:rPr>
                        <w:b/>
                        <w:sz w:val="18"/>
                      </w:rPr>
                      <w:t>19</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237984" behindDoc="1" locked="0" layoutInCell="1" allowOverlap="1" wp14:anchorId="7E26DAA3" wp14:editId="0399790C">
              <wp:simplePos x="0" y="0"/>
              <wp:positionH relativeFrom="page">
                <wp:posOffset>901700</wp:posOffset>
              </wp:positionH>
              <wp:positionV relativeFrom="page">
                <wp:posOffset>10101580</wp:posOffset>
              </wp:positionV>
              <wp:extent cx="1339215" cy="15367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6DAAC" w14:textId="77777777" w:rsidR="00B26C5F" w:rsidRDefault="00B26C5F">
                          <w:pPr>
                            <w:spacing w:before="14"/>
                            <w:ind w:left="20"/>
                            <w:rPr>
                              <w:sz w:val="18"/>
                            </w:rPr>
                          </w:pPr>
                          <w:r>
                            <w:rPr>
                              <w:sz w:val="18"/>
                            </w:rPr>
                            <w:t>CCDS-MK1439-T-102017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DAA3" id="Text Box 1" o:spid="_x0000_s1069" type="#_x0000_t202" style="position:absolute;margin-left:71pt;margin-top:795.4pt;width:105.45pt;height:12.1pt;z-index:-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N7rwIAALA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" filled="f" stroked="f">
              <v:textbox inset="0,0,0,0">
                <w:txbxContent>
                  <w:p w14:paraId="7E26DAAC" w14:textId="77777777" w:rsidR="00B26C5F" w:rsidRDefault="00B26C5F">
                    <w:pPr>
                      <w:spacing w:before="14"/>
                      <w:ind w:left="20"/>
                      <w:rPr>
                        <w:sz w:val="18"/>
                      </w:rPr>
                    </w:pPr>
                    <w:r>
                      <w:rPr>
                        <w:sz w:val="18"/>
                      </w:rPr>
                      <w:t>CCDS-MK1439-T-102017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4E5C" w14:textId="77777777" w:rsidR="00B26C5F" w:rsidRDefault="00B2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6DAA2" w14:textId="77777777" w:rsidR="00B26C5F" w:rsidRDefault="00B26C5F">
      <w:r>
        <w:separator/>
      </w:r>
    </w:p>
  </w:footnote>
  <w:footnote w:type="continuationSeparator" w:id="0">
    <w:p w14:paraId="7E26DAA4" w14:textId="77777777" w:rsidR="00B26C5F" w:rsidRDefault="00B2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29404" w14:textId="77777777" w:rsidR="00B26C5F" w:rsidRDefault="00B26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3FE7" w14:textId="46563DA2" w:rsidR="00B26C5F" w:rsidRDefault="00B26C5F" w:rsidP="009E2156">
    <w:pPr>
      <w:pStyle w:val="Header"/>
    </w:pPr>
  </w:p>
  <w:tbl>
    <w:tblPr>
      <w:tblStyle w:val="TableGrid"/>
      <w:tblW w:w="0" w:type="auto"/>
      <w:shd w:val="clear" w:color="auto" w:fill="E4F2E0"/>
      <w:tblLook w:val="04A0" w:firstRow="1" w:lastRow="0" w:firstColumn="1" w:lastColumn="0" w:noHBand="0" w:noVBand="1"/>
    </w:tblPr>
    <w:tblGrid>
      <w:gridCol w:w="8720"/>
    </w:tblGrid>
    <w:tr w:rsidR="009E2156" w:rsidRPr="002E7F61" w14:paraId="4A4D4CFD" w14:textId="77777777" w:rsidTr="00C863DA">
      <w:trPr>
        <w:trHeight w:val="590"/>
      </w:trPr>
      <w:tc>
        <w:tcPr>
          <w:tcW w:w="8720" w:type="dxa"/>
          <w:shd w:val="clear" w:color="auto" w:fill="E4F2E0"/>
        </w:tcPr>
        <w:p w14:paraId="5461E2F9" w14:textId="77777777" w:rsidR="009E2156" w:rsidRPr="002E7F61" w:rsidRDefault="009E2156" w:rsidP="009E2156">
          <w:pPr>
            <w:pStyle w:val="Footer"/>
            <w:rPr>
              <w:b/>
              <w:sz w:val="18"/>
              <w:szCs w:val="18"/>
            </w:rPr>
          </w:pPr>
          <w:r w:rsidRPr="002E7F61">
            <w:rPr>
              <w:b/>
              <w:sz w:val="18"/>
              <w:szCs w:val="18"/>
            </w:rPr>
            <w:t xml:space="preserve">Attachment </w:t>
          </w:r>
          <w:r w:rsidRPr="00335909">
            <w:rPr>
              <w:b/>
              <w:sz w:val="18"/>
              <w:szCs w:val="18"/>
            </w:rPr>
            <w:t xml:space="preserve">AusPAR - PIFELTRO - Doravirine and FDC - Merck Sharp &amp; </w:t>
          </w:r>
          <w:proofErr w:type="spellStart"/>
          <w:r w:rsidRPr="00335909">
            <w:rPr>
              <w:b/>
              <w:sz w:val="18"/>
              <w:szCs w:val="18"/>
            </w:rPr>
            <w:t>Dohme</w:t>
          </w:r>
          <w:proofErr w:type="spellEnd"/>
          <w:r w:rsidRPr="00335909">
            <w:rPr>
              <w:b/>
              <w:sz w:val="18"/>
              <w:szCs w:val="18"/>
            </w:rPr>
            <w:t xml:space="preserve"> (Australia) Pty Ltd - PM-2017-04580-1-2 FINAL 11 March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75874365" w14:textId="77777777" w:rsidR="009E2156" w:rsidRPr="009E2156" w:rsidRDefault="009E2156" w:rsidP="009E2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C3B7" w14:textId="77777777" w:rsidR="00B26C5F" w:rsidRDefault="00B26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1E0"/>
    <w:multiLevelType w:val="hybridMultilevel"/>
    <w:tmpl w:val="609C9826"/>
    <w:lvl w:ilvl="0" w:tplc="52340DAE">
      <w:start w:val="1"/>
      <w:numFmt w:val="decimal"/>
      <w:lvlText w:val="%1"/>
      <w:lvlJc w:val="left"/>
      <w:pPr>
        <w:ind w:left="851" w:hanging="432"/>
        <w:jc w:val="left"/>
      </w:pPr>
      <w:rPr>
        <w:rFonts w:ascii="Arial" w:eastAsia="Arial" w:hAnsi="Arial" w:cs="Arial" w:hint="default"/>
        <w:b/>
        <w:bCs/>
        <w:w w:val="99"/>
        <w:sz w:val="28"/>
        <w:szCs w:val="28"/>
      </w:rPr>
    </w:lvl>
    <w:lvl w:ilvl="1" w:tplc="0E30C0A2">
      <w:numFmt w:val="bullet"/>
      <w:lvlText w:val=""/>
      <w:lvlJc w:val="left"/>
      <w:pPr>
        <w:ind w:left="1140" w:hanging="361"/>
      </w:pPr>
      <w:rPr>
        <w:rFonts w:ascii="Symbol" w:eastAsia="Symbol" w:hAnsi="Symbol" w:cs="Symbol" w:hint="default"/>
        <w:w w:val="99"/>
        <w:sz w:val="22"/>
        <w:szCs w:val="22"/>
      </w:rPr>
    </w:lvl>
    <w:lvl w:ilvl="2" w:tplc="A3CC3E9E">
      <w:numFmt w:val="bullet"/>
      <w:lvlText w:val="•"/>
      <w:lvlJc w:val="left"/>
      <w:pPr>
        <w:ind w:left="2204" w:hanging="361"/>
      </w:pPr>
      <w:rPr>
        <w:rFonts w:hint="default"/>
      </w:rPr>
    </w:lvl>
    <w:lvl w:ilvl="3" w:tplc="9DFA1FBC">
      <w:numFmt w:val="bullet"/>
      <w:lvlText w:val="•"/>
      <w:lvlJc w:val="left"/>
      <w:pPr>
        <w:ind w:left="3269" w:hanging="361"/>
      </w:pPr>
      <w:rPr>
        <w:rFonts w:hint="default"/>
      </w:rPr>
    </w:lvl>
    <w:lvl w:ilvl="4" w:tplc="EFF42DCE">
      <w:numFmt w:val="bullet"/>
      <w:lvlText w:val="•"/>
      <w:lvlJc w:val="left"/>
      <w:pPr>
        <w:ind w:left="4334" w:hanging="361"/>
      </w:pPr>
      <w:rPr>
        <w:rFonts w:hint="default"/>
      </w:rPr>
    </w:lvl>
    <w:lvl w:ilvl="5" w:tplc="C2FE212C">
      <w:numFmt w:val="bullet"/>
      <w:lvlText w:val="•"/>
      <w:lvlJc w:val="left"/>
      <w:pPr>
        <w:ind w:left="5399" w:hanging="361"/>
      </w:pPr>
      <w:rPr>
        <w:rFonts w:hint="default"/>
      </w:rPr>
    </w:lvl>
    <w:lvl w:ilvl="6" w:tplc="19AA0900">
      <w:numFmt w:val="bullet"/>
      <w:lvlText w:val="•"/>
      <w:lvlJc w:val="left"/>
      <w:pPr>
        <w:ind w:left="6464" w:hanging="361"/>
      </w:pPr>
      <w:rPr>
        <w:rFonts w:hint="default"/>
      </w:rPr>
    </w:lvl>
    <w:lvl w:ilvl="7" w:tplc="8FBEE694">
      <w:numFmt w:val="bullet"/>
      <w:lvlText w:val="•"/>
      <w:lvlJc w:val="left"/>
      <w:pPr>
        <w:ind w:left="7529" w:hanging="361"/>
      </w:pPr>
      <w:rPr>
        <w:rFonts w:hint="default"/>
      </w:rPr>
    </w:lvl>
    <w:lvl w:ilvl="8" w:tplc="3E1289B0">
      <w:numFmt w:val="bullet"/>
      <w:lvlText w:val="•"/>
      <w:lvlJc w:val="left"/>
      <w:pPr>
        <w:ind w:left="8594" w:hanging="361"/>
      </w:pPr>
      <w:rPr>
        <w:rFonts w:hint="default"/>
      </w:rPr>
    </w:lvl>
  </w:abstractNum>
  <w:abstractNum w:abstractNumId="1" w15:restartNumberingAfterBreak="0">
    <w:nsid w:val="32BA58E7"/>
    <w:multiLevelType w:val="multilevel"/>
    <w:tmpl w:val="588097F8"/>
    <w:lvl w:ilvl="0">
      <w:start w:val="5"/>
      <w:numFmt w:val="decimal"/>
      <w:lvlText w:val="%1"/>
      <w:lvlJc w:val="left"/>
      <w:pPr>
        <w:ind w:left="1139" w:hanging="720"/>
        <w:jc w:val="left"/>
      </w:pPr>
      <w:rPr>
        <w:rFonts w:hint="default"/>
      </w:rPr>
    </w:lvl>
    <w:lvl w:ilvl="1">
      <w:start w:val="1"/>
      <w:numFmt w:val="decimal"/>
      <w:lvlText w:val="%1.%2"/>
      <w:lvlJc w:val="left"/>
      <w:pPr>
        <w:ind w:left="1139" w:hanging="720"/>
        <w:jc w:val="left"/>
      </w:pPr>
      <w:rPr>
        <w:rFonts w:ascii="Arial" w:eastAsia="Arial" w:hAnsi="Arial" w:cs="Arial" w:hint="default"/>
        <w:b/>
        <w:bCs/>
        <w:spacing w:val="-14"/>
        <w:w w:val="100"/>
        <w:sz w:val="24"/>
        <w:szCs w:val="24"/>
      </w:rPr>
    </w:lvl>
    <w:lvl w:ilvl="2">
      <w:numFmt w:val="bullet"/>
      <w:lvlText w:val="•"/>
      <w:lvlJc w:val="left"/>
      <w:pPr>
        <w:ind w:left="3056" w:hanging="720"/>
      </w:pPr>
      <w:rPr>
        <w:rFonts w:hint="default"/>
      </w:rPr>
    </w:lvl>
    <w:lvl w:ilvl="3">
      <w:numFmt w:val="bullet"/>
      <w:lvlText w:val="•"/>
      <w:lvlJc w:val="left"/>
      <w:pPr>
        <w:ind w:left="4015" w:hanging="720"/>
      </w:pPr>
      <w:rPr>
        <w:rFonts w:hint="default"/>
      </w:rPr>
    </w:lvl>
    <w:lvl w:ilvl="4">
      <w:numFmt w:val="bullet"/>
      <w:lvlText w:val="•"/>
      <w:lvlJc w:val="left"/>
      <w:pPr>
        <w:ind w:left="4973" w:hanging="720"/>
      </w:pPr>
      <w:rPr>
        <w:rFonts w:hint="default"/>
      </w:rPr>
    </w:lvl>
    <w:lvl w:ilvl="5">
      <w:numFmt w:val="bullet"/>
      <w:lvlText w:val="•"/>
      <w:lvlJc w:val="left"/>
      <w:pPr>
        <w:ind w:left="5932" w:hanging="720"/>
      </w:pPr>
      <w:rPr>
        <w:rFonts w:hint="default"/>
      </w:rPr>
    </w:lvl>
    <w:lvl w:ilvl="6">
      <w:numFmt w:val="bullet"/>
      <w:lvlText w:val="•"/>
      <w:lvlJc w:val="left"/>
      <w:pPr>
        <w:ind w:left="6890" w:hanging="720"/>
      </w:pPr>
      <w:rPr>
        <w:rFonts w:hint="default"/>
      </w:rPr>
    </w:lvl>
    <w:lvl w:ilvl="7">
      <w:numFmt w:val="bullet"/>
      <w:lvlText w:val="•"/>
      <w:lvlJc w:val="left"/>
      <w:pPr>
        <w:ind w:left="7849" w:hanging="720"/>
      </w:pPr>
      <w:rPr>
        <w:rFonts w:hint="default"/>
      </w:rPr>
    </w:lvl>
    <w:lvl w:ilvl="8">
      <w:numFmt w:val="bullet"/>
      <w:lvlText w:val="•"/>
      <w:lvlJc w:val="left"/>
      <w:pPr>
        <w:ind w:left="8807" w:hanging="720"/>
      </w:pPr>
      <w:rPr>
        <w:rFonts w:hint="default"/>
      </w:rPr>
    </w:lvl>
  </w:abstractNum>
  <w:abstractNum w:abstractNumId="2" w15:restartNumberingAfterBreak="0">
    <w:nsid w:val="3C913A31"/>
    <w:multiLevelType w:val="multilevel"/>
    <w:tmpl w:val="99246C7A"/>
    <w:lvl w:ilvl="0">
      <w:start w:val="4"/>
      <w:numFmt w:val="decimal"/>
      <w:lvlText w:val="%1"/>
      <w:lvlJc w:val="left"/>
      <w:pPr>
        <w:ind w:left="1139" w:hanging="720"/>
        <w:jc w:val="left"/>
      </w:pPr>
      <w:rPr>
        <w:rFonts w:hint="default"/>
      </w:rPr>
    </w:lvl>
    <w:lvl w:ilvl="1">
      <w:start w:val="1"/>
      <w:numFmt w:val="decimal"/>
      <w:lvlText w:val="%1.%2"/>
      <w:lvlJc w:val="left"/>
      <w:pPr>
        <w:ind w:left="1139" w:hanging="720"/>
        <w:jc w:val="left"/>
      </w:pPr>
      <w:rPr>
        <w:rFonts w:ascii="Arial" w:eastAsia="Arial" w:hAnsi="Arial" w:cs="Arial" w:hint="default"/>
        <w:b/>
        <w:bCs/>
        <w:spacing w:val="-1"/>
        <w:w w:val="100"/>
        <w:sz w:val="24"/>
        <w:szCs w:val="24"/>
      </w:rPr>
    </w:lvl>
    <w:lvl w:ilvl="2">
      <w:numFmt w:val="bullet"/>
      <w:lvlText w:val=""/>
      <w:lvlJc w:val="left"/>
      <w:pPr>
        <w:ind w:left="1140" w:hanging="361"/>
      </w:pPr>
      <w:rPr>
        <w:rFonts w:ascii="Symbol" w:eastAsia="Symbol" w:hAnsi="Symbol" w:cs="Symbol" w:hint="default"/>
        <w:w w:val="99"/>
        <w:sz w:val="22"/>
        <w:szCs w:val="22"/>
      </w:rPr>
    </w:lvl>
    <w:lvl w:ilvl="3">
      <w:numFmt w:val="bullet"/>
      <w:lvlText w:val="•"/>
      <w:lvlJc w:val="left"/>
      <w:pPr>
        <w:ind w:left="4015" w:hanging="361"/>
      </w:pPr>
      <w:rPr>
        <w:rFonts w:hint="default"/>
      </w:rPr>
    </w:lvl>
    <w:lvl w:ilvl="4">
      <w:numFmt w:val="bullet"/>
      <w:lvlText w:val="•"/>
      <w:lvlJc w:val="left"/>
      <w:pPr>
        <w:ind w:left="4973" w:hanging="361"/>
      </w:pPr>
      <w:rPr>
        <w:rFonts w:hint="default"/>
      </w:rPr>
    </w:lvl>
    <w:lvl w:ilvl="5">
      <w:numFmt w:val="bullet"/>
      <w:lvlText w:val="•"/>
      <w:lvlJc w:val="left"/>
      <w:pPr>
        <w:ind w:left="5932" w:hanging="361"/>
      </w:pPr>
      <w:rPr>
        <w:rFonts w:hint="default"/>
      </w:rPr>
    </w:lvl>
    <w:lvl w:ilvl="6">
      <w:numFmt w:val="bullet"/>
      <w:lvlText w:val="•"/>
      <w:lvlJc w:val="left"/>
      <w:pPr>
        <w:ind w:left="6890" w:hanging="361"/>
      </w:pPr>
      <w:rPr>
        <w:rFonts w:hint="default"/>
      </w:rPr>
    </w:lvl>
    <w:lvl w:ilvl="7">
      <w:numFmt w:val="bullet"/>
      <w:lvlText w:val="•"/>
      <w:lvlJc w:val="left"/>
      <w:pPr>
        <w:ind w:left="7849" w:hanging="361"/>
      </w:pPr>
      <w:rPr>
        <w:rFonts w:hint="default"/>
      </w:rPr>
    </w:lvl>
    <w:lvl w:ilvl="8">
      <w:numFmt w:val="bullet"/>
      <w:lvlText w:val="•"/>
      <w:lvlJc w:val="left"/>
      <w:pPr>
        <w:ind w:left="8807" w:hanging="361"/>
      </w:pPr>
      <w:rPr>
        <w:rFonts w:hint="default"/>
      </w:rPr>
    </w:lvl>
  </w:abstractNum>
  <w:abstractNum w:abstractNumId="3" w15:restartNumberingAfterBreak="0">
    <w:nsid w:val="75F800B7"/>
    <w:multiLevelType w:val="multilevel"/>
    <w:tmpl w:val="26CCD4F6"/>
    <w:lvl w:ilvl="0">
      <w:start w:val="4"/>
      <w:numFmt w:val="decimal"/>
      <w:lvlText w:val="%1"/>
      <w:lvlJc w:val="left"/>
      <w:pPr>
        <w:ind w:left="1139" w:hanging="720"/>
        <w:jc w:val="left"/>
      </w:pPr>
      <w:rPr>
        <w:rFonts w:hint="default"/>
      </w:rPr>
    </w:lvl>
    <w:lvl w:ilvl="1">
      <w:start w:val="7"/>
      <w:numFmt w:val="decimal"/>
      <w:lvlText w:val="%1.%2"/>
      <w:lvlJc w:val="left"/>
      <w:pPr>
        <w:ind w:left="1139" w:hanging="720"/>
        <w:jc w:val="left"/>
      </w:pPr>
      <w:rPr>
        <w:rFonts w:ascii="Arial" w:eastAsia="Arial" w:hAnsi="Arial" w:cs="Arial" w:hint="default"/>
        <w:b/>
        <w:bCs/>
        <w:spacing w:val="-14"/>
        <w:w w:val="100"/>
        <w:sz w:val="24"/>
        <w:szCs w:val="24"/>
      </w:rPr>
    </w:lvl>
    <w:lvl w:ilvl="2">
      <w:numFmt w:val="bullet"/>
      <w:lvlText w:val="•"/>
      <w:lvlJc w:val="left"/>
      <w:pPr>
        <w:ind w:left="3056" w:hanging="720"/>
      </w:pPr>
      <w:rPr>
        <w:rFonts w:hint="default"/>
      </w:rPr>
    </w:lvl>
    <w:lvl w:ilvl="3">
      <w:numFmt w:val="bullet"/>
      <w:lvlText w:val="•"/>
      <w:lvlJc w:val="left"/>
      <w:pPr>
        <w:ind w:left="4015" w:hanging="720"/>
      </w:pPr>
      <w:rPr>
        <w:rFonts w:hint="default"/>
      </w:rPr>
    </w:lvl>
    <w:lvl w:ilvl="4">
      <w:numFmt w:val="bullet"/>
      <w:lvlText w:val="•"/>
      <w:lvlJc w:val="left"/>
      <w:pPr>
        <w:ind w:left="4973" w:hanging="720"/>
      </w:pPr>
      <w:rPr>
        <w:rFonts w:hint="default"/>
      </w:rPr>
    </w:lvl>
    <w:lvl w:ilvl="5">
      <w:numFmt w:val="bullet"/>
      <w:lvlText w:val="•"/>
      <w:lvlJc w:val="left"/>
      <w:pPr>
        <w:ind w:left="5932" w:hanging="720"/>
      </w:pPr>
      <w:rPr>
        <w:rFonts w:hint="default"/>
      </w:rPr>
    </w:lvl>
    <w:lvl w:ilvl="6">
      <w:numFmt w:val="bullet"/>
      <w:lvlText w:val="•"/>
      <w:lvlJc w:val="left"/>
      <w:pPr>
        <w:ind w:left="6890" w:hanging="720"/>
      </w:pPr>
      <w:rPr>
        <w:rFonts w:hint="default"/>
      </w:rPr>
    </w:lvl>
    <w:lvl w:ilvl="7">
      <w:numFmt w:val="bullet"/>
      <w:lvlText w:val="•"/>
      <w:lvlJc w:val="left"/>
      <w:pPr>
        <w:ind w:left="7849" w:hanging="720"/>
      </w:pPr>
      <w:rPr>
        <w:rFonts w:hint="default"/>
      </w:rPr>
    </w:lvl>
    <w:lvl w:ilvl="8">
      <w:numFmt w:val="bullet"/>
      <w:lvlText w:val="•"/>
      <w:lvlJc w:val="left"/>
      <w:pPr>
        <w:ind w:left="8807"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E0"/>
    <w:rsid w:val="00025C5E"/>
    <w:rsid w:val="00044514"/>
    <w:rsid w:val="000C37F3"/>
    <w:rsid w:val="00105B63"/>
    <w:rsid w:val="001311F8"/>
    <w:rsid w:val="001439E0"/>
    <w:rsid w:val="001556BF"/>
    <w:rsid w:val="00180E73"/>
    <w:rsid w:val="001E47C4"/>
    <w:rsid w:val="00223235"/>
    <w:rsid w:val="00311740"/>
    <w:rsid w:val="00320255"/>
    <w:rsid w:val="003B2B3A"/>
    <w:rsid w:val="003C1C06"/>
    <w:rsid w:val="00405E49"/>
    <w:rsid w:val="004916D9"/>
    <w:rsid w:val="00567B25"/>
    <w:rsid w:val="005B7C8E"/>
    <w:rsid w:val="005D7D59"/>
    <w:rsid w:val="00625673"/>
    <w:rsid w:val="00645D4B"/>
    <w:rsid w:val="00683F86"/>
    <w:rsid w:val="00685032"/>
    <w:rsid w:val="006A34FB"/>
    <w:rsid w:val="006C145A"/>
    <w:rsid w:val="007C1535"/>
    <w:rsid w:val="00885087"/>
    <w:rsid w:val="008A23E0"/>
    <w:rsid w:val="009243C8"/>
    <w:rsid w:val="00955226"/>
    <w:rsid w:val="009E2156"/>
    <w:rsid w:val="00A30094"/>
    <w:rsid w:val="00A8194F"/>
    <w:rsid w:val="00B26C5F"/>
    <w:rsid w:val="00D079EE"/>
    <w:rsid w:val="00DB5457"/>
    <w:rsid w:val="00E21C7D"/>
    <w:rsid w:val="00EC62B5"/>
    <w:rsid w:val="00ED3023"/>
    <w:rsid w:val="00ED6F76"/>
    <w:rsid w:val="00EE1EF7"/>
    <w:rsid w:val="00F126A6"/>
    <w:rsid w:val="00F325B2"/>
    <w:rsid w:val="00F41DD5"/>
    <w:rsid w:val="00F44C44"/>
    <w:rsid w:val="00F844F2"/>
    <w:rsid w:val="00F86F69"/>
    <w:rsid w:val="00FB7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D4B7"/>
  <w15:docId w15:val="{4270814E-18FA-41DD-A106-583A045A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1"/>
      <w:ind w:left="851" w:hanging="431"/>
      <w:outlineLvl w:val="0"/>
    </w:pPr>
    <w:rPr>
      <w:b/>
      <w:bCs/>
      <w:sz w:val="28"/>
      <w:szCs w:val="28"/>
    </w:rPr>
  </w:style>
  <w:style w:type="paragraph" w:styleId="Heading2">
    <w:name w:val="heading 2"/>
    <w:basedOn w:val="Normal"/>
    <w:uiPriority w:val="1"/>
    <w:qFormat/>
    <w:pPr>
      <w:ind w:left="1139" w:hanging="719"/>
      <w:outlineLvl w:val="1"/>
    </w:pPr>
    <w:rPr>
      <w:b/>
      <w:bCs/>
      <w:sz w:val="24"/>
      <w:szCs w:val="24"/>
    </w:rPr>
  </w:style>
  <w:style w:type="paragraph" w:styleId="Heading3">
    <w:name w:val="heading 3"/>
    <w:basedOn w:val="Normal"/>
    <w:uiPriority w:val="1"/>
    <w:qFormat/>
    <w:pPr>
      <w:spacing w:before="200"/>
      <w:ind w:left="4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20"/>
      <w:jc w:val="both"/>
    </w:pPr>
  </w:style>
  <w:style w:type="paragraph" w:styleId="ListParagraph">
    <w:name w:val="List Paragraph"/>
    <w:basedOn w:val="Normal"/>
    <w:uiPriority w:val="1"/>
    <w:qFormat/>
    <w:pPr>
      <w:ind w:left="1139"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23E0"/>
    <w:pPr>
      <w:tabs>
        <w:tab w:val="center" w:pos="4513"/>
        <w:tab w:val="right" w:pos="9026"/>
      </w:tabs>
    </w:pPr>
  </w:style>
  <w:style w:type="character" w:customStyle="1" w:styleId="HeaderChar">
    <w:name w:val="Header Char"/>
    <w:basedOn w:val="DefaultParagraphFont"/>
    <w:link w:val="Header"/>
    <w:uiPriority w:val="99"/>
    <w:rsid w:val="008A23E0"/>
    <w:rPr>
      <w:rFonts w:ascii="Arial" w:eastAsia="Arial" w:hAnsi="Arial" w:cs="Arial"/>
    </w:rPr>
  </w:style>
  <w:style w:type="paragraph" w:styleId="Footer">
    <w:name w:val="footer"/>
    <w:basedOn w:val="Normal"/>
    <w:link w:val="FooterChar"/>
    <w:unhideWhenUsed/>
    <w:rsid w:val="008A23E0"/>
    <w:pPr>
      <w:tabs>
        <w:tab w:val="center" w:pos="4513"/>
        <w:tab w:val="right" w:pos="9026"/>
      </w:tabs>
    </w:pPr>
  </w:style>
  <w:style w:type="character" w:customStyle="1" w:styleId="FooterChar">
    <w:name w:val="Footer Char"/>
    <w:basedOn w:val="DefaultParagraphFont"/>
    <w:link w:val="Footer"/>
    <w:rsid w:val="008A23E0"/>
    <w:rPr>
      <w:rFonts w:ascii="Arial" w:eastAsia="Arial" w:hAnsi="Arial" w:cs="Arial"/>
    </w:rPr>
  </w:style>
  <w:style w:type="character" w:styleId="CommentReference">
    <w:name w:val="annotation reference"/>
    <w:basedOn w:val="DefaultParagraphFont"/>
    <w:uiPriority w:val="99"/>
    <w:semiHidden/>
    <w:unhideWhenUsed/>
    <w:rsid w:val="000C37F3"/>
    <w:rPr>
      <w:sz w:val="16"/>
      <w:szCs w:val="16"/>
    </w:rPr>
  </w:style>
  <w:style w:type="paragraph" w:styleId="CommentText">
    <w:name w:val="annotation text"/>
    <w:basedOn w:val="Normal"/>
    <w:link w:val="CommentTextChar"/>
    <w:uiPriority w:val="99"/>
    <w:unhideWhenUsed/>
    <w:rsid w:val="000C37F3"/>
    <w:rPr>
      <w:sz w:val="20"/>
      <w:szCs w:val="20"/>
    </w:rPr>
  </w:style>
  <w:style w:type="character" w:customStyle="1" w:styleId="CommentTextChar">
    <w:name w:val="Comment Text Char"/>
    <w:basedOn w:val="DefaultParagraphFont"/>
    <w:link w:val="CommentText"/>
    <w:uiPriority w:val="99"/>
    <w:rsid w:val="000C37F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C37F3"/>
    <w:rPr>
      <w:b/>
      <w:bCs/>
    </w:rPr>
  </w:style>
  <w:style w:type="character" w:customStyle="1" w:styleId="CommentSubjectChar">
    <w:name w:val="Comment Subject Char"/>
    <w:basedOn w:val="CommentTextChar"/>
    <w:link w:val="CommentSubject"/>
    <w:uiPriority w:val="99"/>
    <w:semiHidden/>
    <w:rsid w:val="000C37F3"/>
    <w:rPr>
      <w:rFonts w:ascii="Arial" w:eastAsia="Arial" w:hAnsi="Arial" w:cs="Arial"/>
      <w:b/>
      <w:bCs/>
      <w:sz w:val="20"/>
      <w:szCs w:val="20"/>
    </w:rPr>
  </w:style>
  <w:style w:type="paragraph" w:styleId="BalloonText">
    <w:name w:val="Balloon Text"/>
    <w:basedOn w:val="Normal"/>
    <w:link w:val="BalloonTextChar"/>
    <w:uiPriority w:val="99"/>
    <w:semiHidden/>
    <w:unhideWhenUsed/>
    <w:rsid w:val="000C3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F3"/>
    <w:rPr>
      <w:rFonts w:ascii="Segoe UI" w:eastAsia="Arial" w:hAnsi="Segoe UI" w:cs="Segoe UI"/>
      <w:sz w:val="18"/>
      <w:szCs w:val="18"/>
    </w:rPr>
  </w:style>
  <w:style w:type="paragraph" w:customStyle="1" w:styleId="Default">
    <w:name w:val="Default"/>
    <w:rsid w:val="00025C5E"/>
    <w:pPr>
      <w:widowControl/>
      <w:adjustRightInd w:val="0"/>
    </w:pPr>
    <w:rPr>
      <w:rFonts w:ascii="Cambria" w:hAnsi="Cambria" w:cs="Cambria"/>
      <w:color w:val="000000"/>
      <w:sz w:val="24"/>
      <w:szCs w:val="24"/>
      <w:lang w:val="en-AU"/>
    </w:rPr>
  </w:style>
  <w:style w:type="character" w:styleId="Hyperlink">
    <w:name w:val="Hyperlink"/>
    <w:basedOn w:val="DefaultParagraphFont"/>
    <w:uiPriority w:val="99"/>
    <w:unhideWhenUsed/>
    <w:rsid w:val="00B26C5F"/>
    <w:rPr>
      <w:color w:val="0000FF"/>
      <w:u w:val="single"/>
    </w:rPr>
  </w:style>
  <w:style w:type="table" w:styleId="TableGrid">
    <w:name w:val="Table Grid"/>
    <w:basedOn w:val="TableNormal"/>
    <w:uiPriority w:val="59"/>
    <w:rsid w:val="00B26C5F"/>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ga.gov.au/reporting" TargetMode="Externa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ga.gov.au/reporting-problems" TargetMode="External"/><Relationship Id="rId29" Type="http://schemas.openxmlformats.org/officeDocument/2006/relationships/image" Target="media/image9.png"/><Relationship Id="rId41" Type="http://schemas.openxmlformats.org/officeDocument/2006/relationships/hyperlink" Target="http://www.msd-australia.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hyperlink" Target="mailto:SM_APR@INCResearch.com"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documentManagement>
</p:properties>
</file>

<file path=customXml/itemProps1.xml><?xml version="1.0" encoding="utf-8"?>
<ds:datastoreItem xmlns:ds="http://schemas.openxmlformats.org/officeDocument/2006/customXml" ds:itemID="{BD34C943-7317-491D-9DE9-B118105CB27A}">
  <ds:schemaRefs>
    <ds:schemaRef ds:uri="http://schemas.microsoft.com/sharepoint/v3/contenttype/forms"/>
  </ds:schemaRefs>
</ds:datastoreItem>
</file>

<file path=customXml/itemProps2.xml><?xml version="1.0" encoding="utf-8"?>
<ds:datastoreItem xmlns:ds="http://schemas.openxmlformats.org/officeDocument/2006/customXml" ds:itemID="{F0B00325-7A9C-46DC-A946-FB5546671F16}">
  <ds:schemaRefs>
    <ds:schemaRef ds:uri="http://schemas.microsoft.com/sharepoint/events"/>
  </ds:schemaRefs>
</ds:datastoreItem>
</file>

<file path=customXml/itemProps3.xml><?xml version="1.0" encoding="utf-8"?>
<ds:datastoreItem xmlns:ds="http://schemas.openxmlformats.org/officeDocument/2006/customXml" ds:itemID="{054968EA-26B5-42CB-82EE-AFC37951F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CD8E1-8946-4E30-9693-72C4096DD75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9F4A647-CD2D-4B10-9A67-BC998CE530B6}">
  <ds:schemaRefs>
    <ds:schemaRef ds:uri="d353fcf7-205b-40c5-a3af-4cf3a5e9c3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b20a44-376d-4c97-8d2b-88532430f6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6572</Words>
  <Characters>38190</Characters>
  <Application>Microsoft Office Word</Application>
  <DocSecurity>0</DocSecurity>
  <Lines>1005</Lines>
  <Paragraphs>588</Paragraphs>
  <ScaleCrop>false</ScaleCrop>
  <HeadingPairs>
    <vt:vector size="2" baseType="variant">
      <vt:variant>
        <vt:lpstr>Title</vt:lpstr>
      </vt:variant>
      <vt:variant>
        <vt:i4>1</vt:i4>
      </vt:variant>
    </vt:vector>
  </HeadingPairs>
  <TitlesOfParts>
    <vt:vector size="1" baseType="lpstr">
      <vt:lpstr>Microsoft Word - pi-clean-pifeltro.docx</vt:lpstr>
    </vt:vector>
  </TitlesOfParts>
  <Company/>
  <LinksUpToDate>false</LinksUpToDate>
  <CharactersWithSpaces>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pi-clean-pifeltro.docx</dc:title>
  <dc:creator>keagleto</dc:creator>
  <dcterms:created xsi:type="dcterms:W3CDTF">2020-03-16T03:50:00Z</dcterms:created>
  <dcterms:modified xsi:type="dcterms:W3CDTF">2020-03-16T04:23:00Z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LastSaved">
    <vt:filetime>2019-01-08T00:00:00Z</vt:filetime>
  </property>
  <property fmtid="{D5CDD505-2E9C-101B-9397-08002B2CF9AE}" pid="4" name="docIndexRef">
    <vt:lpwstr>9ad0b774-f40c-4f60-8a83-2ff74574fb7f</vt:lpwstr>
  </property>
  <property fmtid="{D5CDD505-2E9C-101B-9397-08002B2CF9AE}" pid="5" name="bjSaver">
    <vt:lpwstr>zgRl46JmsaZ7V/Etl6s1OJBfBd8FrWPs</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bjDocumentSecurityLabel">
    <vt:lpwstr>Not Classified</vt:lpwstr>
  </property>
  <property fmtid="{D5CDD505-2E9C-101B-9397-08002B2CF9AE}" pid="9" name="ContentTypeId">
    <vt:lpwstr>0x01010052E7E68ACC01DE46BAB8D5F65BAC05EC</vt:lpwstr>
  </property>
  <property fmtid="{D5CDD505-2E9C-101B-9397-08002B2CF9AE}" pid="10" name="_AdHocReviewCycleID">
    <vt:i4>-646029207</vt:i4>
  </property>
  <property fmtid="{D5CDD505-2E9C-101B-9397-08002B2CF9AE}" pid="11" name="_NewReviewCycle">
    <vt:lpwstr/>
  </property>
  <property fmtid="{D5CDD505-2E9C-101B-9397-08002B2CF9AE}" pid="12" name="_EmailSubject">
    <vt:lpwstr>re Draft AusPAR for PIFELTRO and DELSTRIGO - Doravirine and FDC - Merck Sharp &amp; Dohme (Australia) Pty Ltd - PM-2017-04580-1-2 and PM-2017-04581-1-2   [SEC=OFFICIAL]</vt:lpwstr>
  </property>
  <property fmtid="{D5CDD505-2E9C-101B-9397-08002B2CF9AE}" pid="13" name="_AuthorEmail">
    <vt:lpwstr>dane.matthews@merck.com</vt:lpwstr>
  </property>
  <property fmtid="{D5CDD505-2E9C-101B-9397-08002B2CF9AE}" pid="14" name="_AuthorEmailDisplayName">
    <vt:lpwstr>Matthews, Dane</vt:lpwstr>
  </property>
  <property fmtid="{D5CDD505-2E9C-101B-9397-08002B2CF9AE}" pid="15" name="_ReviewingToolsShownOnce">
    <vt:lpwstr/>
  </property>
</Properties>
</file>