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6ECA2" w14:textId="77777777" w:rsidR="004F76C8" w:rsidRPr="00375DF3" w:rsidRDefault="004F76C8" w:rsidP="004F76C8">
      <w:pPr>
        <w:tabs>
          <w:tab w:val="left" w:pos="284"/>
        </w:tabs>
        <w:spacing w:after="480"/>
        <w:rPr>
          <w:rFonts w:asciiTheme="majorHAnsi" w:hAnsiTheme="majorHAnsi"/>
        </w:rPr>
      </w:pPr>
      <w:r>
        <w:rPr>
          <w:noProof/>
          <w:lang w:eastAsia="en-AU"/>
        </w:rPr>
        <mc:AlternateContent>
          <mc:Choice Requires="wps">
            <w:drawing>
              <wp:inline distT="0" distB="0" distL="0" distR="0" wp14:anchorId="32310454" wp14:editId="1D7FDF90">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8129B" w14:textId="77777777" w:rsidR="00DF7236" w:rsidRPr="00BE2A26" w:rsidRDefault="00DF7236" w:rsidP="004F76C8">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2310454"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edQIAAP4E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xv/qedQIAAP4EAAAOAAAAAAAAAAAA&#10;AAAAAC4CAABkcnMvZTJvRG9jLnhtbFBLAQItABQABgAIAAAAIQBj9U4M2QAAAAMBAAAPAAAAAAAA&#10;AAAAAAAAAM8EAABkcnMvZG93bnJldi54bWxQSwUGAAAAAAQABADzAAAA1QUAAAAA&#10;" stroked="f">
                <v:textbox inset="0,0,0,0">
                  <w:txbxContent>
                    <w:p w14:paraId="6348129B" w14:textId="77777777" w:rsidR="00DF7236" w:rsidRPr="00BE2A26" w:rsidRDefault="00DF7236" w:rsidP="004F76C8">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3" w:history="1">
        <w:r w:rsidRPr="00375DF3">
          <w:rPr>
            <w:rStyle w:val="Hyperlink"/>
            <w:rFonts w:asciiTheme="majorHAnsi" w:hAnsiTheme="majorHAnsi"/>
          </w:rPr>
          <w:t>www.tga.gov.au/reporting-problems</w:t>
        </w:r>
      </w:hyperlink>
      <w:r w:rsidRPr="00375DF3">
        <w:rPr>
          <w:rFonts w:asciiTheme="majorHAnsi" w:hAnsiTheme="majorHAnsi"/>
        </w:rPr>
        <w:t>.</w:t>
      </w:r>
    </w:p>
    <w:p w14:paraId="76823392" w14:textId="77777777" w:rsidR="00935DC2" w:rsidRPr="008246E7" w:rsidRDefault="003D3FCB" w:rsidP="008246E7">
      <w:pPr>
        <w:pStyle w:val="Heading1"/>
        <w:numPr>
          <w:ilvl w:val="0"/>
          <w:numId w:val="0"/>
        </w:numPr>
        <w:jc w:val="center"/>
        <w:rPr>
          <w:rFonts w:eastAsia="SimSun" w:cs="Arial"/>
        </w:rPr>
      </w:pPr>
      <w:r w:rsidRPr="008246E7">
        <w:rPr>
          <w:rFonts w:eastAsia="SimSun" w:cs="Arial"/>
        </w:rPr>
        <w:t>Australian product information</w:t>
      </w:r>
    </w:p>
    <w:p w14:paraId="7C015AAD" w14:textId="43E6D14E" w:rsidR="008246E7" w:rsidRPr="00B836DC" w:rsidRDefault="00B836DC" w:rsidP="008246E7">
      <w:pPr>
        <w:pStyle w:val="Heading1"/>
        <w:numPr>
          <w:ilvl w:val="0"/>
          <w:numId w:val="0"/>
        </w:numPr>
        <w:jc w:val="center"/>
        <w:rPr>
          <w:rFonts w:eastAsia="SimSun" w:cs="Arial"/>
          <w:lang w:val="en-GB"/>
        </w:rPr>
      </w:pPr>
      <w:r>
        <w:rPr>
          <w:rFonts w:eastAsia="SimSun" w:cs="Arial"/>
        </w:rPr>
        <w:t>DELSTRIGO</w:t>
      </w:r>
      <w:r>
        <w:rPr>
          <w:rFonts w:eastAsia="SimSun" w:cs="Arial"/>
          <w:vertAlign w:val="superscript"/>
          <w:lang w:val="en-GB"/>
        </w:rPr>
        <w:t>®</w:t>
      </w:r>
      <w:r>
        <w:rPr>
          <w:rFonts w:eastAsia="SimSun" w:cs="Arial"/>
          <w:lang w:val="en-GB"/>
        </w:rPr>
        <w:t xml:space="preserve"> 100/300/300</w:t>
      </w:r>
    </w:p>
    <w:p w14:paraId="5B009BC0" w14:textId="190676C9" w:rsidR="00935DC2" w:rsidRDefault="008246E7" w:rsidP="008246E7">
      <w:pPr>
        <w:pStyle w:val="Heading1"/>
        <w:numPr>
          <w:ilvl w:val="0"/>
          <w:numId w:val="0"/>
        </w:numPr>
        <w:jc w:val="center"/>
        <w:rPr>
          <w:rFonts w:eastAsia="SimSun" w:cs="Arial"/>
          <w:caps w:val="0"/>
        </w:rPr>
      </w:pPr>
      <w:r>
        <w:rPr>
          <w:rFonts w:eastAsia="SimSun" w:cs="Arial"/>
        </w:rPr>
        <w:t>(</w:t>
      </w:r>
      <w:r w:rsidR="00AE527C">
        <w:rPr>
          <w:rFonts w:eastAsia="SimSun" w:cs="Arial"/>
          <w:caps w:val="0"/>
        </w:rPr>
        <w:t>doravirine</w:t>
      </w:r>
      <w:r w:rsidR="00693CC2" w:rsidRPr="00693CC2">
        <w:rPr>
          <w:rFonts w:eastAsia="SimSun" w:cs="Arial"/>
          <w:caps w:val="0"/>
        </w:rPr>
        <w:t>, lamivudine, and tenofovir disoproxil fumarate</w:t>
      </w:r>
      <w:r w:rsidR="003D3FCB" w:rsidRPr="008246E7">
        <w:rPr>
          <w:rFonts w:eastAsia="SimSun" w:cs="Arial"/>
        </w:rPr>
        <w:t>)</w:t>
      </w:r>
      <w:r>
        <w:rPr>
          <w:rFonts w:eastAsia="SimSun" w:cs="Arial"/>
        </w:rPr>
        <w:br/>
      </w:r>
      <w:r w:rsidR="00AE527C">
        <w:rPr>
          <w:rFonts w:eastAsia="SimSun" w:cs="Arial"/>
          <w:caps w:val="0"/>
        </w:rPr>
        <w:t>Tablets</w:t>
      </w:r>
    </w:p>
    <w:p w14:paraId="7356AAB5" w14:textId="77777777" w:rsidR="00162188" w:rsidRPr="008246E7" w:rsidRDefault="00162188" w:rsidP="00162188"/>
    <w:p w14:paraId="41640D29" w14:textId="77777777" w:rsidR="00935DC2" w:rsidRPr="008246E7" w:rsidRDefault="003D3FCB" w:rsidP="00446963">
      <w:pPr>
        <w:pStyle w:val="Heading1"/>
        <w:rPr>
          <w:rFonts w:cs="Arial"/>
        </w:rPr>
      </w:pPr>
      <w:r w:rsidRPr="008246E7">
        <w:rPr>
          <w:rFonts w:cs="Arial"/>
        </w:rPr>
        <w:t>Name of the medicine</w:t>
      </w:r>
    </w:p>
    <w:p w14:paraId="3659B3C3" w14:textId="17EC0C1C" w:rsidR="00935DC2" w:rsidRDefault="00693CC2" w:rsidP="008246E7">
      <w:pPr>
        <w:rPr>
          <w:rFonts w:cs="Arial"/>
        </w:rPr>
      </w:pPr>
      <w:r>
        <w:rPr>
          <w:rFonts w:cs="Arial"/>
        </w:rPr>
        <w:t>d</w:t>
      </w:r>
      <w:r w:rsidR="00AE527C">
        <w:rPr>
          <w:rFonts w:cs="Arial"/>
        </w:rPr>
        <w:t>oravirine</w:t>
      </w:r>
    </w:p>
    <w:p w14:paraId="4A6C8569" w14:textId="72D527FA" w:rsidR="00693CC2" w:rsidRDefault="00693CC2" w:rsidP="008246E7">
      <w:pPr>
        <w:rPr>
          <w:rFonts w:cs="Arial"/>
        </w:rPr>
      </w:pPr>
      <w:r>
        <w:rPr>
          <w:rFonts w:cs="Arial"/>
        </w:rPr>
        <w:t>lamivudine</w:t>
      </w:r>
    </w:p>
    <w:p w14:paraId="7EE719F8" w14:textId="6F59AD97" w:rsidR="00693CC2" w:rsidRPr="008246E7" w:rsidRDefault="00693CC2" w:rsidP="008246E7">
      <w:pPr>
        <w:rPr>
          <w:rFonts w:cs="Arial"/>
        </w:rPr>
      </w:pPr>
      <w:r>
        <w:rPr>
          <w:rFonts w:cs="Arial"/>
        </w:rPr>
        <w:t>tenofovir disoproxil fumarate</w:t>
      </w:r>
    </w:p>
    <w:p w14:paraId="2A521FD3" w14:textId="77777777" w:rsidR="00935DC2" w:rsidRPr="008246E7" w:rsidRDefault="003D3FCB" w:rsidP="00446963">
      <w:pPr>
        <w:pStyle w:val="Heading1"/>
        <w:rPr>
          <w:rFonts w:cs="Arial"/>
        </w:rPr>
      </w:pPr>
      <w:r w:rsidRPr="008246E7">
        <w:rPr>
          <w:rFonts w:cs="Arial"/>
        </w:rPr>
        <w:t>Qualitative and quantitative composition</w:t>
      </w:r>
    </w:p>
    <w:p w14:paraId="62C78905" w14:textId="24340592" w:rsidR="00D754F0" w:rsidRDefault="00B836DC" w:rsidP="00B10595">
      <w:pPr>
        <w:rPr>
          <w:rFonts w:cs="Arial"/>
        </w:rPr>
      </w:pPr>
      <w:r>
        <w:rPr>
          <w:rFonts w:cs="Arial"/>
        </w:rPr>
        <w:t>DELSTRIGO</w:t>
      </w:r>
      <w:r w:rsidR="008F5135">
        <w:rPr>
          <w:rFonts w:cs="Arial"/>
        </w:rPr>
        <w:t>®</w:t>
      </w:r>
      <w:r w:rsidR="00D754F0" w:rsidRPr="00D754F0">
        <w:rPr>
          <w:rFonts w:cs="Arial"/>
        </w:rPr>
        <w:t xml:space="preserve"> is a fixed-dose combination, film-coated tablet containing doravirine, lamivudine, and tenofovir disoproxil fumarate (tenofovir DF) for oral administration.</w:t>
      </w:r>
    </w:p>
    <w:p w14:paraId="1B1A5D7B" w14:textId="77777777" w:rsidR="007150F6" w:rsidRPr="007150F6" w:rsidRDefault="007150F6" w:rsidP="007150F6">
      <w:pPr>
        <w:rPr>
          <w:u w:val="single"/>
        </w:rPr>
      </w:pPr>
      <w:r w:rsidRPr="007150F6">
        <w:rPr>
          <w:u w:val="single"/>
        </w:rPr>
        <w:t>Active Ingredient</w:t>
      </w:r>
    </w:p>
    <w:p w14:paraId="5D80E923" w14:textId="77777777" w:rsidR="007150F6" w:rsidRPr="00D94FBD" w:rsidRDefault="007150F6" w:rsidP="007150F6">
      <w:r w:rsidRPr="00CB6390">
        <w:t>Each tablet contains 100 mg of doravirine, 300 mg of lamivudine, and 300 mg of tenofovir DF (equivalent to 245 mg of tenofovir disoproxil) as active ingredients.</w:t>
      </w:r>
      <w:r w:rsidRPr="006617A3">
        <w:t xml:space="preserve"> </w:t>
      </w:r>
    </w:p>
    <w:p w14:paraId="153AD126" w14:textId="2D443A51" w:rsidR="007150F6" w:rsidRPr="007150F6" w:rsidRDefault="007150F6" w:rsidP="00B10595">
      <w:pPr>
        <w:rPr>
          <w:rFonts w:cs="Arial"/>
          <w:u w:val="single"/>
        </w:rPr>
      </w:pPr>
      <w:r w:rsidRPr="007150F6">
        <w:rPr>
          <w:rFonts w:cs="Arial"/>
          <w:u w:val="single"/>
        </w:rPr>
        <w:t>Inactive Ingredients (List of Excipients)</w:t>
      </w:r>
    </w:p>
    <w:p w14:paraId="0116FFB2" w14:textId="1BE072BD" w:rsidR="00B10595" w:rsidRPr="00B10595" w:rsidRDefault="00B10595" w:rsidP="00B10595">
      <w:pPr>
        <w:rPr>
          <w:rFonts w:cs="Arial"/>
        </w:rPr>
      </w:pPr>
      <w:r w:rsidRPr="00B10595">
        <w:rPr>
          <w:rFonts w:cs="Arial"/>
        </w:rPr>
        <w:t xml:space="preserve">List of excipients with known effect: </w:t>
      </w:r>
    </w:p>
    <w:p w14:paraId="6A5C0469" w14:textId="77777777" w:rsidR="00B10595" w:rsidRPr="00B10595" w:rsidRDefault="00B10595" w:rsidP="00B10595">
      <w:pPr>
        <w:numPr>
          <w:ilvl w:val="0"/>
          <w:numId w:val="15"/>
        </w:numPr>
        <w:rPr>
          <w:rFonts w:cs="Arial"/>
        </w:rPr>
      </w:pPr>
      <w:r w:rsidRPr="00B10595">
        <w:rPr>
          <w:rFonts w:cs="Arial"/>
        </w:rPr>
        <w:t>lactose (as monohydrate).</w:t>
      </w:r>
    </w:p>
    <w:p w14:paraId="7D95D207" w14:textId="46C38F57" w:rsidR="000975E0" w:rsidRDefault="000975E0" w:rsidP="00261C3B">
      <w:pPr>
        <w:rPr>
          <w:rFonts w:cs="Arial"/>
        </w:rPr>
      </w:pPr>
      <w:r w:rsidRPr="000975E0">
        <w:rPr>
          <w:rFonts w:cs="Arial"/>
        </w:rPr>
        <w:t xml:space="preserve">For the full list of excipients, see </w:t>
      </w:r>
      <w:r w:rsidR="00AD29E6">
        <w:rPr>
          <w:rFonts w:cs="Arial"/>
        </w:rPr>
        <w:t>s</w:t>
      </w:r>
      <w:r w:rsidRPr="00AD29E6">
        <w:rPr>
          <w:rFonts w:cs="Arial"/>
        </w:rPr>
        <w:t>ection 6.1 List of excipients.</w:t>
      </w:r>
    </w:p>
    <w:p w14:paraId="62EF204F" w14:textId="77777777" w:rsidR="000767BF" w:rsidRDefault="000767BF" w:rsidP="000767BF">
      <w:r>
        <w:t xml:space="preserve">Doravirine </w:t>
      </w:r>
      <w:r>
        <w:rPr>
          <w:iCs/>
        </w:rPr>
        <w:t>is practically insoluble in water.</w:t>
      </w:r>
    </w:p>
    <w:p w14:paraId="0AB7666C" w14:textId="77777777" w:rsidR="000767BF" w:rsidRDefault="000767BF" w:rsidP="000767BF">
      <w:r w:rsidRPr="00D94FBD">
        <w:t>Lamivudine is soluble in water.</w:t>
      </w:r>
    </w:p>
    <w:p w14:paraId="6968997F" w14:textId="4F605001" w:rsidR="000767BF" w:rsidRDefault="000767BF" w:rsidP="00261C3B">
      <w:pPr>
        <w:rPr>
          <w:rFonts w:cs="Arial"/>
        </w:rPr>
      </w:pPr>
      <w:r>
        <w:t>Tenofovir DF is slightly soluble in water.</w:t>
      </w:r>
    </w:p>
    <w:p w14:paraId="6EC076E7" w14:textId="77777777" w:rsidR="00935DC2" w:rsidRDefault="003D3FCB" w:rsidP="008246E7">
      <w:pPr>
        <w:pStyle w:val="Heading1"/>
        <w:rPr>
          <w:rFonts w:cs="Arial"/>
        </w:rPr>
      </w:pPr>
      <w:r w:rsidRPr="008246E7">
        <w:rPr>
          <w:rFonts w:cs="Arial"/>
        </w:rPr>
        <w:t>Pharmaceutical form</w:t>
      </w:r>
    </w:p>
    <w:p w14:paraId="0B1F1633" w14:textId="3796297C" w:rsidR="00D754F0" w:rsidRDefault="00B836DC" w:rsidP="00D754F0">
      <w:r>
        <w:t>DELSTRIGO</w:t>
      </w:r>
      <w:r w:rsidR="000767BF">
        <w:t xml:space="preserve"> (doravirine</w:t>
      </w:r>
      <w:r w:rsidR="008F5135">
        <w:t>/lamivudine/tenofovir disoproxil fumarate</w:t>
      </w:r>
      <w:r w:rsidR="000767BF">
        <w:t>)</w:t>
      </w:r>
      <w:r w:rsidR="00D754F0" w:rsidRPr="00D754F0">
        <w:t xml:space="preserve"> is available as a yellow, oval-shaped, film-coated tablet, debossed with the corporate logo and 776 on one side and plain on the other side.</w:t>
      </w:r>
    </w:p>
    <w:p w14:paraId="32FF537D" w14:textId="77777777" w:rsidR="00935DC2" w:rsidRPr="008246E7" w:rsidRDefault="003D3FCB" w:rsidP="00A90E98">
      <w:pPr>
        <w:pStyle w:val="Heading1"/>
        <w:pageBreakBefore/>
        <w:ind w:left="431" w:hanging="431"/>
        <w:rPr>
          <w:rFonts w:cs="Arial"/>
        </w:rPr>
      </w:pPr>
      <w:r w:rsidRPr="008246E7">
        <w:rPr>
          <w:rFonts w:cs="Arial"/>
        </w:rPr>
        <w:lastRenderedPageBreak/>
        <w:t>Clinical particulars</w:t>
      </w:r>
    </w:p>
    <w:p w14:paraId="0832BFED" w14:textId="77777777" w:rsidR="00935DC2" w:rsidRPr="00261C3B" w:rsidRDefault="003D3FCB" w:rsidP="00261C3B">
      <w:pPr>
        <w:pStyle w:val="Heading2"/>
      </w:pPr>
      <w:r w:rsidRPr="00261C3B">
        <w:t xml:space="preserve">Therapeutic indications </w:t>
      </w:r>
    </w:p>
    <w:p w14:paraId="269D9202" w14:textId="6FBDD900" w:rsidR="002F3569" w:rsidRPr="00BB28D5" w:rsidRDefault="00B836DC" w:rsidP="00D754F0">
      <w:r>
        <w:t>DELSTRIGO</w:t>
      </w:r>
      <w:r w:rsidR="00D754F0" w:rsidRPr="00D754F0">
        <w:t xml:space="preserve"> is indicated for the treatment of </w:t>
      </w:r>
      <w:r w:rsidR="00074721">
        <w:t>HIV-1 infection in adults who are antiretroviral therapy (ART)-naïve with no known substitutions associated with</w:t>
      </w:r>
      <w:r w:rsidR="00D754F0" w:rsidRPr="00D754F0">
        <w:t xml:space="preserve"> resistance to doravirine, lamivudine, or tenofovir.</w:t>
      </w:r>
    </w:p>
    <w:p w14:paraId="45A60AAC" w14:textId="77777777" w:rsidR="00935DC2" w:rsidRDefault="003D3FCB" w:rsidP="00261C3B">
      <w:pPr>
        <w:pStyle w:val="Heading2"/>
      </w:pPr>
      <w:r w:rsidRPr="008246E7">
        <w:t xml:space="preserve">Dose and method of administration </w:t>
      </w:r>
    </w:p>
    <w:p w14:paraId="462442A9" w14:textId="77777777" w:rsidR="002F3569" w:rsidRPr="002F3569" w:rsidRDefault="002F3569" w:rsidP="002F3569">
      <w:pPr>
        <w:pStyle w:val="Heading3"/>
      </w:pPr>
      <w:r w:rsidRPr="002F3569">
        <w:t>Adult Patients</w:t>
      </w:r>
    </w:p>
    <w:p w14:paraId="3AB20D46" w14:textId="7EF24053" w:rsidR="00D754F0" w:rsidRDefault="00D754F0" w:rsidP="00D754F0">
      <w:r>
        <w:t xml:space="preserve">The recommended dosage regimen of </w:t>
      </w:r>
      <w:r w:rsidR="00B836DC">
        <w:t>DELSTRIGO</w:t>
      </w:r>
      <w:r>
        <w:t xml:space="preserve"> in adults is one tablet taken orally once daily with or without food.</w:t>
      </w:r>
    </w:p>
    <w:p w14:paraId="5BCDFC39" w14:textId="77777777" w:rsidR="002F3569" w:rsidRPr="002F3569" w:rsidRDefault="002F3569" w:rsidP="002F3569">
      <w:pPr>
        <w:rPr>
          <w:u w:val="single"/>
        </w:rPr>
      </w:pPr>
      <w:r w:rsidRPr="002F3569">
        <w:rPr>
          <w:u w:val="single"/>
        </w:rPr>
        <w:t>Missed Dose</w:t>
      </w:r>
    </w:p>
    <w:p w14:paraId="39B9C49D" w14:textId="7D05407A" w:rsidR="002F3569" w:rsidRDefault="00D754F0" w:rsidP="002F3569">
      <w:r w:rsidRPr="00D754F0">
        <w:t xml:space="preserve">If the patient misses a dose of </w:t>
      </w:r>
      <w:r w:rsidR="00B836DC">
        <w:t>DELSTRIGO</w:t>
      </w:r>
      <w:r w:rsidRPr="00D754F0">
        <w:t xml:space="preserve">, the patient should take </w:t>
      </w:r>
      <w:r w:rsidR="00B836DC">
        <w:t>DELSTRIGO</w:t>
      </w:r>
      <w:r w:rsidRPr="00D754F0">
        <w:t xml:space="preserve"> as soon as possible unless it is almost time for the next dose. The patient should not take 2 doses at one time and instead take the next dose at the regularly scheduled time.</w:t>
      </w:r>
    </w:p>
    <w:p w14:paraId="36CEF52F" w14:textId="77777777" w:rsidR="002F3569" w:rsidRDefault="002F3569" w:rsidP="002F3569">
      <w:pPr>
        <w:pStyle w:val="Heading3"/>
      </w:pPr>
      <w:r>
        <w:t>Paediatric Patients</w:t>
      </w:r>
    </w:p>
    <w:p w14:paraId="3CA0CF5C" w14:textId="4D878E97" w:rsidR="002F3569" w:rsidRDefault="00D754F0" w:rsidP="002F3569">
      <w:r>
        <w:t xml:space="preserve">Safety and efficacy of </w:t>
      </w:r>
      <w:r w:rsidR="00B836DC">
        <w:t>DELSTRIGO</w:t>
      </w:r>
      <w:r>
        <w:t xml:space="preserve"> have not been established in patients younger than 18 years of age </w:t>
      </w:r>
      <w:r w:rsidRPr="00C74D32">
        <w:t xml:space="preserve">(see </w:t>
      </w:r>
      <w:r w:rsidR="000A76E7">
        <w:t>section 5.2</w:t>
      </w:r>
      <w:r w:rsidR="000767BF">
        <w:rPr>
          <w:i/>
        </w:rPr>
        <w:t>, Special</w:t>
      </w:r>
      <w:r w:rsidR="000A76E7" w:rsidRPr="000A76E7">
        <w:rPr>
          <w:i/>
        </w:rPr>
        <w:t xml:space="preserve"> populations</w:t>
      </w:r>
      <w:r w:rsidRPr="00C74D32">
        <w:t>)</w:t>
      </w:r>
      <w:r w:rsidRPr="00CA14BF">
        <w:t>.</w:t>
      </w:r>
      <w:r>
        <w:t xml:space="preserve"> </w:t>
      </w:r>
    </w:p>
    <w:p w14:paraId="381FE2F8" w14:textId="77777777" w:rsidR="002F3569" w:rsidRDefault="002F3569" w:rsidP="002F3569">
      <w:pPr>
        <w:pStyle w:val="Heading3"/>
      </w:pPr>
      <w:r>
        <w:t>Elderly Patients</w:t>
      </w:r>
    </w:p>
    <w:p w14:paraId="3A53189D" w14:textId="21664AC0" w:rsidR="002F3569" w:rsidRPr="00EB6E76" w:rsidRDefault="00D754F0" w:rsidP="002F3569">
      <w:r>
        <w:t xml:space="preserve">There are limited data available on the use of doravirine, lamivudine and tenofovir DF in patients aged 65 years and over. There is no evidence that elderly patients require a different dose than younger adult patients </w:t>
      </w:r>
      <w:r w:rsidRPr="00C74D32">
        <w:t xml:space="preserve">(see </w:t>
      </w:r>
      <w:r w:rsidR="000A76E7">
        <w:t>section</w:t>
      </w:r>
      <w:r w:rsidR="00D016E2">
        <w:t>s</w:t>
      </w:r>
      <w:r w:rsidR="000A76E7">
        <w:t xml:space="preserve"> 4.4 and 5.2</w:t>
      </w:r>
      <w:r w:rsidR="000A76E7" w:rsidRPr="000A76E7">
        <w:rPr>
          <w:i/>
        </w:rPr>
        <w:t xml:space="preserve">, </w:t>
      </w:r>
      <w:r w:rsidR="000767BF">
        <w:rPr>
          <w:i/>
        </w:rPr>
        <w:t>Special</w:t>
      </w:r>
      <w:r w:rsidR="000A76E7" w:rsidRPr="000A76E7">
        <w:rPr>
          <w:i/>
        </w:rPr>
        <w:t xml:space="preserve"> populations</w:t>
      </w:r>
      <w:r w:rsidRPr="00C74D32">
        <w:t>)</w:t>
      </w:r>
      <w:r w:rsidRPr="00CA14BF">
        <w:t>.</w:t>
      </w:r>
      <w:r>
        <w:t xml:space="preserve"> Special care is advised in this age group due to age associated changes such as decreases in renal function.</w:t>
      </w:r>
    </w:p>
    <w:p w14:paraId="595FA0E8" w14:textId="77777777" w:rsidR="002F3569" w:rsidRDefault="002F3569" w:rsidP="002F3569">
      <w:pPr>
        <w:pStyle w:val="Heading3"/>
      </w:pPr>
      <w:r>
        <w:t>Renal Impairment</w:t>
      </w:r>
    </w:p>
    <w:p w14:paraId="44ACD9B2" w14:textId="1612F6A5" w:rsidR="002F3569" w:rsidRPr="00AD66CD" w:rsidRDefault="00D754F0" w:rsidP="002F3569">
      <w:r w:rsidRPr="00D754F0">
        <w:t xml:space="preserve">Because </w:t>
      </w:r>
      <w:r w:rsidR="00B836DC">
        <w:t>DELSTRIGO</w:t>
      </w:r>
      <w:r w:rsidRPr="00D754F0">
        <w:t xml:space="preserve"> is a fixed-dose combination tablet and the dosage of lamivudine and tenofovir DF cannot be altered, patients with estimated creatinine clearance less than 50 mL/min should not receive </w:t>
      </w:r>
      <w:r w:rsidR="00B836DC">
        <w:t>DELSTRIGO</w:t>
      </w:r>
      <w:r w:rsidRPr="00D754F0">
        <w:t xml:space="preserve"> (see </w:t>
      </w:r>
      <w:r w:rsidR="000A76E7">
        <w:t>section</w:t>
      </w:r>
      <w:r w:rsidR="00D016E2">
        <w:t>s</w:t>
      </w:r>
      <w:r w:rsidR="000A76E7">
        <w:t xml:space="preserve"> 4.4 and 5.2</w:t>
      </w:r>
      <w:r w:rsidR="000767BF">
        <w:rPr>
          <w:i/>
        </w:rPr>
        <w:t>, Special</w:t>
      </w:r>
      <w:r w:rsidR="000A76E7" w:rsidRPr="000A76E7">
        <w:rPr>
          <w:i/>
        </w:rPr>
        <w:t xml:space="preserve"> populations</w:t>
      </w:r>
      <w:r w:rsidRPr="00D754F0">
        <w:t>).</w:t>
      </w:r>
    </w:p>
    <w:p w14:paraId="77F8E945" w14:textId="77777777" w:rsidR="002F3569" w:rsidRDefault="002F3569" w:rsidP="002F3569">
      <w:pPr>
        <w:pStyle w:val="Heading3"/>
      </w:pPr>
      <w:r>
        <w:t>Hepatic Impairment</w:t>
      </w:r>
    </w:p>
    <w:p w14:paraId="231A021D" w14:textId="6586EC7B" w:rsidR="002F3569" w:rsidRPr="00D754F0" w:rsidRDefault="00D754F0" w:rsidP="002F3569">
      <w:pPr>
        <w:rPr>
          <w:b/>
        </w:rPr>
      </w:pPr>
      <w:r>
        <w:t xml:space="preserve">No dose adjustment of </w:t>
      </w:r>
      <w:r w:rsidR="00B836DC">
        <w:t>DELSTRIGO</w:t>
      </w:r>
      <w:r>
        <w:t xml:space="preserve"> is required in patients with mild (Child-Pugh Class A) or moderate (Child-Pugh Class B) hepatic impairment. </w:t>
      </w:r>
      <w:r w:rsidR="00B836DC">
        <w:t>DELSTRIGO</w:t>
      </w:r>
      <w:r>
        <w:t xml:space="preserve"> has not been studied in patients with severe hepatic impairment (Child-Pugh Class C) </w:t>
      </w:r>
      <w:r w:rsidRPr="00C74D32">
        <w:t xml:space="preserve">(see </w:t>
      </w:r>
      <w:r w:rsidR="000A76E7">
        <w:t>section</w:t>
      </w:r>
      <w:r w:rsidR="00D016E2">
        <w:t>s</w:t>
      </w:r>
      <w:r w:rsidR="000A76E7">
        <w:t xml:space="preserve"> 4.4 and 5.2</w:t>
      </w:r>
      <w:r w:rsidR="000767BF">
        <w:rPr>
          <w:i/>
        </w:rPr>
        <w:t>, Special</w:t>
      </w:r>
      <w:r w:rsidR="000A76E7" w:rsidRPr="000A76E7">
        <w:rPr>
          <w:i/>
        </w:rPr>
        <w:t xml:space="preserve"> populations</w:t>
      </w:r>
      <w:r>
        <w:t>)</w:t>
      </w:r>
      <w:r>
        <w:rPr>
          <w:i/>
        </w:rPr>
        <w:t>.</w:t>
      </w:r>
    </w:p>
    <w:p w14:paraId="035C66F5" w14:textId="7AC6777F" w:rsidR="002F3569" w:rsidRDefault="002F3569" w:rsidP="002F3569">
      <w:pPr>
        <w:pStyle w:val="Heading3"/>
      </w:pPr>
      <w:r w:rsidRPr="00EB6E76">
        <w:t xml:space="preserve">Co-administration with </w:t>
      </w:r>
      <w:r w:rsidR="00857C61">
        <w:t>Moderate CYP3A Inducers</w:t>
      </w:r>
    </w:p>
    <w:p w14:paraId="0DDC78AD" w14:textId="2AE32B97" w:rsidR="001A2D49" w:rsidRDefault="00D754F0" w:rsidP="002F3569">
      <w:r w:rsidRPr="00D754F0">
        <w:t xml:space="preserve">If </w:t>
      </w:r>
      <w:r w:rsidR="00B836DC">
        <w:t>DELSTRIGO</w:t>
      </w:r>
      <w:r w:rsidRPr="00D754F0">
        <w:t xml:space="preserve"> is co-administered with </w:t>
      </w:r>
      <w:proofErr w:type="spellStart"/>
      <w:r w:rsidRPr="00D754F0">
        <w:t>rifabutin</w:t>
      </w:r>
      <w:proofErr w:type="spellEnd"/>
      <w:r w:rsidRPr="00D754F0">
        <w:t>, one tablet of doravirine-</w:t>
      </w:r>
      <w:r w:rsidR="008F5135">
        <w:t>PIFELTRO</w:t>
      </w:r>
      <w:r w:rsidR="008F5135">
        <w:rPr>
          <w:rFonts w:cs="Arial"/>
        </w:rPr>
        <w:t>®</w:t>
      </w:r>
      <w:r w:rsidRPr="00D754F0">
        <w:t xml:space="preserve"> should be taken approximately 12 hours after </w:t>
      </w:r>
      <w:r w:rsidR="00331E6F">
        <w:t>each</w:t>
      </w:r>
      <w:r w:rsidR="00331E6F" w:rsidRPr="00D754F0">
        <w:t xml:space="preserve"> </w:t>
      </w:r>
      <w:r w:rsidRPr="00D754F0">
        <w:t xml:space="preserve">dose of </w:t>
      </w:r>
      <w:r w:rsidR="00B836DC">
        <w:t>DELSTRIGO</w:t>
      </w:r>
      <w:r w:rsidRPr="00D754F0">
        <w:t xml:space="preserve"> (see </w:t>
      </w:r>
      <w:r w:rsidR="000A76E7">
        <w:t>section 4.5 and 5.2</w:t>
      </w:r>
      <w:r w:rsidR="000A76E7" w:rsidRPr="000A76E7">
        <w:rPr>
          <w:i/>
        </w:rPr>
        <w:t xml:space="preserve">, </w:t>
      </w:r>
      <w:r w:rsidR="000A76E7">
        <w:rPr>
          <w:i/>
        </w:rPr>
        <w:t>Drug interaction studies</w:t>
      </w:r>
      <w:r w:rsidRPr="00D754F0">
        <w:t>).</w:t>
      </w:r>
    </w:p>
    <w:p w14:paraId="7AFB7A7F" w14:textId="4DD2BE00" w:rsidR="000A4309" w:rsidRDefault="000A4309" w:rsidP="002F3569">
      <w:r>
        <w:rPr>
          <w:noProof/>
          <w:lang w:val="en-US"/>
        </w:rPr>
        <w:t>Co-administration of d</w:t>
      </w:r>
      <w:r>
        <w:rPr>
          <w:noProof/>
        </w:rPr>
        <w:t xml:space="preserve">oravirine/lamivudine/tenofovir disoproxil with other moderate CYP3A inducers has not been evaluated.  If co-administration with other moderate CYP3A inducers </w:t>
      </w:r>
      <w:r>
        <w:rPr>
          <w:noProof/>
          <w:lang w:val="en-US"/>
        </w:rPr>
        <w:t xml:space="preserve">(e.g. dabrafenib, lesinurad, bosentan, thioridazine, nafcillin, modafinil, telotristat ethyl) </w:t>
      </w:r>
      <w:r>
        <w:t>can</w:t>
      </w:r>
      <w:r>
        <w:rPr>
          <w:noProof/>
        </w:rPr>
        <w:t>not be avoided, a 100 mg dose of doravirine should be administered daily, approximately</w:t>
      </w:r>
      <w:r w:rsidR="00BB36D8">
        <w:rPr>
          <w:noProof/>
        </w:rPr>
        <w:t xml:space="preserve"> </w:t>
      </w:r>
      <w:r>
        <w:rPr>
          <w:noProof/>
        </w:rPr>
        <w:t xml:space="preserve">12 hours after the administration of </w:t>
      </w:r>
      <w:r>
        <w:rPr>
          <w:noProof/>
          <w:lang w:val="en-US"/>
        </w:rPr>
        <w:t>d</w:t>
      </w:r>
      <w:r>
        <w:rPr>
          <w:noProof/>
        </w:rPr>
        <w:t>oravirine/lamivudine/tenofovir disoproxil dose (see section 4.5).</w:t>
      </w:r>
    </w:p>
    <w:p w14:paraId="56CA3F46" w14:textId="4418FB04" w:rsidR="00935DC2" w:rsidRDefault="003D3FCB" w:rsidP="00A65FC4">
      <w:pPr>
        <w:pStyle w:val="Heading2"/>
      </w:pPr>
      <w:r w:rsidRPr="008246E7">
        <w:lastRenderedPageBreak/>
        <w:t>Contraindications</w:t>
      </w:r>
    </w:p>
    <w:p w14:paraId="0A0A2226" w14:textId="056B99B7" w:rsidR="00C06D46" w:rsidRPr="006727D1" w:rsidRDefault="00B836DC" w:rsidP="00C06D46">
      <w:pPr>
        <w:rPr>
          <w:noProof/>
        </w:rPr>
      </w:pPr>
      <w:r>
        <w:rPr>
          <w:noProof/>
        </w:rPr>
        <w:t>DELSTRIGO</w:t>
      </w:r>
      <w:r w:rsidR="00C06D46" w:rsidRPr="006727D1">
        <w:rPr>
          <w:noProof/>
        </w:rPr>
        <w:t xml:space="preserve"> should not be co-administered with drugs that are strong </w:t>
      </w:r>
      <w:r w:rsidR="00C06D46" w:rsidRPr="006727D1">
        <w:t>cytochrome P450 (CYP)3A</w:t>
      </w:r>
      <w:r w:rsidR="00C06D46" w:rsidRPr="006727D1">
        <w:rPr>
          <w:noProof/>
        </w:rPr>
        <w:t xml:space="preserve"> enzyme inducers as significant decreases in doravirine plasma concentrations may occur, which may decrease the effectiveness of </w:t>
      </w:r>
      <w:r>
        <w:rPr>
          <w:noProof/>
        </w:rPr>
        <w:t>DELSTRIGO</w:t>
      </w:r>
      <w:r w:rsidR="00C06D46">
        <w:rPr>
          <w:noProof/>
        </w:rPr>
        <w:t xml:space="preserve"> </w:t>
      </w:r>
      <w:r w:rsidR="00C06D46" w:rsidRPr="00C74D32">
        <w:t xml:space="preserve">(see </w:t>
      </w:r>
      <w:r w:rsidR="000A76E7">
        <w:t>section 5.2</w:t>
      </w:r>
      <w:r w:rsidR="00C06D46" w:rsidRPr="00C74D32">
        <w:rPr>
          <w:i/>
        </w:rPr>
        <w:t xml:space="preserve">, Drug Interaction </w:t>
      </w:r>
      <w:r w:rsidR="00363DDE" w:rsidRPr="00C74D32">
        <w:rPr>
          <w:i/>
        </w:rPr>
        <w:t>Studies</w:t>
      </w:r>
      <w:r w:rsidR="00363DDE" w:rsidRPr="00C74D32">
        <w:t>). These</w:t>
      </w:r>
      <w:r w:rsidR="00C06D46" w:rsidRPr="006727D1">
        <w:rPr>
          <w:noProof/>
        </w:rPr>
        <w:t xml:space="preserve"> drugs include, but are not limited to, the following:</w:t>
      </w:r>
    </w:p>
    <w:p w14:paraId="41CCB6AA" w14:textId="77777777" w:rsidR="00C06D46" w:rsidRPr="006727D1" w:rsidRDefault="00C06D46" w:rsidP="00C06D46">
      <w:pPr>
        <w:pStyle w:val="ListParagraph"/>
        <w:numPr>
          <w:ilvl w:val="0"/>
          <w:numId w:val="17"/>
        </w:numPr>
        <w:spacing w:after="80" w:line="276" w:lineRule="auto"/>
        <w:rPr>
          <w:noProof/>
        </w:rPr>
      </w:pPr>
      <w:r w:rsidRPr="006727D1">
        <w:rPr>
          <w:noProof/>
        </w:rPr>
        <w:t>the anticonvulsants carbamazepine, oxcarbazepine, phenobarbital, phenytoin</w:t>
      </w:r>
    </w:p>
    <w:p w14:paraId="65886DB3" w14:textId="77777777" w:rsidR="00C06D46" w:rsidRPr="006727D1" w:rsidRDefault="00C06D46" w:rsidP="00C06D46">
      <w:pPr>
        <w:pStyle w:val="ListParagraph"/>
        <w:numPr>
          <w:ilvl w:val="0"/>
          <w:numId w:val="17"/>
        </w:numPr>
        <w:spacing w:after="80" w:line="276" w:lineRule="auto"/>
        <w:rPr>
          <w:noProof/>
        </w:rPr>
      </w:pPr>
      <w:r w:rsidRPr="006727D1">
        <w:rPr>
          <w:noProof/>
        </w:rPr>
        <w:t>the antimycobacterial rifamp</w:t>
      </w:r>
      <w:r>
        <w:rPr>
          <w:noProof/>
        </w:rPr>
        <w:t>icin</w:t>
      </w:r>
    </w:p>
    <w:p w14:paraId="3DE552FB" w14:textId="77777777" w:rsidR="00C06D46" w:rsidRPr="00676566" w:rsidRDefault="00C06D46" w:rsidP="00C06D46">
      <w:pPr>
        <w:pStyle w:val="ListParagraph"/>
        <w:numPr>
          <w:ilvl w:val="0"/>
          <w:numId w:val="17"/>
        </w:numPr>
        <w:spacing w:after="80" w:line="276" w:lineRule="auto"/>
        <w:rPr>
          <w:noProof/>
        </w:rPr>
      </w:pPr>
      <w:r w:rsidRPr="006727D1">
        <w:rPr>
          <w:noProof/>
        </w:rPr>
        <w:t>St. John’s wort (</w:t>
      </w:r>
      <w:r w:rsidRPr="00F57E8B">
        <w:rPr>
          <w:i/>
          <w:iCs/>
          <w:noProof/>
        </w:rPr>
        <w:t>Hypericum perforatum)</w:t>
      </w:r>
    </w:p>
    <w:p w14:paraId="44A94F0E" w14:textId="163FC467" w:rsidR="00676566" w:rsidRDefault="00676566" w:rsidP="00C06D46">
      <w:pPr>
        <w:pStyle w:val="ListParagraph"/>
        <w:numPr>
          <w:ilvl w:val="0"/>
          <w:numId w:val="17"/>
        </w:numPr>
        <w:spacing w:after="80" w:line="276" w:lineRule="auto"/>
        <w:rPr>
          <w:noProof/>
        </w:rPr>
      </w:pPr>
      <w:r>
        <w:rPr>
          <w:noProof/>
        </w:rPr>
        <w:t>mitotane</w:t>
      </w:r>
    </w:p>
    <w:p w14:paraId="0985DDD5" w14:textId="3611543A" w:rsidR="00676566" w:rsidRDefault="00676566" w:rsidP="00C06D46">
      <w:pPr>
        <w:pStyle w:val="ListParagraph"/>
        <w:numPr>
          <w:ilvl w:val="0"/>
          <w:numId w:val="17"/>
        </w:numPr>
        <w:spacing w:after="80" w:line="276" w:lineRule="auto"/>
        <w:rPr>
          <w:noProof/>
        </w:rPr>
      </w:pPr>
      <w:r>
        <w:rPr>
          <w:noProof/>
        </w:rPr>
        <w:t>enzalutamide</w:t>
      </w:r>
    </w:p>
    <w:p w14:paraId="36822826" w14:textId="3CE47D1A" w:rsidR="00676566" w:rsidRPr="006727D1" w:rsidRDefault="00676566" w:rsidP="00C06D46">
      <w:pPr>
        <w:pStyle w:val="ListParagraph"/>
        <w:numPr>
          <w:ilvl w:val="0"/>
          <w:numId w:val="17"/>
        </w:numPr>
        <w:spacing w:after="80" w:line="276" w:lineRule="auto"/>
        <w:rPr>
          <w:noProof/>
        </w:rPr>
      </w:pPr>
      <w:r>
        <w:rPr>
          <w:noProof/>
        </w:rPr>
        <w:t>lumacaftor</w:t>
      </w:r>
    </w:p>
    <w:p w14:paraId="6D63CF4E" w14:textId="0BF4AD8B" w:rsidR="00E757D0" w:rsidRDefault="00B836DC" w:rsidP="00E757D0">
      <w:pPr>
        <w:rPr>
          <w:noProof/>
        </w:rPr>
      </w:pPr>
      <w:r>
        <w:rPr>
          <w:noProof/>
        </w:rPr>
        <w:t>DELSTRIGO</w:t>
      </w:r>
      <w:r w:rsidR="00C06D46" w:rsidRPr="006727D1">
        <w:rPr>
          <w:noProof/>
        </w:rPr>
        <w:t xml:space="preserve"> is contraindicated in patients </w:t>
      </w:r>
      <w:r w:rsidR="00C06D46">
        <w:rPr>
          <w:noProof/>
        </w:rPr>
        <w:t>who are hypersensitive to any component of this medicine.</w:t>
      </w:r>
    </w:p>
    <w:p w14:paraId="28E57387" w14:textId="77777777" w:rsidR="00935DC2" w:rsidRPr="008246E7" w:rsidRDefault="003D3FCB" w:rsidP="00261C3B">
      <w:pPr>
        <w:pStyle w:val="Heading2"/>
      </w:pPr>
      <w:r w:rsidRPr="008246E7">
        <w:t>Special warnings and precautions for use</w:t>
      </w:r>
    </w:p>
    <w:p w14:paraId="62B86827" w14:textId="77777777" w:rsidR="00C06D46" w:rsidRDefault="00C06D46" w:rsidP="00C06D46">
      <w:pPr>
        <w:pStyle w:val="Heading3"/>
        <w:rPr>
          <w:rFonts w:eastAsia="MS Mincho"/>
        </w:rPr>
      </w:pPr>
      <w:r>
        <w:rPr>
          <w:rFonts w:eastAsia="MS Mincho"/>
        </w:rPr>
        <w:t xml:space="preserve">Severe Acute Exacerbation of Hepatitis B in Patients </w:t>
      </w:r>
      <w:proofErr w:type="spellStart"/>
      <w:r>
        <w:rPr>
          <w:rFonts w:eastAsia="MS Mincho"/>
        </w:rPr>
        <w:t>Coinfected</w:t>
      </w:r>
      <w:proofErr w:type="spellEnd"/>
      <w:r>
        <w:rPr>
          <w:rFonts w:eastAsia="MS Mincho"/>
        </w:rPr>
        <w:t xml:space="preserve"> with HIV-1 and HBV</w:t>
      </w:r>
    </w:p>
    <w:p w14:paraId="10160E18" w14:textId="091F8F11" w:rsidR="00C06D46" w:rsidRDefault="00C06D46" w:rsidP="00C06D46">
      <w:r>
        <w:t xml:space="preserve">All patients with HIV-1 should be tested for the presence of HBV before initiating antiretroviral therapy. </w:t>
      </w:r>
      <w:r w:rsidR="00B836DC">
        <w:t>DELSTRIGO</w:t>
      </w:r>
      <w:r>
        <w:t xml:space="preserve"> is not approved for the treatment of chronic HBV infection, and the safety and efficacy of </w:t>
      </w:r>
      <w:r w:rsidR="00B836DC">
        <w:t>DELSTRIGO</w:t>
      </w:r>
      <w:r>
        <w:t xml:space="preserve"> have not been established in patients </w:t>
      </w:r>
      <w:proofErr w:type="spellStart"/>
      <w:r>
        <w:t>coinfected</w:t>
      </w:r>
      <w:proofErr w:type="spellEnd"/>
      <w:r>
        <w:t xml:space="preserve"> with HIV-1 and HBV.</w:t>
      </w:r>
    </w:p>
    <w:p w14:paraId="1447470D" w14:textId="58D75430" w:rsidR="00E757D0" w:rsidRDefault="00C06D46" w:rsidP="00C06D46">
      <w:r>
        <w:t xml:space="preserve">Severe acute exacerbations of hepatitis B (e.g., liver decompensated and liver failure) have been reported in patients who are </w:t>
      </w:r>
      <w:proofErr w:type="spellStart"/>
      <w:r>
        <w:t>coinfected</w:t>
      </w:r>
      <w:proofErr w:type="spellEnd"/>
      <w:r>
        <w:t xml:space="preserve"> with HBV and HIV-1 and have discontinued lamivudine or tenofovir DF, two of the components of </w:t>
      </w:r>
      <w:r w:rsidR="00B836DC">
        <w:t>DELSTRIGO</w:t>
      </w:r>
      <w:r>
        <w:t xml:space="preserve">. Patients who are </w:t>
      </w:r>
      <w:proofErr w:type="spellStart"/>
      <w:r>
        <w:t>coinfected</w:t>
      </w:r>
      <w:proofErr w:type="spellEnd"/>
      <w:r>
        <w:t xml:space="preserve"> with HIV-1 and HBV should be closely monitored with both clinical and laboratory follow-up for at least several months after stopping treatment with </w:t>
      </w:r>
      <w:r w:rsidR="00B836DC">
        <w:t>DELSTRIGO</w:t>
      </w:r>
      <w:r>
        <w:t>. If appropriate, initiation of anti-hepatitis B therapy may be warranted, especially in patients with advanced liver disease or cirrhosis, since post-treatment exacerbation of hepatitis may lead to hepatic decompensation and liver failure.</w:t>
      </w:r>
    </w:p>
    <w:p w14:paraId="4E2E185A" w14:textId="77777777" w:rsidR="00C06D46" w:rsidRDefault="00C06D46" w:rsidP="00C06D46">
      <w:pPr>
        <w:pStyle w:val="Heading3"/>
        <w:rPr>
          <w:rFonts w:eastAsia="MS Mincho"/>
        </w:rPr>
      </w:pPr>
      <w:r>
        <w:rPr>
          <w:rFonts w:eastAsia="MS Mincho"/>
        </w:rPr>
        <w:t>New Onset or Worsening Renal Impairment</w:t>
      </w:r>
    </w:p>
    <w:p w14:paraId="596915A7" w14:textId="57C58815" w:rsidR="00C06D46" w:rsidRDefault="00C06D46" w:rsidP="00C06D46">
      <w:r>
        <w:t xml:space="preserve">Renal impairment, including cases of acute renal failure and </w:t>
      </w:r>
      <w:proofErr w:type="spellStart"/>
      <w:r>
        <w:t>Fanconi</w:t>
      </w:r>
      <w:proofErr w:type="spellEnd"/>
      <w:r>
        <w:t xml:space="preserve"> syndrome (renal tubular injury with severe hypophosphatemia), has been reported with the use of tenofovir DF, a component of </w:t>
      </w:r>
      <w:r w:rsidR="00B836DC">
        <w:t>DELSTRIGO</w:t>
      </w:r>
      <w:r>
        <w:t>.</w:t>
      </w:r>
    </w:p>
    <w:p w14:paraId="2F708328" w14:textId="500274E1" w:rsidR="00C06D46" w:rsidRDefault="00B836DC" w:rsidP="00C06D46">
      <w:pPr>
        <w:rPr>
          <w:szCs w:val="20"/>
        </w:rPr>
      </w:pPr>
      <w:r>
        <w:rPr>
          <w:szCs w:val="20"/>
        </w:rPr>
        <w:t>DELSTRIGO</w:t>
      </w:r>
      <w:r w:rsidR="00C06D46">
        <w:rPr>
          <w:szCs w:val="20"/>
        </w:rPr>
        <w:t xml:space="preserve"> should be avoided with concurrent or recent use of a nephrotoxic agent (e.g., high-dose or multiple nonsteroidal anti-inflammatory drugs [NSAIDs</w:t>
      </w:r>
      <w:r w:rsidR="00C06D46" w:rsidRPr="001F51A0">
        <w:rPr>
          <w:i/>
          <w:szCs w:val="20"/>
        </w:rPr>
        <w:t xml:space="preserve">]) </w:t>
      </w:r>
      <w:r w:rsidR="00C06D46" w:rsidRPr="00C74D32">
        <w:rPr>
          <w:szCs w:val="20"/>
        </w:rPr>
        <w:t xml:space="preserve">(see </w:t>
      </w:r>
      <w:r w:rsidR="000A76E7">
        <w:rPr>
          <w:szCs w:val="20"/>
        </w:rPr>
        <w:t>section 4.5</w:t>
      </w:r>
      <w:r w:rsidR="00C06D46" w:rsidRPr="00C74D32">
        <w:rPr>
          <w:szCs w:val="20"/>
        </w:rPr>
        <w:t>)</w:t>
      </w:r>
      <w:r w:rsidR="00C06D46" w:rsidRPr="009662D5">
        <w:rPr>
          <w:szCs w:val="20"/>
        </w:rPr>
        <w:t>.</w:t>
      </w:r>
      <w:r w:rsidR="00C06D46">
        <w:rPr>
          <w:szCs w:val="20"/>
        </w:rPr>
        <w:t xml:space="preserve"> Cases of acute renal failure after initiation of high-dose or multiple NSAIDs have been reported in HIV-infected patients with risk factors for renal dysfunction who appeared stable on tenofovir DF. Some patients required hospitalisation and renal replacement therapy. Alternatives to NSAIDs should be considered, if needed, in patients at risk for renal dysfunction.</w:t>
      </w:r>
    </w:p>
    <w:p w14:paraId="0A64670F" w14:textId="77777777" w:rsidR="00C06D46" w:rsidRDefault="00C06D46" w:rsidP="00C06D46">
      <w:pPr>
        <w:rPr>
          <w:szCs w:val="20"/>
        </w:rPr>
      </w:pPr>
      <w:r>
        <w:t xml:space="preserve">Persistent or worsening bone pain, pain in extremities, fractures, and/or muscular pain or weakness may be manifestations of proximal renal </w:t>
      </w:r>
      <w:proofErr w:type="spellStart"/>
      <w:r>
        <w:t>tubulopathy</w:t>
      </w:r>
      <w:proofErr w:type="spellEnd"/>
      <w:r>
        <w:t xml:space="preserve"> and should prompt an evaluation of renal function in at-risk patients.</w:t>
      </w:r>
    </w:p>
    <w:p w14:paraId="48D24F8A" w14:textId="7D53153C" w:rsidR="00C06D46" w:rsidRDefault="00C06D46" w:rsidP="00C06D46">
      <w:pPr>
        <w:rPr>
          <w:color w:val="000000"/>
        </w:rPr>
      </w:pPr>
      <w:r>
        <w:t xml:space="preserve">It is recommended that estimated creatinine clearance be assessed in all patients prior to initiating therapy and as clinically appropriate during therapy with </w:t>
      </w:r>
      <w:r w:rsidR="00B836DC">
        <w:t>DELSTRIGO</w:t>
      </w:r>
      <w:r>
        <w:t xml:space="preserve">. In patients at risk of renal dysfunction, including patients who have previously experienced renal events </w:t>
      </w:r>
      <w:r>
        <w:lastRenderedPageBreak/>
        <w:t xml:space="preserve">while receiving </w:t>
      </w:r>
      <w:proofErr w:type="spellStart"/>
      <w:r>
        <w:t>adefovir</w:t>
      </w:r>
      <w:proofErr w:type="spellEnd"/>
      <w:r>
        <w:t xml:space="preserve"> </w:t>
      </w:r>
      <w:proofErr w:type="spellStart"/>
      <w:r>
        <w:t>dipivoxil</w:t>
      </w:r>
      <w:proofErr w:type="spellEnd"/>
      <w:r>
        <w:t xml:space="preserve">, it is recommended that estimated creatinine clearance, serum phosphorus, urine glucose, and urine protein be assessed prior to initiation of </w:t>
      </w:r>
      <w:r w:rsidR="00B836DC">
        <w:t>DELSTRIGO</w:t>
      </w:r>
      <w:r>
        <w:t xml:space="preserve"> and periodically during </w:t>
      </w:r>
      <w:r w:rsidR="00B836DC">
        <w:t>DELSTRIGO</w:t>
      </w:r>
      <w:r>
        <w:t xml:space="preserve"> therapy.</w:t>
      </w:r>
    </w:p>
    <w:p w14:paraId="4742379A" w14:textId="1EA2A781" w:rsidR="00C06D46" w:rsidRDefault="00C06D46" w:rsidP="00C06D46">
      <w:pPr>
        <w:rPr>
          <w:color w:val="000000"/>
        </w:rPr>
      </w:pPr>
      <w:r>
        <w:rPr>
          <w:color w:val="000000"/>
        </w:rPr>
        <w:t xml:space="preserve">The lamivudine and tenofovir DF components of </w:t>
      </w:r>
      <w:r w:rsidR="00B836DC">
        <w:rPr>
          <w:color w:val="000000"/>
        </w:rPr>
        <w:t>DELSTRIGO</w:t>
      </w:r>
      <w:r>
        <w:rPr>
          <w:color w:val="000000"/>
        </w:rPr>
        <w:t xml:space="preserve"> are primarily excreted by the kidney. </w:t>
      </w:r>
      <w:r w:rsidR="00B836DC">
        <w:rPr>
          <w:color w:val="000000"/>
        </w:rPr>
        <w:t>DELSTRIGO</w:t>
      </w:r>
      <w:r>
        <w:rPr>
          <w:color w:val="000000"/>
        </w:rPr>
        <w:t xml:space="preserve"> should be discontinued if estimated creatinine clearance declines below 50 mL per minute as dose interval adjustment required for lamivudine and tenofovir DF cannot be achieved with the fixed-dose combination tablet (</w:t>
      </w:r>
      <w:r w:rsidRPr="00C74D32">
        <w:rPr>
          <w:color w:val="000000"/>
        </w:rPr>
        <w:t xml:space="preserve">see </w:t>
      </w:r>
      <w:r w:rsidR="009C24D8">
        <w:rPr>
          <w:color w:val="000000"/>
        </w:rPr>
        <w:t>section 4.2</w:t>
      </w:r>
      <w:r>
        <w:rPr>
          <w:color w:val="000000"/>
        </w:rPr>
        <w:t>)</w:t>
      </w:r>
      <w:r w:rsidRPr="009662D5">
        <w:rPr>
          <w:color w:val="000000"/>
        </w:rPr>
        <w:t xml:space="preserve">. </w:t>
      </w:r>
    </w:p>
    <w:p w14:paraId="66E1F9E6" w14:textId="77777777" w:rsidR="00C06D46" w:rsidRDefault="00C06D46" w:rsidP="00C06D46">
      <w:pPr>
        <w:pStyle w:val="Heading3"/>
        <w:rPr>
          <w:rFonts w:eastAsia="MS Mincho" w:cs="Times New Roman"/>
        </w:rPr>
      </w:pPr>
      <w:r>
        <w:rPr>
          <w:rFonts w:eastAsia="MS Mincho"/>
        </w:rPr>
        <w:t>Drug Interactions</w:t>
      </w:r>
    </w:p>
    <w:p w14:paraId="063CE7F7" w14:textId="6100BE6D" w:rsidR="00C06D46" w:rsidRDefault="00C06D46" w:rsidP="00C06D46">
      <w:pPr>
        <w:rPr>
          <w:rFonts w:eastAsia="Times New Roman" w:cs="Arial"/>
          <w:i/>
          <w:szCs w:val="20"/>
        </w:rPr>
      </w:pPr>
      <w:r>
        <w:rPr>
          <w:rFonts w:cs="Arial"/>
          <w:szCs w:val="20"/>
        </w:rPr>
        <w:t xml:space="preserve">Caution should be given to prescribing </w:t>
      </w:r>
      <w:r w:rsidR="00B836DC">
        <w:rPr>
          <w:rFonts w:cs="Arial"/>
          <w:szCs w:val="20"/>
        </w:rPr>
        <w:t>DELSTRIGO</w:t>
      </w:r>
      <w:r>
        <w:rPr>
          <w:rFonts w:cs="Arial"/>
          <w:szCs w:val="20"/>
        </w:rPr>
        <w:t xml:space="preserve"> with drugs that may reduce the exposure of doravirine </w:t>
      </w:r>
      <w:r w:rsidRPr="00C74D32">
        <w:rPr>
          <w:rFonts w:cs="Arial"/>
          <w:szCs w:val="20"/>
        </w:rPr>
        <w:t xml:space="preserve">(see </w:t>
      </w:r>
      <w:r w:rsidR="009C24D8">
        <w:rPr>
          <w:rFonts w:cs="Arial"/>
          <w:szCs w:val="20"/>
        </w:rPr>
        <w:t>section</w:t>
      </w:r>
      <w:r w:rsidR="00D016E2">
        <w:rPr>
          <w:rFonts w:cs="Arial"/>
          <w:szCs w:val="20"/>
        </w:rPr>
        <w:t>s</w:t>
      </w:r>
      <w:r w:rsidR="009C24D8">
        <w:rPr>
          <w:rFonts w:cs="Arial"/>
          <w:szCs w:val="20"/>
        </w:rPr>
        <w:t xml:space="preserve"> 4.3 and 4.5</w:t>
      </w:r>
      <w:r w:rsidRPr="00C74D32">
        <w:rPr>
          <w:rFonts w:cs="Arial"/>
          <w:szCs w:val="20"/>
        </w:rPr>
        <w:t>)</w:t>
      </w:r>
      <w:r w:rsidRPr="009C5B3B">
        <w:rPr>
          <w:rFonts w:cs="Arial"/>
          <w:szCs w:val="20"/>
        </w:rPr>
        <w:t>.</w:t>
      </w:r>
    </w:p>
    <w:p w14:paraId="389E9961" w14:textId="77777777" w:rsidR="00C06D46" w:rsidRDefault="00C06D46" w:rsidP="00C06D46">
      <w:pPr>
        <w:pStyle w:val="Heading3"/>
      </w:pPr>
      <w:r>
        <w:t xml:space="preserve">Bone Loss and </w:t>
      </w:r>
      <w:r w:rsidRPr="00C06D46">
        <w:t>Mineralization</w:t>
      </w:r>
      <w:r>
        <w:t xml:space="preserve"> Defects</w:t>
      </w:r>
    </w:p>
    <w:p w14:paraId="376EF621" w14:textId="77777777" w:rsidR="00C06D46" w:rsidRPr="00C06D46" w:rsidRDefault="00C06D46" w:rsidP="00C06D46">
      <w:pPr>
        <w:rPr>
          <w:u w:val="single"/>
        </w:rPr>
      </w:pPr>
      <w:r w:rsidRPr="00C06D46">
        <w:rPr>
          <w:u w:val="single"/>
        </w:rPr>
        <w:t>Bone Mineral Density</w:t>
      </w:r>
    </w:p>
    <w:p w14:paraId="36E52C4D" w14:textId="4566CF00" w:rsidR="00C06D46" w:rsidRDefault="00C06D46" w:rsidP="00C06D46">
      <w:r>
        <w:t xml:space="preserve">In clinical trials in HIV-1 infected adults, tenofovir DF (a component of </w:t>
      </w:r>
      <w:r w:rsidR="00B836DC">
        <w:t>DELSTRIGO</w:t>
      </w:r>
      <w:r>
        <w:t>) was associated with slightly greater decreases in bone mineral density (BMD) and increases in biochemical markers of bone metabolism, suggesting increased bone turnover relative to comparators. Serum parathyroid hormone levels and 1,25 Vitamin D levels were also higher in subjects receiving tenofovir DF. For additional information, consult the tenofovir DF prescribing information.</w:t>
      </w:r>
    </w:p>
    <w:p w14:paraId="10E1576C" w14:textId="77777777" w:rsidR="00C06D46" w:rsidRDefault="00C06D46" w:rsidP="00C06D46">
      <w:r>
        <w:t>The effects of tenofovir DF-associated changes in BMD and biochemical markers on long-term bone health and future fracture risk are unknown. Assessment of BMD should be considered for HIV-1 infected adult patients who have a history of pathologic bone fracture or other risk factors for osteoporosis or bone loss. Although the effect of supplementation with calcium and vitamin D was not studied, such supplementation may be beneficial in all patients. If bone abnormalities are suspected, then appropriate consultation should be obtained.</w:t>
      </w:r>
    </w:p>
    <w:p w14:paraId="2FE38EB8" w14:textId="77777777" w:rsidR="00C06D46" w:rsidRPr="00C06D46" w:rsidRDefault="00C06D46" w:rsidP="00C06D46">
      <w:pPr>
        <w:rPr>
          <w:u w:val="single"/>
        </w:rPr>
      </w:pPr>
      <w:r w:rsidRPr="00C06D46">
        <w:rPr>
          <w:u w:val="single"/>
        </w:rPr>
        <w:t>Mineralization Defects</w:t>
      </w:r>
    </w:p>
    <w:p w14:paraId="1156E8CF" w14:textId="47E7036F" w:rsidR="00C06D46" w:rsidRDefault="00C06D46" w:rsidP="00C06D46">
      <w:r>
        <w:t xml:space="preserve">Cases of </w:t>
      </w:r>
      <w:proofErr w:type="spellStart"/>
      <w:r>
        <w:t>osteomalacia</w:t>
      </w:r>
      <w:proofErr w:type="spellEnd"/>
      <w:r>
        <w:t xml:space="preserve"> associated with proximal renal </w:t>
      </w:r>
      <w:proofErr w:type="spellStart"/>
      <w:r>
        <w:t>tubulopathy</w:t>
      </w:r>
      <w:proofErr w:type="spellEnd"/>
      <w:r>
        <w:t xml:space="preserve">, manifested as bone pain or pain in extremities and which may contribute to fractures, have been reported in association with the use of tenofovir DF. </w:t>
      </w:r>
      <w:proofErr w:type="spellStart"/>
      <w:r>
        <w:t>Arthralgias</w:t>
      </w:r>
      <w:proofErr w:type="spellEnd"/>
      <w:r>
        <w:t xml:space="preserve"> and muscle pain or weakness have also been reported in cases of proximal renal </w:t>
      </w:r>
      <w:proofErr w:type="spellStart"/>
      <w:r>
        <w:t>tubulopathy</w:t>
      </w:r>
      <w:proofErr w:type="spellEnd"/>
      <w:r>
        <w:t xml:space="preserve">. Hypophosphatemia and </w:t>
      </w:r>
      <w:proofErr w:type="spellStart"/>
      <w:r>
        <w:t>osteomalacia</w:t>
      </w:r>
      <w:proofErr w:type="spellEnd"/>
      <w:r>
        <w:t xml:space="preserve"> secondary to proximal renal </w:t>
      </w:r>
      <w:proofErr w:type="spellStart"/>
      <w:r>
        <w:t>tubulopathy</w:t>
      </w:r>
      <w:proofErr w:type="spellEnd"/>
      <w:r>
        <w:t xml:space="preserve"> should be considered in patients at risk of renal dysfunction who present with persistent or worsening bone or muscle symptoms while receiving products containing tenofovir DF.</w:t>
      </w:r>
    </w:p>
    <w:p w14:paraId="2A229215" w14:textId="77777777" w:rsidR="00C06D46" w:rsidRDefault="00C06D46" w:rsidP="00C06D46">
      <w:pPr>
        <w:pStyle w:val="Heading3"/>
        <w:rPr>
          <w:rFonts w:eastAsia="MS Mincho" w:cs="Times New Roman"/>
        </w:rPr>
      </w:pPr>
      <w:r>
        <w:rPr>
          <w:rFonts w:eastAsia="MS Mincho"/>
        </w:rPr>
        <w:t>Co-administration with Other Products</w:t>
      </w:r>
    </w:p>
    <w:p w14:paraId="1DAA5243" w14:textId="0A797B9B" w:rsidR="00C06D46" w:rsidRPr="00C06D46" w:rsidRDefault="00B836DC" w:rsidP="00C06D46">
      <w:pPr>
        <w:rPr>
          <w:rFonts w:eastAsia="Times New Roman"/>
          <w:i/>
        </w:rPr>
      </w:pPr>
      <w:r>
        <w:t>DELSTRIGO</w:t>
      </w:r>
      <w:r w:rsidR="00C06D46">
        <w:t xml:space="preserve"> is a fixed-dose combination of doravirine, lamivudine, and tenofovir DF. Do not co-administer </w:t>
      </w:r>
      <w:r>
        <w:t>DELSTRIGO</w:t>
      </w:r>
      <w:r w:rsidR="00C06D46">
        <w:t xml:space="preserve"> with other medicinal products containing lamivudine, or with medicinal products containing tenofovir DF or tenofovir alafenamide, or with </w:t>
      </w:r>
      <w:proofErr w:type="spellStart"/>
      <w:r w:rsidR="00C06D46">
        <w:t>adefovir</w:t>
      </w:r>
      <w:proofErr w:type="spellEnd"/>
      <w:r w:rsidR="00C06D46">
        <w:t xml:space="preserve"> </w:t>
      </w:r>
      <w:proofErr w:type="spellStart"/>
      <w:r w:rsidR="00C06D46">
        <w:t>dipivoxil</w:t>
      </w:r>
      <w:proofErr w:type="spellEnd"/>
      <w:r w:rsidR="00C06D46">
        <w:t xml:space="preserve">. </w:t>
      </w:r>
      <w:r>
        <w:t>DELSTRIGO</w:t>
      </w:r>
      <w:r w:rsidR="00C06D46">
        <w:t xml:space="preserve"> should not be administered with doravirine-</w:t>
      </w:r>
      <w:r w:rsidR="006551E3">
        <w:t>PIFELTRO</w:t>
      </w:r>
      <w:r w:rsidR="00C06D46">
        <w:t xml:space="preserve"> unless needed for dose adjustment (e.g., with </w:t>
      </w:r>
      <w:proofErr w:type="spellStart"/>
      <w:r w:rsidR="00C06D46">
        <w:t>rifabutin</w:t>
      </w:r>
      <w:proofErr w:type="spellEnd"/>
      <w:r w:rsidR="00C06D46">
        <w:t>) (</w:t>
      </w:r>
      <w:r w:rsidR="00C06D46" w:rsidRPr="00C74D32">
        <w:t xml:space="preserve">see </w:t>
      </w:r>
      <w:r w:rsidR="009C24D8">
        <w:t>section</w:t>
      </w:r>
      <w:r w:rsidR="00D016E2">
        <w:t>s</w:t>
      </w:r>
      <w:r w:rsidR="009C24D8">
        <w:t xml:space="preserve"> 4.2 and 4.5</w:t>
      </w:r>
      <w:r w:rsidR="00C06D46">
        <w:t>)</w:t>
      </w:r>
      <w:r w:rsidR="00C06D46" w:rsidRPr="00AE4570">
        <w:t>.</w:t>
      </w:r>
    </w:p>
    <w:p w14:paraId="0D7D8775" w14:textId="77777777" w:rsidR="00E757D0" w:rsidRDefault="00E757D0" w:rsidP="00E757D0">
      <w:pPr>
        <w:pStyle w:val="Heading3"/>
      </w:pPr>
      <w:r w:rsidRPr="00F40095">
        <w:t>Immune Reconstitution Syndrome</w:t>
      </w:r>
    </w:p>
    <w:p w14:paraId="241F8441" w14:textId="77777777" w:rsidR="00C06D46" w:rsidRPr="00C06D46" w:rsidRDefault="00C06D46" w:rsidP="00C06D46">
      <w:r w:rsidRPr="00C06D46">
        <w:t xml:space="preserve">Immune reconstitution syndrome has been reported in patients treated with combination antiretroviral therapy. During the initial phase of combination antiretroviral treatment, patients whose immune system responds may develop an inflammatory response to indolent or residual opportunistic infections (such as </w:t>
      </w:r>
      <w:r w:rsidRPr="00C06D46">
        <w:rPr>
          <w:i/>
        </w:rPr>
        <w:t xml:space="preserve">Mycobacterium </w:t>
      </w:r>
      <w:proofErr w:type="spellStart"/>
      <w:r w:rsidRPr="00C06D46">
        <w:rPr>
          <w:i/>
        </w:rPr>
        <w:t>avium</w:t>
      </w:r>
      <w:proofErr w:type="spellEnd"/>
      <w:r w:rsidRPr="00C06D46">
        <w:t xml:space="preserve"> infection, cytomegalovirus, </w:t>
      </w:r>
      <w:r w:rsidRPr="00C06D46">
        <w:rPr>
          <w:i/>
        </w:rPr>
        <w:lastRenderedPageBreak/>
        <w:t xml:space="preserve">Pneumocystis </w:t>
      </w:r>
      <w:proofErr w:type="spellStart"/>
      <w:r w:rsidRPr="00C06D46">
        <w:rPr>
          <w:i/>
        </w:rPr>
        <w:t>jirovecii</w:t>
      </w:r>
      <w:proofErr w:type="spellEnd"/>
      <w:r w:rsidRPr="00C06D46">
        <w:t xml:space="preserve"> pneumonia (PCP), or tuberculosis), which may necessitate further evaluation and treatment.</w:t>
      </w:r>
    </w:p>
    <w:p w14:paraId="68217532" w14:textId="77777777" w:rsidR="00C06D46" w:rsidRDefault="00C06D46" w:rsidP="00C06D46">
      <w:r w:rsidRPr="00C06D46">
        <w:t xml:space="preserve">Autoimmune disorders (such as Graves’ disease, </w:t>
      </w:r>
      <w:proofErr w:type="spellStart"/>
      <w:r w:rsidRPr="00C06D46">
        <w:t>polymyositis</w:t>
      </w:r>
      <w:proofErr w:type="spellEnd"/>
      <w:r w:rsidRPr="00C06D46">
        <w:t xml:space="preserve">, and </w:t>
      </w:r>
      <w:proofErr w:type="spellStart"/>
      <w:r w:rsidRPr="00C06D46">
        <w:t>Guillain-Barré</w:t>
      </w:r>
      <w:proofErr w:type="spellEnd"/>
      <w:r w:rsidRPr="00C06D46">
        <w:t xml:space="preserve"> syndrome) have also been reported to occur in the setting of immune reconstitution; however, the time to onset is more variable and can occur many months after initiation of treatment.</w:t>
      </w:r>
    </w:p>
    <w:p w14:paraId="685E6C14" w14:textId="240B29E7" w:rsidR="00AE527C" w:rsidRDefault="009A78E1" w:rsidP="009A78E1">
      <w:pPr>
        <w:pStyle w:val="Heading3"/>
      </w:pPr>
      <w:r w:rsidRPr="008246E7">
        <w:t xml:space="preserve">Use in </w:t>
      </w:r>
      <w:r>
        <w:t>h</w:t>
      </w:r>
      <w:r w:rsidRPr="008246E7">
        <w:t>epatic impairment</w:t>
      </w:r>
    </w:p>
    <w:p w14:paraId="406C5EAF" w14:textId="7A8B1D35" w:rsidR="00E757D0" w:rsidRDefault="005B36F1" w:rsidP="00E757D0">
      <w:r w:rsidRPr="005B36F1">
        <w:t xml:space="preserve">No dose adjustment of </w:t>
      </w:r>
      <w:r w:rsidR="00B836DC">
        <w:t>DELSTRIGO</w:t>
      </w:r>
      <w:r w:rsidRPr="005B36F1">
        <w:t xml:space="preserve"> is required in patients with mild (Child-Pugh Class A) or moderate (Child-Pugh Class B) hepatic impairment. </w:t>
      </w:r>
      <w:r w:rsidR="00B836DC">
        <w:t>DELSTRIGO</w:t>
      </w:r>
      <w:r w:rsidRPr="005B36F1">
        <w:t xml:space="preserve"> has not been studied in patients with severe hepatic impairment (Child-Pugh Class C) (see </w:t>
      </w:r>
      <w:r w:rsidR="009C24D8">
        <w:t>section 5.2</w:t>
      </w:r>
      <w:r w:rsidR="009C24D8" w:rsidRPr="000A76E7">
        <w:rPr>
          <w:i/>
        </w:rPr>
        <w:t>, Spe</w:t>
      </w:r>
      <w:r w:rsidR="000767BF">
        <w:rPr>
          <w:i/>
        </w:rPr>
        <w:t>cial</w:t>
      </w:r>
      <w:r w:rsidR="009C24D8" w:rsidRPr="000A76E7">
        <w:rPr>
          <w:i/>
        </w:rPr>
        <w:t xml:space="preserve"> populations</w:t>
      </w:r>
      <w:r w:rsidRPr="005B36F1">
        <w:t>).</w:t>
      </w:r>
    </w:p>
    <w:p w14:paraId="27625398" w14:textId="7A0C2473" w:rsidR="009A78E1" w:rsidRDefault="009A78E1" w:rsidP="009A78E1">
      <w:pPr>
        <w:pStyle w:val="Heading3"/>
      </w:pPr>
      <w:r>
        <w:t>Use in r</w:t>
      </w:r>
      <w:r w:rsidRPr="008246E7">
        <w:t>enal impairment</w:t>
      </w:r>
    </w:p>
    <w:p w14:paraId="629CA467" w14:textId="18CFD289" w:rsidR="00AE527C" w:rsidRPr="008246E7" w:rsidRDefault="005B36F1" w:rsidP="00AE527C">
      <w:r w:rsidRPr="005B36F1">
        <w:t xml:space="preserve">Because </w:t>
      </w:r>
      <w:r w:rsidR="00B836DC">
        <w:t>DELSTRIGO</w:t>
      </w:r>
      <w:r w:rsidRPr="005B36F1">
        <w:t xml:space="preserve"> is a fixed-dose combination tablet and the dosage of lamivudine and tenofovir DF cannot be altered, patients with estimated creatinine clearance less than 50 mL/min should not receive </w:t>
      </w:r>
      <w:r w:rsidR="00B836DC">
        <w:t>DELSTRIGO</w:t>
      </w:r>
      <w:r w:rsidRPr="005B36F1">
        <w:t xml:space="preserve"> (see </w:t>
      </w:r>
      <w:r w:rsidR="009C24D8">
        <w:t>section</w:t>
      </w:r>
      <w:r w:rsidR="00D016E2">
        <w:t>s</w:t>
      </w:r>
      <w:r w:rsidR="009C24D8">
        <w:t xml:space="preserve"> 4.4 and 5.2</w:t>
      </w:r>
      <w:r w:rsidR="000767BF">
        <w:rPr>
          <w:i/>
        </w:rPr>
        <w:t>, Special</w:t>
      </w:r>
      <w:r w:rsidR="009C24D8" w:rsidRPr="000A76E7">
        <w:rPr>
          <w:i/>
        </w:rPr>
        <w:t xml:space="preserve"> populations</w:t>
      </w:r>
      <w:r w:rsidRPr="005B36F1">
        <w:t>).</w:t>
      </w:r>
    </w:p>
    <w:p w14:paraId="210E5DED" w14:textId="09653361" w:rsidR="009A78E1" w:rsidRDefault="009A78E1" w:rsidP="009A78E1">
      <w:pPr>
        <w:pStyle w:val="Heading3"/>
      </w:pPr>
      <w:r w:rsidRPr="008246E7">
        <w:t xml:space="preserve">Use in the </w:t>
      </w:r>
      <w:r>
        <w:t xml:space="preserve">elderly </w:t>
      </w:r>
    </w:p>
    <w:p w14:paraId="2E5BDC49" w14:textId="49F8E5C1" w:rsidR="00AE527C" w:rsidRPr="008246E7" w:rsidRDefault="005B36F1" w:rsidP="00AE527C">
      <w:r w:rsidRPr="005B36F1">
        <w:t xml:space="preserve">There are limited data available on the use of doravirine, lamivudine and tenofovir DF in patients aged 65 years and over. There is no evidence that elderly patients require a different dose than younger adult patients (see </w:t>
      </w:r>
      <w:r w:rsidR="009C24D8">
        <w:t>section 5.2</w:t>
      </w:r>
      <w:r w:rsidR="000767BF">
        <w:rPr>
          <w:i/>
        </w:rPr>
        <w:t>, Special</w:t>
      </w:r>
      <w:r w:rsidR="009C24D8" w:rsidRPr="000A76E7">
        <w:rPr>
          <w:i/>
        </w:rPr>
        <w:t xml:space="preserve"> populations</w:t>
      </w:r>
      <w:r w:rsidRPr="005B36F1">
        <w:t>). Special care is advised in this age group due to age associated changes such as decreases in renal function.</w:t>
      </w:r>
    </w:p>
    <w:p w14:paraId="243B6B5C" w14:textId="0A70CA3D" w:rsidR="009A78E1" w:rsidRDefault="009A78E1" w:rsidP="009A78E1">
      <w:pPr>
        <w:pStyle w:val="Heading3"/>
      </w:pPr>
      <w:r w:rsidRPr="008246E7">
        <w:t>Paediatric use</w:t>
      </w:r>
    </w:p>
    <w:p w14:paraId="76EE0C58" w14:textId="77CC83F8" w:rsidR="00530A5B" w:rsidRDefault="00C06D46" w:rsidP="0067352E">
      <w:r>
        <w:t xml:space="preserve">Safety and efficacy of </w:t>
      </w:r>
      <w:r w:rsidR="00B836DC">
        <w:t>DELSTRIGO</w:t>
      </w:r>
      <w:r>
        <w:t xml:space="preserve"> have not been established in patients younger than 18 years of age </w:t>
      </w:r>
      <w:r w:rsidRPr="00C74D32">
        <w:t xml:space="preserve">(see </w:t>
      </w:r>
      <w:r w:rsidR="009C24D8">
        <w:t>section 5.2</w:t>
      </w:r>
      <w:r w:rsidR="000767BF">
        <w:rPr>
          <w:i/>
        </w:rPr>
        <w:t>, Special</w:t>
      </w:r>
      <w:r w:rsidR="009C24D8" w:rsidRPr="000A76E7">
        <w:rPr>
          <w:i/>
        </w:rPr>
        <w:t xml:space="preserve"> populations</w:t>
      </w:r>
      <w:r w:rsidRPr="00C74D32">
        <w:t>)</w:t>
      </w:r>
      <w:r w:rsidRPr="00A10E17">
        <w:t>.</w:t>
      </w:r>
    </w:p>
    <w:p w14:paraId="57002BA7" w14:textId="77777777" w:rsidR="005B36F1" w:rsidRDefault="005B36F1" w:rsidP="005B36F1">
      <w:pPr>
        <w:pStyle w:val="Heading3"/>
      </w:pPr>
      <w:r>
        <w:t>Effects on laboratory tests</w:t>
      </w:r>
    </w:p>
    <w:p w14:paraId="0BEB4C90" w14:textId="048D17C3" w:rsidR="005B36F1" w:rsidRPr="005B36F1" w:rsidRDefault="005B36F1" w:rsidP="007150F6">
      <w:r w:rsidRPr="005B36F1">
        <w:t xml:space="preserve">See section 4.8, </w:t>
      </w:r>
      <w:r w:rsidR="006F26AB" w:rsidRPr="007150F6">
        <w:rPr>
          <w:i/>
        </w:rPr>
        <w:t>Laboratory abnormalities</w:t>
      </w:r>
    </w:p>
    <w:p w14:paraId="5B534F0B" w14:textId="1F495AED" w:rsidR="00AE527C" w:rsidRDefault="003D3FCB" w:rsidP="00AE527C">
      <w:pPr>
        <w:pStyle w:val="Heading2"/>
      </w:pPr>
      <w:r w:rsidRPr="00B50C34">
        <w:t>Interactions with other medicines and other forms of interactions</w:t>
      </w:r>
    </w:p>
    <w:p w14:paraId="26104124" w14:textId="361CA646" w:rsidR="00A46848" w:rsidRDefault="00B836DC" w:rsidP="00A46848">
      <w:r>
        <w:t>DELSTRIGO</w:t>
      </w:r>
      <w:r w:rsidR="00A46848">
        <w:t xml:space="preserve"> is a complete regimen for the treatment of HIV-1 infection; therefore, </w:t>
      </w:r>
      <w:r>
        <w:t>DELSTRIGO</w:t>
      </w:r>
      <w:r w:rsidR="00A46848">
        <w:t xml:space="preserve"> should not be administered with other antiretroviral medications for the treatment of HIV-1 infection. Information regarding potential drug-drug interactions with other antiretroviral medications is not provided.</w:t>
      </w:r>
    </w:p>
    <w:p w14:paraId="589FD253" w14:textId="77777777" w:rsidR="00A46848" w:rsidRDefault="00A46848" w:rsidP="00A46848">
      <w:pPr>
        <w:pStyle w:val="Heading3"/>
      </w:pPr>
      <w:r>
        <w:t>Drugs Affecting Renal Function</w:t>
      </w:r>
    </w:p>
    <w:p w14:paraId="174CAD56" w14:textId="3462435F" w:rsidR="00A46848" w:rsidRDefault="00A46848" w:rsidP="00A46848">
      <w:r>
        <w:t xml:space="preserve">Because lamivudine and tenofovir are primarily eliminated by the kidneys through a combination of glomerular filtration and active tubular secretion, co-administration of </w:t>
      </w:r>
      <w:r w:rsidR="00B836DC">
        <w:t>DELSTRIGO</w:t>
      </w:r>
      <w:r>
        <w:t xml:space="preserve"> with drugs that reduce renal function or compete for active tubular secretion may increase serum concentrations of lamivudine, tenofovir, and/or other </w:t>
      </w:r>
      <w:proofErr w:type="spellStart"/>
      <w:r>
        <w:t>renally</w:t>
      </w:r>
      <w:proofErr w:type="spellEnd"/>
      <w:r>
        <w:t xml:space="preserve"> eliminated drugs. Some examples of drugs that are eliminated by active tubular secretion include, but are not limited to, </w:t>
      </w:r>
      <w:proofErr w:type="spellStart"/>
      <w:r>
        <w:t>aciclovir</w:t>
      </w:r>
      <w:proofErr w:type="spellEnd"/>
      <w:r>
        <w:t xml:space="preserve">, </w:t>
      </w:r>
      <w:proofErr w:type="spellStart"/>
      <w:r>
        <w:t>cidofovir</w:t>
      </w:r>
      <w:proofErr w:type="spellEnd"/>
      <w:r>
        <w:t xml:space="preserve">, ganciclovir, </w:t>
      </w:r>
      <w:proofErr w:type="spellStart"/>
      <w:r>
        <w:t>valaciclovir</w:t>
      </w:r>
      <w:proofErr w:type="spellEnd"/>
      <w:r>
        <w:t xml:space="preserve">, </w:t>
      </w:r>
      <w:proofErr w:type="spellStart"/>
      <w:r>
        <w:t>valganciclovir</w:t>
      </w:r>
      <w:proofErr w:type="spellEnd"/>
      <w:r>
        <w:t xml:space="preserve">, aminoglycosides (e.g., gentamicin), and high-dose or multiple NSAIDs (see </w:t>
      </w:r>
      <w:r w:rsidR="00373703">
        <w:t>section 4.4</w:t>
      </w:r>
      <w:r>
        <w:t>).</w:t>
      </w:r>
    </w:p>
    <w:p w14:paraId="63CF282A" w14:textId="77777777" w:rsidR="00F20525" w:rsidRPr="00F20525" w:rsidRDefault="00F20525" w:rsidP="00A90E98">
      <w:pPr>
        <w:pageBreakBefore/>
        <w:spacing w:after="0"/>
        <w:jc w:val="left"/>
        <w:rPr>
          <w:rFonts w:eastAsia="Times New Roman" w:cs="Arial"/>
          <w:b/>
          <w:color w:val="1A1A1A"/>
          <w:lang w:val="en-US"/>
        </w:rPr>
      </w:pPr>
      <w:r w:rsidRPr="00F20525">
        <w:rPr>
          <w:rFonts w:eastAsia="Times New Roman" w:cs="Arial"/>
          <w:b/>
          <w:color w:val="1A1A1A"/>
          <w:lang w:val="en-US"/>
        </w:rPr>
        <w:lastRenderedPageBreak/>
        <w:t>Co-administration of Other Medicinal Products</w:t>
      </w:r>
    </w:p>
    <w:p w14:paraId="1D44BC62" w14:textId="77777777" w:rsidR="00F20525" w:rsidRPr="00F20525" w:rsidRDefault="00F20525" w:rsidP="00F20525">
      <w:pPr>
        <w:spacing w:after="0"/>
        <w:jc w:val="left"/>
        <w:rPr>
          <w:rFonts w:eastAsia="Times New Roman" w:cs="Arial"/>
          <w:b/>
          <w:color w:val="1A1A1A"/>
          <w:lang w:val="en-US"/>
        </w:rPr>
      </w:pPr>
    </w:p>
    <w:p w14:paraId="70FBCF5E" w14:textId="77777777" w:rsidR="00F20525" w:rsidRDefault="00F20525" w:rsidP="00F20525">
      <w:pPr>
        <w:spacing w:after="0"/>
        <w:jc w:val="left"/>
        <w:rPr>
          <w:rFonts w:eastAsia="Times New Roman" w:cs="Arial"/>
          <w:color w:val="1A1A1A"/>
          <w:lang w:val="en-US"/>
        </w:rPr>
      </w:pPr>
      <w:r w:rsidRPr="00F20525">
        <w:rPr>
          <w:rFonts w:eastAsia="Times New Roman" w:cs="Arial"/>
          <w:color w:val="1A1A1A"/>
          <w:lang w:val="en-US"/>
        </w:rPr>
        <w:t xml:space="preserve">Exposure to </w:t>
      </w:r>
      <w:proofErr w:type="spellStart"/>
      <w:r w:rsidRPr="00F20525">
        <w:rPr>
          <w:rFonts w:eastAsia="Times New Roman" w:cs="Arial"/>
          <w:color w:val="1A1A1A"/>
          <w:lang w:val="en-US"/>
        </w:rPr>
        <w:t>didanosine</w:t>
      </w:r>
      <w:proofErr w:type="spellEnd"/>
      <w:r w:rsidRPr="00F20525">
        <w:rPr>
          <w:rFonts w:eastAsia="Times New Roman" w:cs="Arial"/>
          <w:color w:val="1A1A1A"/>
          <w:lang w:val="en-US"/>
        </w:rPr>
        <w:t xml:space="preserve"> is significantly increased following co-administration with tenofovir DF that may increase the risk of </w:t>
      </w:r>
      <w:proofErr w:type="spellStart"/>
      <w:r w:rsidRPr="00F20525">
        <w:rPr>
          <w:rFonts w:eastAsia="Times New Roman" w:cs="Arial"/>
          <w:color w:val="1A1A1A"/>
          <w:lang w:val="en-US"/>
        </w:rPr>
        <w:t>didanosine</w:t>
      </w:r>
      <w:proofErr w:type="spellEnd"/>
      <w:r w:rsidRPr="00F20525">
        <w:rPr>
          <w:rFonts w:eastAsia="Times New Roman" w:cs="Arial"/>
          <w:color w:val="1A1A1A"/>
          <w:lang w:val="en-US"/>
        </w:rPr>
        <w:t xml:space="preserve">-related adverse reactions. Rarely, pancreatitis and lactic acidosis, sometimes fatal, have been reported with concomitant use of tenofovir DF and </w:t>
      </w:r>
      <w:proofErr w:type="spellStart"/>
      <w:r w:rsidRPr="00F20525">
        <w:rPr>
          <w:rFonts w:eastAsia="Times New Roman" w:cs="Arial"/>
          <w:color w:val="1A1A1A"/>
          <w:lang w:val="en-US"/>
        </w:rPr>
        <w:t>didanosine</w:t>
      </w:r>
      <w:proofErr w:type="spellEnd"/>
      <w:r w:rsidRPr="00F20525">
        <w:rPr>
          <w:rFonts w:eastAsia="Times New Roman" w:cs="Arial"/>
          <w:color w:val="1A1A1A"/>
          <w:lang w:val="en-US"/>
        </w:rPr>
        <w:t>.</w:t>
      </w:r>
    </w:p>
    <w:p w14:paraId="37933FDC" w14:textId="77777777" w:rsidR="00E757D0" w:rsidRDefault="00E757D0" w:rsidP="00E757D0">
      <w:pPr>
        <w:pStyle w:val="Heading3"/>
      </w:pPr>
      <w:r>
        <w:t>Established and Other Potentially Significant Drug Interactions</w:t>
      </w:r>
    </w:p>
    <w:p w14:paraId="5C29758D" w14:textId="4EE08292" w:rsidR="00A46848" w:rsidRDefault="00A46848" w:rsidP="00A46848">
      <w:r w:rsidRPr="00A46848">
        <w:t xml:space="preserve">Doravirine is primarily metabolised by CYP3A, and drugs that induce or inhibit CYP3A may affect the clearance of doravirine. Co-administration of </w:t>
      </w:r>
      <w:r w:rsidR="00B836DC">
        <w:t>DELSTRIGO</w:t>
      </w:r>
      <w:r w:rsidRPr="00A46848">
        <w:t xml:space="preserve"> and drugs that induce CYP3A may result in decreased plasma concentrations of doravirine and reduce the therapeutic effect of doravirine (see </w:t>
      </w:r>
      <w:r w:rsidR="009C24D8">
        <w:t>section</w:t>
      </w:r>
      <w:r w:rsidR="00D016E2">
        <w:t>s</w:t>
      </w:r>
      <w:r w:rsidR="009C24D8">
        <w:t xml:space="preserve"> 4.3, 4.4 and 5.2</w:t>
      </w:r>
      <w:r w:rsidR="009C24D8" w:rsidRPr="000A76E7">
        <w:rPr>
          <w:i/>
        </w:rPr>
        <w:t xml:space="preserve">, </w:t>
      </w:r>
      <w:r w:rsidR="009C24D8">
        <w:rPr>
          <w:i/>
        </w:rPr>
        <w:t>Drug interaction studies</w:t>
      </w:r>
      <w:r w:rsidRPr="00A46848">
        <w:t>).</w:t>
      </w:r>
      <w:r w:rsidR="006128C4">
        <w:t xml:space="preserve"> Co-administration of </w:t>
      </w:r>
      <w:r w:rsidR="00B836DC">
        <w:t>DELSTRIGO</w:t>
      </w:r>
      <w:r w:rsidR="006128C4">
        <w:t xml:space="preserve"> with strong inducers of CYP3A is contraindicated (see section 4.3).</w:t>
      </w:r>
      <w:r w:rsidRPr="00A46848">
        <w:t xml:space="preserve"> Co-administration of </w:t>
      </w:r>
      <w:r w:rsidR="00B836DC">
        <w:t>DELSTRIGO</w:t>
      </w:r>
      <w:r w:rsidRPr="00A46848">
        <w:t xml:space="preserve"> and drugs that are inhibitors of CYP3A may result in increased plasma concentrations of doravirine.</w:t>
      </w:r>
    </w:p>
    <w:p w14:paraId="3D8F8667" w14:textId="77777777" w:rsidR="00A46848" w:rsidRDefault="00A46848" w:rsidP="00A46848">
      <w:r w:rsidRPr="00A46848">
        <w:t>Doravirine at a dose of 100 mg once daily is not likely to have a clinically relevant effect on the plasma concentrations of drugs metabolised by CYP enzymes.</w:t>
      </w:r>
    </w:p>
    <w:p w14:paraId="1959D507" w14:textId="54522B28" w:rsidR="00E757D0" w:rsidRDefault="00A46848" w:rsidP="00A46848">
      <w:r w:rsidRPr="00A46848">
        <w:t xml:space="preserve">Table </w:t>
      </w:r>
      <w:r w:rsidR="002C24E2">
        <w:t>1</w:t>
      </w:r>
      <w:r w:rsidRPr="00A46848">
        <w:t xml:space="preserve"> shows the established and other potentially significant drug interactions with the components of </w:t>
      </w:r>
      <w:r w:rsidR="00B836DC">
        <w:t>DELSTRIGO</w:t>
      </w:r>
      <w:r w:rsidRPr="00A46848">
        <w:t xml:space="preserve">, but is not inclusive. For additional potential drug interactions with lamivudine or tenofovir DF (see </w:t>
      </w:r>
      <w:r w:rsidR="009C24D8">
        <w:t>section</w:t>
      </w:r>
      <w:r w:rsidR="00D016E2">
        <w:t>s</w:t>
      </w:r>
      <w:r w:rsidR="009C24D8">
        <w:t xml:space="preserve"> 4.4 and 5.2</w:t>
      </w:r>
      <w:r w:rsidR="000767BF">
        <w:rPr>
          <w:i/>
        </w:rPr>
        <w:t>, Special</w:t>
      </w:r>
      <w:r w:rsidR="009C24D8" w:rsidRPr="000A76E7">
        <w:rPr>
          <w:i/>
        </w:rPr>
        <w:t xml:space="preserve"> populations</w:t>
      </w:r>
      <w:r w:rsidRPr="00A46848">
        <w:t>).</w:t>
      </w:r>
    </w:p>
    <w:p w14:paraId="244DA0FC" w14:textId="48B1449A" w:rsidR="00A46848" w:rsidRPr="00A46848" w:rsidRDefault="00A46848" w:rsidP="00A46848">
      <w:pPr>
        <w:jc w:val="center"/>
        <w:rPr>
          <w:b/>
        </w:rPr>
      </w:pPr>
      <w:r w:rsidRPr="00A46848">
        <w:rPr>
          <w:b/>
        </w:rPr>
        <w:t xml:space="preserve">Table </w:t>
      </w:r>
      <w:r w:rsidR="002C24E2">
        <w:rPr>
          <w:b/>
        </w:rPr>
        <w:t>1</w:t>
      </w:r>
      <w:r w:rsidRPr="00A46848">
        <w:rPr>
          <w:b/>
        </w:rPr>
        <w:t>: Established and Other Potentially Significant Drug Interactions: Alterations in Dose or Regimen May Be Recommended Based on Drug Interaction Studies or Predicted Interaction</w:t>
      </w:r>
    </w:p>
    <w:tbl>
      <w:tblPr>
        <w:tblW w:w="909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
        <w:gridCol w:w="1560"/>
        <w:gridCol w:w="42"/>
        <w:gridCol w:w="5202"/>
        <w:gridCol w:w="18"/>
      </w:tblGrid>
      <w:tr w:rsidR="00A46848" w:rsidRPr="00A46848" w14:paraId="05504D8B" w14:textId="77777777" w:rsidTr="00455258">
        <w:trPr>
          <w:gridAfter w:val="1"/>
          <w:wAfter w:w="18" w:type="dxa"/>
        </w:trPr>
        <w:tc>
          <w:tcPr>
            <w:tcW w:w="2268" w:type="dxa"/>
            <w:gridSpan w:val="2"/>
            <w:tcBorders>
              <w:top w:val="single" w:sz="4" w:space="0" w:color="auto"/>
              <w:left w:val="single" w:sz="4" w:space="0" w:color="auto"/>
              <w:bottom w:val="single" w:sz="4" w:space="0" w:color="auto"/>
              <w:right w:val="single" w:sz="4" w:space="0" w:color="auto"/>
            </w:tcBorders>
            <w:hideMark/>
          </w:tcPr>
          <w:p w14:paraId="3F9F952E" w14:textId="77777777" w:rsidR="00A46848" w:rsidRPr="00A46848" w:rsidRDefault="00A46848" w:rsidP="00A46848">
            <w:pPr>
              <w:spacing w:after="0" w:line="276" w:lineRule="auto"/>
              <w:jc w:val="left"/>
              <w:rPr>
                <w:rFonts w:eastAsia="Calibri" w:cs="Times New Roman"/>
                <w:b/>
                <w:sz w:val="16"/>
                <w:szCs w:val="16"/>
                <w:lang w:val="en-US"/>
              </w:rPr>
            </w:pPr>
            <w:r w:rsidRPr="00A46848">
              <w:rPr>
                <w:rFonts w:eastAsia="Calibri" w:cs="Times New Roman"/>
                <w:b/>
                <w:sz w:val="16"/>
                <w:szCs w:val="16"/>
              </w:rPr>
              <w:t>Concomitant Drug Class:</w:t>
            </w:r>
          </w:p>
          <w:p w14:paraId="682AE9F6" w14:textId="77777777" w:rsidR="00A46848" w:rsidRPr="00A46848" w:rsidRDefault="00A46848" w:rsidP="00A46848">
            <w:pPr>
              <w:spacing w:after="0" w:line="276" w:lineRule="auto"/>
              <w:jc w:val="left"/>
              <w:rPr>
                <w:rFonts w:eastAsia="Calibri" w:cs="Times New Roman"/>
                <w:sz w:val="16"/>
                <w:szCs w:val="16"/>
                <w:lang w:val="en-US"/>
              </w:rPr>
            </w:pPr>
            <w:r w:rsidRPr="00A46848">
              <w:rPr>
                <w:rFonts w:eastAsia="Calibri" w:cs="Times New Roman"/>
                <w:b/>
                <w:sz w:val="16"/>
                <w:szCs w:val="16"/>
              </w:rPr>
              <w:t>Drug Name</w:t>
            </w:r>
          </w:p>
        </w:tc>
        <w:tc>
          <w:tcPr>
            <w:tcW w:w="1560" w:type="dxa"/>
            <w:tcBorders>
              <w:top w:val="single" w:sz="4" w:space="0" w:color="auto"/>
              <w:left w:val="single" w:sz="4" w:space="0" w:color="auto"/>
              <w:bottom w:val="single" w:sz="4" w:space="0" w:color="auto"/>
              <w:right w:val="single" w:sz="4" w:space="0" w:color="auto"/>
            </w:tcBorders>
            <w:hideMark/>
          </w:tcPr>
          <w:p w14:paraId="515E83EB" w14:textId="77777777" w:rsidR="00A46848" w:rsidRPr="00A46848" w:rsidRDefault="00A46848" w:rsidP="00A46848">
            <w:pPr>
              <w:spacing w:after="0" w:line="276" w:lineRule="auto"/>
              <w:jc w:val="left"/>
              <w:rPr>
                <w:rFonts w:eastAsia="Calibri" w:cs="Times New Roman"/>
                <w:b/>
                <w:sz w:val="16"/>
                <w:szCs w:val="16"/>
                <w:lang w:val="en-US"/>
              </w:rPr>
            </w:pPr>
            <w:r w:rsidRPr="00A46848">
              <w:rPr>
                <w:rFonts w:eastAsia="Calibri" w:cs="Times New Roman"/>
                <w:b/>
                <w:sz w:val="16"/>
                <w:szCs w:val="16"/>
              </w:rPr>
              <w:t xml:space="preserve">Effect on Concentration </w:t>
            </w:r>
          </w:p>
        </w:tc>
        <w:tc>
          <w:tcPr>
            <w:tcW w:w="5244" w:type="dxa"/>
            <w:gridSpan w:val="2"/>
            <w:tcBorders>
              <w:top w:val="single" w:sz="4" w:space="0" w:color="auto"/>
              <w:left w:val="single" w:sz="4" w:space="0" w:color="auto"/>
              <w:bottom w:val="single" w:sz="4" w:space="0" w:color="auto"/>
              <w:right w:val="single" w:sz="4" w:space="0" w:color="auto"/>
            </w:tcBorders>
            <w:hideMark/>
          </w:tcPr>
          <w:p w14:paraId="31F7AA62" w14:textId="77777777" w:rsidR="00A46848" w:rsidRPr="00A46848" w:rsidRDefault="00A46848" w:rsidP="00A46848">
            <w:pPr>
              <w:spacing w:after="0" w:line="276" w:lineRule="auto"/>
              <w:jc w:val="left"/>
              <w:rPr>
                <w:rFonts w:eastAsia="Calibri" w:cs="Times New Roman"/>
                <w:b/>
                <w:sz w:val="16"/>
                <w:szCs w:val="16"/>
                <w:lang w:val="en-US"/>
              </w:rPr>
            </w:pPr>
            <w:r w:rsidRPr="00A46848">
              <w:rPr>
                <w:rFonts w:eastAsia="Calibri" w:cs="Times New Roman"/>
                <w:b/>
                <w:sz w:val="16"/>
                <w:szCs w:val="16"/>
              </w:rPr>
              <w:t>Clinical Comment</w:t>
            </w:r>
          </w:p>
        </w:tc>
      </w:tr>
      <w:tr w:rsidR="00455258" w14:paraId="4A554349" w14:textId="77777777" w:rsidTr="00455258">
        <w:tblPrEx>
          <w:tblBorders>
            <w:bottom w:val="single" w:sz="4" w:space="0" w:color="auto"/>
          </w:tblBorders>
          <w:shd w:val="clear" w:color="auto" w:fill="FFFFFF"/>
        </w:tblPrEx>
        <w:tc>
          <w:tcPr>
            <w:tcW w:w="909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42C1603" w14:textId="77777777" w:rsidR="00455258" w:rsidRDefault="00455258">
            <w:pPr>
              <w:spacing w:after="0" w:line="276" w:lineRule="auto"/>
              <w:jc w:val="left"/>
              <w:rPr>
                <w:rFonts w:eastAsia="Calibri" w:cs="Times New Roman"/>
                <w:b/>
                <w:bCs/>
                <w:sz w:val="16"/>
                <w:szCs w:val="16"/>
              </w:rPr>
            </w:pPr>
            <w:r>
              <w:rPr>
                <w:rFonts w:eastAsia="Calibri" w:cs="Times New Roman"/>
                <w:b/>
                <w:bCs/>
                <w:sz w:val="16"/>
                <w:szCs w:val="16"/>
              </w:rPr>
              <w:t>Antibiotic</w:t>
            </w:r>
          </w:p>
        </w:tc>
      </w:tr>
      <w:tr w:rsidR="00455258" w14:paraId="3D67C278" w14:textId="77777777" w:rsidTr="00455258">
        <w:tblPrEx>
          <w:tblBorders>
            <w:bottom w:val="single" w:sz="4" w:space="0" w:color="auto"/>
          </w:tblBorders>
          <w:shd w:val="clear" w:color="auto" w:fill="FFFFFF"/>
        </w:tblPrEx>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44032B53" w14:textId="77777777" w:rsidR="00455258" w:rsidRDefault="00455258">
            <w:pPr>
              <w:spacing w:after="0" w:line="276" w:lineRule="auto"/>
              <w:rPr>
                <w:rFonts w:eastAsia="Calibri" w:cs="Times New Roman"/>
                <w:color w:val="000000"/>
                <w:sz w:val="16"/>
                <w:szCs w:val="16"/>
              </w:rPr>
            </w:pPr>
            <w:proofErr w:type="spellStart"/>
            <w:r>
              <w:rPr>
                <w:rFonts w:eastAsia="Calibri" w:cs="Times New Roman"/>
                <w:color w:val="000000"/>
                <w:sz w:val="16"/>
                <w:szCs w:val="16"/>
              </w:rPr>
              <w:t>nafcillin</w:t>
            </w:r>
            <w:proofErr w:type="spellEnd"/>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cPr>
          <w:p w14:paraId="48A1E6E5"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Interaction not studied with doravirine or doravirine/lamivudine/tenofovir disoproxil MSD.</w:t>
            </w:r>
          </w:p>
          <w:p w14:paraId="0623AD92" w14:textId="77777777" w:rsidR="00455258" w:rsidRDefault="00455258">
            <w:pPr>
              <w:spacing w:after="0" w:line="276" w:lineRule="auto"/>
              <w:jc w:val="left"/>
              <w:rPr>
                <w:rFonts w:eastAsia="Calibri" w:cs="Times New Roman"/>
                <w:color w:val="000000"/>
                <w:sz w:val="16"/>
                <w:szCs w:val="16"/>
              </w:rPr>
            </w:pPr>
          </w:p>
          <w:p w14:paraId="21C66D5E"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xml:space="preserve">Expected: </w:t>
            </w:r>
          </w:p>
          <w:p w14:paraId="545E72E2"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doravirine</w:t>
            </w:r>
          </w:p>
          <w:p w14:paraId="466A29BC"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(Induction of CYP3A)</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cPr>
          <w:p w14:paraId="71CFDEC5" w14:textId="30F204ED" w:rsidR="00455258" w:rsidRDefault="00455258">
            <w:pPr>
              <w:spacing w:after="0" w:line="276" w:lineRule="auto"/>
              <w:jc w:val="left"/>
              <w:rPr>
                <w:rFonts w:eastAsia="Calibri" w:cs="Times New Roman"/>
                <w:sz w:val="16"/>
                <w:szCs w:val="16"/>
              </w:rPr>
            </w:pPr>
            <w:r>
              <w:rPr>
                <w:rFonts w:eastAsia="Calibri" w:cs="Times New Roman"/>
                <w:sz w:val="16"/>
                <w:szCs w:val="16"/>
              </w:rPr>
              <w:t>Co-administration should be avoided. If co-administration cannot be avoided, a 100 mg dose of doravirine should be taken daily, approximately12 h after the</w:t>
            </w:r>
            <w:r w:rsidR="00C54C73">
              <w:rPr>
                <w:rFonts w:eastAsia="Calibri" w:cs="Times New Roman"/>
                <w:sz w:val="16"/>
                <w:szCs w:val="16"/>
              </w:rPr>
              <w:t xml:space="preserve"> </w:t>
            </w:r>
            <w:r>
              <w:rPr>
                <w:rFonts w:eastAsia="Calibri" w:cs="Times New Roman"/>
                <w:sz w:val="16"/>
                <w:szCs w:val="16"/>
              </w:rPr>
              <w:t>dose of doravirine/lamivudine/tenofovir disoproxil.</w:t>
            </w:r>
          </w:p>
          <w:p w14:paraId="4EA224BA" w14:textId="77777777" w:rsidR="00455258" w:rsidRDefault="00455258">
            <w:pPr>
              <w:spacing w:after="0" w:line="276" w:lineRule="auto"/>
              <w:rPr>
                <w:rFonts w:eastAsia="Calibri" w:cs="Times New Roman"/>
                <w:color w:val="000000"/>
                <w:sz w:val="16"/>
                <w:szCs w:val="16"/>
              </w:rPr>
            </w:pPr>
          </w:p>
        </w:tc>
      </w:tr>
      <w:tr w:rsidR="00455258" w14:paraId="1929F548" w14:textId="77777777" w:rsidTr="00455258">
        <w:tblPrEx>
          <w:tblBorders>
            <w:bottom w:val="single" w:sz="4" w:space="0" w:color="auto"/>
          </w:tblBorders>
          <w:shd w:val="clear" w:color="auto" w:fill="FFFFFF"/>
        </w:tblPrEx>
        <w:tc>
          <w:tcPr>
            <w:tcW w:w="909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09C59B2" w14:textId="77777777" w:rsidR="00455258" w:rsidRDefault="00455258">
            <w:pPr>
              <w:spacing w:after="0" w:line="276" w:lineRule="auto"/>
              <w:jc w:val="left"/>
              <w:rPr>
                <w:rFonts w:eastAsia="Calibri" w:cs="Times New Roman"/>
                <w:b/>
                <w:bCs/>
                <w:sz w:val="16"/>
                <w:szCs w:val="16"/>
              </w:rPr>
            </w:pPr>
            <w:r>
              <w:rPr>
                <w:rFonts w:eastAsia="Calibri" w:cs="Times New Roman"/>
                <w:b/>
                <w:bCs/>
                <w:sz w:val="16"/>
                <w:szCs w:val="16"/>
              </w:rPr>
              <w:t>Antidiarrheal</w:t>
            </w:r>
          </w:p>
        </w:tc>
      </w:tr>
      <w:tr w:rsidR="00455258" w14:paraId="13A4B8A3" w14:textId="77777777" w:rsidTr="00455258">
        <w:tblPrEx>
          <w:tblBorders>
            <w:bottom w:val="single" w:sz="4" w:space="0" w:color="auto"/>
          </w:tblBorders>
          <w:shd w:val="clear" w:color="auto" w:fill="FFFFFF"/>
        </w:tblPrEx>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79B3890B" w14:textId="77777777" w:rsidR="00455258" w:rsidRDefault="00455258">
            <w:pPr>
              <w:spacing w:after="0" w:line="276" w:lineRule="auto"/>
              <w:rPr>
                <w:rFonts w:eastAsia="Calibri" w:cs="Times New Roman"/>
                <w:color w:val="000000"/>
                <w:sz w:val="16"/>
                <w:szCs w:val="16"/>
              </w:rPr>
            </w:pPr>
            <w:proofErr w:type="spellStart"/>
            <w:r>
              <w:rPr>
                <w:rFonts w:eastAsia="Calibri" w:cs="Times New Roman"/>
                <w:color w:val="000000"/>
                <w:sz w:val="16"/>
                <w:szCs w:val="16"/>
              </w:rPr>
              <w:t>telotristat</w:t>
            </w:r>
            <w:proofErr w:type="spellEnd"/>
            <w:r>
              <w:rPr>
                <w:rFonts w:eastAsia="Calibri" w:cs="Times New Roman"/>
                <w:color w:val="000000"/>
                <w:sz w:val="16"/>
                <w:szCs w:val="16"/>
              </w:rPr>
              <w:t xml:space="preserve"> ethyl</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cPr>
          <w:p w14:paraId="779D6C8B"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Interaction not studied with doravirine or doravirine/lamivudine/tenofovir disoproxil MSD.</w:t>
            </w:r>
          </w:p>
          <w:p w14:paraId="6D5A12F2" w14:textId="77777777" w:rsidR="00455258" w:rsidRDefault="00455258">
            <w:pPr>
              <w:spacing w:after="0" w:line="276" w:lineRule="auto"/>
              <w:jc w:val="left"/>
              <w:rPr>
                <w:rFonts w:eastAsia="Calibri" w:cs="Times New Roman"/>
                <w:color w:val="000000"/>
                <w:sz w:val="16"/>
                <w:szCs w:val="16"/>
              </w:rPr>
            </w:pPr>
          </w:p>
          <w:p w14:paraId="3395B0E5"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xml:space="preserve">Expected: </w:t>
            </w:r>
          </w:p>
          <w:p w14:paraId="10B01916"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doravirine</w:t>
            </w:r>
          </w:p>
          <w:p w14:paraId="4EBF16F1"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(Induction of CYP3A)</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cPr>
          <w:p w14:paraId="13DFED00" w14:textId="68982C8D" w:rsidR="00455258" w:rsidRDefault="00455258">
            <w:pPr>
              <w:spacing w:after="0" w:line="276" w:lineRule="auto"/>
              <w:jc w:val="left"/>
              <w:rPr>
                <w:rFonts w:eastAsia="Calibri" w:cs="Times New Roman"/>
                <w:sz w:val="16"/>
                <w:szCs w:val="16"/>
              </w:rPr>
            </w:pPr>
            <w:r>
              <w:rPr>
                <w:rFonts w:eastAsia="Calibri" w:cs="Times New Roman"/>
                <w:sz w:val="16"/>
                <w:szCs w:val="16"/>
              </w:rPr>
              <w:t>Co-administration should be avoided. If co-administration cannot be avoided, a 100 mg dose of doravirine should be taken daily, approximately12 h after the</w:t>
            </w:r>
            <w:r w:rsidR="00C54C73">
              <w:rPr>
                <w:rFonts w:eastAsia="Calibri" w:cs="Times New Roman"/>
                <w:sz w:val="16"/>
                <w:szCs w:val="16"/>
              </w:rPr>
              <w:t xml:space="preserve"> </w:t>
            </w:r>
            <w:r>
              <w:rPr>
                <w:rFonts w:eastAsia="Calibri" w:cs="Times New Roman"/>
                <w:sz w:val="16"/>
                <w:szCs w:val="16"/>
              </w:rPr>
              <w:t>dose of doravirine/lamivudine/tenofovir disoproxil.</w:t>
            </w:r>
          </w:p>
          <w:p w14:paraId="1093DD7D" w14:textId="77777777" w:rsidR="00455258" w:rsidRDefault="00455258">
            <w:pPr>
              <w:spacing w:after="0" w:line="276" w:lineRule="auto"/>
              <w:rPr>
                <w:rFonts w:eastAsia="Calibri" w:cs="Times New Roman"/>
                <w:color w:val="000000"/>
                <w:sz w:val="16"/>
                <w:szCs w:val="16"/>
              </w:rPr>
            </w:pPr>
          </w:p>
        </w:tc>
      </w:tr>
      <w:tr w:rsidR="00455258" w14:paraId="4E08A803" w14:textId="77777777" w:rsidTr="00455258">
        <w:tblPrEx>
          <w:tblBorders>
            <w:bottom w:val="single" w:sz="4" w:space="0" w:color="auto"/>
          </w:tblBorders>
          <w:shd w:val="clear" w:color="auto" w:fill="FFFFFF"/>
        </w:tblPrEx>
        <w:tc>
          <w:tcPr>
            <w:tcW w:w="909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14C0FD8" w14:textId="77777777" w:rsidR="00455258" w:rsidRDefault="00455258">
            <w:pPr>
              <w:spacing w:after="0" w:line="276" w:lineRule="auto"/>
              <w:jc w:val="left"/>
              <w:rPr>
                <w:rFonts w:eastAsia="Calibri" w:cs="Times New Roman"/>
                <w:b/>
                <w:bCs/>
                <w:sz w:val="16"/>
                <w:szCs w:val="16"/>
              </w:rPr>
            </w:pPr>
            <w:proofErr w:type="spellStart"/>
            <w:r>
              <w:rPr>
                <w:rFonts w:eastAsia="Calibri" w:cs="Times New Roman"/>
                <w:b/>
                <w:bCs/>
                <w:sz w:val="16"/>
                <w:szCs w:val="16"/>
              </w:rPr>
              <w:t>Antigout</w:t>
            </w:r>
            <w:proofErr w:type="spellEnd"/>
            <w:r>
              <w:rPr>
                <w:rFonts w:eastAsia="Calibri" w:cs="Times New Roman"/>
                <w:b/>
                <w:bCs/>
                <w:sz w:val="16"/>
                <w:szCs w:val="16"/>
              </w:rPr>
              <w:t xml:space="preserve"> and </w:t>
            </w:r>
            <w:proofErr w:type="spellStart"/>
            <w:r>
              <w:rPr>
                <w:rFonts w:eastAsia="Calibri" w:cs="Times New Roman"/>
                <w:b/>
                <w:bCs/>
                <w:sz w:val="16"/>
                <w:szCs w:val="16"/>
              </w:rPr>
              <w:t>Uricosuric</w:t>
            </w:r>
            <w:proofErr w:type="spellEnd"/>
            <w:r>
              <w:rPr>
                <w:rFonts w:eastAsia="Calibri" w:cs="Times New Roman"/>
                <w:b/>
                <w:bCs/>
                <w:sz w:val="16"/>
                <w:szCs w:val="16"/>
              </w:rPr>
              <w:t xml:space="preserve"> Agents</w:t>
            </w:r>
          </w:p>
        </w:tc>
      </w:tr>
      <w:tr w:rsidR="00455258" w14:paraId="398F94B4" w14:textId="77777777" w:rsidTr="00455258">
        <w:tblPrEx>
          <w:tblBorders>
            <w:bottom w:val="single" w:sz="4" w:space="0" w:color="auto"/>
          </w:tblBorders>
          <w:shd w:val="clear" w:color="auto" w:fill="FFFFFF"/>
        </w:tblPrEx>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3D224D10" w14:textId="77777777" w:rsidR="00455258" w:rsidRPr="00455258" w:rsidRDefault="00455258">
            <w:pPr>
              <w:spacing w:after="0" w:line="276" w:lineRule="auto"/>
              <w:rPr>
                <w:rFonts w:eastAsia="Calibri" w:cs="Times New Roman"/>
                <w:color w:val="000000"/>
                <w:sz w:val="16"/>
                <w:szCs w:val="16"/>
              </w:rPr>
            </w:pPr>
            <w:proofErr w:type="spellStart"/>
            <w:r>
              <w:rPr>
                <w:rFonts w:eastAsia="Calibri" w:cs="Times New Roman"/>
                <w:color w:val="000000"/>
                <w:sz w:val="16"/>
                <w:szCs w:val="16"/>
              </w:rPr>
              <w:t>lesinurad</w:t>
            </w:r>
            <w:proofErr w:type="spellEnd"/>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cPr>
          <w:p w14:paraId="67F32DB6" w14:textId="77777777" w:rsidR="00455258" w:rsidRDefault="00455258" w:rsidP="00455258">
            <w:pPr>
              <w:spacing w:after="0" w:line="276" w:lineRule="auto"/>
              <w:jc w:val="left"/>
              <w:rPr>
                <w:rFonts w:eastAsia="Calibri" w:cs="Times New Roman"/>
                <w:color w:val="000000"/>
                <w:sz w:val="16"/>
                <w:szCs w:val="16"/>
              </w:rPr>
            </w:pPr>
            <w:r>
              <w:rPr>
                <w:rFonts w:eastAsia="Calibri" w:cs="Times New Roman"/>
                <w:color w:val="000000"/>
                <w:sz w:val="16"/>
                <w:szCs w:val="16"/>
              </w:rPr>
              <w:t xml:space="preserve">Interaction not studied with doravirine or doravirine/lamivudine/tenofovir </w:t>
            </w:r>
            <w:r>
              <w:rPr>
                <w:rFonts w:eastAsia="Calibri" w:cs="Times New Roman"/>
                <w:color w:val="000000"/>
                <w:sz w:val="16"/>
                <w:szCs w:val="16"/>
              </w:rPr>
              <w:lastRenderedPageBreak/>
              <w:t>disoproxil MSD.</w:t>
            </w:r>
          </w:p>
          <w:p w14:paraId="772D8338" w14:textId="77777777" w:rsidR="00455258" w:rsidRPr="00455258" w:rsidRDefault="00455258" w:rsidP="00455258">
            <w:pPr>
              <w:spacing w:after="0" w:line="276" w:lineRule="auto"/>
              <w:jc w:val="left"/>
              <w:rPr>
                <w:rFonts w:eastAsia="Calibri" w:cs="Times New Roman"/>
                <w:color w:val="000000"/>
                <w:sz w:val="16"/>
                <w:szCs w:val="16"/>
              </w:rPr>
            </w:pPr>
          </w:p>
          <w:p w14:paraId="280FEEF6" w14:textId="77777777" w:rsidR="00455258" w:rsidRPr="00455258" w:rsidRDefault="00455258" w:rsidP="00455258">
            <w:pPr>
              <w:spacing w:after="0" w:line="276" w:lineRule="auto"/>
              <w:jc w:val="left"/>
              <w:rPr>
                <w:rFonts w:eastAsia="Calibri" w:cs="Times New Roman"/>
                <w:color w:val="000000"/>
                <w:sz w:val="16"/>
                <w:szCs w:val="16"/>
              </w:rPr>
            </w:pPr>
            <w:r w:rsidRPr="00455258">
              <w:rPr>
                <w:rFonts w:eastAsia="Calibri" w:cs="Times New Roman"/>
                <w:color w:val="000000"/>
                <w:sz w:val="16"/>
                <w:szCs w:val="16"/>
              </w:rPr>
              <w:t xml:space="preserve">Expected: </w:t>
            </w:r>
          </w:p>
          <w:p w14:paraId="064F1156" w14:textId="77777777" w:rsidR="00455258" w:rsidRPr="00455258" w:rsidRDefault="00455258" w:rsidP="00455258">
            <w:pPr>
              <w:spacing w:after="0" w:line="276" w:lineRule="auto"/>
              <w:jc w:val="left"/>
              <w:rPr>
                <w:rFonts w:eastAsia="Calibri" w:cs="Times New Roman"/>
                <w:color w:val="000000"/>
                <w:sz w:val="16"/>
                <w:szCs w:val="16"/>
              </w:rPr>
            </w:pPr>
            <w:r w:rsidRPr="00455258">
              <w:rPr>
                <w:rFonts w:eastAsia="Calibri" w:cs="Times New Roman"/>
                <w:color w:val="000000"/>
                <w:sz w:val="16"/>
                <w:szCs w:val="16"/>
              </w:rPr>
              <w:t>↓ doravirine</w:t>
            </w:r>
          </w:p>
          <w:p w14:paraId="2258CC09" w14:textId="77777777" w:rsidR="00455258" w:rsidRPr="00455258" w:rsidRDefault="00455258">
            <w:pPr>
              <w:spacing w:after="0" w:line="276" w:lineRule="auto"/>
              <w:jc w:val="left"/>
              <w:rPr>
                <w:rFonts w:eastAsia="Calibri" w:cs="Times New Roman"/>
                <w:color w:val="000000"/>
                <w:sz w:val="16"/>
                <w:szCs w:val="16"/>
              </w:rPr>
            </w:pPr>
            <w:r w:rsidRPr="00455258">
              <w:rPr>
                <w:rFonts w:eastAsia="Calibri" w:cs="Times New Roman"/>
                <w:color w:val="000000"/>
                <w:sz w:val="16"/>
                <w:szCs w:val="16"/>
              </w:rPr>
              <w:t>(Induction of CYP3A)</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cPr>
          <w:p w14:paraId="43984D29" w14:textId="12DDF8A2" w:rsidR="00455258" w:rsidRPr="00455258" w:rsidRDefault="00455258" w:rsidP="00455258">
            <w:pPr>
              <w:spacing w:after="0" w:line="276" w:lineRule="auto"/>
              <w:jc w:val="left"/>
              <w:rPr>
                <w:rFonts w:eastAsia="Calibri" w:cs="Times New Roman"/>
                <w:sz w:val="16"/>
                <w:szCs w:val="16"/>
              </w:rPr>
            </w:pPr>
            <w:r>
              <w:rPr>
                <w:rFonts w:eastAsia="Calibri" w:cs="Times New Roman"/>
                <w:sz w:val="16"/>
                <w:szCs w:val="16"/>
              </w:rPr>
              <w:lastRenderedPageBreak/>
              <w:t>Co-administration should be avoided. If co-administration cannot be avoided, a 100 mg dose of doravirine should be taken daily, approximately12 h after the</w:t>
            </w:r>
            <w:r w:rsidR="00C54C73">
              <w:rPr>
                <w:rFonts w:eastAsia="Calibri" w:cs="Times New Roman"/>
                <w:sz w:val="16"/>
                <w:szCs w:val="16"/>
              </w:rPr>
              <w:t xml:space="preserve"> </w:t>
            </w:r>
            <w:r>
              <w:rPr>
                <w:rFonts w:eastAsia="Calibri" w:cs="Times New Roman"/>
                <w:sz w:val="16"/>
                <w:szCs w:val="16"/>
              </w:rPr>
              <w:t>dose of doravirine/lamivudine/tenofovir disoproxil.</w:t>
            </w:r>
          </w:p>
          <w:p w14:paraId="44D4FA35" w14:textId="77777777" w:rsidR="00455258" w:rsidRPr="00455258" w:rsidRDefault="00455258">
            <w:pPr>
              <w:spacing w:after="0" w:line="276" w:lineRule="auto"/>
              <w:rPr>
                <w:rFonts w:eastAsia="Calibri" w:cs="Times New Roman"/>
                <w:color w:val="000000"/>
                <w:sz w:val="16"/>
                <w:szCs w:val="16"/>
              </w:rPr>
            </w:pPr>
          </w:p>
        </w:tc>
      </w:tr>
      <w:tr w:rsidR="00A46848" w:rsidRPr="00A46848" w14:paraId="5794CA89" w14:textId="77777777" w:rsidTr="00455258">
        <w:trPr>
          <w:gridAfter w:val="1"/>
          <w:wAfter w:w="18" w:type="dxa"/>
        </w:trPr>
        <w:tc>
          <w:tcPr>
            <w:tcW w:w="9072" w:type="dxa"/>
            <w:gridSpan w:val="5"/>
            <w:tcBorders>
              <w:top w:val="single" w:sz="4" w:space="0" w:color="auto"/>
              <w:left w:val="single" w:sz="4" w:space="0" w:color="auto"/>
              <w:bottom w:val="single" w:sz="4" w:space="0" w:color="auto"/>
              <w:right w:val="single" w:sz="4" w:space="0" w:color="auto"/>
            </w:tcBorders>
            <w:vAlign w:val="center"/>
            <w:hideMark/>
          </w:tcPr>
          <w:p w14:paraId="74BB7C19" w14:textId="77777777" w:rsidR="00A46848" w:rsidRPr="00A46848" w:rsidRDefault="00A46848" w:rsidP="00A46848">
            <w:pPr>
              <w:spacing w:after="0" w:line="276" w:lineRule="auto"/>
              <w:jc w:val="left"/>
              <w:rPr>
                <w:rFonts w:eastAsia="Calibri" w:cs="Times New Roman"/>
                <w:sz w:val="16"/>
                <w:szCs w:val="16"/>
                <w:lang w:val="en-US"/>
              </w:rPr>
            </w:pPr>
            <w:proofErr w:type="spellStart"/>
            <w:r w:rsidRPr="00A46848">
              <w:rPr>
                <w:rFonts w:eastAsia="Calibri" w:cs="Times New Roman"/>
                <w:b/>
                <w:sz w:val="16"/>
                <w:szCs w:val="16"/>
              </w:rPr>
              <w:t>Antimycobacterials</w:t>
            </w:r>
            <w:proofErr w:type="spellEnd"/>
          </w:p>
        </w:tc>
      </w:tr>
      <w:tr w:rsidR="00A46848" w:rsidRPr="00A46848" w14:paraId="42C514A4" w14:textId="77777777" w:rsidTr="00455258">
        <w:trPr>
          <w:gridAfter w:val="1"/>
          <w:wAfter w:w="18" w:type="dxa"/>
        </w:trPr>
        <w:tc>
          <w:tcPr>
            <w:tcW w:w="2268" w:type="dxa"/>
            <w:gridSpan w:val="2"/>
            <w:tcBorders>
              <w:top w:val="single" w:sz="4" w:space="0" w:color="auto"/>
              <w:left w:val="single" w:sz="4" w:space="0" w:color="auto"/>
              <w:bottom w:val="single" w:sz="4" w:space="0" w:color="auto"/>
              <w:right w:val="single" w:sz="4" w:space="0" w:color="auto"/>
            </w:tcBorders>
            <w:hideMark/>
          </w:tcPr>
          <w:p w14:paraId="022AC290" w14:textId="77777777" w:rsidR="00A46848" w:rsidRPr="00A46848" w:rsidRDefault="00A46848" w:rsidP="00A46848">
            <w:pPr>
              <w:spacing w:after="0" w:line="276" w:lineRule="auto"/>
              <w:rPr>
                <w:rFonts w:eastAsia="Calibri" w:cs="Times New Roman"/>
                <w:sz w:val="16"/>
                <w:szCs w:val="16"/>
                <w:lang w:val="en-US"/>
              </w:rPr>
            </w:pPr>
            <w:proofErr w:type="spellStart"/>
            <w:r w:rsidRPr="00A46848">
              <w:rPr>
                <w:rFonts w:eastAsia="Calibri" w:cs="Times New Roman"/>
                <w:sz w:val="16"/>
                <w:szCs w:val="16"/>
              </w:rPr>
              <w:t>rifabutin</w:t>
            </w:r>
            <w:proofErr w:type="spellEnd"/>
            <w:r w:rsidRPr="00A46848">
              <w:rPr>
                <w:rFonts w:eastAsia="MS Gothic" w:cs="Times New Roman"/>
                <w:color w:val="000000"/>
                <w:sz w:val="16"/>
                <w:szCs w:val="16"/>
                <w:lang w:eastAsia="en-AU"/>
              </w:rPr>
              <w:t>*</w:t>
            </w:r>
          </w:p>
        </w:tc>
        <w:tc>
          <w:tcPr>
            <w:tcW w:w="1560" w:type="dxa"/>
            <w:tcBorders>
              <w:top w:val="single" w:sz="4" w:space="0" w:color="auto"/>
              <w:left w:val="single" w:sz="4" w:space="0" w:color="auto"/>
              <w:bottom w:val="single" w:sz="4" w:space="0" w:color="auto"/>
              <w:right w:val="single" w:sz="4" w:space="0" w:color="auto"/>
            </w:tcBorders>
          </w:tcPr>
          <w:p w14:paraId="3D76CB28" w14:textId="77777777" w:rsidR="00A46848" w:rsidRPr="00A46848" w:rsidRDefault="00A46848" w:rsidP="00A46848">
            <w:pPr>
              <w:spacing w:after="0" w:line="276" w:lineRule="auto"/>
              <w:rPr>
                <w:rFonts w:eastAsia="Calibri" w:cs="Times New Roman"/>
                <w:sz w:val="16"/>
                <w:szCs w:val="16"/>
                <w:lang w:val="en-US"/>
              </w:rPr>
            </w:pPr>
            <w:r w:rsidRPr="00A46848">
              <w:rPr>
                <w:rFonts w:eastAsia="Calibri" w:cs="Times New Roman"/>
                <w:noProof/>
                <w:sz w:val="16"/>
                <w:szCs w:val="16"/>
              </w:rPr>
              <w:t xml:space="preserve">↓ </w:t>
            </w:r>
            <w:r w:rsidRPr="00A46848">
              <w:rPr>
                <w:rFonts w:eastAsia="Calibri" w:cs="Times New Roman"/>
                <w:sz w:val="16"/>
                <w:szCs w:val="16"/>
              </w:rPr>
              <w:t>doravirine</w:t>
            </w:r>
          </w:p>
          <w:p w14:paraId="115C83E5" w14:textId="77777777" w:rsidR="00A46848" w:rsidRPr="00A46848" w:rsidRDefault="00A46848" w:rsidP="00A46848">
            <w:pPr>
              <w:spacing w:after="0" w:line="276" w:lineRule="auto"/>
              <w:rPr>
                <w:rFonts w:eastAsia="Calibri" w:cs="Times New Roman"/>
                <w:sz w:val="16"/>
                <w:szCs w:val="16"/>
              </w:rPr>
            </w:pPr>
          </w:p>
          <w:p w14:paraId="253CA1D0" w14:textId="77777777" w:rsidR="00A46848" w:rsidRPr="00A46848" w:rsidRDefault="00A46848" w:rsidP="00A46848">
            <w:pPr>
              <w:spacing w:after="0" w:line="276" w:lineRule="auto"/>
              <w:rPr>
                <w:rFonts w:eastAsia="Calibri" w:cs="Times New Roman"/>
                <w:sz w:val="16"/>
                <w:szCs w:val="16"/>
              </w:rPr>
            </w:pPr>
            <w:r w:rsidRPr="00A46848">
              <w:rPr>
                <w:rFonts w:eastAsia="Calibri" w:cs="Times New Roman"/>
                <w:sz w:val="16"/>
                <w:szCs w:val="16"/>
              </w:rPr>
              <w:t xml:space="preserve">↔ </w:t>
            </w:r>
            <w:proofErr w:type="spellStart"/>
            <w:r w:rsidRPr="00A46848">
              <w:rPr>
                <w:rFonts w:eastAsia="Calibri" w:cs="Times New Roman"/>
                <w:sz w:val="16"/>
                <w:szCs w:val="16"/>
              </w:rPr>
              <w:t>rifabutin</w:t>
            </w:r>
            <w:proofErr w:type="spellEnd"/>
          </w:p>
          <w:p w14:paraId="22187631" w14:textId="77777777" w:rsidR="00A46848" w:rsidRPr="00A46848" w:rsidRDefault="00A46848" w:rsidP="00A46848">
            <w:pPr>
              <w:spacing w:after="0" w:line="276" w:lineRule="auto"/>
              <w:rPr>
                <w:rFonts w:eastAsia="Calibri" w:cs="Times New Roman"/>
                <w:sz w:val="16"/>
                <w:szCs w:val="16"/>
                <w:lang w:val="en-US"/>
              </w:rPr>
            </w:pPr>
          </w:p>
        </w:tc>
        <w:tc>
          <w:tcPr>
            <w:tcW w:w="5244" w:type="dxa"/>
            <w:gridSpan w:val="2"/>
            <w:tcBorders>
              <w:top w:val="single" w:sz="4" w:space="0" w:color="auto"/>
              <w:left w:val="single" w:sz="4" w:space="0" w:color="auto"/>
              <w:bottom w:val="single" w:sz="4" w:space="0" w:color="auto"/>
              <w:right w:val="single" w:sz="4" w:space="0" w:color="auto"/>
            </w:tcBorders>
          </w:tcPr>
          <w:p w14:paraId="1F7AF02C" w14:textId="4FB3BA8F" w:rsidR="00A46848" w:rsidRPr="00A46848" w:rsidRDefault="00A46848" w:rsidP="00A46848">
            <w:pPr>
              <w:spacing w:after="0" w:line="276" w:lineRule="auto"/>
              <w:jc w:val="left"/>
              <w:rPr>
                <w:rFonts w:eastAsia="Calibri" w:cs="Times New Roman"/>
                <w:sz w:val="16"/>
                <w:szCs w:val="16"/>
                <w:lang w:val="en-US"/>
              </w:rPr>
            </w:pPr>
            <w:r w:rsidRPr="00A46848">
              <w:rPr>
                <w:rFonts w:eastAsia="Calibri" w:cs="Times New Roman"/>
                <w:sz w:val="16"/>
                <w:szCs w:val="16"/>
              </w:rPr>
              <w:t xml:space="preserve">Concomitant use of </w:t>
            </w:r>
            <w:r w:rsidR="00B836DC">
              <w:rPr>
                <w:rFonts w:eastAsia="Calibri" w:cs="Times New Roman"/>
                <w:sz w:val="16"/>
                <w:szCs w:val="16"/>
              </w:rPr>
              <w:t>DELSTRIGO</w:t>
            </w:r>
            <w:r w:rsidRPr="00A46848">
              <w:rPr>
                <w:rFonts w:eastAsia="Calibri" w:cs="Times New Roman"/>
                <w:sz w:val="16"/>
                <w:szCs w:val="16"/>
              </w:rPr>
              <w:t xml:space="preserve"> with </w:t>
            </w:r>
            <w:proofErr w:type="spellStart"/>
            <w:r w:rsidRPr="00A46848">
              <w:rPr>
                <w:rFonts w:eastAsia="Calibri" w:cs="Times New Roman"/>
                <w:sz w:val="16"/>
                <w:szCs w:val="16"/>
              </w:rPr>
              <w:t>rifabutin</w:t>
            </w:r>
            <w:proofErr w:type="spellEnd"/>
            <w:r w:rsidRPr="00A46848">
              <w:rPr>
                <w:rFonts w:eastAsia="Calibri" w:cs="Times New Roman"/>
                <w:sz w:val="16"/>
                <w:szCs w:val="16"/>
              </w:rPr>
              <w:t xml:space="preserve"> may cause a decrease in the plasma concentrations of doravirine (induction of CYP3A enzymes).</w:t>
            </w:r>
          </w:p>
          <w:p w14:paraId="4A5C8E91" w14:textId="77777777" w:rsidR="00A46848" w:rsidRPr="00A46848" w:rsidRDefault="00A46848" w:rsidP="00A46848">
            <w:pPr>
              <w:spacing w:after="0" w:line="276" w:lineRule="auto"/>
              <w:jc w:val="left"/>
              <w:rPr>
                <w:rFonts w:eastAsia="Times New Roman" w:cs="Times New Roman"/>
                <w:color w:val="1A1A1A"/>
                <w:sz w:val="16"/>
                <w:szCs w:val="16"/>
              </w:rPr>
            </w:pPr>
          </w:p>
          <w:p w14:paraId="5BD62E8F" w14:textId="3DD42944" w:rsidR="00A46848" w:rsidRPr="00A46848" w:rsidRDefault="00A46848" w:rsidP="00A46848">
            <w:pPr>
              <w:spacing w:after="0" w:line="276" w:lineRule="auto"/>
              <w:jc w:val="left"/>
              <w:rPr>
                <w:rFonts w:eastAsia="Calibri" w:cs="Times New Roman"/>
                <w:sz w:val="16"/>
                <w:szCs w:val="16"/>
                <w:lang w:val="en-US"/>
              </w:rPr>
            </w:pPr>
            <w:r w:rsidRPr="00A46848">
              <w:rPr>
                <w:rFonts w:eastAsia="Times New Roman" w:cs="Times New Roman"/>
                <w:color w:val="1A1A1A"/>
                <w:sz w:val="16"/>
                <w:szCs w:val="16"/>
              </w:rPr>
              <w:t xml:space="preserve">If </w:t>
            </w:r>
            <w:r w:rsidR="00B836DC">
              <w:rPr>
                <w:rFonts w:eastAsia="Times New Roman" w:cs="Times New Roman"/>
                <w:color w:val="1A1A1A"/>
                <w:sz w:val="16"/>
                <w:szCs w:val="16"/>
              </w:rPr>
              <w:t>DELSTRIGO</w:t>
            </w:r>
            <w:r w:rsidRPr="00A46848">
              <w:rPr>
                <w:rFonts w:eastAsia="Times New Roman" w:cs="Times New Roman"/>
                <w:color w:val="1A1A1A"/>
                <w:sz w:val="16"/>
                <w:szCs w:val="16"/>
              </w:rPr>
              <w:t xml:space="preserve"> is co-administered with </w:t>
            </w:r>
            <w:proofErr w:type="spellStart"/>
            <w:r w:rsidRPr="00A46848">
              <w:rPr>
                <w:rFonts w:eastAsia="Times New Roman" w:cs="Times New Roman"/>
                <w:color w:val="1A1A1A"/>
                <w:sz w:val="16"/>
                <w:szCs w:val="16"/>
              </w:rPr>
              <w:t>rifabutin</w:t>
            </w:r>
            <w:proofErr w:type="spellEnd"/>
            <w:r w:rsidRPr="00A46848">
              <w:rPr>
                <w:rFonts w:eastAsia="Times New Roman" w:cs="Times New Roman"/>
                <w:color w:val="1A1A1A"/>
                <w:sz w:val="16"/>
                <w:szCs w:val="16"/>
              </w:rPr>
              <w:t>, one tablet of doravirine-</w:t>
            </w:r>
            <w:r w:rsidR="00C54C73">
              <w:rPr>
                <w:rFonts w:eastAsia="Times New Roman" w:cs="Times New Roman"/>
                <w:color w:val="1A1A1A"/>
                <w:sz w:val="16"/>
                <w:szCs w:val="16"/>
              </w:rPr>
              <w:t>PIFELTRO</w:t>
            </w:r>
            <w:r w:rsidRPr="00A46848">
              <w:rPr>
                <w:rFonts w:eastAsia="Times New Roman" w:cs="Times New Roman"/>
                <w:color w:val="1A1A1A"/>
                <w:sz w:val="16"/>
                <w:szCs w:val="16"/>
              </w:rPr>
              <w:t xml:space="preserve"> should be taken approximately 12 hours after the dose of </w:t>
            </w:r>
            <w:r w:rsidR="00B836DC">
              <w:rPr>
                <w:rFonts w:eastAsia="Times New Roman" w:cs="Times New Roman"/>
                <w:color w:val="1A1A1A"/>
                <w:sz w:val="16"/>
                <w:szCs w:val="16"/>
              </w:rPr>
              <w:t>DELSTRIGO</w:t>
            </w:r>
            <w:r w:rsidRPr="00A46848">
              <w:rPr>
                <w:rFonts w:eastAsia="Times New Roman" w:cs="Times New Roman"/>
                <w:color w:val="1A1A1A"/>
                <w:sz w:val="16"/>
                <w:szCs w:val="16"/>
              </w:rPr>
              <w:t xml:space="preserve"> </w:t>
            </w:r>
            <w:r w:rsidRPr="00A46848">
              <w:rPr>
                <w:rFonts w:eastAsia="Times New Roman" w:cs="Times New Roman"/>
                <w:i/>
                <w:color w:val="1A1A1A"/>
                <w:sz w:val="16"/>
                <w:szCs w:val="16"/>
              </w:rPr>
              <w:t xml:space="preserve"> </w:t>
            </w:r>
            <w:r w:rsidRPr="00A46848">
              <w:rPr>
                <w:rFonts w:eastAsia="Times New Roman" w:cs="Times New Roman"/>
                <w:color w:val="1A1A1A"/>
                <w:sz w:val="16"/>
                <w:szCs w:val="16"/>
              </w:rPr>
              <w:t xml:space="preserve">(see DOSAGE AND ADMINISTRATION). </w:t>
            </w:r>
          </w:p>
        </w:tc>
      </w:tr>
      <w:tr w:rsidR="00455258" w14:paraId="316F4115" w14:textId="77777777" w:rsidTr="00455258">
        <w:tblPrEx>
          <w:tblBorders>
            <w:bottom w:val="single" w:sz="4" w:space="0" w:color="auto"/>
          </w:tblBorders>
          <w:shd w:val="clear" w:color="auto" w:fill="FFFFFF"/>
        </w:tblPrEx>
        <w:tc>
          <w:tcPr>
            <w:tcW w:w="909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8835562" w14:textId="77777777" w:rsidR="00455258" w:rsidRDefault="00455258">
            <w:pPr>
              <w:spacing w:after="0" w:line="276" w:lineRule="auto"/>
              <w:jc w:val="left"/>
              <w:rPr>
                <w:rFonts w:eastAsia="Calibri" w:cs="Times New Roman"/>
                <w:b/>
                <w:bCs/>
                <w:sz w:val="16"/>
                <w:szCs w:val="16"/>
              </w:rPr>
            </w:pPr>
            <w:r>
              <w:rPr>
                <w:rFonts w:eastAsia="Calibri" w:cs="Times New Roman"/>
                <w:b/>
                <w:bCs/>
                <w:sz w:val="16"/>
                <w:szCs w:val="16"/>
              </w:rPr>
              <w:t>Antipsychotics</w:t>
            </w:r>
          </w:p>
        </w:tc>
      </w:tr>
      <w:tr w:rsidR="00455258" w14:paraId="37627F6D" w14:textId="77777777" w:rsidTr="00455258">
        <w:tblPrEx>
          <w:tblBorders>
            <w:bottom w:val="single" w:sz="4" w:space="0" w:color="auto"/>
          </w:tblBorders>
          <w:shd w:val="clear" w:color="auto" w:fill="FFFFFF"/>
        </w:tblPrEx>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14208A1D" w14:textId="77777777" w:rsidR="00455258" w:rsidRDefault="00455258">
            <w:pPr>
              <w:spacing w:after="0" w:line="276" w:lineRule="auto"/>
              <w:rPr>
                <w:rFonts w:eastAsia="Calibri" w:cs="Times New Roman"/>
                <w:color w:val="000000"/>
                <w:sz w:val="16"/>
                <w:szCs w:val="16"/>
              </w:rPr>
            </w:pPr>
            <w:proofErr w:type="spellStart"/>
            <w:r>
              <w:rPr>
                <w:rFonts w:eastAsia="Calibri" w:cs="Times New Roman"/>
                <w:color w:val="000000"/>
                <w:sz w:val="16"/>
                <w:szCs w:val="16"/>
              </w:rPr>
              <w:t>thioridazine</w:t>
            </w:r>
            <w:proofErr w:type="spellEnd"/>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cPr>
          <w:p w14:paraId="3F5F38F3"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Interaction not studied with doravirine or doravirine/lamivudine/tenofovir disoproxil MSD.</w:t>
            </w:r>
          </w:p>
          <w:p w14:paraId="4318A7E1" w14:textId="77777777" w:rsidR="00455258" w:rsidRDefault="00455258">
            <w:pPr>
              <w:spacing w:after="0" w:line="276" w:lineRule="auto"/>
              <w:jc w:val="left"/>
              <w:rPr>
                <w:rFonts w:eastAsia="Calibri" w:cs="Times New Roman"/>
                <w:color w:val="000000"/>
                <w:sz w:val="16"/>
                <w:szCs w:val="16"/>
              </w:rPr>
            </w:pPr>
          </w:p>
          <w:p w14:paraId="23ED4845"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xml:space="preserve">Expected: </w:t>
            </w:r>
          </w:p>
          <w:p w14:paraId="60FA3743"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doravirine</w:t>
            </w:r>
          </w:p>
          <w:p w14:paraId="7A26E804"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(Induction of CYP3A)</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cPr>
          <w:p w14:paraId="419FEA1F" w14:textId="0F3FE7AE" w:rsidR="00455258" w:rsidRDefault="00455258">
            <w:pPr>
              <w:spacing w:after="0" w:line="276" w:lineRule="auto"/>
              <w:jc w:val="left"/>
              <w:rPr>
                <w:rFonts w:eastAsia="Calibri" w:cs="Times New Roman"/>
                <w:sz w:val="16"/>
                <w:szCs w:val="16"/>
              </w:rPr>
            </w:pPr>
            <w:r>
              <w:rPr>
                <w:rFonts w:eastAsia="Calibri" w:cs="Times New Roman"/>
                <w:sz w:val="16"/>
                <w:szCs w:val="16"/>
              </w:rPr>
              <w:t>Co-administration should be avoided. If co-administration cannot be avoided, a 100 mg dose of doravirine should be taken daily, approximately12 h after the</w:t>
            </w:r>
            <w:r w:rsidR="00C54C73">
              <w:rPr>
                <w:rFonts w:eastAsia="Calibri" w:cs="Times New Roman"/>
                <w:sz w:val="16"/>
                <w:szCs w:val="16"/>
              </w:rPr>
              <w:t xml:space="preserve"> </w:t>
            </w:r>
            <w:r>
              <w:rPr>
                <w:rFonts w:eastAsia="Calibri" w:cs="Times New Roman"/>
                <w:sz w:val="16"/>
                <w:szCs w:val="16"/>
              </w:rPr>
              <w:t>dose of doravirine/lamivudine/tenofovir disoproxil.</w:t>
            </w:r>
          </w:p>
          <w:p w14:paraId="2EE58D17" w14:textId="77777777" w:rsidR="00455258" w:rsidRDefault="00455258">
            <w:pPr>
              <w:spacing w:after="0" w:line="276" w:lineRule="auto"/>
              <w:rPr>
                <w:rFonts w:eastAsia="Calibri" w:cs="Times New Roman"/>
                <w:color w:val="000000"/>
                <w:sz w:val="16"/>
                <w:szCs w:val="16"/>
              </w:rPr>
            </w:pPr>
          </w:p>
        </w:tc>
      </w:tr>
      <w:tr w:rsidR="00A46848" w:rsidRPr="00A46848" w14:paraId="5F781B20" w14:textId="77777777" w:rsidTr="00455258">
        <w:trPr>
          <w:gridAfter w:val="1"/>
          <w:wAfter w:w="18" w:type="dxa"/>
        </w:trPr>
        <w:tc>
          <w:tcPr>
            <w:tcW w:w="9072" w:type="dxa"/>
            <w:gridSpan w:val="5"/>
            <w:tcBorders>
              <w:top w:val="single" w:sz="4" w:space="0" w:color="auto"/>
              <w:left w:val="single" w:sz="4" w:space="0" w:color="auto"/>
              <w:bottom w:val="single" w:sz="4" w:space="0" w:color="auto"/>
              <w:right w:val="single" w:sz="4" w:space="0" w:color="auto"/>
            </w:tcBorders>
            <w:vAlign w:val="center"/>
            <w:hideMark/>
          </w:tcPr>
          <w:p w14:paraId="1DB5B89D" w14:textId="77777777" w:rsidR="00A46848" w:rsidRPr="00A46848" w:rsidRDefault="00A46848" w:rsidP="00A46848">
            <w:pPr>
              <w:spacing w:after="0" w:line="276" w:lineRule="auto"/>
              <w:jc w:val="left"/>
              <w:rPr>
                <w:rFonts w:eastAsia="Calibri" w:cs="Times New Roman"/>
                <w:sz w:val="16"/>
                <w:szCs w:val="16"/>
                <w:lang w:val="en-US"/>
              </w:rPr>
            </w:pPr>
            <w:r w:rsidRPr="00A46848">
              <w:rPr>
                <w:rFonts w:eastAsia="Calibri" w:cs="Times New Roman"/>
                <w:b/>
                <w:sz w:val="16"/>
                <w:szCs w:val="16"/>
              </w:rPr>
              <w:t>Azole Antifungal Agents</w:t>
            </w:r>
          </w:p>
        </w:tc>
      </w:tr>
      <w:tr w:rsidR="00A46848" w:rsidRPr="00A46848" w14:paraId="510FD03C" w14:textId="77777777" w:rsidTr="00455258">
        <w:trPr>
          <w:gridAfter w:val="1"/>
          <w:wAfter w:w="18" w:type="dxa"/>
        </w:trPr>
        <w:tc>
          <w:tcPr>
            <w:tcW w:w="2268" w:type="dxa"/>
            <w:gridSpan w:val="2"/>
            <w:tcBorders>
              <w:top w:val="single" w:sz="4" w:space="0" w:color="auto"/>
              <w:left w:val="single" w:sz="4" w:space="0" w:color="auto"/>
              <w:bottom w:val="single" w:sz="4" w:space="0" w:color="auto"/>
              <w:right w:val="single" w:sz="4" w:space="0" w:color="auto"/>
            </w:tcBorders>
            <w:hideMark/>
          </w:tcPr>
          <w:p w14:paraId="1DB58E64" w14:textId="77777777" w:rsidR="00A46848" w:rsidRPr="00A46848" w:rsidRDefault="00A46848" w:rsidP="00A46848">
            <w:pPr>
              <w:spacing w:after="0" w:line="276" w:lineRule="auto"/>
              <w:rPr>
                <w:rFonts w:eastAsia="Calibri" w:cs="Times New Roman"/>
                <w:sz w:val="16"/>
                <w:szCs w:val="16"/>
                <w:lang w:val="en-US"/>
              </w:rPr>
            </w:pPr>
            <w:r w:rsidRPr="00A46848">
              <w:rPr>
                <w:rFonts w:eastAsia="Calibri" w:cs="Times New Roman"/>
                <w:sz w:val="16"/>
                <w:szCs w:val="16"/>
              </w:rPr>
              <w:t>fluconazole</w:t>
            </w:r>
          </w:p>
          <w:p w14:paraId="59245E28" w14:textId="77777777" w:rsidR="00A46848" w:rsidRPr="00A46848" w:rsidRDefault="00A46848" w:rsidP="00A46848">
            <w:pPr>
              <w:spacing w:after="0" w:line="276" w:lineRule="auto"/>
              <w:rPr>
                <w:rFonts w:eastAsia="Calibri" w:cs="Times New Roman"/>
                <w:sz w:val="16"/>
                <w:szCs w:val="16"/>
              </w:rPr>
            </w:pPr>
            <w:proofErr w:type="spellStart"/>
            <w:r w:rsidRPr="00A46848">
              <w:rPr>
                <w:rFonts w:eastAsia="Calibri" w:cs="Times New Roman"/>
                <w:sz w:val="16"/>
                <w:szCs w:val="16"/>
              </w:rPr>
              <w:t>itraconazole</w:t>
            </w:r>
            <w:proofErr w:type="spellEnd"/>
          </w:p>
          <w:p w14:paraId="633CF77A" w14:textId="77777777" w:rsidR="00A46848" w:rsidRPr="00A46848" w:rsidRDefault="00A46848" w:rsidP="00A46848">
            <w:pPr>
              <w:spacing w:after="0" w:line="276" w:lineRule="auto"/>
              <w:rPr>
                <w:rFonts w:eastAsia="Calibri" w:cs="Times New Roman"/>
                <w:sz w:val="16"/>
                <w:szCs w:val="16"/>
              </w:rPr>
            </w:pPr>
            <w:r w:rsidRPr="00A46848">
              <w:rPr>
                <w:rFonts w:eastAsia="Calibri" w:cs="Times New Roman"/>
                <w:sz w:val="16"/>
                <w:szCs w:val="16"/>
              </w:rPr>
              <w:t>ketoconazole</w:t>
            </w:r>
            <w:r w:rsidRPr="00A46848">
              <w:rPr>
                <w:rFonts w:eastAsia="MS Gothic" w:cs="Times New Roman"/>
                <w:color w:val="000000"/>
                <w:sz w:val="16"/>
                <w:szCs w:val="16"/>
                <w:lang w:eastAsia="en-AU"/>
              </w:rPr>
              <w:t>*</w:t>
            </w:r>
          </w:p>
          <w:p w14:paraId="34EEE015" w14:textId="77777777" w:rsidR="00A46848" w:rsidRPr="00A46848" w:rsidRDefault="00A46848" w:rsidP="00A46848">
            <w:pPr>
              <w:spacing w:after="0" w:line="276" w:lineRule="auto"/>
              <w:rPr>
                <w:rFonts w:eastAsia="Calibri" w:cs="Times New Roman"/>
                <w:sz w:val="16"/>
                <w:szCs w:val="16"/>
              </w:rPr>
            </w:pPr>
            <w:proofErr w:type="spellStart"/>
            <w:r w:rsidRPr="00A46848">
              <w:rPr>
                <w:rFonts w:eastAsia="Calibri" w:cs="Times New Roman"/>
                <w:sz w:val="16"/>
                <w:szCs w:val="16"/>
              </w:rPr>
              <w:t>posaconazole</w:t>
            </w:r>
            <w:proofErr w:type="spellEnd"/>
          </w:p>
          <w:p w14:paraId="4B175A86" w14:textId="77777777" w:rsidR="00A46848" w:rsidRPr="00A46848" w:rsidRDefault="00A46848" w:rsidP="00A46848">
            <w:pPr>
              <w:spacing w:after="0" w:line="276" w:lineRule="auto"/>
              <w:rPr>
                <w:rFonts w:eastAsia="Calibri" w:cs="Times New Roman"/>
                <w:sz w:val="16"/>
                <w:szCs w:val="16"/>
                <w:lang w:val="en-US"/>
              </w:rPr>
            </w:pPr>
            <w:proofErr w:type="spellStart"/>
            <w:r w:rsidRPr="00A46848">
              <w:rPr>
                <w:rFonts w:eastAsia="Calibri" w:cs="Times New Roman"/>
                <w:sz w:val="16"/>
                <w:szCs w:val="16"/>
              </w:rPr>
              <w:t>voriconazole</w:t>
            </w:r>
            <w:proofErr w:type="spellEnd"/>
          </w:p>
        </w:tc>
        <w:tc>
          <w:tcPr>
            <w:tcW w:w="1560" w:type="dxa"/>
            <w:tcBorders>
              <w:top w:val="single" w:sz="4" w:space="0" w:color="auto"/>
              <w:left w:val="single" w:sz="4" w:space="0" w:color="auto"/>
              <w:bottom w:val="single" w:sz="4" w:space="0" w:color="auto"/>
              <w:right w:val="single" w:sz="4" w:space="0" w:color="auto"/>
            </w:tcBorders>
          </w:tcPr>
          <w:p w14:paraId="59F898CD" w14:textId="77777777" w:rsidR="00A46848" w:rsidRPr="00A46848" w:rsidRDefault="00A46848" w:rsidP="00A46848">
            <w:pPr>
              <w:spacing w:after="0" w:line="276" w:lineRule="auto"/>
              <w:rPr>
                <w:rFonts w:eastAsia="Calibri" w:cs="Times New Roman"/>
                <w:sz w:val="16"/>
                <w:szCs w:val="16"/>
                <w:lang w:val="en-US"/>
              </w:rPr>
            </w:pPr>
            <w:r w:rsidRPr="00A46848">
              <w:rPr>
                <w:rFonts w:eastAsia="Calibri" w:cs="Times New Roman"/>
                <w:sz w:val="16"/>
                <w:szCs w:val="16"/>
              </w:rPr>
              <w:t>↑ doravirine</w:t>
            </w:r>
          </w:p>
          <w:p w14:paraId="310ACD4F" w14:textId="77777777" w:rsidR="00A46848" w:rsidRPr="00A46848" w:rsidRDefault="00A46848" w:rsidP="00A46848">
            <w:pPr>
              <w:spacing w:after="0" w:line="276" w:lineRule="auto"/>
              <w:rPr>
                <w:rFonts w:eastAsia="Calibri" w:cs="Times New Roman"/>
                <w:sz w:val="16"/>
                <w:szCs w:val="16"/>
              </w:rPr>
            </w:pPr>
          </w:p>
          <w:p w14:paraId="06732B91" w14:textId="77777777" w:rsidR="00A46848" w:rsidRPr="00A46848" w:rsidRDefault="00A46848" w:rsidP="00A46848">
            <w:pPr>
              <w:spacing w:after="0" w:line="276" w:lineRule="auto"/>
              <w:rPr>
                <w:rFonts w:eastAsia="Calibri" w:cs="Times New Roman"/>
                <w:sz w:val="16"/>
                <w:szCs w:val="16"/>
              </w:rPr>
            </w:pPr>
            <w:r w:rsidRPr="00A46848">
              <w:rPr>
                <w:rFonts w:eastAsia="Calibri" w:cs="Times New Roman"/>
                <w:sz w:val="16"/>
                <w:szCs w:val="16"/>
              </w:rPr>
              <w:t>↔ azole antifungal agents</w:t>
            </w:r>
          </w:p>
          <w:p w14:paraId="0B5B0151" w14:textId="77777777" w:rsidR="00A46848" w:rsidRPr="00A46848" w:rsidRDefault="00A46848" w:rsidP="00A46848">
            <w:pPr>
              <w:spacing w:after="0" w:line="276" w:lineRule="auto"/>
              <w:rPr>
                <w:rFonts w:eastAsia="Calibri" w:cs="Times New Roman"/>
                <w:sz w:val="16"/>
                <w:szCs w:val="16"/>
                <w:lang w:val="en-US"/>
              </w:rPr>
            </w:pPr>
          </w:p>
        </w:tc>
        <w:tc>
          <w:tcPr>
            <w:tcW w:w="5244" w:type="dxa"/>
            <w:gridSpan w:val="2"/>
            <w:tcBorders>
              <w:top w:val="single" w:sz="4" w:space="0" w:color="auto"/>
              <w:left w:val="single" w:sz="4" w:space="0" w:color="auto"/>
              <w:bottom w:val="single" w:sz="4" w:space="0" w:color="auto"/>
              <w:right w:val="single" w:sz="4" w:space="0" w:color="auto"/>
            </w:tcBorders>
          </w:tcPr>
          <w:p w14:paraId="3D4E3746" w14:textId="37B4D17E" w:rsidR="00A46848" w:rsidRPr="00A46848" w:rsidRDefault="00A46848" w:rsidP="00A46848">
            <w:pPr>
              <w:spacing w:after="0" w:line="276" w:lineRule="auto"/>
              <w:jc w:val="left"/>
              <w:rPr>
                <w:rFonts w:eastAsia="Calibri" w:cs="Times New Roman"/>
                <w:sz w:val="16"/>
                <w:szCs w:val="16"/>
                <w:lang w:val="en-US"/>
              </w:rPr>
            </w:pPr>
            <w:r w:rsidRPr="00A46848">
              <w:rPr>
                <w:rFonts w:eastAsia="Calibri" w:cs="Times New Roman"/>
                <w:sz w:val="16"/>
                <w:szCs w:val="16"/>
              </w:rPr>
              <w:t xml:space="preserve">Concomitant use of </w:t>
            </w:r>
            <w:r w:rsidR="00B836DC">
              <w:rPr>
                <w:rFonts w:eastAsia="Calibri" w:cs="Times New Roman"/>
                <w:sz w:val="16"/>
                <w:szCs w:val="16"/>
              </w:rPr>
              <w:t>DELSTRIGO</w:t>
            </w:r>
            <w:r w:rsidRPr="00A46848">
              <w:rPr>
                <w:rFonts w:eastAsia="Calibri" w:cs="Times New Roman"/>
                <w:sz w:val="16"/>
                <w:szCs w:val="16"/>
              </w:rPr>
              <w:t xml:space="preserve"> with azole antifungal agents may cause an increase in the plasma concentrations of </w:t>
            </w:r>
            <w:r w:rsidR="00B836DC">
              <w:rPr>
                <w:rFonts w:eastAsia="Calibri" w:cs="Times New Roman"/>
                <w:sz w:val="16"/>
                <w:szCs w:val="16"/>
              </w:rPr>
              <w:t>DELSTRIGO</w:t>
            </w:r>
            <w:r w:rsidRPr="00A46848">
              <w:rPr>
                <w:rFonts w:eastAsia="Calibri" w:cs="Times New Roman"/>
                <w:sz w:val="16"/>
                <w:szCs w:val="16"/>
              </w:rPr>
              <w:t xml:space="preserve"> (inhibition of CYP3A enzymes).</w:t>
            </w:r>
          </w:p>
          <w:p w14:paraId="7CAB50C4" w14:textId="77777777" w:rsidR="00A46848" w:rsidRPr="00A46848" w:rsidRDefault="00A46848" w:rsidP="00A46848">
            <w:pPr>
              <w:spacing w:after="0" w:line="276" w:lineRule="auto"/>
              <w:jc w:val="left"/>
              <w:rPr>
                <w:rFonts w:eastAsia="Calibri" w:cs="Times New Roman"/>
                <w:sz w:val="16"/>
                <w:szCs w:val="16"/>
              </w:rPr>
            </w:pPr>
          </w:p>
          <w:p w14:paraId="53467553" w14:textId="06EEF190" w:rsidR="00A46848" w:rsidRPr="00A46848" w:rsidRDefault="00A46848" w:rsidP="00A46848">
            <w:pPr>
              <w:spacing w:after="0" w:line="276" w:lineRule="auto"/>
              <w:jc w:val="left"/>
              <w:rPr>
                <w:rFonts w:eastAsia="Calibri" w:cs="Times New Roman"/>
                <w:sz w:val="16"/>
                <w:szCs w:val="16"/>
                <w:lang w:val="en-US"/>
              </w:rPr>
            </w:pPr>
            <w:r w:rsidRPr="00A46848">
              <w:rPr>
                <w:rFonts w:eastAsia="Calibri" w:cs="Times New Roman"/>
                <w:sz w:val="16"/>
                <w:szCs w:val="16"/>
              </w:rPr>
              <w:t xml:space="preserve">No doravirine dose adjustment is required when </w:t>
            </w:r>
            <w:r w:rsidR="00B836DC">
              <w:rPr>
                <w:rFonts w:eastAsia="Calibri" w:cs="Times New Roman"/>
                <w:sz w:val="16"/>
                <w:szCs w:val="16"/>
              </w:rPr>
              <w:t>DELSTRIGO</w:t>
            </w:r>
            <w:r w:rsidRPr="00A46848">
              <w:rPr>
                <w:rFonts w:eastAsia="Calibri" w:cs="Times New Roman"/>
                <w:sz w:val="16"/>
                <w:szCs w:val="16"/>
              </w:rPr>
              <w:t xml:space="preserve"> is co-administered with azole antifungal agents.</w:t>
            </w:r>
          </w:p>
        </w:tc>
      </w:tr>
      <w:tr w:rsidR="00455258" w14:paraId="0C63358C" w14:textId="77777777" w:rsidTr="00455258">
        <w:tblPrEx>
          <w:tblBorders>
            <w:bottom w:val="single" w:sz="4" w:space="0" w:color="auto"/>
          </w:tblBorders>
          <w:shd w:val="clear" w:color="auto" w:fill="FFFFFF"/>
        </w:tblPrEx>
        <w:tc>
          <w:tcPr>
            <w:tcW w:w="909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2F447D" w14:textId="77777777" w:rsidR="00455258" w:rsidRDefault="00455258">
            <w:pPr>
              <w:spacing w:after="0" w:line="276" w:lineRule="auto"/>
              <w:jc w:val="left"/>
              <w:rPr>
                <w:rFonts w:eastAsia="Calibri" w:cs="Times New Roman"/>
                <w:b/>
                <w:bCs/>
                <w:sz w:val="16"/>
                <w:szCs w:val="16"/>
              </w:rPr>
            </w:pPr>
            <w:r>
              <w:rPr>
                <w:rFonts w:eastAsia="Calibri" w:cs="Times New Roman"/>
                <w:b/>
                <w:bCs/>
                <w:sz w:val="16"/>
                <w:szCs w:val="16"/>
              </w:rPr>
              <w:t>Endothelin Receptor Antagonists</w:t>
            </w:r>
          </w:p>
        </w:tc>
      </w:tr>
      <w:tr w:rsidR="00455258" w14:paraId="756E4ACC" w14:textId="77777777" w:rsidTr="00455258">
        <w:tblPrEx>
          <w:tblBorders>
            <w:bottom w:val="single" w:sz="4" w:space="0" w:color="auto"/>
          </w:tblBorders>
          <w:shd w:val="clear" w:color="auto" w:fill="FFFFFF"/>
        </w:tblPrEx>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5509EFEF" w14:textId="77777777" w:rsidR="00455258" w:rsidRDefault="00455258">
            <w:pPr>
              <w:spacing w:after="0" w:line="276" w:lineRule="auto"/>
              <w:rPr>
                <w:rFonts w:eastAsia="Calibri" w:cs="Times New Roman"/>
                <w:color w:val="000000"/>
                <w:sz w:val="16"/>
                <w:szCs w:val="16"/>
              </w:rPr>
            </w:pPr>
            <w:proofErr w:type="spellStart"/>
            <w:r>
              <w:rPr>
                <w:rFonts w:eastAsia="Calibri" w:cs="Times New Roman"/>
                <w:color w:val="000000"/>
                <w:sz w:val="16"/>
                <w:szCs w:val="16"/>
              </w:rPr>
              <w:t>bosentan</w:t>
            </w:r>
            <w:proofErr w:type="spellEnd"/>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cPr>
          <w:p w14:paraId="794686E0"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xml:space="preserve">Interaction not studied. </w:t>
            </w:r>
          </w:p>
          <w:p w14:paraId="21B14486" w14:textId="77777777" w:rsidR="00455258" w:rsidRDefault="00455258">
            <w:pPr>
              <w:spacing w:after="0" w:line="276" w:lineRule="auto"/>
              <w:jc w:val="left"/>
              <w:rPr>
                <w:rFonts w:eastAsia="Calibri" w:cs="Times New Roman"/>
                <w:color w:val="000000"/>
                <w:sz w:val="16"/>
                <w:szCs w:val="16"/>
              </w:rPr>
            </w:pPr>
          </w:p>
          <w:p w14:paraId="289E99FB"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xml:space="preserve">Expected: </w:t>
            </w:r>
          </w:p>
          <w:p w14:paraId="6785E8BB"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doravirine</w:t>
            </w:r>
          </w:p>
          <w:p w14:paraId="173E30C4"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(Induction of CYP3A)</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cPr>
          <w:p w14:paraId="47E19915" w14:textId="77777777" w:rsidR="00455258" w:rsidRDefault="00455258">
            <w:pPr>
              <w:spacing w:after="0" w:line="276" w:lineRule="auto"/>
              <w:jc w:val="left"/>
              <w:rPr>
                <w:rFonts w:eastAsia="Calibri" w:cs="Times New Roman"/>
                <w:sz w:val="16"/>
                <w:szCs w:val="16"/>
                <w:lang w:eastAsia="en-AU"/>
              </w:rPr>
            </w:pPr>
            <w:r>
              <w:rPr>
                <w:rFonts w:eastAsia="Calibri" w:cs="Times New Roman"/>
                <w:sz w:val="16"/>
                <w:szCs w:val="16"/>
                <w:lang w:eastAsia="en-AU"/>
              </w:rPr>
              <w:t>Co-administration should be avoided. If co-administration cannot be avoided, a 100 mg dose of doravirine should be taken daily, approximately12 h after the dose of doravirine/lamivudine/tenofovir disoproxil.</w:t>
            </w:r>
          </w:p>
          <w:p w14:paraId="34BA9837" w14:textId="77777777" w:rsidR="00455258" w:rsidRDefault="00455258">
            <w:pPr>
              <w:spacing w:after="0" w:line="276" w:lineRule="auto"/>
              <w:rPr>
                <w:rFonts w:eastAsia="Calibri" w:cs="Times New Roman"/>
                <w:color w:val="000000"/>
                <w:sz w:val="16"/>
                <w:szCs w:val="16"/>
              </w:rPr>
            </w:pPr>
          </w:p>
        </w:tc>
      </w:tr>
      <w:tr w:rsidR="00455258" w14:paraId="459F8C28" w14:textId="77777777" w:rsidTr="00455258">
        <w:tblPrEx>
          <w:tblBorders>
            <w:bottom w:val="single" w:sz="4" w:space="0" w:color="auto"/>
          </w:tblBorders>
          <w:shd w:val="clear" w:color="auto" w:fill="FFFFFF"/>
        </w:tblPrEx>
        <w:tc>
          <w:tcPr>
            <w:tcW w:w="909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3865A1" w14:textId="77777777" w:rsidR="00455258" w:rsidRDefault="00455258">
            <w:pPr>
              <w:spacing w:after="0" w:line="276" w:lineRule="auto"/>
              <w:jc w:val="left"/>
              <w:rPr>
                <w:rFonts w:eastAsia="Calibri" w:cs="Times New Roman"/>
                <w:b/>
                <w:bCs/>
                <w:sz w:val="16"/>
                <w:szCs w:val="16"/>
              </w:rPr>
            </w:pPr>
            <w:r>
              <w:rPr>
                <w:rFonts w:eastAsia="Calibri" w:cs="Times New Roman"/>
                <w:b/>
                <w:bCs/>
                <w:sz w:val="16"/>
                <w:szCs w:val="16"/>
              </w:rPr>
              <w:t>Kinase Inhibitors</w:t>
            </w:r>
          </w:p>
        </w:tc>
      </w:tr>
      <w:tr w:rsidR="00455258" w14:paraId="1542F85C" w14:textId="77777777" w:rsidTr="00455258">
        <w:tblPrEx>
          <w:tblBorders>
            <w:bottom w:val="single" w:sz="4" w:space="0" w:color="auto"/>
          </w:tblBorders>
          <w:shd w:val="clear" w:color="auto" w:fill="FFFFFF"/>
        </w:tblPrEx>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14D0BCFD" w14:textId="77777777" w:rsidR="00455258" w:rsidRDefault="00455258">
            <w:pPr>
              <w:spacing w:after="0" w:line="276" w:lineRule="auto"/>
              <w:rPr>
                <w:rFonts w:eastAsia="Calibri" w:cs="Times New Roman"/>
                <w:color w:val="000000"/>
                <w:sz w:val="16"/>
                <w:szCs w:val="16"/>
              </w:rPr>
            </w:pPr>
            <w:proofErr w:type="spellStart"/>
            <w:r>
              <w:rPr>
                <w:rFonts w:eastAsia="Calibri" w:cs="Times New Roman"/>
                <w:color w:val="000000"/>
                <w:sz w:val="16"/>
                <w:szCs w:val="16"/>
              </w:rPr>
              <w:t>dabrafenib</w:t>
            </w:r>
            <w:proofErr w:type="spellEnd"/>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cPr>
          <w:p w14:paraId="26EF0350"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Interaction not studied.</w:t>
            </w:r>
          </w:p>
          <w:p w14:paraId="3A5EDFE4" w14:textId="77777777" w:rsidR="00455258" w:rsidRDefault="00455258">
            <w:pPr>
              <w:spacing w:after="0" w:line="276" w:lineRule="auto"/>
              <w:jc w:val="left"/>
              <w:rPr>
                <w:rFonts w:eastAsia="Calibri" w:cs="Times New Roman"/>
                <w:color w:val="000000"/>
                <w:sz w:val="16"/>
                <w:szCs w:val="16"/>
              </w:rPr>
            </w:pPr>
          </w:p>
          <w:p w14:paraId="64C000C6"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xml:space="preserve">Expected: </w:t>
            </w:r>
          </w:p>
          <w:p w14:paraId="34EA88B1"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doravirine</w:t>
            </w:r>
          </w:p>
          <w:p w14:paraId="248AC332"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(Induction of CYP3A)</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6F2748" w14:textId="77777777" w:rsidR="00455258" w:rsidRDefault="00455258">
            <w:pPr>
              <w:spacing w:after="0" w:line="276" w:lineRule="auto"/>
              <w:jc w:val="left"/>
              <w:rPr>
                <w:rFonts w:eastAsia="Calibri" w:cs="Times New Roman"/>
                <w:color w:val="000000"/>
                <w:sz w:val="16"/>
                <w:szCs w:val="16"/>
              </w:rPr>
            </w:pPr>
            <w:r>
              <w:rPr>
                <w:rFonts w:eastAsia="Calibri" w:cs="Times New Roman"/>
                <w:sz w:val="16"/>
                <w:szCs w:val="16"/>
                <w:lang w:eastAsia="en-AU"/>
              </w:rPr>
              <w:t>Co-administration should be avoided. If co-administration cannot be avoided, a 100 mg dose of doravirine should be taken daily, approximately 12 h after the dose of doravirine/lamivudine/tenofovir disoproxil</w:t>
            </w:r>
          </w:p>
        </w:tc>
      </w:tr>
      <w:tr w:rsidR="00A46848" w:rsidRPr="00A46848" w14:paraId="34DB68A7" w14:textId="77777777" w:rsidTr="00455258">
        <w:trPr>
          <w:gridAfter w:val="1"/>
          <w:wAfter w:w="18" w:type="dxa"/>
        </w:trPr>
        <w:tc>
          <w:tcPr>
            <w:tcW w:w="9072" w:type="dxa"/>
            <w:gridSpan w:val="5"/>
            <w:tcBorders>
              <w:top w:val="single" w:sz="4" w:space="0" w:color="auto"/>
              <w:left w:val="single" w:sz="4" w:space="0" w:color="auto"/>
              <w:bottom w:val="single" w:sz="4" w:space="0" w:color="auto"/>
              <w:right w:val="single" w:sz="4" w:space="0" w:color="auto"/>
            </w:tcBorders>
            <w:vAlign w:val="center"/>
            <w:hideMark/>
          </w:tcPr>
          <w:p w14:paraId="66B47AE4" w14:textId="77777777" w:rsidR="00A46848" w:rsidRPr="00A46848" w:rsidRDefault="00A46848" w:rsidP="00A46848">
            <w:pPr>
              <w:spacing w:after="0" w:line="276" w:lineRule="auto"/>
              <w:jc w:val="left"/>
              <w:rPr>
                <w:rFonts w:eastAsia="Calibri" w:cs="Times New Roman"/>
                <w:sz w:val="16"/>
                <w:szCs w:val="16"/>
                <w:lang w:val="en-US"/>
              </w:rPr>
            </w:pPr>
            <w:r w:rsidRPr="00A46848">
              <w:rPr>
                <w:rFonts w:eastAsia="Calibri" w:cs="Times New Roman"/>
                <w:b/>
                <w:bCs/>
                <w:sz w:val="16"/>
                <w:szCs w:val="16"/>
              </w:rPr>
              <w:t>Hepatitis C Antiviral Agents</w:t>
            </w:r>
          </w:p>
        </w:tc>
      </w:tr>
      <w:tr w:rsidR="00A46848" w:rsidRPr="00A46848" w14:paraId="39F49404" w14:textId="77777777" w:rsidTr="00455258">
        <w:trPr>
          <w:gridAfter w:val="1"/>
          <w:wAfter w:w="18" w:type="dxa"/>
        </w:trPr>
        <w:tc>
          <w:tcPr>
            <w:tcW w:w="2268" w:type="dxa"/>
            <w:gridSpan w:val="2"/>
            <w:tcBorders>
              <w:top w:val="single" w:sz="4" w:space="0" w:color="auto"/>
              <w:left w:val="single" w:sz="4" w:space="0" w:color="auto"/>
              <w:bottom w:val="single" w:sz="4" w:space="0" w:color="auto"/>
              <w:right w:val="single" w:sz="4" w:space="0" w:color="auto"/>
            </w:tcBorders>
          </w:tcPr>
          <w:p w14:paraId="604A90C1" w14:textId="77777777" w:rsidR="00A46848" w:rsidRPr="00A46848" w:rsidRDefault="00A46848" w:rsidP="00A46848">
            <w:pPr>
              <w:spacing w:after="0" w:line="276" w:lineRule="auto"/>
              <w:rPr>
                <w:rFonts w:eastAsia="Calibri" w:cs="Times New Roman"/>
                <w:color w:val="000000"/>
                <w:sz w:val="16"/>
                <w:szCs w:val="16"/>
                <w:lang w:val="en-US"/>
              </w:rPr>
            </w:pPr>
            <w:proofErr w:type="spellStart"/>
            <w:r w:rsidRPr="00A46848">
              <w:rPr>
                <w:rFonts w:eastAsia="Calibri" w:cs="Times New Roman"/>
                <w:color w:val="000000"/>
                <w:sz w:val="16"/>
                <w:szCs w:val="16"/>
              </w:rPr>
              <w:t>ledipasvir</w:t>
            </w:r>
            <w:proofErr w:type="spellEnd"/>
            <w:r w:rsidRPr="00A46848">
              <w:rPr>
                <w:rFonts w:eastAsia="Calibri" w:cs="Times New Roman"/>
                <w:color w:val="000000"/>
                <w:sz w:val="16"/>
                <w:szCs w:val="16"/>
              </w:rPr>
              <w:t>/</w:t>
            </w:r>
            <w:proofErr w:type="spellStart"/>
            <w:r w:rsidRPr="00A46848">
              <w:rPr>
                <w:rFonts w:eastAsia="Calibri" w:cs="Times New Roman"/>
                <w:color w:val="000000"/>
                <w:sz w:val="16"/>
                <w:szCs w:val="16"/>
              </w:rPr>
              <w:t>sofosbuvir</w:t>
            </w:r>
            <w:proofErr w:type="spellEnd"/>
            <w:r w:rsidRPr="00A46848">
              <w:rPr>
                <w:rFonts w:eastAsia="Calibri" w:cs="Times New Roman"/>
                <w:color w:val="000000"/>
                <w:sz w:val="16"/>
                <w:szCs w:val="16"/>
              </w:rPr>
              <w:t xml:space="preserve"> </w:t>
            </w:r>
            <w:proofErr w:type="spellStart"/>
            <w:r w:rsidRPr="00A46848">
              <w:rPr>
                <w:rFonts w:eastAsia="Calibri" w:cs="Times New Roman"/>
                <w:color w:val="000000"/>
                <w:sz w:val="16"/>
                <w:szCs w:val="16"/>
              </w:rPr>
              <w:t>sofosbuvir</w:t>
            </w:r>
            <w:proofErr w:type="spellEnd"/>
            <w:r w:rsidRPr="00A46848">
              <w:rPr>
                <w:rFonts w:eastAsia="Calibri" w:cs="Times New Roman"/>
                <w:color w:val="000000"/>
                <w:sz w:val="16"/>
                <w:szCs w:val="16"/>
              </w:rPr>
              <w:t>/</w:t>
            </w:r>
            <w:proofErr w:type="spellStart"/>
            <w:r w:rsidRPr="00A46848">
              <w:rPr>
                <w:rFonts w:eastAsia="Calibri" w:cs="Times New Roman"/>
                <w:color w:val="000000"/>
                <w:sz w:val="16"/>
                <w:szCs w:val="16"/>
              </w:rPr>
              <w:t>velpatasvir</w:t>
            </w:r>
            <w:proofErr w:type="spellEnd"/>
            <w:r w:rsidRPr="00A46848">
              <w:rPr>
                <w:rFonts w:eastAsia="Calibri" w:cs="Times New Roman"/>
                <w:color w:val="000000"/>
                <w:sz w:val="16"/>
                <w:szCs w:val="16"/>
              </w:rPr>
              <w:t xml:space="preserve"> </w:t>
            </w:r>
          </w:p>
          <w:p w14:paraId="27A01DE6" w14:textId="77777777" w:rsidR="00A46848" w:rsidRPr="00A46848" w:rsidRDefault="00A46848" w:rsidP="00A46848">
            <w:pPr>
              <w:spacing w:after="0" w:line="276" w:lineRule="auto"/>
              <w:rPr>
                <w:rFonts w:eastAsia="Calibri" w:cs="Times New Roman"/>
                <w:sz w:val="16"/>
                <w:szCs w:val="16"/>
                <w:lang w:val="en-US"/>
              </w:rPr>
            </w:pPr>
          </w:p>
        </w:tc>
        <w:tc>
          <w:tcPr>
            <w:tcW w:w="1560" w:type="dxa"/>
            <w:tcBorders>
              <w:top w:val="single" w:sz="4" w:space="0" w:color="auto"/>
              <w:left w:val="single" w:sz="4" w:space="0" w:color="auto"/>
              <w:bottom w:val="single" w:sz="4" w:space="0" w:color="auto"/>
              <w:right w:val="single" w:sz="4" w:space="0" w:color="auto"/>
            </w:tcBorders>
          </w:tcPr>
          <w:p w14:paraId="44A7B59B" w14:textId="77777777" w:rsidR="00A46848" w:rsidRPr="00A46848" w:rsidRDefault="00A46848" w:rsidP="00A46848">
            <w:pPr>
              <w:spacing w:after="0" w:line="276" w:lineRule="auto"/>
              <w:rPr>
                <w:rFonts w:eastAsia="Calibri" w:cs="Times New Roman"/>
                <w:color w:val="000000"/>
                <w:sz w:val="16"/>
                <w:szCs w:val="16"/>
                <w:lang w:val="en-US"/>
              </w:rPr>
            </w:pPr>
            <w:r w:rsidRPr="00A46848">
              <w:rPr>
                <w:rFonts w:eastAsia="Calibri" w:cs="Times New Roman"/>
                <w:color w:val="000000"/>
                <w:sz w:val="16"/>
                <w:szCs w:val="16"/>
              </w:rPr>
              <w:t>↑ tenofovir</w:t>
            </w:r>
          </w:p>
          <w:p w14:paraId="70EEC5DC" w14:textId="77777777" w:rsidR="00A46848" w:rsidRPr="00A46848" w:rsidRDefault="00A46848" w:rsidP="00A46848">
            <w:pPr>
              <w:spacing w:after="0" w:line="276" w:lineRule="auto"/>
              <w:rPr>
                <w:rFonts w:eastAsia="Calibri" w:cs="Times New Roman"/>
                <w:sz w:val="16"/>
                <w:szCs w:val="16"/>
                <w:lang w:val="en-US"/>
              </w:rPr>
            </w:pPr>
          </w:p>
        </w:tc>
        <w:tc>
          <w:tcPr>
            <w:tcW w:w="5244" w:type="dxa"/>
            <w:gridSpan w:val="2"/>
            <w:tcBorders>
              <w:top w:val="single" w:sz="4" w:space="0" w:color="auto"/>
              <w:left w:val="single" w:sz="4" w:space="0" w:color="auto"/>
              <w:bottom w:val="single" w:sz="4" w:space="0" w:color="auto"/>
              <w:right w:val="single" w:sz="4" w:space="0" w:color="auto"/>
            </w:tcBorders>
            <w:hideMark/>
          </w:tcPr>
          <w:p w14:paraId="13297EDD" w14:textId="17B5E546" w:rsidR="00A46848" w:rsidRPr="00A46848" w:rsidRDefault="00A46848" w:rsidP="00A46848">
            <w:pPr>
              <w:spacing w:after="0" w:line="276" w:lineRule="auto"/>
              <w:jc w:val="left"/>
              <w:rPr>
                <w:rFonts w:eastAsia="Calibri" w:cs="Times New Roman"/>
                <w:color w:val="000000"/>
                <w:sz w:val="16"/>
                <w:szCs w:val="16"/>
                <w:lang w:val="en-US"/>
              </w:rPr>
            </w:pPr>
            <w:r w:rsidRPr="00A46848">
              <w:rPr>
                <w:rFonts w:eastAsia="Calibri" w:cs="Times New Roman"/>
                <w:sz w:val="16"/>
                <w:szCs w:val="16"/>
                <w:lang w:eastAsia="en-AU"/>
              </w:rPr>
              <w:t xml:space="preserve">Patients receiving </w:t>
            </w:r>
            <w:r w:rsidR="00B836DC">
              <w:rPr>
                <w:rFonts w:eastAsia="Calibri" w:cs="Times New Roman"/>
                <w:sz w:val="16"/>
                <w:szCs w:val="16"/>
                <w:lang w:eastAsia="en-AU"/>
              </w:rPr>
              <w:t>DELSTRIGO</w:t>
            </w:r>
            <w:r w:rsidRPr="00A46848">
              <w:rPr>
                <w:rFonts w:eastAsia="Calibri" w:cs="Times New Roman"/>
                <w:sz w:val="16"/>
                <w:szCs w:val="16"/>
                <w:lang w:eastAsia="en-AU"/>
              </w:rPr>
              <w:t xml:space="preserve"> concomitantly with </w:t>
            </w:r>
            <w:proofErr w:type="spellStart"/>
            <w:r w:rsidRPr="00A46848">
              <w:rPr>
                <w:rFonts w:eastAsia="Calibri" w:cs="Times New Roman"/>
                <w:sz w:val="16"/>
                <w:szCs w:val="16"/>
                <w:lang w:eastAsia="en-AU"/>
              </w:rPr>
              <w:t>ledipasvir</w:t>
            </w:r>
            <w:proofErr w:type="spellEnd"/>
            <w:r w:rsidRPr="00A46848">
              <w:rPr>
                <w:rFonts w:eastAsia="Calibri" w:cs="Times New Roman"/>
                <w:sz w:val="16"/>
                <w:szCs w:val="16"/>
                <w:lang w:eastAsia="en-AU"/>
              </w:rPr>
              <w:t>/</w:t>
            </w:r>
            <w:proofErr w:type="spellStart"/>
            <w:r w:rsidRPr="00A46848">
              <w:rPr>
                <w:rFonts w:eastAsia="Calibri" w:cs="Times New Roman"/>
                <w:sz w:val="16"/>
                <w:szCs w:val="16"/>
                <w:lang w:eastAsia="en-AU"/>
              </w:rPr>
              <w:t>sofosbuvir</w:t>
            </w:r>
            <w:proofErr w:type="spellEnd"/>
            <w:r w:rsidRPr="00A46848">
              <w:rPr>
                <w:rFonts w:eastAsia="Calibri" w:cs="Times New Roman"/>
                <w:sz w:val="16"/>
                <w:szCs w:val="16"/>
                <w:lang w:eastAsia="en-AU"/>
              </w:rPr>
              <w:t xml:space="preserve"> or </w:t>
            </w:r>
            <w:proofErr w:type="spellStart"/>
            <w:r w:rsidRPr="00A46848">
              <w:rPr>
                <w:rFonts w:eastAsia="Calibri" w:cs="Times New Roman"/>
                <w:sz w:val="16"/>
                <w:szCs w:val="16"/>
                <w:lang w:eastAsia="en-AU"/>
              </w:rPr>
              <w:t>sofosbuvir</w:t>
            </w:r>
            <w:proofErr w:type="spellEnd"/>
            <w:r w:rsidRPr="00A46848">
              <w:rPr>
                <w:rFonts w:eastAsia="Calibri" w:cs="Times New Roman"/>
                <w:sz w:val="16"/>
                <w:szCs w:val="16"/>
                <w:lang w:eastAsia="en-AU"/>
              </w:rPr>
              <w:t>/</w:t>
            </w:r>
            <w:proofErr w:type="spellStart"/>
            <w:r w:rsidRPr="00A46848">
              <w:rPr>
                <w:rFonts w:eastAsia="Calibri" w:cs="Times New Roman"/>
                <w:sz w:val="16"/>
                <w:szCs w:val="16"/>
                <w:lang w:eastAsia="en-AU"/>
              </w:rPr>
              <w:t>velpatasvir</w:t>
            </w:r>
            <w:proofErr w:type="spellEnd"/>
            <w:r w:rsidRPr="00A46848">
              <w:rPr>
                <w:rFonts w:eastAsia="Calibri" w:cs="Times New Roman"/>
                <w:sz w:val="16"/>
                <w:szCs w:val="16"/>
                <w:lang w:eastAsia="en-AU"/>
              </w:rPr>
              <w:t xml:space="preserve"> should be monitored for adverse reactions associated with tenofovir DF.</w:t>
            </w:r>
          </w:p>
        </w:tc>
      </w:tr>
      <w:tr w:rsidR="00455258" w14:paraId="28293749" w14:textId="77777777" w:rsidTr="00455258">
        <w:tblPrEx>
          <w:tblBorders>
            <w:bottom w:val="single" w:sz="4" w:space="0" w:color="auto"/>
          </w:tblBorders>
          <w:shd w:val="clear" w:color="auto" w:fill="FFFFFF"/>
        </w:tblPrEx>
        <w:tc>
          <w:tcPr>
            <w:tcW w:w="909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C93AB8D" w14:textId="77777777" w:rsidR="00455258" w:rsidRDefault="00455258">
            <w:pPr>
              <w:spacing w:after="0" w:line="276" w:lineRule="auto"/>
              <w:jc w:val="left"/>
              <w:rPr>
                <w:rFonts w:eastAsia="Calibri" w:cs="Times New Roman"/>
                <w:b/>
                <w:bCs/>
                <w:sz w:val="16"/>
                <w:szCs w:val="16"/>
              </w:rPr>
            </w:pPr>
            <w:r>
              <w:rPr>
                <w:rFonts w:eastAsia="Calibri" w:cs="Times New Roman"/>
                <w:b/>
                <w:bCs/>
                <w:sz w:val="16"/>
                <w:szCs w:val="16"/>
              </w:rPr>
              <w:t>Psychostimulants</w:t>
            </w:r>
          </w:p>
        </w:tc>
      </w:tr>
      <w:tr w:rsidR="00455258" w14:paraId="7E440DD7" w14:textId="77777777" w:rsidTr="00455258">
        <w:tblPrEx>
          <w:tblBorders>
            <w:bottom w:val="single" w:sz="4" w:space="0" w:color="auto"/>
          </w:tblBorders>
          <w:shd w:val="clear" w:color="auto" w:fill="FFFFFF"/>
        </w:tblPrEx>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503AB70C" w14:textId="77777777" w:rsidR="00455258" w:rsidRDefault="00455258">
            <w:pPr>
              <w:spacing w:after="0" w:line="276" w:lineRule="auto"/>
              <w:rPr>
                <w:rFonts w:eastAsia="Calibri" w:cs="Times New Roman"/>
                <w:color w:val="000000"/>
                <w:sz w:val="16"/>
                <w:szCs w:val="16"/>
              </w:rPr>
            </w:pPr>
            <w:proofErr w:type="spellStart"/>
            <w:r>
              <w:rPr>
                <w:rFonts w:eastAsia="Calibri" w:cs="Times New Roman"/>
                <w:color w:val="000000"/>
                <w:sz w:val="16"/>
                <w:szCs w:val="16"/>
              </w:rPr>
              <w:t>modafinil</w:t>
            </w:r>
            <w:proofErr w:type="spellEnd"/>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cPr>
          <w:p w14:paraId="778D24CB"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Interaction not studied.</w:t>
            </w:r>
          </w:p>
          <w:p w14:paraId="7CC96CFD" w14:textId="77777777" w:rsidR="00455258" w:rsidRDefault="00455258">
            <w:pPr>
              <w:spacing w:after="0" w:line="276" w:lineRule="auto"/>
              <w:jc w:val="left"/>
              <w:rPr>
                <w:rFonts w:eastAsia="Calibri" w:cs="Times New Roman"/>
                <w:color w:val="000000"/>
                <w:sz w:val="16"/>
                <w:szCs w:val="16"/>
              </w:rPr>
            </w:pPr>
          </w:p>
          <w:p w14:paraId="56671FAB"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xml:space="preserve">Expected: </w:t>
            </w:r>
          </w:p>
          <w:p w14:paraId="4D36C367"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 doravirine</w:t>
            </w:r>
          </w:p>
          <w:p w14:paraId="48F32FEB" w14:textId="77777777" w:rsidR="00455258" w:rsidRDefault="00455258">
            <w:pPr>
              <w:spacing w:after="0" w:line="276" w:lineRule="auto"/>
              <w:jc w:val="left"/>
              <w:rPr>
                <w:rFonts w:eastAsia="Calibri" w:cs="Times New Roman"/>
                <w:color w:val="000000"/>
                <w:sz w:val="16"/>
                <w:szCs w:val="16"/>
              </w:rPr>
            </w:pPr>
            <w:r>
              <w:rPr>
                <w:rFonts w:eastAsia="Calibri" w:cs="Times New Roman"/>
                <w:color w:val="000000"/>
                <w:sz w:val="16"/>
                <w:szCs w:val="16"/>
              </w:rPr>
              <w:t>(Induction of CYP3A)</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821A9F" w14:textId="77777777" w:rsidR="00455258" w:rsidRDefault="00455258">
            <w:pPr>
              <w:spacing w:after="0" w:line="276" w:lineRule="auto"/>
              <w:jc w:val="left"/>
              <w:rPr>
                <w:rFonts w:eastAsia="Calibri" w:cs="Times New Roman"/>
                <w:color w:val="000000"/>
                <w:sz w:val="16"/>
                <w:szCs w:val="16"/>
              </w:rPr>
            </w:pPr>
            <w:r>
              <w:rPr>
                <w:rFonts w:eastAsia="Calibri" w:cs="Times New Roman"/>
                <w:sz w:val="16"/>
                <w:szCs w:val="16"/>
                <w:lang w:eastAsia="en-AU"/>
              </w:rPr>
              <w:t>Co-administration should be avoided. If co-administration cannot be avoided, a 100 mg dose of doravirine should be taken daily, approximately 12 h after the dose of doravirine/lamivudine/tenofovir disoproxil</w:t>
            </w:r>
          </w:p>
        </w:tc>
      </w:tr>
      <w:tr w:rsidR="00455258" w14:paraId="435C06C7" w14:textId="77777777" w:rsidTr="00455258">
        <w:tblPrEx>
          <w:tblBorders>
            <w:bottom w:val="single" w:sz="4" w:space="0" w:color="auto"/>
          </w:tblBorders>
          <w:shd w:val="clear" w:color="auto" w:fill="FFFFFF"/>
        </w:tblPrEx>
        <w:trPr>
          <w:gridAfter w:val="1"/>
          <w:wAfter w:w="18" w:type="dxa"/>
        </w:trPr>
        <w:tc>
          <w:tcPr>
            <w:tcW w:w="907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D3E745" w14:textId="77777777" w:rsidR="00455258" w:rsidRPr="00455258" w:rsidRDefault="00455258" w:rsidP="00A90E98">
            <w:pPr>
              <w:pageBreakBefore/>
              <w:spacing w:after="0" w:line="276" w:lineRule="auto"/>
              <w:jc w:val="left"/>
              <w:rPr>
                <w:rFonts w:eastAsia="Calibri" w:cs="Times New Roman"/>
                <w:b/>
                <w:bCs/>
                <w:sz w:val="16"/>
                <w:szCs w:val="16"/>
              </w:rPr>
            </w:pPr>
            <w:r w:rsidRPr="00455258">
              <w:rPr>
                <w:rFonts w:eastAsia="Calibri" w:cs="Times New Roman"/>
                <w:b/>
                <w:bCs/>
                <w:sz w:val="16"/>
                <w:szCs w:val="16"/>
              </w:rPr>
              <w:lastRenderedPageBreak/>
              <w:t>OTHER AGENTS</w:t>
            </w:r>
          </w:p>
        </w:tc>
      </w:tr>
      <w:tr w:rsidR="00455258" w14:paraId="1194310D" w14:textId="77777777" w:rsidTr="00455258">
        <w:tblPrEx>
          <w:tblBorders>
            <w:bottom w:val="single" w:sz="4" w:space="0" w:color="auto"/>
          </w:tblBorders>
          <w:shd w:val="clear" w:color="auto" w:fill="FFFFFF"/>
        </w:tblPrEx>
        <w:trPr>
          <w:gridAfter w:val="1"/>
          <w:wAfter w:w="18" w:type="dxa"/>
        </w:trPr>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7CC96C" w14:textId="77777777" w:rsidR="00455258" w:rsidRDefault="00455258">
            <w:pPr>
              <w:spacing w:after="0" w:line="276" w:lineRule="auto"/>
              <w:rPr>
                <w:rFonts w:eastAsia="Calibri" w:cs="Times New Roman"/>
                <w:color w:val="000000"/>
                <w:sz w:val="16"/>
                <w:szCs w:val="16"/>
              </w:rPr>
            </w:pPr>
            <w:r w:rsidRPr="00455258">
              <w:rPr>
                <w:rFonts w:eastAsia="Calibri" w:cs="Times New Roman"/>
                <w:color w:val="000000"/>
                <w:sz w:val="16"/>
                <w:szCs w:val="16"/>
              </w:rPr>
              <w:t>Sorbitol solution (3.2 g, 10.2 g, 13.4 g)</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A4818DE" w14:textId="77777777" w:rsidR="00455258" w:rsidRDefault="00455258">
            <w:pPr>
              <w:spacing w:after="0" w:line="276" w:lineRule="auto"/>
              <w:rPr>
                <w:rFonts w:eastAsia="Calibri" w:cs="Times New Roman"/>
                <w:color w:val="000000"/>
                <w:sz w:val="16"/>
                <w:szCs w:val="16"/>
              </w:rPr>
            </w:pPr>
            <w:r w:rsidRPr="00455258">
              <w:rPr>
                <w:rFonts w:eastAsia="Calibri" w:cs="Times New Roman"/>
                <w:color w:val="000000"/>
                <w:sz w:val="16"/>
                <w:szCs w:val="16"/>
              </w:rPr>
              <w:t xml:space="preserve">↓lamivudine </w:t>
            </w: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EEADF3" w14:textId="2AEAC16C" w:rsidR="00455258" w:rsidRPr="00455258" w:rsidRDefault="00455258">
            <w:pPr>
              <w:spacing w:after="0" w:line="276" w:lineRule="auto"/>
              <w:rPr>
                <w:rFonts w:eastAsia="Calibri" w:cs="Times New Roman"/>
                <w:color w:val="000000"/>
                <w:sz w:val="16"/>
                <w:szCs w:val="16"/>
              </w:rPr>
            </w:pPr>
            <w:r w:rsidRPr="00455258">
              <w:rPr>
                <w:rFonts w:eastAsia="Calibri" w:cs="Times New Roman"/>
                <w:color w:val="000000"/>
                <w:sz w:val="16"/>
                <w:szCs w:val="16"/>
              </w:rPr>
              <w:t>When possible, avoid chronic co</w:t>
            </w:r>
            <w:r w:rsidR="00C54C73">
              <w:rPr>
                <w:rFonts w:eastAsia="Calibri" w:cs="Times New Roman"/>
                <w:color w:val="000000"/>
                <w:sz w:val="16"/>
                <w:szCs w:val="16"/>
              </w:rPr>
              <w:t>-</w:t>
            </w:r>
            <w:r w:rsidRPr="00455258">
              <w:rPr>
                <w:rFonts w:eastAsia="Calibri" w:cs="Times New Roman"/>
                <w:color w:val="000000"/>
                <w:sz w:val="16"/>
                <w:szCs w:val="16"/>
              </w:rPr>
              <w:t>administration of sorbitol-containing medicines with lamivudine. Consider more frequent monitoring of HIV-1 viral load when chronic co</w:t>
            </w:r>
            <w:r w:rsidR="00C54C73">
              <w:rPr>
                <w:rFonts w:eastAsia="Calibri" w:cs="Times New Roman"/>
                <w:color w:val="000000"/>
                <w:sz w:val="16"/>
                <w:szCs w:val="16"/>
              </w:rPr>
              <w:t>-</w:t>
            </w:r>
            <w:r w:rsidRPr="00455258">
              <w:rPr>
                <w:rFonts w:eastAsia="Calibri" w:cs="Times New Roman"/>
                <w:color w:val="000000"/>
                <w:sz w:val="16"/>
                <w:szCs w:val="16"/>
              </w:rPr>
              <w:t>administration cannot be avoided.</w:t>
            </w:r>
          </w:p>
        </w:tc>
      </w:tr>
      <w:tr w:rsidR="00A46848" w:rsidRPr="00A46848" w14:paraId="308C7952" w14:textId="77777777" w:rsidTr="00455258">
        <w:trPr>
          <w:gridAfter w:val="1"/>
          <w:wAfter w:w="18" w:type="dxa"/>
        </w:trPr>
        <w:tc>
          <w:tcPr>
            <w:tcW w:w="9072" w:type="dxa"/>
            <w:gridSpan w:val="5"/>
            <w:tcBorders>
              <w:top w:val="single" w:sz="4" w:space="0" w:color="auto"/>
              <w:left w:val="single" w:sz="4" w:space="0" w:color="auto"/>
              <w:bottom w:val="single" w:sz="4" w:space="0" w:color="auto"/>
              <w:right w:val="single" w:sz="4" w:space="0" w:color="auto"/>
            </w:tcBorders>
            <w:hideMark/>
          </w:tcPr>
          <w:p w14:paraId="76DF2BFA" w14:textId="77777777" w:rsidR="00A46848" w:rsidRPr="00A46848" w:rsidRDefault="00A46848" w:rsidP="00A46848">
            <w:pPr>
              <w:spacing w:after="0" w:line="276" w:lineRule="auto"/>
              <w:rPr>
                <w:rFonts w:eastAsia="Times New Roman" w:cs="Times New Roman"/>
                <w:sz w:val="16"/>
                <w:szCs w:val="16"/>
                <w:lang w:val="en-US"/>
              </w:rPr>
            </w:pPr>
            <w:r w:rsidRPr="00A46848">
              <w:rPr>
                <w:rFonts w:eastAsia="Times New Roman" w:cs="Times New Roman"/>
                <w:sz w:val="16"/>
                <w:szCs w:val="16"/>
              </w:rPr>
              <w:t>↑ = increase, ↓ = decrease, ↔ = no change</w:t>
            </w:r>
          </w:p>
          <w:p w14:paraId="6AA6FD72" w14:textId="77777777" w:rsidR="00A46848" w:rsidRPr="00A46848" w:rsidRDefault="00A46848" w:rsidP="00A46848">
            <w:pPr>
              <w:spacing w:after="0" w:line="276" w:lineRule="auto"/>
              <w:rPr>
                <w:rFonts w:eastAsia="Times New Roman" w:cs="Times New Roman"/>
                <w:sz w:val="16"/>
                <w:szCs w:val="16"/>
              </w:rPr>
            </w:pPr>
            <w:r w:rsidRPr="00A46848">
              <w:rPr>
                <w:rFonts w:eastAsia="MS Gothic" w:cs="Times New Roman"/>
                <w:color w:val="000000"/>
                <w:sz w:val="16"/>
                <w:szCs w:val="16"/>
                <w:lang w:eastAsia="en-AU"/>
              </w:rPr>
              <w:t>*</w:t>
            </w:r>
            <w:r w:rsidRPr="00A46848">
              <w:rPr>
                <w:rFonts w:eastAsia="Times New Roman" w:cs="Times New Roman"/>
                <w:sz w:val="16"/>
                <w:szCs w:val="16"/>
              </w:rPr>
              <w:t>The interaction between doravirine and the drug was evaluated in a clinical study.</w:t>
            </w:r>
          </w:p>
          <w:p w14:paraId="2355E059" w14:textId="77777777" w:rsidR="00A46848" w:rsidRPr="00A46848" w:rsidRDefault="00A46848" w:rsidP="00A46848">
            <w:pPr>
              <w:spacing w:after="0" w:line="276" w:lineRule="auto"/>
              <w:rPr>
                <w:rFonts w:eastAsia="Times New Roman" w:cs="Times New Roman"/>
                <w:sz w:val="16"/>
                <w:szCs w:val="16"/>
                <w:lang w:val="en-US"/>
              </w:rPr>
            </w:pPr>
            <w:r w:rsidRPr="00A46848">
              <w:rPr>
                <w:rFonts w:eastAsia="Times New Roman" w:cs="Times New Roman"/>
                <w:sz w:val="16"/>
                <w:szCs w:val="16"/>
              </w:rPr>
              <w:t>All other drug-drug interactions shown are anticipated based on the known metabolic and elimination pathways.</w:t>
            </w:r>
          </w:p>
        </w:tc>
      </w:tr>
    </w:tbl>
    <w:p w14:paraId="3A1720AF" w14:textId="77777777" w:rsidR="00A46848" w:rsidRDefault="00A46848" w:rsidP="00A46848"/>
    <w:p w14:paraId="4E337914" w14:textId="521E0A9A" w:rsidR="00E757D0" w:rsidRDefault="00E757D0" w:rsidP="00E757D0">
      <w:pPr>
        <w:pStyle w:val="Heading3"/>
        <w:rPr>
          <w:rFonts w:eastAsia="Times New Roman"/>
        </w:rPr>
      </w:pPr>
      <w:r w:rsidRPr="00CF7E3B">
        <w:rPr>
          <w:rFonts w:eastAsia="Times New Roman"/>
        </w:rPr>
        <w:t xml:space="preserve">Drugs with No Observed or Predicted Interactions with </w:t>
      </w:r>
      <w:r w:rsidR="00B836DC">
        <w:rPr>
          <w:rFonts w:eastAsia="Times New Roman"/>
        </w:rPr>
        <w:t>DELSTRIGO</w:t>
      </w:r>
    </w:p>
    <w:p w14:paraId="71D3ED6E" w14:textId="53A1A215" w:rsidR="00A46848" w:rsidRDefault="00A46848" w:rsidP="00A46848">
      <w:r>
        <w:t xml:space="preserve">Drug-drug interactions with doravirine and the following drugs were evaluated in clinical studies and no dose adjustment is needed for either drug </w:t>
      </w:r>
      <w:r w:rsidRPr="00C74D32">
        <w:t xml:space="preserve">(see </w:t>
      </w:r>
      <w:r w:rsidR="009C24D8">
        <w:t>section 5.2</w:t>
      </w:r>
      <w:r w:rsidR="009C24D8" w:rsidRPr="000A76E7">
        <w:rPr>
          <w:i/>
        </w:rPr>
        <w:t xml:space="preserve">, </w:t>
      </w:r>
      <w:r w:rsidR="009C24D8">
        <w:rPr>
          <w:i/>
        </w:rPr>
        <w:t>Drug interaction studies</w:t>
      </w:r>
      <w:r w:rsidRPr="00C74D32">
        <w:t>)</w:t>
      </w:r>
      <w:r w:rsidRPr="000E4BB5">
        <w:t>:</w:t>
      </w:r>
      <w:r>
        <w:t xml:space="preserve"> aluminium hydroxide/magnesium hydroxide/</w:t>
      </w:r>
      <w:proofErr w:type="spellStart"/>
      <w:r>
        <w:t>simethicone</w:t>
      </w:r>
      <w:proofErr w:type="spellEnd"/>
      <w:r>
        <w:t xml:space="preserve">-containing antacid, pantoprazole, atorvastatin, an oral contraceptive containing </w:t>
      </w:r>
      <w:proofErr w:type="spellStart"/>
      <w:r>
        <w:t>ethinylestradiol</w:t>
      </w:r>
      <w:proofErr w:type="spellEnd"/>
      <w:r>
        <w:t xml:space="preserve"> and </w:t>
      </w:r>
      <w:proofErr w:type="spellStart"/>
      <w:r>
        <w:t>levonorgestrel</w:t>
      </w:r>
      <w:proofErr w:type="spellEnd"/>
      <w:r>
        <w:t xml:space="preserve">, metformin, methadone, midazolam, or </w:t>
      </w:r>
      <w:proofErr w:type="spellStart"/>
      <w:r>
        <w:t>elbasvir</w:t>
      </w:r>
      <w:proofErr w:type="spellEnd"/>
      <w:r>
        <w:t>/</w:t>
      </w:r>
      <w:proofErr w:type="spellStart"/>
      <w:r>
        <w:t>grazoprevir</w:t>
      </w:r>
      <w:proofErr w:type="spellEnd"/>
      <w:r>
        <w:t>.</w:t>
      </w:r>
    </w:p>
    <w:p w14:paraId="6A488F77" w14:textId="65899C12" w:rsidR="00A46848" w:rsidRDefault="00A46848" w:rsidP="00A46848">
      <w:r>
        <w:t xml:space="preserve">No clinically relevant drug-drug interaction is expected when </w:t>
      </w:r>
      <w:r w:rsidR="00B836DC">
        <w:t>DELSTRIGO</w:t>
      </w:r>
      <w:r>
        <w:t xml:space="preserve"> is co-administered with buprenorphine, naloxone, </w:t>
      </w:r>
      <w:proofErr w:type="spellStart"/>
      <w:r>
        <w:t>daclatasvir</w:t>
      </w:r>
      <w:proofErr w:type="spellEnd"/>
      <w:r>
        <w:t xml:space="preserve">, </w:t>
      </w:r>
      <w:proofErr w:type="spellStart"/>
      <w:r>
        <w:t>simeprevir</w:t>
      </w:r>
      <w:proofErr w:type="spellEnd"/>
      <w:r>
        <w:t xml:space="preserve">, diltiazem, verapamil, </w:t>
      </w:r>
      <w:proofErr w:type="spellStart"/>
      <w:r>
        <w:t>rosuvastatin</w:t>
      </w:r>
      <w:proofErr w:type="spellEnd"/>
      <w:r>
        <w:t xml:space="preserve">, simvastatin, </w:t>
      </w:r>
      <w:proofErr w:type="spellStart"/>
      <w:r>
        <w:t>canagliflozin</w:t>
      </w:r>
      <w:proofErr w:type="spellEnd"/>
      <w:r>
        <w:t xml:space="preserve">, </w:t>
      </w:r>
      <w:proofErr w:type="spellStart"/>
      <w:r>
        <w:t>liraglutide</w:t>
      </w:r>
      <w:proofErr w:type="spellEnd"/>
      <w:r>
        <w:t xml:space="preserve">, </w:t>
      </w:r>
      <w:proofErr w:type="spellStart"/>
      <w:r>
        <w:t>sitagliptin</w:t>
      </w:r>
      <w:proofErr w:type="spellEnd"/>
      <w:r>
        <w:t xml:space="preserve">, </w:t>
      </w:r>
      <w:proofErr w:type="spellStart"/>
      <w:r>
        <w:t>lisinopril</w:t>
      </w:r>
      <w:proofErr w:type="spellEnd"/>
      <w:r>
        <w:t>, or omeprazole.</w:t>
      </w:r>
    </w:p>
    <w:p w14:paraId="7CB4C7D4" w14:textId="2F3EA041" w:rsidR="00A46848" w:rsidRDefault="00A46848" w:rsidP="00A46848">
      <w:pPr>
        <w:rPr>
          <w:color w:val="000000"/>
        </w:rPr>
      </w:pPr>
      <w:r>
        <w:rPr>
          <w:color w:val="000000"/>
        </w:rPr>
        <w:t xml:space="preserve">Based on the results of </w:t>
      </w:r>
      <w:r>
        <w:rPr>
          <w:i/>
          <w:color w:val="000000"/>
        </w:rPr>
        <w:t>in vitro</w:t>
      </w:r>
      <w:r>
        <w:rPr>
          <w:color w:val="000000"/>
        </w:rPr>
        <w:t xml:space="preserve"> experiments and the known elimination pathways of tenofovir, the potential for CYP-mediated interactions involving tenofovir DF with other medicinal products is low</w:t>
      </w:r>
      <w:r w:rsidRPr="009C7CF9">
        <w:rPr>
          <w:color w:val="000000"/>
        </w:rPr>
        <w:t xml:space="preserve"> </w:t>
      </w:r>
      <w:r w:rsidRPr="00C74D32">
        <w:rPr>
          <w:color w:val="000000"/>
        </w:rPr>
        <w:t xml:space="preserve">(see </w:t>
      </w:r>
      <w:r w:rsidR="009C24D8">
        <w:t>section 5.2</w:t>
      </w:r>
      <w:r w:rsidR="009C24D8" w:rsidRPr="000A76E7">
        <w:rPr>
          <w:i/>
        </w:rPr>
        <w:t xml:space="preserve">, </w:t>
      </w:r>
      <w:r w:rsidR="009C24D8">
        <w:rPr>
          <w:i/>
        </w:rPr>
        <w:t>Drug interaction studies</w:t>
      </w:r>
      <w:r w:rsidRPr="00C74D32">
        <w:rPr>
          <w:color w:val="000000"/>
        </w:rPr>
        <w:t>)</w:t>
      </w:r>
      <w:r w:rsidRPr="000425B4">
        <w:rPr>
          <w:color w:val="000000"/>
        </w:rPr>
        <w:t>.</w:t>
      </w:r>
    </w:p>
    <w:p w14:paraId="3E631D08" w14:textId="77777777" w:rsidR="00A46848" w:rsidRDefault="00A46848" w:rsidP="00A46848">
      <w:pPr>
        <w:rPr>
          <w:color w:val="000000"/>
        </w:rPr>
      </w:pPr>
      <w:r>
        <w:rPr>
          <w:color w:val="000000"/>
        </w:rPr>
        <w:t xml:space="preserve">No clinically significant drug interactions have been observed between tenofovir DF and the following medications: </w:t>
      </w:r>
      <w:proofErr w:type="spellStart"/>
      <w:r>
        <w:rPr>
          <w:color w:val="000000"/>
        </w:rPr>
        <w:t>entecavir</w:t>
      </w:r>
      <w:proofErr w:type="spellEnd"/>
      <w:r>
        <w:rPr>
          <w:color w:val="000000"/>
        </w:rPr>
        <w:t xml:space="preserve">, methadone, oral contraceptives, </w:t>
      </w:r>
      <w:proofErr w:type="spellStart"/>
      <w:r>
        <w:rPr>
          <w:color w:val="000000"/>
        </w:rPr>
        <w:t>sofosbuvir</w:t>
      </w:r>
      <w:proofErr w:type="spellEnd"/>
      <w:r>
        <w:rPr>
          <w:color w:val="000000"/>
        </w:rPr>
        <w:t>, or tacrolimus in studies conducted in healthy subjects.</w:t>
      </w:r>
    </w:p>
    <w:p w14:paraId="75DD8490" w14:textId="7F878023" w:rsidR="00E757D0" w:rsidRPr="00A46848" w:rsidRDefault="00A46848" w:rsidP="00A46848">
      <w:pPr>
        <w:rPr>
          <w:color w:val="000000"/>
        </w:rPr>
      </w:pPr>
      <w:r>
        <w:rPr>
          <w:color w:val="000000"/>
        </w:rPr>
        <w:t>Lamivudine is not significantly metabolised by CYP enzymes nor does it inhibit or induce this enzyme system; therefore, it is unlikely that clinically significant drug interactions will occur through these pathways</w:t>
      </w:r>
      <w:r w:rsidRPr="009C7CF9">
        <w:rPr>
          <w:color w:val="000000"/>
        </w:rPr>
        <w:t xml:space="preserve"> </w:t>
      </w:r>
      <w:r w:rsidRPr="00C74D32">
        <w:rPr>
          <w:color w:val="000000"/>
        </w:rPr>
        <w:t xml:space="preserve">(see </w:t>
      </w:r>
      <w:r w:rsidR="009C24D8">
        <w:t>section 5.2</w:t>
      </w:r>
      <w:r w:rsidR="009C24D8" w:rsidRPr="000A76E7">
        <w:rPr>
          <w:i/>
        </w:rPr>
        <w:t xml:space="preserve">, </w:t>
      </w:r>
      <w:r w:rsidR="009C24D8">
        <w:rPr>
          <w:i/>
        </w:rPr>
        <w:t>Drug interaction studies</w:t>
      </w:r>
      <w:r w:rsidRPr="00C74D32">
        <w:rPr>
          <w:color w:val="000000"/>
        </w:rPr>
        <w:t>)</w:t>
      </w:r>
      <w:r w:rsidRPr="00A10E17">
        <w:rPr>
          <w:color w:val="000000"/>
        </w:rPr>
        <w:t>.</w:t>
      </w:r>
    </w:p>
    <w:p w14:paraId="44474A85" w14:textId="77777777" w:rsidR="00935DC2" w:rsidRPr="008246E7" w:rsidRDefault="003D3FCB" w:rsidP="00261C3B">
      <w:pPr>
        <w:pStyle w:val="Heading2"/>
      </w:pPr>
      <w:r w:rsidRPr="008246E7">
        <w:t xml:space="preserve">Fertility, pregnancy and lactation </w:t>
      </w:r>
    </w:p>
    <w:p w14:paraId="7E02A55B" w14:textId="038D16BA" w:rsidR="00935DC2" w:rsidRPr="008246E7" w:rsidRDefault="00A33403" w:rsidP="00271648">
      <w:pPr>
        <w:pStyle w:val="Heading3"/>
      </w:pPr>
      <w:r>
        <w:t xml:space="preserve">Effects on </w:t>
      </w:r>
      <w:r w:rsidR="0043016A">
        <w:t>f</w:t>
      </w:r>
      <w:r w:rsidR="0043016A" w:rsidRPr="008246E7">
        <w:t>ertility</w:t>
      </w:r>
    </w:p>
    <w:p w14:paraId="259650E8" w14:textId="7C4A9CC7" w:rsidR="00C90032" w:rsidRDefault="008E622E" w:rsidP="00AE527C">
      <w:pPr>
        <w:rPr>
          <w:rFonts w:cs="Arial"/>
          <w:color w:val="1A1A1A"/>
        </w:rPr>
      </w:pPr>
      <w:r w:rsidRPr="006A794D">
        <w:rPr>
          <w:rFonts w:cs="Arial"/>
          <w:i/>
        </w:rPr>
        <w:t>Doravirine</w:t>
      </w:r>
      <w:r w:rsidRPr="006A794D">
        <w:rPr>
          <w:rFonts w:cs="Arial"/>
          <w:color w:val="1A1A1A"/>
        </w:rPr>
        <w:t>:</w:t>
      </w:r>
      <w:r>
        <w:rPr>
          <w:rFonts w:cs="Arial"/>
          <w:color w:val="1A1A1A"/>
        </w:rPr>
        <w:t xml:space="preserve"> </w:t>
      </w:r>
      <w:r w:rsidRPr="008E622E">
        <w:rPr>
          <w:rFonts w:cs="Arial"/>
          <w:color w:val="1A1A1A"/>
        </w:rPr>
        <w:t>There were no effects on fertility, mating performance or early embryonic development when doravirine was administered to rats up to the highest dose tested</w:t>
      </w:r>
      <w:r w:rsidR="00F20525">
        <w:rPr>
          <w:rFonts w:cs="Arial"/>
          <w:color w:val="1A1A1A"/>
        </w:rPr>
        <w:t xml:space="preserve"> (450 mg/kg/day)</w:t>
      </w:r>
      <w:r w:rsidRPr="008E622E">
        <w:rPr>
          <w:rFonts w:cs="Arial"/>
          <w:color w:val="1A1A1A"/>
        </w:rPr>
        <w:t xml:space="preserve">. Systemic exposures (AUC) to doravirine were </w:t>
      </w:r>
      <w:r w:rsidR="00F20525">
        <w:rPr>
          <w:rFonts w:cs="Arial"/>
          <w:color w:val="1A1A1A"/>
        </w:rPr>
        <w:t>5-</w:t>
      </w:r>
      <w:r w:rsidRPr="008E622E">
        <w:rPr>
          <w:rFonts w:cs="Arial"/>
          <w:color w:val="1A1A1A"/>
        </w:rPr>
        <w:t>7 times the exposure in humans at the</w:t>
      </w:r>
      <w:r w:rsidR="00F20525">
        <w:rPr>
          <w:rFonts w:cs="Arial"/>
          <w:color w:val="1A1A1A"/>
        </w:rPr>
        <w:t xml:space="preserve"> recommended human dose</w:t>
      </w:r>
      <w:r w:rsidRPr="008E622E">
        <w:rPr>
          <w:rFonts w:cs="Arial"/>
          <w:color w:val="1A1A1A"/>
        </w:rPr>
        <w:t xml:space="preserve"> </w:t>
      </w:r>
      <w:r w:rsidR="00F20525">
        <w:rPr>
          <w:rFonts w:cs="Arial"/>
          <w:color w:val="1A1A1A"/>
        </w:rPr>
        <w:t>(</w:t>
      </w:r>
      <w:r w:rsidRPr="008E622E">
        <w:rPr>
          <w:rFonts w:cs="Arial"/>
          <w:color w:val="1A1A1A"/>
        </w:rPr>
        <w:t>RHD</w:t>
      </w:r>
      <w:r w:rsidR="00F20525">
        <w:rPr>
          <w:rFonts w:cs="Arial"/>
          <w:color w:val="1A1A1A"/>
        </w:rPr>
        <w:t>)</w:t>
      </w:r>
      <w:r w:rsidRPr="008E622E">
        <w:rPr>
          <w:rFonts w:cs="Arial"/>
          <w:color w:val="1A1A1A"/>
        </w:rPr>
        <w:t>.</w:t>
      </w:r>
    </w:p>
    <w:p w14:paraId="02CA4B60" w14:textId="556D7055" w:rsidR="008E622E" w:rsidRDefault="008E622E" w:rsidP="008E622E">
      <w:r w:rsidRPr="006A794D">
        <w:rPr>
          <w:i/>
        </w:rPr>
        <w:t>Lamivudine</w:t>
      </w:r>
      <w:r w:rsidRPr="006A794D">
        <w:t>:</w:t>
      </w:r>
      <w:r>
        <w:t xml:space="preserve"> Lamivudine did not affect male or female fertility in rats at doses associated with exposures</w:t>
      </w:r>
      <w:r w:rsidR="00F20525">
        <w:t xml:space="preserve"> (based on </w:t>
      </w:r>
      <w:proofErr w:type="spellStart"/>
      <w:r w:rsidR="00F20525">
        <w:t>C</w:t>
      </w:r>
      <w:r w:rsidR="00F20525">
        <w:rPr>
          <w:vertAlign w:val="subscript"/>
        </w:rPr>
        <w:t>max</w:t>
      </w:r>
      <w:proofErr w:type="spellEnd"/>
      <w:r w:rsidR="00F20525">
        <w:t>) up to 70</w:t>
      </w:r>
      <w:r>
        <w:t xml:space="preserve"> times higher than the exposures in humans at the RHD.</w:t>
      </w:r>
    </w:p>
    <w:p w14:paraId="6C5C70E3" w14:textId="30FB33FF" w:rsidR="008E622E" w:rsidRPr="008E622E" w:rsidRDefault="008E622E" w:rsidP="00AE527C">
      <w:pPr>
        <w:rPr>
          <w:rFonts w:cs="Arial"/>
        </w:rPr>
      </w:pPr>
      <w:r w:rsidRPr="006A794D">
        <w:rPr>
          <w:i/>
        </w:rPr>
        <w:t>Tenofovir DF</w:t>
      </w:r>
      <w:r w:rsidRPr="006A794D">
        <w:t>:</w:t>
      </w:r>
      <w:r>
        <w:t xml:space="preserve"> </w:t>
      </w:r>
      <w:r>
        <w:rPr>
          <w:rFonts w:cs="Arial"/>
        </w:rPr>
        <w:t>There were no effects on fertility, mating performance or early embryonic development when tenofovir DF was administered to male rats at a dose</w:t>
      </w:r>
      <w:r w:rsidR="00F20525">
        <w:rPr>
          <w:rFonts w:cs="Arial"/>
        </w:rPr>
        <w:t xml:space="preserve"> (600 mg/kg/day)</w:t>
      </w:r>
      <w:r>
        <w:rPr>
          <w:rFonts w:cs="Arial"/>
        </w:rPr>
        <w:t xml:space="preserve"> equivalent to </w:t>
      </w:r>
      <w:r w:rsidR="00F20525">
        <w:rPr>
          <w:rFonts w:cs="Arial"/>
        </w:rPr>
        <w:t>5</w:t>
      </w:r>
      <w:r>
        <w:rPr>
          <w:rFonts w:cs="Arial"/>
        </w:rPr>
        <w:t xml:space="preserve"> times the RHD based on </w:t>
      </w:r>
      <w:r w:rsidR="00F20525">
        <w:rPr>
          <w:rFonts w:cs="Arial"/>
        </w:rPr>
        <w:t>AUC</w:t>
      </w:r>
      <w:r>
        <w:rPr>
          <w:rFonts w:cs="Arial"/>
        </w:rPr>
        <w:t xml:space="preserve"> comparisons for 28 days prior to mating and to female rats for 15 days prior to mating through day 7 of gestation. There was, however, an alteration of the oestrous cycle in female rats.</w:t>
      </w:r>
    </w:p>
    <w:p w14:paraId="604E4D85" w14:textId="5C8732D2" w:rsidR="001E06A3" w:rsidRPr="00E757D0" w:rsidRDefault="003D3FCB" w:rsidP="00E757D0">
      <w:pPr>
        <w:pStyle w:val="Heading3"/>
      </w:pPr>
      <w:r w:rsidRPr="008246E7">
        <w:t xml:space="preserve">Use in </w:t>
      </w:r>
      <w:r w:rsidR="0043016A">
        <w:t>p</w:t>
      </w:r>
      <w:r w:rsidR="0043016A" w:rsidRPr="008246E7">
        <w:t>regnancy</w:t>
      </w:r>
      <w:r w:rsidR="00E757D0">
        <w:t xml:space="preserve"> </w:t>
      </w:r>
      <w:r w:rsidR="00E757D0" w:rsidRPr="00E757D0">
        <w:t>(</w:t>
      </w:r>
      <w:r w:rsidRPr="00E757D0">
        <w:t>Category B</w:t>
      </w:r>
      <w:r w:rsidR="000767BF">
        <w:t>3</w:t>
      </w:r>
      <w:r w:rsidR="00E757D0" w:rsidRPr="00E757D0">
        <w:t>)</w:t>
      </w:r>
    </w:p>
    <w:p w14:paraId="1BE1BDA6" w14:textId="77777777" w:rsidR="008E622E" w:rsidRPr="008E622E" w:rsidRDefault="008E622E" w:rsidP="008E622E">
      <w:pPr>
        <w:rPr>
          <w:u w:val="single"/>
        </w:rPr>
      </w:pPr>
      <w:r w:rsidRPr="008E622E">
        <w:rPr>
          <w:u w:val="single"/>
        </w:rPr>
        <w:t xml:space="preserve">Antiretroviral Pregnancy Registry </w:t>
      </w:r>
    </w:p>
    <w:p w14:paraId="3E3541BA" w14:textId="6B354E7B" w:rsidR="008E622E" w:rsidRPr="00FB6CA1" w:rsidRDefault="008E622E" w:rsidP="008E622E">
      <w:pPr>
        <w:rPr>
          <w:i/>
        </w:rPr>
      </w:pPr>
      <w:r w:rsidRPr="00FB6CA1">
        <w:t>To monitor maternal-f</w:t>
      </w:r>
      <w:r>
        <w:t>o</w:t>
      </w:r>
      <w:r w:rsidRPr="00FB6CA1">
        <w:t xml:space="preserve">etal outcomes of pregnant patients exposed to </w:t>
      </w:r>
      <w:r w:rsidR="00B836DC">
        <w:t>DELSTRIGO</w:t>
      </w:r>
      <w:r w:rsidRPr="00FB6CA1">
        <w:t xml:space="preserve">, an International Antiretroviral Pregnancy Registry (APR) has been established. Physicians are </w:t>
      </w:r>
      <w:r w:rsidRPr="00FB6CA1">
        <w:lastRenderedPageBreak/>
        <w:t xml:space="preserve">encouraged to register patients via email at </w:t>
      </w:r>
      <w:r w:rsidRPr="00FB6CA1">
        <w:rPr>
          <w:color w:val="0000FF"/>
        </w:rPr>
        <w:t>SM_APR@INCResearch.com</w:t>
      </w:r>
      <w:r w:rsidRPr="00FB6CA1">
        <w:t xml:space="preserve"> or via facsimile at +1-910-256-0637.</w:t>
      </w:r>
    </w:p>
    <w:p w14:paraId="38FAE0B4" w14:textId="7710ACC2" w:rsidR="008E622E" w:rsidRPr="008E622E" w:rsidRDefault="008E622E" w:rsidP="008E622E">
      <w:r w:rsidRPr="008E622E">
        <w:t xml:space="preserve">No adequate human data are available to establish whether or not </w:t>
      </w:r>
      <w:r w:rsidR="00B836DC">
        <w:t>DELSTRIGO</w:t>
      </w:r>
      <w:r w:rsidRPr="008E622E">
        <w:t xml:space="preserve"> poses a risk to pregnancy outcomes. Doravirine use in women during pregnancy has not been evaluated; however, lamivudine and tenofovir DF use during pregnancy has been evaluated in a limited number of women reported to the APR.</w:t>
      </w:r>
    </w:p>
    <w:p w14:paraId="0B8B2020" w14:textId="7407C950" w:rsidR="008E622E" w:rsidRPr="008E622E" w:rsidRDefault="008E622E" w:rsidP="008E622E">
      <w:r w:rsidRPr="008E622E">
        <w:rPr>
          <w:i/>
        </w:rPr>
        <w:t>Doravirine</w:t>
      </w:r>
      <w:r w:rsidRPr="008E622E">
        <w:t xml:space="preserve">: Adequate and well controlled studies with doravirine have not been conducted in pregnant women. Reproduction studies performed in rats and rabbits at exposures up to approximately 8 times the exposure in humans at the RHD did not indicate harmful effects of doravirine with respect to pregnancy or </w:t>
      </w:r>
      <w:proofErr w:type="spellStart"/>
      <w:r w:rsidRPr="008E622E">
        <w:t>embryofoetal</w:t>
      </w:r>
      <w:proofErr w:type="spellEnd"/>
      <w:r w:rsidR="00C76A1F">
        <w:t xml:space="preserve"> or pre/postnatal</w:t>
      </w:r>
      <w:r w:rsidRPr="008E622E">
        <w:t xml:space="preserve"> development. Doravirine was administered orally at up to 300 mg/kg/day to pregnant rabbits on gestation days 7 to 20, and up to 450 mg/kg/day to rats on gestation days 6 to 20, and also to rats on gestation day 6 to lactation/postpartum day 20. Studies in pregnant rats and rabbits showed that doravirine is transferred to the foetus through the placenta, with foetal plasma concentrations of up to 40% (rabbits) and 52% (rats) that of maternal concentrations observed on gestation day 20.</w:t>
      </w:r>
    </w:p>
    <w:p w14:paraId="013F57C7" w14:textId="789CAD47" w:rsidR="008E622E" w:rsidRDefault="008E622E" w:rsidP="008E622E">
      <w:pPr>
        <w:rPr>
          <w:rFonts w:cs="Arial"/>
          <w:color w:val="000000"/>
        </w:rPr>
      </w:pPr>
      <w:r w:rsidRPr="006A794D">
        <w:rPr>
          <w:i/>
        </w:rPr>
        <w:t>Lamivudine</w:t>
      </w:r>
      <w:r w:rsidRPr="006A794D">
        <w:t>:</w:t>
      </w:r>
      <w:r>
        <w:t xml:space="preserve"> Reproduction studies performed in rats and rabbits showed no evidence of teratogenicity. Evidence of early </w:t>
      </w:r>
      <w:proofErr w:type="spellStart"/>
      <w:r>
        <w:t>embryolethality</w:t>
      </w:r>
      <w:proofErr w:type="spellEnd"/>
      <w:r>
        <w:t xml:space="preserve"> was seen in the rabbit at exposure levels </w:t>
      </w:r>
      <w:r w:rsidR="00C76A1F">
        <w:t>(based on AUC) less than</w:t>
      </w:r>
      <w:r>
        <w:t xml:space="preserve"> those observed in humans, but there was no indication of this effect in the rat at exposure levels</w:t>
      </w:r>
      <w:r w:rsidR="00C76A1F">
        <w:t xml:space="preserve"> (based on </w:t>
      </w:r>
      <w:proofErr w:type="spellStart"/>
      <w:r w:rsidR="00C76A1F">
        <w:t>C</w:t>
      </w:r>
      <w:r w:rsidR="00C76A1F">
        <w:rPr>
          <w:vertAlign w:val="subscript"/>
        </w:rPr>
        <w:t>max</w:t>
      </w:r>
      <w:proofErr w:type="spellEnd"/>
      <w:r w:rsidR="00C76A1F">
        <w:t>)</w:t>
      </w:r>
      <w:r>
        <w:t xml:space="preserve"> up to </w:t>
      </w:r>
      <w:r w:rsidR="00C76A1F">
        <w:t>40</w:t>
      </w:r>
      <w:r>
        <w:t xml:space="preserve"> times that </w:t>
      </w:r>
      <w:r w:rsidR="00C76A1F">
        <w:t>at</w:t>
      </w:r>
      <w:r>
        <w:t xml:space="preserve"> the RHD.</w:t>
      </w:r>
      <w:r w:rsidRPr="002E2535">
        <w:rPr>
          <w:rFonts w:cs="Arial"/>
          <w:color w:val="000000"/>
        </w:rPr>
        <w:t xml:space="preserve"> </w:t>
      </w:r>
      <w:r>
        <w:rPr>
          <w:rFonts w:cs="Arial"/>
          <w:color w:val="000000"/>
        </w:rPr>
        <w:t>Studies in pregnant rats</w:t>
      </w:r>
      <w:r w:rsidR="00C76A1F">
        <w:rPr>
          <w:rFonts w:cs="Arial"/>
          <w:color w:val="000000"/>
        </w:rPr>
        <w:t xml:space="preserve"> and rabbits</w:t>
      </w:r>
      <w:r>
        <w:rPr>
          <w:rFonts w:cs="Arial"/>
          <w:color w:val="000000"/>
        </w:rPr>
        <w:t xml:space="preserve"> showed that lamivudine is transferred to the foetus through the placenta.</w:t>
      </w:r>
    </w:p>
    <w:p w14:paraId="20E6FBE7" w14:textId="2DB08337" w:rsidR="00E757D0" w:rsidRDefault="008E622E" w:rsidP="00E757D0">
      <w:pPr>
        <w:rPr>
          <w:rFonts w:cs="Arial"/>
        </w:rPr>
      </w:pPr>
      <w:r w:rsidRPr="006A794D">
        <w:rPr>
          <w:i/>
        </w:rPr>
        <w:t>Tenofovir DF</w:t>
      </w:r>
      <w:r w:rsidRPr="006A794D">
        <w:t>:</w:t>
      </w:r>
      <w:r>
        <w:t xml:space="preserve"> Reproduction studies have been performed in rats and rabbits at</w:t>
      </w:r>
      <w:r w:rsidR="00C76A1F">
        <w:t xml:space="preserve"> respective exposures (AUC) of 4-13 and 66-fold the human exposure</w:t>
      </w:r>
      <w:r>
        <w:t xml:space="preserve"> and revealed no harm to the foetus.</w:t>
      </w:r>
      <w:r>
        <w:rPr>
          <w:rFonts w:cs="Arial"/>
        </w:rPr>
        <w:t xml:space="preserve"> </w:t>
      </w:r>
    </w:p>
    <w:p w14:paraId="09754E89" w14:textId="0016A361" w:rsidR="00C76A1F" w:rsidRPr="008E622E" w:rsidRDefault="00C76A1F" w:rsidP="00E757D0">
      <w:pPr>
        <w:rPr>
          <w:rFonts w:cs="Arial"/>
        </w:rPr>
      </w:pPr>
      <w:r>
        <w:rPr>
          <w:rFonts w:cs="Arial"/>
        </w:rPr>
        <w:t>Subcutaneous treatment of pregnant rhesus monkeys with a dose of 30 mg/kg/day of the tenofovir base during the last half of pregnancy resulted in reduced foetal serum phosphorus concentrations.</w:t>
      </w:r>
    </w:p>
    <w:p w14:paraId="16E29873" w14:textId="4ACC78FB" w:rsidR="00935DC2" w:rsidRDefault="003D3FCB" w:rsidP="00271648">
      <w:pPr>
        <w:pStyle w:val="Heading3"/>
      </w:pPr>
      <w:r w:rsidRPr="008246E7">
        <w:t xml:space="preserve">Use in </w:t>
      </w:r>
      <w:r w:rsidR="0043016A">
        <w:t>l</w:t>
      </w:r>
      <w:r w:rsidR="0043016A" w:rsidRPr="008246E7">
        <w:t>actation</w:t>
      </w:r>
    </w:p>
    <w:p w14:paraId="5E945454" w14:textId="55C073DB" w:rsidR="008E622E" w:rsidRDefault="008E622E" w:rsidP="008E622E">
      <w:r>
        <w:t xml:space="preserve">Studies in humans have shown that both lamivudine and tenofovir are excreted in human milk. It is unknown whether doravirine is excreted in human milk. Because of the potential for HIV-1 transmission and the potential for serious adverse reactions in nursing infants, mothers should be instructed not to breastfeed if they are receiving </w:t>
      </w:r>
      <w:r w:rsidR="00B836DC">
        <w:t>DELSTRIGO</w:t>
      </w:r>
      <w:r>
        <w:t>.</w:t>
      </w:r>
    </w:p>
    <w:p w14:paraId="7B740210" w14:textId="77777777" w:rsidR="008E622E" w:rsidRDefault="008E622E" w:rsidP="008E622E">
      <w:pPr>
        <w:rPr>
          <w:bCs/>
          <w:iCs/>
        </w:rPr>
      </w:pPr>
      <w:r w:rsidRPr="006A794D">
        <w:rPr>
          <w:bCs/>
          <w:i/>
          <w:iCs/>
        </w:rPr>
        <w:t>Doravirine</w:t>
      </w:r>
      <w:r w:rsidRPr="006A794D">
        <w:rPr>
          <w:bCs/>
          <w:iCs/>
        </w:rPr>
        <w:t>:</w:t>
      </w:r>
      <w:r>
        <w:rPr>
          <w:bCs/>
          <w:iCs/>
        </w:rPr>
        <w:t xml:space="preserve"> Doravirine was excreted into the milk of lactating rats following oral administration (450 mg/kg/day) from gestation day 6 to lactation day 14, with milk concentrations approximately 1.5 times that of maternal plasma concentrations observed 2 hours post dose on lactation day 14.</w:t>
      </w:r>
    </w:p>
    <w:p w14:paraId="2C802111" w14:textId="77777777" w:rsidR="008E622E" w:rsidRDefault="008E622E" w:rsidP="008E622E">
      <w:pPr>
        <w:rPr>
          <w:bCs/>
          <w:iCs/>
        </w:rPr>
      </w:pPr>
      <w:r w:rsidRPr="006A794D">
        <w:rPr>
          <w:bCs/>
          <w:i/>
          <w:iCs/>
        </w:rPr>
        <w:t>Lamivudine</w:t>
      </w:r>
      <w:r w:rsidRPr="006A794D">
        <w:rPr>
          <w:bCs/>
          <w:iCs/>
        </w:rPr>
        <w:t>:</w:t>
      </w:r>
      <w:r>
        <w:rPr>
          <w:bCs/>
          <w:iCs/>
        </w:rPr>
        <w:t xml:space="preserve"> </w:t>
      </w:r>
      <w:r>
        <w:t>Lamivudine is excreted in human breast milk.</w:t>
      </w:r>
    </w:p>
    <w:p w14:paraId="3958E451" w14:textId="7D6FC867" w:rsidR="00C90032" w:rsidRDefault="008E622E" w:rsidP="00C90032">
      <w:r w:rsidRPr="006A794D">
        <w:rPr>
          <w:bCs/>
          <w:i/>
          <w:iCs/>
        </w:rPr>
        <w:t>Tenofovir DF</w:t>
      </w:r>
      <w:r w:rsidRPr="006A794D">
        <w:rPr>
          <w:bCs/>
          <w:iCs/>
        </w:rPr>
        <w:t>:</w:t>
      </w:r>
      <w:r>
        <w:rPr>
          <w:bCs/>
          <w:iCs/>
        </w:rPr>
        <w:t xml:space="preserve"> </w:t>
      </w:r>
      <w:r>
        <w:t>Samples of breast milk obtained from 5 HIV-1-infected mothers in the first postpartum week show that tenofovir is excreted in human milk. The impact of this exposure in breastfed infants is unknown.</w:t>
      </w:r>
    </w:p>
    <w:p w14:paraId="643BFEF4" w14:textId="60A71A2C" w:rsidR="00D45A3D" w:rsidRDefault="003D3FCB" w:rsidP="00D45A3D">
      <w:pPr>
        <w:pStyle w:val="Heading2"/>
      </w:pPr>
      <w:r w:rsidRPr="008246E7">
        <w:t xml:space="preserve">Effects on ability to drive and use machines </w:t>
      </w:r>
    </w:p>
    <w:p w14:paraId="126E8FC9" w14:textId="76B7D480" w:rsidR="00AE527C" w:rsidRDefault="008E622E" w:rsidP="00AE527C">
      <w:r w:rsidRPr="00875620">
        <w:t xml:space="preserve">No studies on the effects of </w:t>
      </w:r>
      <w:r w:rsidR="00B836DC">
        <w:t>DELSTRIGO</w:t>
      </w:r>
      <w:r w:rsidRPr="00875620">
        <w:t xml:space="preserve"> on the ability to drive or operate machinery have been performed. Patients should be informed that dizziness has been reported during </w:t>
      </w:r>
      <w:r w:rsidRPr="00875620">
        <w:lastRenderedPageBreak/>
        <w:t xml:space="preserve">treatment with </w:t>
      </w:r>
      <w:r w:rsidR="00B836DC">
        <w:t>DELSTRIGO</w:t>
      </w:r>
      <w:r w:rsidRPr="00875620">
        <w:t>. This should be considered when assessing a patient’s ability</w:t>
      </w:r>
      <w:r>
        <w:t xml:space="preserve"> to drive or operate machinery.</w:t>
      </w:r>
    </w:p>
    <w:p w14:paraId="707CF949" w14:textId="60A71A2C" w:rsidR="00935DC2" w:rsidRPr="008246E7" w:rsidRDefault="003D3FCB" w:rsidP="00261C3B">
      <w:pPr>
        <w:pStyle w:val="Heading2"/>
      </w:pPr>
      <w:r w:rsidRPr="008246E7">
        <w:t>Adverse effects (Undesirable effects)</w:t>
      </w:r>
    </w:p>
    <w:p w14:paraId="05E1DFF6" w14:textId="77777777" w:rsidR="00C90032" w:rsidRPr="00C90032" w:rsidRDefault="00C90032" w:rsidP="00C90032">
      <w:pPr>
        <w:pStyle w:val="Heading3"/>
      </w:pPr>
      <w:r w:rsidRPr="00C90032">
        <w:t>Clinical Trials Experience</w:t>
      </w:r>
    </w:p>
    <w:p w14:paraId="45598D40" w14:textId="77777777" w:rsidR="00C90032" w:rsidRDefault="00C90032" w:rsidP="00C90032">
      <w:pPr>
        <w:rPr>
          <w:rFonts w:cs="Arial"/>
          <w:u w:val="single"/>
        </w:rPr>
      </w:pPr>
      <w:r w:rsidRPr="00C90032">
        <w:rPr>
          <w:rFonts w:cs="Arial"/>
          <w:u w:val="single"/>
        </w:rPr>
        <w:t>Treatment-Emergent Adverse Drug Reactions</w:t>
      </w:r>
    </w:p>
    <w:p w14:paraId="365A461C" w14:textId="04BEB932" w:rsidR="006F26AB" w:rsidRDefault="006F26AB" w:rsidP="006F26AB">
      <w:pPr>
        <w:rPr>
          <w:sz w:val="20"/>
          <w:szCs w:val="20"/>
        </w:rPr>
      </w:pPr>
      <w:r>
        <w:t xml:space="preserve">The safety assessment of </w:t>
      </w:r>
      <w:r w:rsidR="00B836DC">
        <w:t>DELSTRIGO</w:t>
      </w:r>
      <w:r>
        <w:t xml:space="preserve"> in antiretroviral treatment-naïve, HIV-1 infected subjects, is based on the analyses of data through 48 weeks from two Phase 3, randomised, international, multicentre, double-blind, active-controlled trials (</w:t>
      </w:r>
      <w:r>
        <w:rPr>
          <w:lang w:bidi="th-TH"/>
        </w:rPr>
        <w:t>DRIVE-FORWARD (</w:t>
      </w:r>
      <w:r>
        <w:t xml:space="preserve">Protocol 018) and </w:t>
      </w:r>
      <w:r>
        <w:rPr>
          <w:lang w:bidi="th-TH"/>
        </w:rPr>
        <w:t>DRIVE-AHEAD</w:t>
      </w:r>
      <w:r>
        <w:t xml:space="preserve"> (Protocol 021))</w:t>
      </w:r>
      <w:r w:rsidR="00756F3F">
        <w:t>.</w:t>
      </w:r>
    </w:p>
    <w:p w14:paraId="40406DF3" w14:textId="23D367FE" w:rsidR="006F26AB" w:rsidRDefault="006F26AB" w:rsidP="006F26AB">
      <w:r>
        <w:t xml:space="preserve">In </w:t>
      </w:r>
      <w:r>
        <w:rPr>
          <w:lang w:bidi="th-TH"/>
        </w:rPr>
        <w:t>DRIVE-FORWARD</w:t>
      </w:r>
      <w:r>
        <w:t>, 766 adult subjects received either doravirine-</w:t>
      </w:r>
      <w:r w:rsidR="004505B3">
        <w:t>PIFELTRO</w:t>
      </w:r>
      <w:r w:rsidR="004505B3">
        <w:rPr>
          <w:rFonts w:cs="Arial"/>
        </w:rPr>
        <w:t>®</w:t>
      </w:r>
      <w:r>
        <w:t xml:space="preserve"> 100 mg (n=383) or </w:t>
      </w:r>
      <w:proofErr w:type="spellStart"/>
      <w:r>
        <w:t>darunavir</w:t>
      </w:r>
      <w:proofErr w:type="spellEnd"/>
      <w:r>
        <w:t xml:space="preserve"> 800 mg + ritonavir 100 mg (</w:t>
      </w:r>
      <w:proofErr w:type="spellStart"/>
      <w:r>
        <w:t>DRV+r</w:t>
      </w:r>
      <w:proofErr w:type="spellEnd"/>
      <w:r>
        <w:t xml:space="preserve">) (n=383) once daily, each in combination with emtricitabine/tenofovir DF (FTC/TDF) </w:t>
      </w:r>
      <w:r>
        <w:rPr>
          <w:color w:val="1A1A1A"/>
        </w:rPr>
        <w:t xml:space="preserve">or </w:t>
      </w:r>
      <w:proofErr w:type="spellStart"/>
      <w:r>
        <w:rPr>
          <w:color w:val="1A1A1A"/>
        </w:rPr>
        <w:t>abacavir</w:t>
      </w:r>
      <w:proofErr w:type="spellEnd"/>
      <w:r>
        <w:rPr>
          <w:color w:val="1A1A1A"/>
        </w:rPr>
        <w:t>/lamivudine (ABC/3TC)</w:t>
      </w:r>
      <w:r>
        <w:t>. By Week 48, 1.6% in the doravirine-</w:t>
      </w:r>
      <w:r w:rsidR="00C54C73">
        <w:t>PIFELTRO</w:t>
      </w:r>
      <w:r>
        <w:t xml:space="preserve"> group and 3.1% in the </w:t>
      </w:r>
      <w:proofErr w:type="spellStart"/>
      <w:r>
        <w:t>DRV+r</w:t>
      </w:r>
      <w:proofErr w:type="spellEnd"/>
      <w:r>
        <w:t xml:space="preserve"> group had adverse events leading to discontinuation of study medication.</w:t>
      </w:r>
    </w:p>
    <w:p w14:paraId="02C6CB96" w14:textId="6EAE9B9B" w:rsidR="006F26AB" w:rsidRDefault="006F26AB" w:rsidP="006F26AB">
      <w:r>
        <w:t xml:space="preserve">In </w:t>
      </w:r>
      <w:r>
        <w:rPr>
          <w:lang w:bidi="th-TH"/>
        </w:rPr>
        <w:t>DRIVE-AHEAD</w:t>
      </w:r>
      <w:r>
        <w:t xml:space="preserve">, 728 adult subjects received either </w:t>
      </w:r>
      <w:r w:rsidR="00B836DC">
        <w:t>DELSTRIGO</w:t>
      </w:r>
      <w:r>
        <w:t xml:space="preserve"> (n=364) or </w:t>
      </w:r>
      <w:proofErr w:type="spellStart"/>
      <w:r>
        <w:t>efavirenz</w:t>
      </w:r>
      <w:proofErr w:type="spellEnd"/>
      <w:r>
        <w:t>/emtricitabine/tenofovir DF (</w:t>
      </w:r>
      <w:r>
        <w:rPr>
          <w:color w:val="1A1A1A"/>
        </w:rPr>
        <w:t>EFV/FTC/TDF) once daily</w:t>
      </w:r>
      <w:r>
        <w:t xml:space="preserve"> (n=364). By Week 48, 3.0% in the </w:t>
      </w:r>
      <w:r w:rsidR="00B836DC">
        <w:t>DELSTRIGO</w:t>
      </w:r>
      <w:r>
        <w:t xml:space="preserve"> group and 6.6% in the </w:t>
      </w:r>
      <w:r>
        <w:rPr>
          <w:color w:val="1A1A1A"/>
        </w:rPr>
        <w:t>EFV/FTC/TDF</w:t>
      </w:r>
      <w:r>
        <w:t xml:space="preserve"> group had adverse events leading to discontinuation of study medication.</w:t>
      </w:r>
    </w:p>
    <w:p w14:paraId="65CE2C97" w14:textId="77777777" w:rsidR="004505B3" w:rsidRDefault="004505B3" w:rsidP="004505B3">
      <w:pPr>
        <w:rPr>
          <w:bCs/>
          <w:sz w:val="20"/>
          <w:szCs w:val="20"/>
        </w:rPr>
      </w:pPr>
      <w:r>
        <w:rPr>
          <w:bCs/>
          <w:sz w:val="20"/>
          <w:szCs w:val="20"/>
        </w:rPr>
        <w:t xml:space="preserve">In DRIVE FORWARD and DRIVE AHEAD, the frequency of serious adverse reactions was less than 1% in PIFELTRO and DELSTRIGO -treated subjects versus less than 1% </w:t>
      </w:r>
      <w:proofErr w:type="spellStart"/>
      <w:r>
        <w:rPr>
          <w:bCs/>
          <w:sz w:val="20"/>
          <w:szCs w:val="20"/>
        </w:rPr>
        <w:t>DRV+r</w:t>
      </w:r>
      <w:proofErr w:type="spellEnd"/>
      <w:r>
        <w:rPr>
          <w:bCs/>
          <w:sz w:val="20"/>
          <w:szCs w:val="20"/>
        </w:rPr>
        <w:t xml:space="preserve"> and 1% in EFV/FTC/TDF -treated subjects.</w:t>
      </w:r>
    </w:p>
    <w:p w14:paraId="1F7CF7D6" w14:textId="12E6A9AD" w:rsidR="006F26AB" w:rsidRDefault="004505B3" w:rsidP="006F26AB">
      <w:r>
        <w:t>Adverse reactions</w:t>
      </w:r>
      <w:r w:rsidR="006F26AB">
        <w:rPr>
          <w:color w:val="000000"/>
        </w:rPr>
        <w:t xml:space="preserve"> reported in greater than or equal to 2% of subjects </w:t>
      </w:r>
      <w:r w:rsidR="006F26AB">
        <w:t xml:space="preserve">in any treatment group in </w:t>
      </w:r>
      <w:r>
        <w:t xml:space="preserve">adults with no antiretroviral treatment history in </w:t>
      </w:r>
      <w:r w:rsidR="006F26AB">
        <w:rPr>
          <w:lang w:bidi="th-TH"/>
        </w:rPr>
        <w:t>DRIVE-FORWARD</w:t>
      </w:r>
      <w:r w:rsidR="006F26AB">
        <w:t xml:space="preserve"> and </w:t>
      </w:r>
      <w:r w:rsidR="006F26AB">
        <w:rPr>
          <w:lang w:bidi="th-TH"/>
        </w:rPr>
        <w:t>DRIVE-AHEAD</w:t>
      </w:r>
      <w:r w:rsidR="006F26AB">
        <w:t xml:space="preserve"> are presented in </w:t>
      </w:r>
      <w:r w:rsidR="006F26AB" w:rsidRPr="00600D44">
        <w:t xml:space="preserve">Table </w:t>
      </w:r>
      <w:r w:rsidR="002C24E2">
        <w:t>2</w:t>
      </w:r>
      <w:r w:rsidR="006F26AB" w:rsidRPr="00600D44">
        <w:t>.</w:t>
      </w:r>
    </w:p>
    <w:p w14:paraId="5AB03E7E" w14:textId="5E5656AA" w:rsidR="006F26AB" w:rsidRDefault="006F26AB" w:rsidP="006F26AB">
      <w:pPr>
        <w:jc w:val="center"/>
        <w:rPr>
          <w:rFonts w:cs="Arial"/>
          <w:b/>
        </w:rPr>
      </w:pPr>
      <w:r w:rsidRPr="006F26AB">
        <w:rPr>
          <w:rFonts w:cs="Arial"/>
          <w:b/>
        </w:rPr>
        <w:t xml:space="preserve">Table </w:t>
      </w:r>
      <w:r w:rsidR="002C24E2">
        <w:rPr>
          <w:rFonts w:cs="Arial"/>
          <w:b/>
        </w:rPr>
        <w:t>2</w:t>
      </w:r>
      <w:r w:rsidRPr="006F26AB">
        <w:rPr>
          <w:rFonts w:cs="Arial"/>
          <w:b/>
        </w:rPr>
        <w:t xml:space="preserve">: </w:t>
      </w:r>
      <w:r w:rsidR="008E7449">
        <w:rPr>
          <w:rFonts w:cs="Arial"/>
          <w:b/>
        </w:rPr>
        <w:t xml:space="preserve">Adverse </w:t>
      </w:r>
      <w:r w:rsidR="008E7449" w:rsidRPr="008E7449">
        <w:rPr>
          <w:rFonts w:cs="Arial"/>
          <w:b/>
        </w:rPr>
        <w:t>Reactions</w:t>
      </w:r>
      <w:r w:rsidR="008E7449" w:rsidRPr="008E7449">
        <w:rPr>
          <w:rFonts w:cs="Arial"/>
          <w:b/>
          <w:vertAlign w:val="superscript"/>
        </w:rPr>
        <w:t>Ϸ</w:t>
      </w:r>
      <w:r w:rsidR="003F1001">
        <w:rPr>
          <w:rFonts w:cs="Arial"/>
          <w:b/>
          <w:vertAlign w:val="superscript"/>
        </w:rPr>
        <w:t xml:space="preserve"> </w:t>
      </w:r>
      <w:r w:rsidR="003F1001">
        <w:rPr>
          <w:rFonts w:cs="Arial"/>
          <w:b/>
        </w:rPr>
        <w:t xml:space="preserve">(All </w:t>
      </w:r>
      <w:r w:rsidR="006B42D4">
        <w:rPr>
          <w:rFonts w:cs="Arial"/>
          <w:b/>
        </w:rPr>
        <w:t>Grades)</w:t>
      </w:r>
      <w:r w:rsidR="006B42D4" w:rsidRPr="003F1001">
        <w:rPr>
          <w:rFonts w:cs="Arial"/>
          <w:sz w:val="18"/>
          <w:szCs w:val="18"/>
          <w:vertAlign w:val="superscript"/>
        </w:rPr>
        <w:t xml:space="preserve"> </w:t>
      </w:r>
      <w:r w:rsidR="006B42D4" w:rsidRPr="006F26AB">
        <w:rPr>
          <w:rFonts w:cs="Arial"/>
          <w:b/>
        </w:rPr>
        <w:t>Reported</w:t>
      </w:r>
      <w:r w:rsidRPr="006F26AB">
        <w:rPr>
          <w:rFonts w:cs="Arial"/>
          <w:b/>
        </w:rPr>
        <w:t xml:space="preserve"> in ≥2%</w:t>
      </w:r>
      <w:r w:rsidR="003F1001" w:rsidRPr="003F1001">
        <w:rPr>
          <w:rFonts w:cs="Arial"/>
          <w:vertAlign w:val="superscript"/>
        </w:rPr>
        <w:t>†</w:t>
      </w:r>
      <w:r w:rsidRPr="006F26AB">
        <w:rPr>
          <w:rFonts w:cs="Arial"/>
          <w:b/>
        </w:rPr>
        <w:t xml:space="preserve"> of Subjects in Any Treatment Group in </w:t>
      </w:r>
      <w:r w:rsidR="008E7449">
        <w:rPr>
          <w:rFonts w:cs="Arial"/>
          <w:b/>
        </w:rPr>
        <w:t>Adults with No Antiretroviral Treatment History in</w:t>
      </w:r>
      <w:r w:rsidR="00A42AC9">
        <w:rPr>
          <w:rFonts w:cs="Arial"/>
          <w:b/>
        </w:rPr>
        <w:t xml:space="preserve"> </w:t>
      </w:r>
      <w:r w:rsidRPr="006F26AB">
        <w:rPr>
          <w:rFonts w:cs="Arial"/>
          <w:b/>
        </w:rPr>
        <w:t>DRIVE-FORWARD and DRIVE-AHEAD (Week 48)</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07"/>
        <w:gridCol w:w="1905"/>
        <w:gridCol w:w="1761"/>
        <w:gridCol w:w="1356"/>
      </w:tblGrid>
      <w:tr w:rsidR="006F26AB" w:rsidRPr="006F26AB" w14:paraId="6F4B2F08" w14:textId="77777777" w:rsidTr="00A532A5">
        <w:tc>
          <w:tcPr>
            <w:tcW w:w="1843" w:type="dxa"/>
            <w:vMerge w:val="restart"/>
            <w:tcBorders>
              <w:top w:val="single" w:sz="4" w:space="0" w:color="auto"/>
              <w:left w:val="single" w:sz="4" w:space="0" w:color="auto"/>
              <w:bottom w:val="single" w:sz="4" w:space="0" w:color="auto"/>
              <w:right w:val="single" w:sz="4" w:space="0" w:color="auto"/>
            </w:tcBorders>
          </w:tcPr>
          <w:p w14:paraId="415F8571" w14:textId="77777777" w:rsidR="006F26AB" w:rsidRPr="006F26AB" w:rsidRDefault="006F26AB" w:rsidP="006F26AB">
            <w:pPr>
              <w:spacing w:after="80" w:line="276" w:lineRule="auto"/>
              <w:contextualSpacing/>
              <w:rPr>
                <w:rFonts w:eastAsia="Calibri" w:cs="Arial"/>
                <w:sz w:val="16"/>
                <w:szCs w:val="16"/>
                <w:lang w:val="en-US" w:eastAsia="ja-JP"/>
              </w:rPr>
            </w:pPr>
          </w:p>
        </w:tc>
        <w:tc>
          <w:tcPr>
            <w:tcW w:w="4112" w:type="dxa"/>
            <w:gridSpan w:val="2"/>
            <w:tcBorders>
              <w:top w:val="single" w:sz="4" w:space="0" w:color="auto"/>
              <w:left w:val="single" w:sz="4" w:space="0" w:color="auto"/>
              <w:bottom w:val="single" w:sz="4" w:space="0" w:color="auto"/>
              <w:right w:val="single" w:sz="4" w:space="0" w:color="auto"/>
            </w:tcBorders>
            <w:hideMark/>
          </w:tcPr>
          <w:p w14:paraId="088F24C2" w14:textId="77777777" w:rsidR="006F26AB" w:rsidRPr="006F26AB" w:rsidRDefault="006F26AB" w:rsidP="006F26AB">
            <w:pPr>
              <w:spacing w:after="0" w:line="276" w:lineRule="auto"/>
              <w:contextualSpacing/>
              <w:jc w:val="center"/>
              <w:rPr>
                <w:rFonts w:eastAsia="Calibri" w:cs="Arial"/>
                <w:b/>
                <w:sz w:val="16"/>
                <w:szCs w:val="16"/>
                <w:lang w:val="en-US" w:eastAsia="ja-JP"/>
              </w:rPr>
            </w:pPr>
            <w:r w:rsidRPr="006F26AB">
              <w:rPr>
                <w:rFonts w:eastAsia="Calibri" w:cs="Arial"/>
                <w:b/>
                <w:sz w:val="16"/>
                <w:szCs w:val="16"/>
                <w:lang w:eastAsia="en-AU" w:bidi="th-TH"/>
              </w:rPr>
              <w:t>DRIVE-FORWARD</w:t>
            </w:r>
          </w:p>
        </w:tc>
        <w:tc>
          <w:tcPr>
            <w:tcW w:w="3117" w:type="dxa"/>
            <w:gridSpan w:val="2"/>
            <w:tcBorders>
              <w:top w:val="single" w:sz="4" w:space="0" w:color="auto"/>
              <w:left w:val="single" w:sz="4" w:space="0" w:color="auto"/>
              <w:bottom w:val="single" w:sz="4" w:space="0" w:color="auto"/>
              <w:right w:val="single" w:sz="4" w:space="0" w:color="auto"/>
            </w:tcBorders>
            <w:hideMark/>
          </w:tcPr>
          <w:p w14:paraId="7681DEBF" w14:textId="77777777" w:rsidR="006F26AB" w:rsidRPr="006F26AB" w:rsidRDefault="006F26AB" w:rsidP="006F26AB">
            <w:pPr>
              <w:spacing w:after="0" w:line="276" w:lineRule="auto"/>
              <w:contextualSpacing/>
              <w:jc w:val="center"/>
              <w:rPr>
                <w:rFonts w:eastAsia="Calibri" w:cs="Arial"/>
                <w:b/>
                <w:sz w:val="16"/>
                <w:szCs w:val="16"/>
                <w:lang w:val="en-US" w:eastAsia="ja-JP"/>
              </w:rPr>
            </w:pPr>
            <w:r w:rsidRPr="006F26AB">
              <w:rPr>
                <w:rFonts w:eastAsia="Calibri" w:cs="Arial"/>
                <w:b/>
                <w:sz w:val="16"/>
                <w:szCs w:val="16"/>
                <w:lang w:eastAsia="en-AU" w:bidi="th-TH"/>
              </w:rPr>
              <w:t>DRIVE-AHEAD</w:t>
            </w:r>
          </w:p>
        </w:tc>
      </w:tr>
      <w:tr w:rsidR="006F26AB" w:rsidRPr="006F26AB" w14:paraId="53387A98" w14:textId="77777777" w:rsidTr="00A532A5">
        <w:tc>
          <w:tcPr>
            <w:tcW w:w="1843" w:type="dxa"/>
            <w:vMerge/>
            <w:tcBorders>
              <w:top w:val="single" w:sz="4" w:space="0" w:color="auto"/>
              <w:left w:val="single" w:sz="4" w:space="0" w:color="auto"/>
              <w:bottom w:val="single" w:sz="4" w:space="0" w:color="auto"/>
              <w:right w:val="single" w:sz="4" w:space="0" w:color="auto"/>
            </w:tcBorders>
            <w:vAlign w:val="center"/>
            <w:hideMark/>
          </w:tcPr>
          <w:p w14:paraId="32584A75" w14:textId="77777777" w:rsidR="006F26AB" w:rsidRPr="006F26AB" w:rsidRDefault="006F26AB" w:rsidP="006F26AB">
            <w:pPr>
              <w:spacing w:after="80" w:line="276" w:lineRule="auto"/>
              <w:rPr>
                <w:rFonts w:eastAsia="Calibri" w:cs="Arial"/>
                <w:sz w:val="16"/>
                <w:szCs w:val="16"/>
                <w:lang w:val="en-US" w:eastAsia="ja-JP"/>
              </w:rPr>
            </w:pPr>
          </w:p>
        </w:tc>
        <w:tc>
          <w:tcPr>
            <w:tcW w:w="2207" w:type="dxa"/>
            <w:tcBorders>
              <w:top w:val="single" w:sz="4" w:space="0" w:color="auto"/>
              <w:left w:val="single" w:sz="4" w:space="0" w:color="auto"/>
              <w:bottom w:val="single" w:sz="4" w:space="0" w:color="auto"/>
              <w:right w:val="single" w:sz="4" w:space="0" w:color="auto"/>
            </w:tcBorders>
            <w:hideMark/>
          </w:tcPr>
          <w:p w14:paraId="002D2A6C" w14:textId="77777777" w:rsidR="006F26AB" w:rsidRPr="006F26AB" w:rsidRDefault="006F26AB" w:rsidP="006F26AB">
            <w:pPr>
              <w:spacing w:after="0" w:line="276" w:lineRule="auto"/>
              <w:contextualSpacing/>
              <w:jc w:val="center"/>
              <w:rPr>
                <w:rFonts w:eastAsia="Calibri" w:cs="Arial"/>
                <w:b/>
                <w:sz w:val="16"/>
                <w:szCs w:val="16"/>
                <w:lang w:val="en-US" w:eastAsia="ja-JP"/>
              </w:rPr>
            </w:pPr>
            <w:r w:rsidRPr="006F26AB">
              <w:rPr>
                <w:rFonts w:eastAsia="Calibri" w:cs="Arial"/>
                <w:b/>
                <w:sz w:val="16"/>
                <w:szCs w:val="16"/>
                <w:lang w:eastAsia="en-AU"/>
              </w:rPr>
              <w:t>Doravirine-</w:t>
            </w:r>
          </w:p>
          <w:p w14:paraId="5FC12263" w14:textId="1AF16C0F" w:rsidR="006F26AB" w:rsidRPr="006F26AB" w:rsidRDefault="00C54C73" w:rsidP="006F26AB">
            <w:pPr>
              <w:spacing w:after="0" w:line="276" w:lineRule="auto"/>
              <w:contextualSpacing/>
              <w:jc w:val="center"/>
              <w:rPr>
                <w:rFonts w:eastAsia="Calibri" w:cs="Arial"/>
                <w:b/>
                <w:sz w:val="16"/>
                <w:szCs w:val="16"/>
                <w:lang w:eastAsia="en-AU"/>
              </w:rPr>
            </w:pPr>
            <w:r>
              <w:rPr>
                <w:rFonts w:eastAsia="Calibri" w:cs="Arial"/>
                <w:b/>
                <w:sz w:val="16"/>
                <w:szCs w:val="16"/>
                <w:lang w:eastAsia="en-AU"/>
              </w:rPr>
              <w:t>PIFELTRO</w:t>
            </w:r>
          </w:p>
          <w:p w14:paraId="0F510FCE" w14:textId="77777777" w:rsidR="006F26AB" w:rsidRPr="006F26AB" w:rsidRDefault="006F26AB" w:rsidP="006F26AB">
            <w:pPr>
              <w:spacing w:after="0" w:line="276" w:lineRule="auto"/>
              <w:contextualSpacing/>
              <w:jc w:val="center"/>
              <w:rPr>
                <w:rFonts w:eastAsia="Calibri" w:cs="Arial"/>
                <w:b/>
                <w:bCs/>
                <w:sz w:val="16"/>
                <w:szCs w:val="16"/>
                <w:lang w:eastAsia="en-AU"/>
              </w:rPr>
            </w:pPr>
            <w:r w:rsidRPr="006F26AB">
              <w:rPr>
                <w:rFonts w:eastAsia="Calibri" w:cs="Arial"/>
                <w:b/>
                <w:bCs/>
                <w:sz w:val="16"/>
                <w:szCs w:val="16"/>
                <w:lang w:eastAsia="en-AU"/>
              </w:rPr>
              <w:t xml:space="preserve">+2 NRTIs </w:t>
            </w:r>
          </w:p>
          <w:p w14:paraId="33D7F98D" w14:textId="77777777" w:rsidR="006F26AB" w:rsidRPr="006F26AB" w:rsidRDefault="006F26AB" w:rsidP="006F26AB">
            <w:pPr>
              <w:spacing w:after="0" w:line="276" w:lineRule="auto"/>
              <w:contextualSpacing/>
              <w:jc w:val="center"/>
              <w:rPr>
                <w:rFonts w:eastAsia="Calibri" w:cs="Arial"/>
                <w:b/>
                <w:sz w:val="16"/>
                <w:szCs w:val="16"/>
                <w:lang w:val="en-US" w:eastAsia="ja-JP"/>
              </w:rPr>
            </w:pPr>
            <w:r w:rsidRPr="006F26AB">
              <w:rPr>
                <w:rFonts w:eastAsia="Calibri" w:cs="Arial"/>
                <w:b/>
                <w:sz w:val="16"/>
                <w:szCs w:val="16"/>
                <w:lang w:eastAsia="en-AU"/>
              </w:rPr>
              <w:t>Once Daily</w:t>
            </w:r>
          </w:p>
        </w:tc>
        <w:tc>
          <w:tcPr>
            <w:tcW w:w="1905" w:type="dxa"/>
            <w:tcBorders>
              <w:top w:val="single" w:sz="4" w:space="0" w:color="auto"/>
              <w:left w:val="single" w:sz="4" w:space="0" w:color="auto"/>
              <w:bottom w:val="single" w:sz="4" w:space="0" w:color="auto"/>
              <w:right w:val="single" w:sz="4" w:space="0" w:color="auto"/>
            </w:tcBorders>
          </w:tcPr>
          <w:p w14:paraId="7F8D5409" w14:textId="77777777" w:rsidR="006F26AB" w:rsidRPr="006F26AB" w:rsidRDefault="006F26AB" w:rsidP="006F26AB">
            <w:pPr>
              <w:spacing w:after="0" w:line="276" w:lineRule="auto"/>
              <w:contextualSpacing/>
              <w:jc w:val="center"/>
              <w:rPr>
                <w:rFonts w:eastAsia="Calibri" w:cs="Arial"/>
                <w:b/>
                <w:bCs/>
                <w:sz w:val="16"/>
                <w:szCs w:val="16"/>
                <w:lang w:val="en-US" w:eastAsia="ja-JP"/>
              </w:rPr>
            </w:pPr>
          </w:p>
          <w:p w14:paraId="6BDDD7DA" w14:textId="77777777" w:rsidR="006F26AB" w:rsidRPr="006F26AB" w:rsidRDefault="006F26AB" w:rsidP="006F26AB">
            <w:pPr>
              <w:spacing w:after="0" w:line="276" w:lineRule="auto"/>
              <w:contextualSpacing/>
              <w:jc w:val="center"/>
              <w:rPr>
                <w:rFonts w:eastAsia="Calibri" w:cs="Arial"/>
                <w:b/>
                <w:bCs/>
                <w:sz w:val="16"/>
                <w:szCs w:val="16"/>
                <w:lang w:eastAsia="en-AU"/>
              </w:rPr>
            </w:pPr>
            <w:proofErr w:type="spellStart"/>
            <w:r w:rsidRPr="006F26AB">
              <w:rPr>
                <w:rFonts w:eastAsia="Calibri" w:cs="Arial"/>
                <w:b/>
                <w:bCs/>
                <w:sz w:val="16"/>
                <w:szCs w:val="16"/>
                <w:lang w:eastAsia="en-AU"/>
              </w:rPr>
              <w:t>DRV+r</w:t>
            </w:r>
            <w:proofErr w:type="spellEnd"/>
          </w:p>
          <w:p w14:paraId="38AEA654" w14:textId="77777777" w:rsidR="006F26AB" w:rsidRPr="006F26AB" w:rsidRDefault="006F26AB" w:rsidP="006F26AB">
            <w:pPr>
              <w:spacing w:after="0" w:line="276" w:lineRule="auto"/>
              <w:contextualSpacing/>
              <w:jc w:val="center"/>
              <w:rPr>
                <w:rFonts w:eastAsia="Calibri" w:cs="Arial"/>
                <w:b/>
                <w:bCs/>
                <w:sz w:val="16"/>
                <w:szCs w:val="16"/>
                <w:lang w:eastAsia="en-AU"/>
              </w:rPr>
            </w:pPr>
            <w:r w:rsidRPr="006F26AB">
              <w:rPr>
                <w:rFonts w:eastAsia="Calibri" w:cs="Arial"/>
                <w:b/>
                <w:bCs/>
                <w:sz w:val="16"/>
                <w:szCs w:val="16"/>
                <w:lang w:eastAsia="en-AU"/>
              </w:rPr>
              <w:t>+2 NRTIs</w:t>
            </w:r>
          </w:p>
          <w:p w14:paraId="1F2FC028" w14:textId="77777777" w:rsidR="006F26AB" w:rsidRPr="006F26AB" w:rsidRDefault="006F26AB" w:rsidP="006F26AB">
            <w:pPr>
              <w:spacing w:after="0" w:line="276" w:lineRule="auto"/>
              <w:contextualSpacing/>
              <w:jc w:val="center"/>
              <w:rPr>
                <w:rFonts w:eastAsia="Calibri" w:cs="Arial"/>
                <w:b/>
                <w:sz w:val="16"/>
                <w:szCs w:val="16"/>
                <w:lang w:val="en-US" w:eastAsia="ja-JP"/>
              </w:rPr>
            </w:pPr>
            <w:r w:rsidRPr="006F26AB">
              <w:rPr>
                <w:rFonts w:eastAsia="Calibri" w:cs="Arial"/>
                <w:b/>
                <w:sz w:val="16"/>
                <w:szCs w:val="16"/>
                <w:lang w:eastAsia="en-AU"/>
              </w:rPr>
              <w:t>Once Daily</w:t>
            </w:r>
          </w:p>
        </w:tc>
        <w:tc>
          <w:tcPr>
            <w:tcW w:w="1761" w:type="dxa"/>
            <w:tcBorders>
              <w:top w:val="single" w:sz="4" w:space="0" w:color="auto"/>
              <w:left w:val="single" w:sz="4" w:space="0" w:color="auto"/>
              <w:bottom w:val="single" w:sz="4" w:space="0" w:color="auto"/>
              <w:right w:val="single" w:sz="4" w:space="0" w:color="auto"/>
            </w:tcBorders>
          </w:tcPr>
          <w:p w14:paraId="05EB77A1" w14:textId="77777777" w:rsidR="006F26AB" w:rsidRPr="006F26AB" w:rsidRDefault="006F26AB" w:rsidP="006F26AB">
            <w:pPr>
              <w:spacing w:after="0" w:line="276" w:lineRule="auto"/>
              <w:contextualSpacing/>
              <w:jc w:val="center"/>
              <w:rPr>
                <w:rFonts w:eastAsia="Calibri" w:cs="Arial"/>
                <w:b/>
                <w:sz w:val="16"/>
                <w:szCs w:val="16"/>
                <w:lang w:val="en-US" w:eastAsia="ja-JP"/>
              </w:rPr>
            </w:pPr>
          </w:p>
          <w:p w14:paraId="35591EB3" w14:textId="77777777" w:rsidR="006F26AB" w:rsidRPr="006F26AB" w:rsidRDefault="006F26AB" w:rsidP="006F26AB">
            <w:pPr>
              <w:spacing w:after="0" w:line="276" w:lineRule="auto"/>
              <w:contextualSpacing/>
              <w:jc w:val="center"/>
              <w:rPr>
                <w:rFonts w:eastAsia="Calibri" w:cs="Arial"/>
                <w:b/>
                <w:sz w:val="16"/>
                <w:szCs w:val="16"/>
                <w:lang w:eastAsia="en-AU"/>
              </w:rPr>
            </w:pPr>
          </w:p>
          <w:p w14:paraId="36FB903F" w14:textId="3ACB421B" w:rsidR="006F26AB" w:rsidRPr="006F26AB" w:rsidRDefault="00B836DC" w:rsidP="006F26AB">
            <w:pPr>
              <w:spacing w:after="0" w:line="276" w:lineRule="auto"/>
              <w:contextualSpacing/>
              <w:jc w:val="center"/>
              <w:rPr>
                <w:rFonts w:eastAsia="Calibri" w:cs="Arial"/>
                <w:b/>
                <w:sz w:val="16"/>
                <w:szCs w:val="16"/>
                <w:lang w:eastAsia="en-AU"/>
              </w:rPr>
            </w:pPr>
            <w:r>
              <w:rPr>
                <w:rFonts w:eastAsia="Calibri" w:cs="Arial"/>
                <w:b/>
                <w:sz w:val="16"/>
                <w:szCs w:val="16"/>
                <w:lang w:eastAsia="en-AU"/>
              </w:rPr>
              <w:t>DELSTRIGO</w:t>
            </w:r>
          </w:p>
          <w:p w14:paraId="6BD984D8" w14:textId="77777777" w:rsidR="006F26AB" w:rsidRPr="006F26AB" w:rsidRDefault="006F26AB" w:rsidP="006F26AB">
            <w:pPr>
              <w:spacing w:after="0" w:line="276" w:lineRule="auto"/>
              <w:contextualSpacing/>
              <w:jc w:val="center"/>
              <w:rPr>
                <w:rFonts w:eastAsia="Calibri" w:cs="Arial"/>
                <w:b/>
                <w:sz w:val="16"/>
                <w:szCs w:val="16"/>
                <w:lang w:val="en-US" w:eastAsia="ja-JP"/>
              </w:rPr>
            </w:pPr>
            <w:r w:rsidRPr="006F26AB">
              <w:rPr>
                <w:rFonts w:eastAsia="Calibri" w:cs="Arial"/>
                <w:b/>
                <w:sz w:val="16"/>
                <w:szCs w:val="16"/>
                <w:lang w:eastAsia="en-AU"/>
              </w:rPr>
              <w:t>Once Daily</w:t>
            </w:r>
          </w:p>
        </w:tc>
        <w:tc>
          <w:tcPr>
            <w:tcW w:w="1356" w:type="dxa"/>
            <w:tcBorders>
              <w:top w:val="single" w:sz="4" w:space="0" w:color="auto"/>
              <w:left w:val="single" w:sz="4" w:space="0" w:color="auto"/>
              <w:bottom w:val="single" w:sz="4" w:space="0" w:color="auto"/>
              <w:right w:val="single" w:sz="4" w:space="0" w:color="auto"/>
            </w:tcBorders>
          </w:tcPr>
          <w:p w14:paraId="12CA4902" w14:textId="77777777" w:rsidR="006F26AB" w:rsidRPr="006F26AB" w:rsidRDefault="006F26AB" w:rsidP="006F26AB">
            <w:pPr>
              <w:spacing w:after="0" w:line="276" w:lineRule="auto"/>
              <w:contextualSpacing/>
              <w:jc w:val="center"/>
              <w:rPr>
                <w:rFonts w:eastAsia="Calibri" w:cs="Arial"/>
                <w:b/>
                <w:sz w:val="16"/>
                <w:szCs w:val="16"/>
                <w:lang w:val="en-US" w:eastAsia="ja-JP"/>
              </w:rPr>
            </w:pPr>
          </w:p>
          <w:p w14:paraId="755F92D6" w14:textId="77777777" w:rsidR="006F26AB" w:rsidRPr="006F26AB" w:rsidRDefault="006F26AB" w:rsidP="006F26AB">
            <w:pPr>
              <w:spacing w:after="0" w:line="276" w:lineRule="auto"/>
              <w:contextualSpacing/>
              <w:jc w:val="center"/>
              <w:rPr>
                <w:rFonts w:eastAsia="Calibri" w:cs="Arial"/>
                <w:b/>
                <w:sz w:val="16"/>
                <w:szCs w:val="16"/>
                <w:lang w:eastAsia="en-AU"/>
              </w:rPr>
            </w:pPr>
          </w:p>
          <w:p w14:paraId="6E911606" w14:textId="77777777" w:rsidR="006F26AB" w:rsidRPr="006F26AB" w:rsidRDefault="006F26AB" w:rsidP="006F26AB">
            <w:pPr>
              <w:spacing w:after="0" w:line="276" w:lineRule="auto"/>
              <w:contextualSpacing/>
              <w:jc w:val="center"/>
              <w:rPr>
                <w:rFonts w:eastAsia="Calibri" w:cs="Arial"/>
                <w:b/>
                <w:sz w:val="16"/>
                <w:szCs w:val="16"/>
                <w:lang w:eastAsia="en-AU"/>
              </w:rPr>
            </w:pPr>
            <w:r w:rsidRPr="006F26AB">
              <w:rPr>
                <w:rFonts w:eastAsia="Calibri" w:cs="Arial"/>
                <w:b/>
                <w:sz w:val="16"/>
                <w:szCs w:val="16"/>
                <w:lang w:eastAsia="en-AU"/>
              </w:rPr>
              <w:t>EFV/FTC/TDF</w:t>
            </w:r>
          </w:p>
          <w:p w14:paraId="4F06CECD" w14:textId="77777777" w:rsidR="006F26AB" w:rsidRPr="006F26AB" w:rsidRDefault="006F26AB" w:rsidP="006F26AB">
            <w:pPr>
              <w:spacing w:after="0" w:line="276" w:lineRule="auto"/>
              <w:contextualSpacing/>
              <w:jc w:val="center"/>
              <w:rPr>
                <w:rFonts w:eastAsia="Calibri" w:cs="Arial"/>
                <w:b/>
                <w:sz w:val="16"/>
                <w:szCs w:val="16"/>
                <w:lang w:val="en-US" w:eastAsia="ja-JP"/>
              </w:rPr>
            </w:pPr>
            <w:r w:rsidRPr="006F26AB">
              <w:rPr>
                <w:rFonts w:eastAsia="Calibri" w:cs="Arial"/>
                <w:b/>
                <w:sz w:val="16"/>
                <w:szCs w:val="16"/>
                <w:lang w:eastAsia="en-AU"/>
              </w:rPr>
              <w:t>Once Daily</w:t>
            </w:r>
          </w:p>
        </w:tc>
      </w:tr>
      <w:tr w:rsidR="006F26AB" w:rsidRPr="006F26AB" w14:paraId="626D5DBE" w14:textId="77777777" w:rsidTr="00A532A5">
        <w:tc>
          <w:tcPr>
            <w:tcW w:w="1843" w:type="dxa"/>
            <w:vMerge/>
            <w:tcBorders>
              <w:top w:val="single" w:sz="4" w:space="0" w:color="auto"/>
              <w:left w:val="single" w:sz="4" w:space="0" w:color="auto"/>
              <w:bottom w:val="single" w:sz="4" w:space="0" w:color="auto"/>
              <w:right w:val="single" w:sz="4" w:space="0" w:color="auto"/>
            </w:tcBorders>
            <w:vAlign w:val="center"/>
            <w:hideMark/>
          </w:tcPr>
          <w:p w14:paraId="38C3F72E" w14:textId="77777777" w:rsidR="006F26AB" w:rsidRPr="006F26AB" w:rsidRDefault="006F26AB" w:rsidP="006F26AB">
            <w:pPr>
              <w:spacing w:after="80" w:line="276" w:lineRule="auto"/>
              <w:rPr>
                <w:rFonts w:eastAsia="Calibri" w:cs="Arial"/>
                <w:sz w:val="16"/>
                <w:szCs w:val="16"/>
                <w:lang w:val="en-US" w:eastAsia="ja-JP"/>
              </w:rPr>
            </w:pPr>
          </w:p>
        </w:tc>
        <w:tc>
          <w:tcPr>
            <w:tcW w:w="2207" w:type="dxa"/>
            <w:tcBorders>
              <w:top w:val="single" w:sz="4" w:space="0" w:color="auto"/>
              <w:left w:val="single" w:sz="4" w:space="0" w:color="auto"/>
              <w:bottom w:val="single" w:sz="4" w:space="0" w:color="auto"/>
              <w:right w:val="single" w:sz="4" w:space="0" w:color="auto"/>
            </w:tcBorders>
            <w:hideMark/>
          </w:tcPr>
          <w:p w14:paraId="50EE7102"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N=383</w:t>
            </w:r>
          </w:p>
        </w:tc>
        <w:tc>
          <w:tcPr>
            <w:tcW w:w="1905" w:type="dxa"/>
            <w:tcBorders>
              <w:top w:val="single" w:sz="4" w:space="0" w:color="auto"/>
              <w:left w:val="single" w:sz="4" w:space="0" w:color="auto"/>
              <w:bottom w:val="single" w:sz="4" w:space="0" w:color="auto"/>
              <w:right w:val="single" w:sz="4" w:space="0" w:color="auto"/>
            </w:tcBorders>
            <w:hideMark/>
          </w:tcPr>
          <w:p w14:paraId="667236A3"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N=383</w:t>
            </w:r>
          </w:p>
        </w:tc>
        <w:tc>
          <w:tcPr>
            <w:tcW w:w="1761" w:type="dxa"/>
            <w:tcBorders>
              <w:top w:val="single" w:sz="4" w:space="0" w:color="auto"/>
              <w:left w:val="single" w:sz="4" w:space="0" w:color="auto"/>
              <w:bottom w:val="single" w:sz="4" w:space="0" w:color="auto"/>
              <w:right w:val="single" w:sz="4" w:space="0" w:color="auto"/>
            </w:tcBorders>
            <w:hideMark/>
          </w:tcPr>
          <w:p w14:paraId="46A6EE0C"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N=364</w:t>
            </w:r>
          </w:p>
        </w:tc>
        <w:tc>
          <w:tcPr>
            <w:tcW w:w="1356" w:type="dxa"/>
            <w:tcBorders>
              <w:top w:val="single" w:sz="4" w:space="0" w:color="auto"/>
              <w:left w:val="single" w:sz="4" w:space="0" w:color="auto"/>
              <w:bottom w:val="single" w:sz="4" w:space="0" w:color="auto"/>
              <w:right w:val="single" w:sz="4" w:space="0" w:color="auto"/>
            </w:tcBorders>
            <w:hideMark/>
          </w:tcPr>
          <w:p w14:paraId="0D070C3E"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N=364</w:t>
            </w:r>
          </w:p>
        </w:tc>
      </w:tr>
      <w:tr w:rsidR="004505B3" w14:paraId="42868366" w14:textId="77777777" w:rsidTr="00A532A5">
        <w:trPr>
          <w:trHeight w:val="530"/>
        </w:trPr>
        <w:tc>
          <w:tcPr>
            <w:tcW w:w="1843" w:type="dxa"/>
            <w:tcBorders>
              <w:top w:val="single" w:sz="4" w:space="0" w:color="auto"/>
              <w:left w:val="single" w:sz="4" w:space="0" w:color="auto"/>
              <w:bottom w:val="single" w:sz="4" w:space="0" w:color="auto"/>
              <w:right w:val="single" w:sz="4" w:space="0" w:color="auto"/>
            </w:tcBorders>
            <w:hideMark/>
          </w:tcPr>
          <w:p w14:paraId="3558436B" w14:textId="77777777" w:rsidR="004505B3" w:rsidRPr="004505B3" w:rsidRDefault="004505B3" w:rsidP="004505B3">
            <w:pPr>
              <w:spacing w:before="80" w:after="0" w:line="276" w:lineRule="auto"/>
              <w:contextualSpacing/>
              <w:rPr>
                <w:rFonts w:eastAsia="Calibri" w:cs="Arial"/>
                <w:b/>
                <w:sz w:val="16"/>
                <w:szCs w:val="16"/>
                <w:lang w:eastAsia="en-AU"/>
              </w:rPr>
            </w:pPr>
            <w:r w:rsidRPr="004505B3">
              <w:rPr>
                <w:rFonts w:eastAsia="Calibri" w:cs="Arial"/>
                <w:b/>
                <w:sz w:val="16"/>
                <w:szCs w:val="16"/>
                <w:lang w:eastAsia="en-AU"/>
              </w:rPr>
              <w:t>Gastrointestinal Disorders</w:t>
            </w:r>
          </w:p>
          <w:p w14:paraId="161F2449" w14:textId="77777777" w:rsidR="004505B3" w:rsidRPr="004505B3" w:rsidRDefault="004505B3" w:rsidP="004505B3">
            <w:pPr>
              <w:spacing w:before="80" w:after="0" w:line="276" w:lineRule="auto"/>
              <w:contextualSpacing/>
              <w:rPr>
                <w:rFonts w:eastAsia="Calibri" w:cs="Arial"/>
                <w:b/>
                <w:sz w:val="16"/>
                <w:szCs w:val="16"/>
                <w:lang w:eastAsia="en-AU"/>
              </w:rPr>
            </w:pPr>
          </w:p>
          <w:p w14:paraId="2C13EE0B" w14:textId="0A9BCF21" w:rsidR="004505B3" w:rsidRPr="004505B3" w:rsidRDefault="00A532A5" w:rsidP="00A532A5">
            <w:pPr>
              <w:spacing w:before="80" w:after="0" w:line="276" w:lineRule="auto"/>
              <w:contextualSpacing/>
              <w:jc w:val="left"/>
              <w:rPr>
                <w:rFonts w:eastAsia="Calibri" w:cs="Arial"/>
                <w:sz w:val="16"/>
                <w:szCs w:val="16"/>
                <w:lang w:eastAsia="en-AU"/>
              </w:rPr>
            </w:pPr>
            <w:r>
              <w:rPr>
                <w:rFonts w:eastAsia="Calibri" w:cs="Arial"/>
                <w:sz w:val="16"/>
                <w:szCs w:val="16"/>
                <w:lang w:eastAsia="en-AU"/>
              </w:rPr>
              <w:t>Abdominal pain u</w:t>
            </w:r>
            <w:r w:rsidR="004505B3" w:rsidRPr="004505B3">
              <w:rPr>
                <w:rFonts w:eastAsia="Calibri" w:cs="Arial"/>
                <w:sz w:val="16"/>
                <w:szCs w:val="16"/>
                <w:lang w:eastAsia="en-AU"/>
              </w:rPr>
              <w:t>pper</w:t>
            </w:r>
            <w:r>
              <w:rPr>
                <w:rFonts w:eastAsia="Calibri" w:cs="Arial"/>
                <w:sz w:val="16"/>
                <w:szCs w:val="16"/>
                <w:lang w:eastAsia="en-AU"/>
              </w:rPr>
              <w:t xml:space="preserve"> </w:t>
            </w:r>
            <w:proofErr w:type="spellStart"/>
            <w:r w:rsidR="004505B3" w:rsidRPr="004505B3">
              <w:rPr>
                <w:rFonts w:eastAsia="Calibri" w:cs="Arial"/>
                <w:sz w:val="16"/>
                <w:szCs w:val="16"/>
                <w:lang w:eastAsia="en-AU"/>
              </w:rPr>
              <w:t>Diarrhea</w:t>
            </w:r>
            <w:proofErr w:type="spellEnd"/>
          </w:p>
          <w:p w14:paraId="139FF22B" w14:textId="77777777" w:rsidR="004505B3" w:rsidRPr="004505B3" w:rsidRDefault="004505B3" w:rsidP="004505B3">
            <w:pPr>
              <w:spacing w:before="80" w:after="0" w:line="276" w:lineRule="auto"/>
              <w:contextualSpacing/>
              <w:rPr>
                <w:rFonts w:eastAsia="Calibri" w:cs="Arial"/>
                <w:sz w:val="16"/>
                <w:szCs w:val="16"/>
                <w:lang w:eastAsia="en-AU"/>
              </w:rPr>
            </w:pPr>
            <w:r w:rsidRPr="004505B3">
              <w:rPr>
                <w:rFonts w:eastAsia="Calibri" w:cs="Arial"/>
                <w:sz w:val="16"/>
                <w:szCs w:val="16"/>
                <w:lang w:eastAsia="en-AU"/>
              </w:rPr>
              <w:t>Nausea</w:t>
            </w:r>
          </w:p>
          <w:p w14:paraId="7A1A0ABF" w14:textId="77777777" w:rsidR="004505B3" w:rsidRPr="004505B3" w:rsidRDefault="004505B3" w:rsidP="004505B3">
            <w:pPr>
              <w:spacing w:before="80" w:after="0" w:line="276" w:lineRule="auto"/>
              <w:contextualSpacing/>
              <w:rPr>
                <w:rFonts w:eastAsia="Calibri" w:cs="Arial"/>
                <w:b/>
                <w:sz w:val="16"/>
                <w:szCs w:val="16"/>
                <w:lang w:eastAsia="en-AU"/>
              </w:rPr>
            </w:pPr>
            <w:r w:rsidRPr="004505B3">
              <w:rPr>
                <w:rFonts w:eastAsia="Calibri" w:cs="Arial"/>
                <w:sz w:val="16"/>
                <w:szCs w:val="16"/>
                <w:lang w:eastAsia="en-AU"/>
              </w:rPr>
              <w:t>Vomiting</w:t>
            </w:r>
          </w:p>
        </w:tc>
        <w:tc>
          <w:tcPr>
            <w:tcW w:w="2207" w:type="dxa"/>
            <w:tcBorders>
              <w:top w:val="single" w:sz="4" w:space="0" w:color="auto"/>
              <w:left w:val="single" w:sz="4" w:space="0" w:color="auto"/>
              <w:bottom w:val="single" w:sz="4" w:space="0" w:color="auto"/>
              <w:right w:val="single" w:sz="4" w:space="0" w:color="auto"/>
            </w:tcBorders>
            <w:vAlign w:val="bottom"/>
          </w:tcPr>
          <w:p w14:paraId="541B4B41"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3622DED8"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72CBE353"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p w14:paraId="12DCE5B6"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5%</w:t>
            </w:r>
          </w:p>
          <w:p w14:paraId="3F6522A7"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7%</w:t>
            </w:r>
          </w:p>
          <w:p w14:paraId="25EF289A"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tc>
        <w:tc>
          <w:tcPr>
            <w:tcW w:w="1905" w:type="dxa"/>
            <w:tcBorders>
              <w:top w:val="single" w:sz="4" w:space="0" w:color="auto"/>
              <w:left w:val="single" w:sz="4" w:space="0" w:color="auto"/>
              <w:bottom w:val="single" w:sz="4" w:space="0" w:color="auto"/>
              <w:right w:val="single" w:sz="4" w:space="0" w:color="auto"/>
            </w:tcBorders>
            <w:vAlign w:val="bottom"/>
          </w:tcPr>
          <w:p w14:paraId="62F55DCE"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7A1C9B13"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36760FAE"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p w14:paraId="6A444FB7"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13%</w:t>
            </w:r>
          </w:p>
          <w:p w14:paraId="59B30096"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8%</w:t>
            </w:r>
          </w:p>
          <w:p w14:paraId="432A63EB"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1%</w:t>
            </w:r>
          </w:p>
        </w:tc>
        <w:tc>
          <w:tcPr>
            <w:tcW w:w="1761" w:type="dxa"/>
            <w:tcBorders>
              <w:top w:val="single" w:sz="4" w:space="0" w:color="auto"/>
              <w:left w:val="single" w:sz="4" w:space="0" w:color="auto"/>
              <w:bottom w:val="single" w:sz="4" w:space="0" w:color="auto"/>
              <w:right w:val="single" w:sz="4" w:space="0" w:color="auto"/>
            </w:tcBorders>
            <w:vAlign w:val="bottom"/>
          </w:tcPr>
          <w:p w14:paraId="4C47F7A7"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7FF48DDE"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63F3736F"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p w14:paraId="0DA057D9"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3%</w:t>
            </w:r>
          </w:p>
          <w:p w14:paraId="5B56D03C"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5%</w:t>
            </w:r>
          </w:p>
          <w:p w14:paraId="2C7F74AD"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tc>
        <w:tc>
          <w:tcPr>
            <w:tcW w:w="1356" w:type="dxa"/>
            <w:tcBorders>
              <w:top w:val="single" w:sz="4" w:space="0" w:color="auto"/>
              <w:left w:val="single" w:sz="4" w:space="0" w:color="auto"/>
              <w:bottom w:val="single" w:sz="4" w:space="0" w:color="auto"/>
              <w:right w:val="single" w:sz="4" w:space="0" w:color="auto"/>
            </w:tcBorders>
            <w:vAlign w:val="bottom"/>
          </w:tcPr>
          <w:p w14:paraId="30ABD363"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4AD93BD4"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0AD91D12"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p w14:paraId="463CE1FA"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5%</w:t>
            </w:r>
          </w:p>
          <w:p w14:paraId="28B614A1"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7%</w:t>
            </w:r>
          </w:p>
          <w:p w14:paraId="6C423209"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3%</w:t>
            </w:r>
          </w:p>
        </w:tc>
      </w:tr>
      <w:tr w:rsidR="004505B3" w14:paraId="1FA14FDD" w14:textId="77777777" w:rsidTr="00A532A5">
        <w:trPr>
          <w:trHeight w:val="530"/>
        </w:trPr>
        <w:tc>
          <w:tcPr>
            <w:tcW w:w="1843" w:type="dxa"/>
            <w:tcBorders>
              <w:top w:val="single" w:sz="4" w:space="0" w:color="auto"/>
              <w:left w:val="single" w:sz="4" w:space="0" w:color="auto"/>
              <w:bottom w:val="single" w:sz="4" w:space="0" w:color="auto"/>
              <w:right w:val="single" w:sz="4" w:space="0" w:color="auto"/>
            </w:tcBorders>
            <w:hideMark/>
          </w:tcPr>
          <w:p w14:paraId="3D6BAAE9" w14:textId="77777777" w:rsidR="004505B3" w:rsidRPr="004505B3" w:rsidRDefault="004505B3" w:rsidP="00A532A5">
            <w:pPr>
              <w:spacing w:before="80" w:after="0" w:line="276" w:lineRule="auto"/>
              <w:contextualSpacing/>
              <w:jc w:val="left"/>
              <w:rPr>
                <w:rFonts w:eastAsia="Calibri" w:cs="Arial"/>
                <w:b/>
                <w:sz w:val="16"/>
                <w:szCs w:val="16"/>
                <w:lang w:eastAsia="en-AU"/>
              </w:rPr>
            </w:pPr>
            <w:r w:rsidRPr="004505B3">
              <w:rPr>
                <w:rFonts w:eastAsia="Calibri" w:cs="Arial"/>
                <w:b/>
                <w:sz w:val="16"/>
                <w:szCs w:val="16"/>
                <w:lang w:eastAsia="en-AU"/>
              </w:rPr>
              <w:t>General Disorders and Administration Site Conditions</w:t>
            </w:r>
          </w:p>
          <w:p w14:paraId="668871BA" w14:textId="77777777" w:rsidR="004505B3" w:rsidRPr="004505B3" w:rsidRDefault="004505B3" w:rsidP="004505B3">
            <w:pPr>
              <w:spacing w:before="80" w:after="0" w:line="276" w:lineRule="auto"/>
              <w:contextualSpacing/>
              <w:rPr>
                <w:rFonts w:eastAsia="Calibri" w:cs="Arial"/>
                <w:b/>
                <w:sz w:val="16"/>
                <w:szCs w:val="16"/>
                <w:lang w:eastAsia="en-AU"/>
              </w:rPr>
            </w:pPr>
          </w:p>
          <w:p w14:paraId="1B7FD88B" w14:textId="77777777" w:rsidR="004505B3" w:rsidRPr="004505B3" w:rsidRDefault="004505B3" w:rsidP="004505B3">
            <w:pPr>
              <w:spacing w:before="80" w:after="0" w:line="276" w:lineRule="auto"/>
              <w:contextualSpacing/>
              <w:rPr>
                <w:rFonts w:eastAsia="Calibri" w:cs="Arial"/>
                <w:sz w:val="16"/>
                <w:szCs w:val="16"/>
                <w:lang w:eastAsia="en-AU"/>
              </w:rPr>
            </w:pPr>
            <w:r w:rsidRPr="004505B3">
              <w:rPr>
                <w:rFonts w:eastAsia="Calibri" w:cs="Arial"/>
                <w:sz w:val="16"/>
                <w:szCs w:val="16"/>
                <w:lang w:eastAsia="en-AU"/>
              </w:rPr>
              <w:t>Fatigue</w:t>
            </w:r>
          </w:p>
        </w:tc>
        <w:tc>
          <w:tcPr>
            <w:tcW w:w="2207" w:type="dxa"/>
            <w:tcBorders>
              <w:top w:val="single" w:sz="4" w:space="0" w:color="auto"/>
              <w:left w:val="single" w:sz="4" w:space="0" w:color="auto"/>
              <w:bottom w:val="single" w:sz="4" w:space="0" w:color="auto"/>
              <w:right w:val="single" w:sz="4" w:space="0" w:color="auto"/>
            </w:tcBorders>
            <w:vAlign w:val="bottom"/>
          </w:tcPr>
          <w:p w14:paraId="12A31C86"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1689F3DC"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455CF4B8"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5%</w:t>
            </w:r>
          </w:p>
        </w:tc>
        <w:tc>
          <w:tcPr>
            <w:tcW w:w="1905" w:type="dxa"/>
            <w:tcBorders>
              <w:top w:val="single" w:sz="4" w:space="0" w:color="auto"/>
              <w:left w:val="single" w:sz="4" w:space="0" w:color="auto"/>
              <w:bottom w:val="single" w:sz="4" w:space="0" w:color="auto"/>
              <w:right w:val="single" w:sz="4" w:space="0" w:color="auto"/>
            </w:tcBorders>
            <w:vAlign w:val="bottom"/>
          </w:tcPr>
          <w:p w14:paraId="1A2520B8"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1D64FF93"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46AD5DE1"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tc>
        <w:tc>
          <w:tcPr>
            <w:tcW w:w="1761" w:type="dxa"/>
            <w:tcBorders>
              <w:top w:val="single" w:sz="4" w:space="0" w:color="auto"/>
              <w:left w:val="single" w:sz="4" w:space="0" w:color="auto"/>
              <w:bottom w:val="single" w:sz="4" w:space="0" w:color="auto"/>
              <w:right w:val="single" w:sz="4" w:space="0" w:color="auto"/>
            </w:tcBorders>
            <w:vAlign w:val="bottom"/>
          </w:tcPr>
          <w:p w14:paraId="03F7526A"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42215F89"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155AD8FF"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4%</w:t>
            </w:r>
          </w:p>
        </w:tc>
        <w:tc>
          <w:tcPr>
            <w:tcW w:w="1356" w:type="dxa"/>
            <w:tcBorders>
              <w:top w:val="single" w:sz="4" w:space="0" w:color="auto"/>
              <w:left w:val="single" w:sz="4" w:space="0" w:color="auto"/>
              <w:bottom w:val="single" w:sz="4" w:space="0" w:color="auto"/>
              <w:right w:val="single" w:sz="4" w:space="0" w:color="auto"/>
            </w:tcBorders>
            <w:vAlign w:val="bottom"/>
          </w:tcPr>
          <w:p w14:paraId="59437A63"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0CBB1A4F"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00ED0339"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3%</w:t>
            </w:r>
          </w:p>
        </w:tc>
      </w:tr>
      <w:tr w:rsidR="004505B3" w14:paraId="65C3D490" w14:textId="77777777" w:rsidTr="00A532A5">
        <w:trPr>
          <w:trHeight w:val="530"/>
        </w:trPr>
        <w:tc>
          <w:tcPr>
            <w:tcW w:w="1843" w:type="dxa"/>
            <w:tcBorders>
              <w:top w:val="single" w:sz="4" w:space="0" w:color="auto"/>
              <w:left w:val="single" w:sz="4" w:space="0" w:color="auto"/>
              <w:bottom w:val="single" w:sz="4" w:space="0" w:color="auto"/>
              <w:right w:val="single" w:sz="4" w:space="0" w:color="auto"/>
            </w:tcBorders>
            <w:hideMark/>
          </w:tcPr>
          <w:p w14:paraId="0A81A6EF" w14:textId="77777777" w:rsidR="004505B3" w:rsidRPr="004505B3" w:rsidRDefault="004505B3" w:rsidP="00A532A5">
            <w:pPr>
              <w:spacing w:before="80" w:after="0" w:line="276" w:lineRule="auto"/>
              <w:contextualSpacing/>
              <w:jc w:val="left"/>
              <w:rPr>
                <w:rFonts w:eastAsia="Calibri" w:cs="Arial"/>
                <w:b/>
                <w:sz w:val="16"/>
                <w:szCs w:val="16"/>
                <w:lang w:eastAsia="en-AU"/>
              </w:rPr>
            </w:pPr>
            <w:r w:rsidRPr="004505B3">
              <w:rPr>
                <w:rFonts w:eastAsia="Calibri" w:cs="Arial"/>
                <w:b/>
                <w:sz w:val="16"/>
                <w:szCs w:val="16"/>
                <w:lang w:eastAsia="en-AU"/>
              </w:rPr>
              <w:t>Nervous System Disorders</w:t>
            </w:r>
          </w:p>
          <w:p w14:paraId="2AEDCF0B" w14:textId="77777777" w:rsidR="004505B3" w:rsidRPr="004505B3" w:rsidRDefault="004505B3" w:rsidP="004505B3">
            <w:pPr>
              <w:spacing w:before="80" w:after="0" w:line="276" w:lineRule="auto"/>
              <w:contextualSpacing/>
              <w:rPr>
                <w:rFonts w:eastAsia="Calibri" w:cs="Arial"/>
                <w:b/>
                <w:sz w:val="16"/>
                <w:szCs w:val="16"/>
                <w:lang w:eastAsia="en-AU"/>
              </w:rPr>
            </w:pPr>
          </w:p>
          <w:p w14:paraId="002C9B46" w14:textId="77777777" w:rsidR="004505B3" w:rsidRPr="004505B3" w:rsidRDefault="004505B3" w:rsidP="004505B3">
            <w:pPr>
              <w:spacing w:before="80" w:after="0" w:line="276" w:lineRule="auto"/>
              <w:contextualSpacing/>
              <w:rPr>
                <w:rFonts w:eastAsia="Calibri" w:cs="Arial"/>
                <w:sz w:val="16"/>
                <w:szCs w:val="16"/>
                <w:lang w:eastAsia="en-AU"/>
              </w:rPr>
            </w:pPr>
            <w:r w:rsidRPr="004505B3">
              <w:rPr>
                <w:rFonts w:eastAsia="Calibri" w:cs="Arial"/>
                <w:sz w:val="16"/>
                <w:szCs w:val="16"/>
                <w:lang w:eastAsia="en-AU"/>
              </w:rPr>
              <w:t>Dizziness</w:t>
            </w:r>
          </w:p>
          <w:p w14:paraId="4A4D8616" w14:textId="77777777" w:rsidR="004505B3" w:rsidRPr="004505B3" w:rsidRDefault="004505B3" w:rsidP="004505B3">
            <w:pPr>
              <w:spacing w:before="80" w:after="0" w:line="276" w:lineRule="auto"/>
              <w:contextualSpacing/>
              <w:rPr>
                <w:rFonts w:eastAsia="Calibri" w:cs="Arial"/>
                <w:sz w:val="16"/>
                <w:szCs w:val="16"/>
                <w:lang w:eastAsia="en-AU"/>
              </w:rPr>
            </w:pPr>
            <w:r w:rsidRPr="004505B3">
              <w:rPr>
                <w:rFonts w:eastAsia="Calibri" w:cs="Arial"/>
                <w:sz w:val="16"/>
                <w:szCs w:val="16"/>
                <w:lang w:eastAsia="en-AU"/>
              </w:rPr>
              <w:lastRenderedPageBreak/>
              <w:t>Headache</w:t>
            </w:r>
          </w:p>
          <w:p w14:paraId="1B1DDE4A" w14:textId="77777777" w:rsidR="004505B3" w:rsidRPr="004505B3" w:rsidRDefault="004505B3" w:rsidP="004505B3">
            <w:pPr>
              <w:spacing w:before="80" w:after="0" w:line="276" w:lineRule="auto"/>
              <w:contextualSpacing/>
              <w:rPr>
                <w:rFonts w:eastAsia="Calibri" w:cs="Arial"/>
                <w:sz w:val="16"/>
                <w:szCs w:val="16"/>
                <w:lang w:eastAsia="en-AU"/>
              </w:rPr>
            </w:pPr>
            <w:r w:rsidRPr="004505B3">
              <w:rPr>
                <w:rFonts w:eastAsia="Calibri" w:cs="Arial"/>
                <w:sz w:val="16"/>
                <w:szCs w:val="16"/>
                <w:lang w:eastAsia="en-AU"/>
              </w:rPr>
              <w:t>Sleep disorder</w:t>
            </w:r>
          </w:p>
          <w:p w14:paraId="63E5705B" w14:textId="77777777" w:rsidR="004505B3" w:rsidRPr="004505B3" w:rsidRDefault="004505B3" w:rsidP="004505B3">
            <w:pPr>
              <w:spacing w:before="80" w:after="0" w:line="276" w:lineRule="auto"/>
              <w:contextualSpacing/>
              <w:rPr>
                <w:rFonts w:eastAsia="Calibri" w:cs="Arial"/>
                <w:b/>
                <w:sz w:val="16"/>
                <w:szCs w:val="16"/>
                <w:lang w:eastAsia="en-AU"/>
              </w:rPr>
            </w:pPr>
            <w:r w:rsidRPr="004505B3">
              <w:rPr>
                <w:rFonts w:eastAsia="Calibri" w:cs="Arial"/>
                <w:sz w:val="16"/>
                <w:szCs w:val="16"/>
                <w:lang w:eastAsia="en-AU"/>
              </w:rPr>
              <w:t>Somnolence</w:t>
            </w:r>
          </w:p>
        </w:tc>
        <w:tc>
          <w:tcPr>
            <w:tcW w:w="2207" w:type="dxa"/>
            <w:tcBorders>
              <w:top w:val="single" w:sz="4" w:space="0" w:color="auto"/>
              <w:left w:val="single" w:sz="4" w:space="0" w:color="auto"/>
              <w:bottom w:val="single" w:sz="4" w:space="0" w:color="auto"/>
              <w:right w:val="single" w:sz="4" w:space="0" w:color="auto"/>
            </w:tcBorders>
            <w:vAlign w:val="bottom"/>
          </w:tcPr>
          <w:p w14:paraId="74144B17"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4991B11C" w14:textId="77777777" w:rsidR="004505B3" w:rsidRPr="004505B3" w:rsidRDefault="004505B3">
            <w:pPr>
              <w:spacing w:after="0" w:line="276" w:lineRule="auto"/>
              <w:contextualSpacing/>
              <w:jc w:val="center"/>
              <w:rPr>
                <w:rFonts w:eastAsia="Calibri" w:cs="Arial"/>
                <w:sz w:val="16"/>
                <w:szCs w:val="16"/>
                <w:lang w:val="en-US" w:eastAsia="ja-JP"/>
              </w:rPr>
            </w:pPr>
          </w:p>
          <w:p w14:paraId="75444D78"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3%</w:t>
            </w:r>
          </w:p>
          <w:p w14:paraId="585CEDAD"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6%</w:t>
            </w:r>
          </w:p>
          <w:p w14:paraId="0016F412"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lastRenderedPageBreak/>
              <w:t>2%</w:t>
            </w:r>
          </w:p>
          <w:p w14:paraId="0B9E1170"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0%</w:t>
            </w:r>
          </w:p>
        </w:tc>
        <w:tc>
          <w:tcPr>
            <w:tcW w:w="1905" w:type="dxa"/>
            <w:tcBorders>
              <w:top w:val="single" w:sz="4" w:space="0" w:color="auto"/>
              <w:left w:val="single" w:sz="4" w:space="0" w:color="auto"/>
              <w:bottom w:val="single" w:sz="4" w:space="0" w:color="auto"/>
              <w:right w:val="single" w:sz="4" w:space="0" w:color="auto"/>
            </w:tcBorders>
            <w:vAlign w:val="bottom"/>
          </w:tcPr>
          <w:p w14:paraId="4A0FA053" w14:textId="77777777" w:rsidR="004505B3" w:rsidRPr="004505B3" w:rsidRDefault="004505B3">
            <w:pPr>
              <w:spacing w:after="0" w:line="276" w:lineRule="auto"/>
              <w:contextualSpacing/>
              <w:jc w:val="center"/>
              <w:rPr>
                <w:rFonts w:eastAsia="Calibri" w:cs="Arial"/>
                <w:sz w:val="16"/>
                <w:szCs w:val="16"/>
                <w:lang w:val="en-US" w:eastAsia="ja-JP"/>
              </w:rPr>
            </w:pPr>
          </w:p>
          <w:p w14:paraId="54865ED8" w14:textId="77777777" w:rsidR="004505B3" w:rsidRPr="004505B3" w:rsidRDefault="004505B3">
            <w:pPr>
              <w:spacing w:after="0" w:line="276" w:lineRule="auto"/>
              <w:contextualSpacing/>
              <w:jc w:val="center"/>
              <w:rPr>
                <w:rFonts w:eastAsia="Calibri" w:cs="Arial"/>
                <w:sz w:val="16"/>
                <w:szCs w:val="16"/>
                <w:lang w:val="en-US" w:eastAsia="ja-JP"/>
              </w:rPr>
            </w:pPr>
          </w:p>
          <w:p w14:paraId="41F1722A" w14:textId="77777777" w:rsidR="004505B3" w:rsidRPr="004505B3" w:rsidRDefault="004505B3">
            <w:pPr>
              <w:spacing w:after="0" w:line="276" w:lineRule="auto"/>
              <w:contextualSpacing/>
              <w:jc w:val="center"/>
              <w:rPr>
                <w:rFonts w:eastAsia="Calibri" w:cs="Arial"/>
                <w:sz w:val="16"/>
                <w:szCs w:val="16"/>
                <w:lang w:val="en-US" w:eastAsia="ja-JP"/>
              </w:rPr>
            </w:pPr>
          </w:p>
          <w:p w14:paraId="66B58C19"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p w14:paraId="5DCC88ED"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lastRenderedPageBreak/>
              <w:t>3%</w:t>
            </w:r>
          </w:p>
          <w:p w14:paraId="0AADD0E1"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p w14:paraId="493306FA"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tc>
        <w:tc>
          <w:tcPr>
            <w:tcW w:w="1761" w:type="dxa"/>
            <w:tcBorders>
              <w:top w:val="single" w:sz="4" w:space="0" w:color="auto"/>
              <w:left w:val="single" w:sz="4" w:space="0" w:color="auto"/>
              <w:bottom w:val="single" w:sz="4" w:space="0" w:color="auto"/>
              <w:right w:val="single" w:sz="4" w:space="0" w:color="auto"/>
            </w:tcBorders>
            <w:vAlign w:val="bottom"/>
          </w:tcPr>
          <w:p w14:paraId="459F8A59" w14:textId="77777777" w:rsidR="004505B3" w:rsidRPr="004505B3" w:rsidRDefault="004505B3">
            <w:pPr>
              <w:spacing w:after="0" w:line="276" w:lineRule="auto"/>
              <w:contextualSpacing/>
              <w:jc w:val="center"/>
              <w:rPr>
                <w:rFonts w:eastAsia="Calibri" w:cs="Arial"/>
                <w:sz w:val="16"/>
                <w:szCs w:val="16"/>
                <w:lang w:val="en-US" w:eastAsia="ja-JP"/>
              </w:rPr>
            </w:pPr>
          </w:p>
          <w:p w14:paraId="148B56E5" w14:textId="77777777" w:rsidR="004505B3" w:rsidRPr="004505B3" w:rsidRDefault="004505B3">
            <w:pPr>
              <w:spacing w:after="0" w:line="276" w:lineRule="auto"/>
              <w:contextualSpacing/>
              <w:jc w:val="center"/>
              <w:rPr>
                <w:rFonts w:eastAsia="Calibri" w:cs="Arial"/>
                <w:sz w:val="16"/>
                <w:szCs w:val="16"/>
                <w:lang w:val="en-US" w:eastAsia="ja-JP"/>
              </w:rPr>
            </w:pPr>
          </w:p>
          <w:p w14:paraId="40914B82" w14:textId="77777777" w:rsidR="004505B3" w:rsidRPr="004505B3" w:rsidRDefault="004505B3">
            <w:pPr>
              <w:spacing w:after="0" w:line="276" w:lineRule="auto"/>
              <w:contextualSpacing/>
              <w:jc w:val="center"/>
              <w:rPr>
                <w:rFonts w:eastAsia="Calibri" w:cs="Arial"/>
                <w:sz w:val="16"/>
                <w:szCs w:val="16"/>
                <w:lang w:val="en-US" w:eastAsia="ja-JP"/>
              </w:rPr>
            </w:pPr>
          </w:p>
          <w:p w14:paraId="210A9C89"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7%</w:t>
            </w:r>
          </w:p>
          <w:p w14:paraId="2F23F33C"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lastRenderedPageBreak/>
              <w:t>4%</w:t>
            </w:r>
          </w:p>
          <w:p w14:paraId="113718DF"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p w14:paraId="09C1CED9"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3%</w:t>
            </w:r>
          </w:p>
        </w:tc>
        <w:tc>
          <w:tcPr>
            <w:tcW w:w="1356" w:type="dxa"/>
            <w:tcBorders>
              <w:top w:val="single" w:sz="4" w:space="0" w:color="auto"/>
              <w:left w:val="single" w:sz="4" w:space="0" w:color="auto"/>
              <w:bottom w:val="single" w:sz="4" w:space="0" w:color="auto"/>
              <w:right w:val="single" w:sz="4" w:space="0" w:color="auto"/>
            </w:tcBorders>
            <w:vAlign w:val="bottom"/>
          </w:tcPr>
          <w:p w14:paraId="6B291845" w14:textId="77777777" w:rsidR="004505B3" w:rsidRPr="004505B3" w:rsidRDefault="004505B3">
            <w:pPr>
              <w:spacing w:after="0" w:line="276" w:lineRule="auto"/>
              <w:contextualSpacing/>
              <w:jc w:val="center"/>
              <w:rPr>
                <w:rFonts w:eastAsia="Calibri" w:cs="Arial"/>
                <w:sz w:val="16"/>
                <w:szCs w:val="16"/>
                <w:lang w:val="en-US" w:eastAsia="ja-JP"/>
              </w:rPr>
            </w:pPr>
          </w:p>
          <w:p w14:paraId="22950D2C" w14:textId="77777777" w:rsidR="004505B3" w:rsidRPr="004505B3" w:rsidRDefault="004505B3">
            <w:pPr>
              <w:spacing w:after="0" w:line="276" w:lineRule="auto"/>
              <w:contextualSpacing/>
              <w:jc w:val="center"/>
              <w:rPr>
                <w:rFonts w:eastAsia="Calibri" w:cs="Arial"/>
                <w:sz w:val="16"/>
                <w:szCs w:val="16"/>
                <w:lang w:val="en-US" w:eastAsia="ja-JP"/>
              </w:rPr>
            </w:pPr>
          </w:p>
          <w:p w14:paraId="4B271F6F" w14:textId="77777777" w:rsidR="004505B3" w:rsidRPr="004505B3" w:rsidRDefault="004505B3">
            <w:pPr>
              <w:spacing w:after="0" w:line="276" w:lineRule="auto"/>
              <w:contextualSpacing/>
              <w:jc w:val="center"/>
              <w:rPr>
                <w:rFonts w:eastAsia="Calibri" w:cs="Arial"/>
                <w:sz w:val="16"/>
                <w:szCs w:val="16"/>
                <w:lang w:val="en-US" w:eastAsia="ja-JP"/>
              </w:rPr>
            </w:pPr>
          </w:p>
          <w:p w14:paraId="36EDC5FC"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32%</w:t>
            </w:r>
          </w:p>
          <w:p w14:paraId="5AD11429"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lastRenderedPageBreak/>
              <w:t>4%</w:t>
            </w:r>
          </w:p>
          <w:p w14:paraId="21FF4AE7"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p w14:paraId="59E949DF"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7%</w:t>
            </w:r>
          </w:p>
        </w:tc>
      </w:tr>
      <w:tr w:rsidR="004505B3" w14:paraId="5AFD75B0" w14:textId="77777777" w:rsidTr="00A532A5">
        <w:trPr>
          <w:trHeight w:val="530"/>
        </w:trPr>
        <w:tc>
          <w:tcPr>
            <w:tcW w:w="1843" w:type="dxa"/>
            <w:tcBorders>
              <w:top w:val="single" w:sz="4" w:space="0" w:color="auto"/>
              <w:left w:val="single" w:sz="4" w:space="0" w:color="auto"/>
              <w:bottom w:val="single" w:sz="4" w:space="0" w:color="auto"/>
              <w:right w:val="single" w:sz="4" w:space="0" w:color="auto"/>
            </w:tcBorders>
            <w:hideMark/>
          </w:tcPr>
          <w:p w14:paraId="24BE8F60" w14:textId="77777777" w:rsidR="004505B3" w:rsidRPr="004505B3" w:rsidRDefault="004505B3" w:rsidP="004505B3">
            <w:pPr>
              <w:spacing w:before="80" w:after="0" w:line="276" w:lineRule="auto"/>
              <w:contextualSpacing/>
              <w:rPr>
                <w:rFonts w:eastAsia="Calibri" w:cs="Arial"/>
                <w:b/>
                <w:sz w:val="16"/>
                <w:szCs w:val="16"/>
                <w:lang w:eastAsia="en-AU"/>
              </w:rPr>
            </w:pPr>
            <w:r w:rsidRPr="004505B3">
              <w:rPr>
                <w:rFonts w:eastAsia="Calibri" w:cs="Arial"/>
                <w:b/>
                <w:sz w:val="16"/>
                <w:szCs w:val="16"/>
                <w:lang w:eastAsia="en-AU"/>
              </w:rPr>
              <w:lastRenderedPageBreak/>
              <w:t>Psychiatric Disorders</w:t>
            </w:r>
          </w:p>
          <w:p w14:paraId="3D8F2167" w14:textId="77777777" w:rsidR="004505B3" w:rsidRPr="004505B3" w:rsidRDefault="004505B3" w:rsidP="004505B3">
            <w:pPr>
              <w:spacing w:before="80" w:after="0" w:line="276" w:lineRule="auto"/>
              <w:contextualSpacing/>
              <w:rPr>
                <w:rFonts w:eastAsia="Calibri" w:cs="Arial"/>
                <w:b/>
                <w:sz w:val="16"/>
                <w:szCs w:val="16"/>
                <w:lang w:eastAsia="en-AU"/>
              </w:rPr>
            </w:pPr>
          </w:p>
          <w:p w14:paraId="370149DB" w14:textId="77777777" w:rsidR="004505B3" w:rsidRPr="004505B3" w:rsidRDefault="004505B3" w:rsidP="004505B3">
            <w:pPr>
              <w:spacing w:before="80" w:after="0" w:line="276" w:lineRule="auto"/>
              <w:contextualSpacing/>
              <w:rPr>
                <w:rFonts w:eastAsia="Calibri" w:cs="Arial"/>
                <w:sz w:val="16"/>
                <w:szCs w:val="16"/>
                <w:lang w:eastAsia="en-AU"/>
              </w:rPr>
            </w:pPr>
            <w:r w:rsidRPr="004505B3">
              <w:rPr>
                <w:rFonts w:eastAsia="Calibri" w:cs="Arial"/>
                <w:sz w:val="16"/>
                <w:szCs w:val="16"/>
                <w:lang w:eastAsia="en-AU"/>
              </w:rPr>
              <w:t>Abnormal dreams</w:t>
            </w:r>
          </w:p>
          <w:p w14:paraId="477B1D71" w14:textId="77777777" w:rsidR="004505B3" w:rsidRPr="004505B3" w:rsidRDefault="004505B3" w:rsidP="004505B3">
            <w:pPr>
              <w:spacing w:before="80" w:after="0" w:line="276" w:lineRule="auto"/>
              <w:contextualSpacing/>
              <w:rPr>
                <w:rFonts w:eastAsia="Calibri" w:cs="Arial"/>
                <w:sz w:val="16"/>
                <w:szCs w:val="16"/>
                <w:lang w:eastAsia="en-AU"/>
              </w:rPr>
            </w:pPr>
            <w:r w:rsidRPr="004505B3">
              <w:rPr>
                <w:rFonts w:eastAsia="Calibri" w:cs="Arial"/>
                <w:sz w:val="16"/>
                <w:szCs w:val="16"/>
                <w:lang w:eastAsia="en-AU"/>
              </w:rPr>
              <w:t>Insomnia</w:t>
            </w:r>
          </w:p>
          <w:p w14:paraId="59254B72" w14:textId="77777777" w:rsidR="004505B3" w:rsidRPr="004505B3" w:rsidRDefault="004505B3" w:rsidP="004505B3">
            <w:pPr>
              <w:spacing w:before="80" w:after="0" w:line="276" w:lineRule="auto"/>
              <w:contextualSpacing/>
              <w:rPr>
                <w:rFonts w:eastAsia="Calibri" w:cs="Arial"/>
                <w:b/>
                <w:sz w:val="16"/>
                <w:szCs w:val="16"/>
                <w:lang w:eastAsia="en-AU"/>
              </w:rPr>
            </w:pPr>
            <w:r w:rsidRPr="004505B3">
              <w:rPr>
                <w:rFonts w:eastAsia="Calibri" w:cs="Arial"/>
                <w:sz w:val="16"/>
                <w:szCs w:val="16"/>
                <w:lang w:eastAsia="en-AU"/>
              </w:rPr>
              <w:t>Nightmare</w:t>
            </w:r>
          </w:p>
        </w:tc>
        <w:tc>
          <w:tcPr>
            <w:tcW w:w="2207" w:type="dxa"/>
            <w:tcBorders>
              <w:top w:val="single" w:sz="4" w:space="0" w:color="auto"/>
              <w:left w:val="single" w:sz="4" w:space="0" w:color="auto"/>
              <w:bottom w:val="single" w:sz="4" w:space="0" w:color="auto"/>
              <w:right w:val="single" w:sz="4" w:space="0" w:color="auto"/>
            </w:tcBorders>
            <w:vAlign w:val="bottom"/>
          </w:tcPr>
          <w:p w14:paraId="06CC34A0"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475A693A" w14:textId="77777777" w:rsidR="004505B3" w:rsidRDefault="004505B3">
            <w:pPr>
              <w:spacing w:after="0" w:line="276" w:lineRule="auto"/>
              <w:contextualSpacing/>
              <w:jc w:val="center"/>
              <w:rPr>
                <w:rFonts w:eastAsia="Calibri" w:cs="Arial"/>
                <w:sz w:val="16"/>
                <w:szCs w:val="16"/>
                <w:lang w:val="en-US" w:eastAsia="ja-JP"/>
              </w:rPr>
            </w:pPr>
          </w:p>
          <w:p w14:paraId="403CD81C" w14:textId="77777777" w:rsidR="004505B3" w:rsidRDefault="004505B3">
            <w:pPr>
              <w:spacing w:after="0" w:line="276" w:lineRule="auto"/>
              <w:contextualSpacing/>
              <w:jc w:val="center"/>
              <w:rPr>
                <w:rFonts w:eastAsia="Calibri" w:cs="Arial"/>
                <w:sz w:val="16"/>
                <w:szCs w:val="16"/>
                <w:lang w:val="en-US" w:eastAsia="ja-JP"/>
              </w:rPr>
            </w:pPr>
          </w:p>
          <w:p w14:paraId="630B9A4A" w14:textId="7283AAD0"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1%</w:t>
            </w:r>
          </w:p>
          <w:p w14:paraId="4F2B039D"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1%</w:t>
            </w:r>
          </w:p>
          <w:p w14:paraId="40368C1B"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tc>
        <w:tc>
          <w:tcPr>
            <w:tcW w:w="1905" w:type="dxa"/>
            <w:tcBorders>
              <w:top w:val="single" w:sz="4" w:space="0" w:color="auto"/>
              <w:left w:val="single" w:sz="4" w:space="0" w:color="auto"/>
              <w:bottom w:val="single" w:sz="4" w:space="0" w:color="auto"/>
              <w:right w:val="single" w:sz="4" w:space="0" w:color="auto"/>
            </w:tcBorders>
            <w:vAlign w:val="bottom"/>
          </w:tcPr>
          <w:p w14:paraId="07A9BB22" w14:textId="77777777" w:rsidR="004505B3" w:rsidRPr="004505B3" w:rsidRDefault="004505B3">
            <w:pPr>
              <w:spacing w:after="0" w:line="276" w:lineRule="auto"/>
              <w:contextualSpacing/>
              <w:jc w:val="center"/>
              <w:rPr>
                <w:rFonts w:eastAsia="Calibri" w:cs="Arial"/>
                <w:sz w:val="16"/>
                <w:szCs w:val="16"/>
                <w:lang w:val="en-US" w:eastAsia="ja-JP"/>
              </w:rPr>
            </w:pPr>
          </w:p>
          <w:p w14:paraId="157CBA3B" w14:textId="77777777" w:rsidR="004505B3" w:rsidRPr="004505B3" w:rsidRDefault="004505B3">
            <w:pPr>
              <w:spacing w:after="0" w:line="276" w:lineRule="auto"/>
              <w:contextualSpacing/>
              <w:jc w:val="center"/>
              <w:rPr>
                <w:rFonts w:eastAsia="Calibri" w:cs="Arial"/>
                <w:sz w:val="16"/>
                <w:szCs w:val="16"/>
                <w:lang w:val="en-US" w:eastAsia="ja-JP"/>
              </w:rPr>
            </w:pPr>
          </w:p>
          <w:p w14:paraId="6D0129B8" w14:textId="77777777" w:rsidR="004505B3" w:rsidRPr="004505B3" w:rsidRDefault="004505B3">
            <w:pPr>
              <w:spacing w:after="0" w:line="276" w:lineRule="auto"/>
              <w:contextualSpacing/>
              <w:jc w:val="center"/>
              <w:rPr>
                <w:rFonts w:eastAsia="Calibri" w:cs="Arial"/>
                <w:sz w:val="16"/>
                <w:szCs w:val="16"/>
                <w:lang w:val="en-US" w:eastAsia="ja-JP"/>
              </w:rPr>
            </w:pPr>
          </w:p>
          <w:p w14:paraId="60AA7233"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p w14:paraId="05EC0033"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p w14:paraId="49D046B2"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tc>
        <w:tc>
          <w:tcPr>
            <w:tcW w:w="1761" w:type="dxa"/>
            <w:tcBorders>
              <w:top w:val="single" w:sz="4" w:space="0" w:color="auto"/>
              <w:left w:val="single" w:sz="4" w:space="0" w:color="auto"/>
              <w:bottom w:val="single" w:sz="4" w:space="0" w:color="auto"/>
              <w:right w:val="single" w:sz="4" w:space="0" w:color="auto"/>
            </w:tcBorders>
            <w:vAlign w:val="bottom"/>
          </w:tcPr>
          <w:p w14:paraId="5634EDE9" w14:textId="77777777" w:rsidR="004505B3" w:rsidRPr="004505B3" w:rsidRDefault="004505B3">
            <w:pPr>
              <w:spacing w:after="0" w:line="276" w:lineRule="auto"/>
              <w:contextualSpacing/>
              <w:jc w:val="center"/>
              <w:rPr>
                <w:rFonts w:eastAsia="Calibri" w:cs="Arial"/>
                <w:sz w:val="16"/>
                <w:szCs w:val="16"/>
                <w:lang w:val="en-US" w:eastAsia="ja-JP"/>
              </w:rPr>
            </w:pPr>
          </w:p>
          <w:p w14:paraId="4797D5EA" w14:textId="77777777" w:rsidR="004505B3" w:rsidRPr="004505B3" w:rsidRDefault="004505B3">
            <w:pPr>
              <w:spacing w:after="0" w:line="276" w:lineRule="auto"/>
              <w:contextualSpacing/>
              <w:jc w:val="center"/>
              <w:rPr>
                <w:rFonts w:eastAsia="Calibri" w:cs="Arial"/>
                <w:sz w:val="16"/>
                <w:szCs w:val="16"/>
                <w:lang w:val="en-US" w:eastAsia="ja-JP"/>
              </w:rPr>
            </w:pPr>
          </w:p>
          <w:p w14:paraId="26F65CC8" w14:textId="77777777" w:rsidR="004505B3" w:rsidRPr="004505B3" w:rsidRDefault="004505B3">
            <w:pPr>
              <w:spacing w:after="0" w:line="276" w:lineRule="auto"/>
              <w:contextualSpacing/>
              <w:jc w:val="center"/>
              <w:rPr>
                <w:rFonts w:eastAsia="Calibri" w:cs="Arial"/>
                <w:sz w:val="16"/>
                <w:szCs w:val="16"/>
                <w:lang w:val="en-US" w:eastAsia="ja-JP"/>
              </w:rPr>
            </w:pPr>
          </w:p>
          <w:p w14:paraId="54523846"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5%</w:t>
            </w:r>
          </w:p>
          <w:p w14:paraId="7145CA8A"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4%</w:t>
            </w:r>
          </w:p>
          <w:p w14:paraId="1D780CAB"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tc>
        <w:tc>
          <w:tcPr>
            <w:tcW w:w="1356" w:type="dxa"/>
            <w:tcBorders>
              <w:top w:val="single" w:sz="4" w:space="0" w:color="auto"/>
              <w:left w:val="single" w:sz="4" w:space="0" w:color="auto"/>
              <w:bottom w:val="single" w:sz="4" w:space="0" w:color="auto"/>
              <w:right w:val="single" w:sz="4" w:space="0" w:color="auto"/>
            </w:tcBorders>
            <w:vAlign w:val="bottom"/>
          </w:tcPr>
          <w:p w14:paraId="218AAB67" w14:textId="77777777" w:rsidR="004505B3" w:rsidRPr="004505B3" w:rsidRDefault="004505B3">
            <w:pPr>
              <w:spacing w:after="0" w:line="276" w:lineRule="auto"/>
              <w:contextualSpacing/>
              <w:jc w:val="center"/>
              <w:rPr>
                <w:rFonts w:eastAsia="Calibri" w:cs="Arial"/>
                <w:sz w:val="16"/>
                <w:szCs w:val="16"/>
                <w:lang w:val="en-US" w:eastAsia="ja-JP"/>
              </w:rPr>
            </w:pPr>
          </w:p>
          <w:p w14:paraId="5FDE597F" w14:textId="77777777" w:rsidR="004505B3" w:rsidRPr="004505B3" w:rsidRDefault="004505B3">
            <w:pPr>
              <w:spacing w:after="0" w:line="276" w:lineRule="auto"/>
              <w:contextualSpacing/>
              <w:jc w:val="center"/>
              <w:rPr>
                <w:rFonts w:eastAsia="Calibri" w:cs="Arial"/>
                <w:sz w:val="16"/>
                <w:szCs w:val="16"/>
                <w:lang w:val="en-US" w:eastAsia="ja-JP"/>
              </w:rPr>
            </w:pPr>
          </w:p>
          <w:p w14:paraId="701C371F" w14:textId="77777777" w:rsidR="004505B3" w:rsidRPr="004505B3" w:rsidRDefault="004505B3">
            <w:pPr>
              <w:spacing w:after="0" w:line="276" w:lineRule="auto"/>
              <w:contextualSpacing/>
              <w:jc w:val="center"/>
              <w:rPr>
                <w:rFonts w:eastAsia="Calibri" w:cs="Arial"/>
                <w:sz w:val="16"/>
                <w:szCs w:val="16"/>
                <w:lang w:val="en-US" w:eastAsia="ja-JP"/>
              </w:rPr>
            </w:pPr>
          </w:p>
          <w:p w14:paraId="057BA63D"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9%</w:t>
            </w:r>
          </w:p>
          <w:p w14:paraId="73A51CF1"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5%</w:t>
            </w:r>
          </w:p>
          <w:p w14:paraId="20543EE4"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4%</w:t>
            </w:r>
          </w:p>
        </w:tc>
      </w:tr>
      <w:tr w:rsidR="004505B3" w14:paraId="74D3B352" w14:textId="77777777" w:rsidTr="00A532A5">
        <w:trPr>
          <w:trHeight w:val="530"/>
        </w:trPr>
        <w:tc>
          <w:tcPr>
            <w:tcW w:w="1843" w:type="dxa"/>
            <w:tcBorders>
              <w:top w:val="single" w:sz="4" w:space="0" w:color="auto"/>
              <w:left w:val="single" w:sz="4" w:space="0" w:color="auto"/>
              <w:bottom w:val="single" w:sz="4" w:space="0" w:color="auto"/>
              <w:right w:val="single" w:sz="4" w:space="0" w:color="auto"/>
            </w:tcBorders>
            <w:hideMark/>
          </w:tcPr>
          <w:p w14:paraId="4898B801" w14:textId="77777777" w:rsidR="004505B3" w:rsidRPr="004505B3" w:rsidRDefault="004505B3" w:rsidP="004505B3">
            <w:pPr>
              <w:spacing w:before="80" w:after="0" w:line="276" w:lineRule="auto"/>
              <w:contextualSpacing/>
              <w:jc w:val="left"/>
              <w:rPr>
                <w:rFonts w:eastAsia="Calibri" w:cs="Arial"/>
                <w:b/>
                <w:sz w:val="16"/>
                <w:szCs w:val="16"/>
                <w:lang w:eastAsia="en-AU"/>
              </w:rPr>
            </w:pPr>
            <w:r w:rsidRPr="004505B3">
              <w:rPr>
                <w:rFonts w:eastAsia="Calibri" w:cs="Arial"/>
                <w:b/>
                <w:sz w:val="16"/>
                <w:szCs w:val="16"/>
                <w:lang w:eastAsia="en-AU"/>
              </w:rPr>
              <w:t>Skin and Subcutaneous Disorders</w:t>
            </w:r>
          </w:p>
          <w:p w14:paraId="25D7DAC0" w14:textId="77777777" w:rsidR="004505B3" w:rsidRPr="004505B3" w:rsidRDefault="004505B3" w:rsidP="004505B3">
            <w:pPr>
              <w:spacing w:before="80" w:after="0" w:line="276" w:lineRule="auto"/>
              <w:contextualSpacing/>
              <w:rPr>
                <w:rFonts w:eastAsia="Calibri" w:cs="Arial"/>
                <w:b/>
                <w:sz w:val="16"/>
                <w:szCs w:val="16"/>
                <w:lang w:eastAsia="en-AU"/>
              </w:rPr>
            </w:pPr>
          </w:p>
          <w:p w14:paraId="64EFD02A" w14:textId="77777777" w:rsidR="004505B3" w:rsidRPr="004505B3" w:rsidRDefault="004505B3" w:rsidP="004505B3">
            <w:pPr>
              <w:spacing w:before="80" w:after="0" w:line="276" w:lineRule="auto"/>
              <w:contextualSpacing/>
              <w:rPr>
                <w:rFonts w:eastAsia="Calibri" w:cs="Arial"/>
                <w:sz w:val="16"/>
                <w:szCs w:val="16"/>
                <w:lang w:eastAsia="en-AU"/>
              </w:rPr>
            </w:pPr>
            <w:r w:rsidRPr="004505B3">
              <w:rPr>
                <w:rFonts w:eastAsia="Calibri" w:cs="Arial"/>
                <w:sz w:val="16"/>
                <w:szCs w:val="16"/>
                <w:lang w:eastAsia="en-AU"/>
              </w:rPr>
              <w:t>Rash</w:t>
            </w:r>
          </w:p>
        </w:tc>
        <w:tc>
          <w:tcPr>
            <w:tcW w:w="2207" w:type="dxa"/>
            <w:tcBorders>
              <w:top w:val="single" w:sz="4" w:space="0" w:color="auto"/>
              <w:left w:val="single" w:sz="4" w:space="0" w:color="auto"/>
              <w:bottom w:val="single" w:sz="4" w:space="0" w:color="auto"/>
              <w:right w:val="single" w:sz="4" w:space="0" w:color="auto"/>
            </w:tcBorders>
            <w:vAlign w:val="bottom"/>
          </w:tcPr>
          <w:p w14:paraId="5F11C1FC"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474BBB82"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3F6557B2"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tc>
        <w:tc>
          <w:tcPr>
            <w:tcW w:w="1905" w:type="dxa"/>
            <w:tcBorders>
              <w:top w:val="single" w:sz="4" w:space="0" w:color="auto"/>
              <w:left w:val="single" w:sz="4" w:space="0" w:color="auto"/>
              <w:bottom w:val="single" w:sz="4" w:space="0" w:color="auto"/>
              <w:right w:val="single" w:sz="4" w:space="0" w:color="auto"/>
            </w:tcBorders>
            <w:vAlign w:val="bottom"/>
          </w:tcPr>
          <w:p w14:paraId="2DE22FF7"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5956EA93"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7671ED0E"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&lt;1%</w:t>
            </w:r>
          </w:p>
        </w:tc>
        <w:tc>
          <w:tcPr>
            <w:tcW w:w="1761" w:type="dxa"/>
            <w:tcBorders>
              <w:top w:val="single" w:sz="4" w:space="0" w:color="auto"/>
              <w:left w:val="single" w:sz="4" w:space="0" w:color="auto"/>
              <w:bottom w:val="single" w:sz="4" w:space="0" w:color="auto"/>
              <w:right w:val="single" w:sz="4" w:space="0" w:color="auto"/>
            </w:tcBorders>
            <w:vAlign w:val="bottom"/>
          </w:tcPr>
          <w:p w14:paraId="0BA02242"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194EEE4F"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04190640"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2%</w:t>
            </w:r>
          </w:p>
        </w:tc>
        <w:tc>
          <w:tcPr>
            <w:tcW w:w="1356" w:type="dxa"/>
            <w:tcBorders>
              <w:top w:val="single" w:sz="4" w:space="0" w:color="auto"/>
              <w:left w:val="single" w:sz="4" w:space="0" w:color="auto"/>
              <w:bottom w:val="single" w:sz="4" w:space="0" w:color="auto"/>
              <w:right w:val="single" w:sz="4" w:space="0" w:color="auto"/>
            </w:tcBorders>
            <w:vAlign w:val="bottom"/>
          </w:tcPr>
          <w:p w14:paraId="4F11658B"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69716A59" w14:textId="77777777" w:rsidR="004505B3" w:rsidRPr="004505B3" w:rsidRDefault="004505B3" w:rsidP="004505B3">
            <w:pPr>
              <w:spacing w:after="0" w:line="276" w:lineRule="auto"/>
              <w:contextualSpacing/>
              <w:jc w:val="center"/>
              <w:rPr>
                <w:rFonts w:eastAsia="Calibri" w:cs="Arial"/>
                <w:sz w:val="16"/>
                <w:szCs w:val="16"/>
                <w:lang w:val="en-US" w:eastAsia="ja-JP"/>
              </w:rPr>
            </w:pPr>
          </w:p>
          <w:p w14:paraId="3F09C4E7" w14:textId="77777777" w:rsidR="004505B3" w:rsidRPr="004505B3" w:rsidRDefault="004505B3">
            <w:pPr>
              <w:spacing w:after="0" w:line="276" w:lineRule="auto"/>
              <w:contextualSpacing/>
              <w:jc w:val="center"/>
              <w:rPr>
                <w:rFonts w:eastAsia="Calibri" w:cs="Arial"/>
                <w:sz w:val="16"/>
                <w:szCs w:val="16"/>
                <w:lang w:val="en-US" w:eastAsia="ja-JP"/>
              </w:rPr>
            </w:pPr>
            <w:r w:rsidRPr="004505B3">
              <w:rPr>
                <w:rFonts w:eastAsia="Calibri" w:cs="Arial"/>
                <w:sz w:val="16"/>
                <w:szCs w:val="16"/>
                <w:lang w:val="en-US" w:eastAsia="ja-JP"/>
              </w:rPr>
              <w:t>9%</w:t>
            </w:r>
          </w:p>
        </w:tc>
      </w:tr>
      <w:tr w:rsidR="006F26AB" w:rsidRPr="006F26AB" w14:paraId="1A0D8ACB" w14:textId="77777777" w:rsidTr="007150F6">
        <w:trPr>
          <w:trHeight w:val="350"/>
        </w:trPr>
        <w:tc>
          <w:tcPr>
            <w:tcW w:w="9072" w:type="dxa"/>
            <w:gridSpan w:val="5"/>
            <w:tcBorders>
              <w:top w:val="single" w:sz="4" w:space="0" w:color="auto"/>
              <w:left w:val="single" w:sz="4" w:space="0" w:color="auto"/>
              <w:bottom w:val="single" w:sz="4" w:space="0" w:color="auto"/>
              <w:right w:val="single" w:sz="4" w:space="0" w:color="auto"/>
            </w:tcBorders>
            <w:hideMark/>
          </w:tcPr>
          <w:p w14:paraId="68857BFE" w14:textId="77777777" w:rsidR="00304B21" w:rsidRPr="00304B21" w:rsidRDefault="00304B21" w:rsidP="00304B21">
            <w:pPr>
              <w:rPr>
                <w:rFonts w:cs="Arial"/>
                <w:sz w:val="18"/>
                <w:szCs w:val="18"/>
              </w:rPr>
            </w:pPr>
            <w:r w:rsidRPr="00304B21">
              <w:rPr>
                <w:rFonts w:cs="Arial"/>
                <w:b/>
                <w:sz w:val="18"/>
                <w:szCs w:val="18"/>
                <w:vertAlign w:val="superscript"/>
              </w:rPr>
              <w:t xml:space="preserve">Ϸ </w:t>
            </w:r>
            <w:r w:rsidRPr="00304B21">
              <w:rPr>
                <w:rFonts w:cs="Arial"/>
                <w:sz w:val="18"/>
                <w:szCs w:val="18"/>
              </w:rPr>
              <w:t>Frequencies</w:t>
            </w:r>
            <w:r w:rsidRPr="00304B21">
              <w:rPr>
                <w:rFonts w:cs="Arial"/>
                <w:b/>
                <w:sz w:val="18"/>
                <w:szCs w:val="18"/>
              </w:rPr>
              <w:t xml:space="preserve"> </w:t>
            </w:r>
            <w:r w:rsidRPr="00304B21">
              <w:rPr>
                <w:rFonts w:cs="Arial"/>
                <w:sz w:val="18"/>
                <w:szCs w:val="18"/>
              </w:rPr>
              <w:t xml:space="preserve">of adverse reactions are based on all adverse events attributed to trial drugs by the investigator. </w:t>
            </w:r>
          </w:p>
          <w:p w14:paraId="63F2A0E7" w14:textId="77777777" w:rsidR="00304B21" w:rsidRPr="00304B21" w:rsidRDefault="00304B21" w:rsidP="00304B21">
            <w:pPr>
              <w:rPr>
                <w:rFonts w:cs="Arial"/>
                <w:sz w:val="18"/>
                <w:szCs w:val="18"/>
              </w:rPr>
            </w:pPr>
            <w:r w:rsidRPr="00304B21">
              <w:rPr>
                <w:rFonts w:cs="Arial"/>
                <w:sz w:val="18"/>
                <w:szCs w:val="18"/>
                <w:vertAlign w:val="superscript"/>
              </w:rPr>
              <w:t>†</w:t>
            </w:r>
            <w:r w:rsidRPr="00304B21">
              <w:rPr>
                <w:rFonts w:cs="Arial"/>
                <w:sz w:val="18"/>
                <w:szCs w:val="18"/>
              </w:rPr>
              <w:t>No adverse reactions of Grade 2 or higher (moderate or severe) occurred in ≥ 2% of subjects treated with doravirine.</w:t>
            </w:r>
          </w:p>
          <w:p w14:paraId="1DD33FC4" w14:textId="56AD95C5" w:rsidR="006F26AB" w:rsidRPr="00304B21" w:rsidRDefault="006F26AB" w:rsidP="006F26AB">
            <w:pPr>
              <w:spacing w:after="0" w:line="276" w:lineRule="auto"/>
              <w:rPr>
                <w:rFonts w:eastAsia="Calibri" w:cs="Arial"/>
                <w:sz w:val="18"/>
                <w:szCs w:val="18"/>
                <w:lang w:eastAsia="en-AU"/>
              </w:rPr>
            </w:pPr>
            <w:r w:rsidRPr="00304B21">
              <w:rPr>
                <w:rFonts w:eastAsia="Calibri" w:cs="Arial"/>
                <w:sz w:val="18"/>
                <w:szCs w:val="18"/>
                <w:lang w:eastAsia="en-AU"/>
              </w:rPr>
              <w:t>NRTI</w:t>
            </w:r>
            <w:r w:rsidR="00304B21">
              <w:rPr>
                <w:rFonts w:eastAsia="Calibri" w:cs="Arial"/>
                <w:sz w:val="18"/>
                <w:szCs w:val="18"/>
                <w:lang w:eastAsia="en-AU"/>
              </w:rPr>
              <w:t>s</w:t>
            </w:r>
            <w:r w:rsidRPr="00304B21">
              <w:rPr>
                <w:rFonts w:eastAsia="Calibri" w:cs="Arial"/>
                <w:sz w:val="18"/>
                <w:szCs w:val="18"/>
                <w:lang w:eastAsia="en-AU"/>
              </w:rPr>
              <w:t>=nucleoside reverse transcriptase inhibitor.</w:t>
            </w:r>
          </w:p>
          <w:p w14:paraId="7078589E" w14:textId="77777777" w:rsidR="00304B21" w:rsidRPr="00304B21" w:rsidRDefault="00304B21" w:rsidP="006F26AB">
            <w:pPr>
              <w:spacing w:after="0" w:line="276" w:lineRule="auto"/>
              <w:rPr>
                <w:rFonts w:eastAsia="Calibri" w:cs="Arial"/>
                <w:sz w:val="18"/>
                <w:szCs w:val="18"/>
                <w:lang w:val="en-US" w:eastAsia="ja-JP"/>
              </w:rPr>
            </w:pPr>
          </w:p>
          <w:p w14:paraId="4C41F980" w14:textId="2BC31EF9" w:rsidR="006F26AB" w:rsidRPr="006F26AB" w:rsidRDefault="006F26AB" w:rsidP="006F26AB">
            <w:pPr>
              <w:spacing w:after="0" w:line="276" w:lineRule="auto"/>
              <w:rPr>
                <w:rFonts w:eastAsia="Calibri" w:cs="Arial"/>
                <w:sz w:val="16"/>
                <w:szCs w:val="16"/>
                <w:lang w:val="en-US" w:eastAsia="ja-JP"/>
              </w:rPr>
            </w:pPr>
            <w:r w:rsidRPr="00304B21">
              <w:rPr>
                <w:rFonts w:eastAsia="Calibri" w:cs="Arial"/>
                <w:sz w:val="18"/>
                <w:szCs w:val="18"/>
                <w:lang w:eastAsia="en-AU"/>
              </w:rPr>
              <w:t xml:space="preserve">NRTIs = FTC/TDF </w:t>
            </w:r>
            <w:r w:rsidRPr="00304B21">
              <w:rPr>
                <w:rFonts w:eastAsia="Calibri" w:cs="Arial"/>
                <w:color w:val="1A1A1A"/>
                <w:sz w:val="18"/>
                <w:szCs w:val="18"/>
                <w:lang w:eastAsia="en-AU"/>
              </w:rPr>
              <w:t>or ABC/3TC</w:t>
            </w:r>
            <w:r w:rsidRPr="00304B21">
              <w:rPr>
                <w:rFonts w:eastAsia="Calibri" w:cs="Arial"/>
                <w:sz w:val="18"/>
                <w:szCs w:val="18"/>
                <w:lang w:eastAsia="en-AU"/>
              </w:rPr>
              <w:t>.</w:t>
            </w:r>
          </w:p>
        </w:tc>
      </w:tr>
    </w:tbl>
    <w:p w14:paraId="31D58027" w14:textId="77777777" w:rsidR="006F26AB" w:rsidRPr="006F26AB" w:rsidRDefault="006F26AB" w:rsidP="006F26AB">
      <w:pPr>
        <w:rPr>
          <w:rFonts w:cs="Arial"/>
          <w:b/>
        </w:rPr>
      </w:pPr>
    </w:p>
    <w:p w14:paraId="633A6EDA" w14:textId="77777777" w:rsidR="00EF7790" w:rsidRDefault="00EF7790" w:rsidP="00C90032">
      <w:pPr>
        <w:rPr>
          <w:u w:val="single"/>
        </w:rPr>
      </w:pPr>
    </w:p>
    <w:p w14:paraId="4613D5C8" w14:textId="7F866E17" w:rsidR="00C90032" w:rsidRDefault="00C90032" w:rsidP="00C90032">
      <w:pPr>
        <w:rPr>
          <w:u w:val="single"/>
        </w:rPr>
      </w:pPr>
      <w:r w:rsidRPr="00C90032">
        <w:rPr>
          <w:u w:val="single"/>
        </w:rPr>
        <w:t>Laboratory Abnormalities</w:t>
      </w:r>
    </w:p>
    <w:p w14:paraId="14923D1B" w14:textId="53618B32" w:rsidR="006F26AB" w:rsidRDefault="006F26AB" w:rsidP="006F26AB">
      <w:r w:rsidRPr="006F26AB">
        <w:t>The percentages of subjects with selected Grade 2 to 4 laboratory abnormalities (that represent a worsening Grade from baseline) who were treated with doravirine-</w:t>
      </w:r>
      <w:r w:rsidR="00C54C73">
        <w:t>PIFELTRO</w:t>
      </w:r>
      <w:r w:rsidRPr="006F26AB">
        <w:t xml:space="preserve"> or </w:t>
      </w:r>
      <w:proofErr w:type="spellStart"/>
      <w:r w:rsidRPr="006F26AB">
        <w:t>DRV+r</w:t>
      </w:r>
      <w:proofErr w:type="spellEnd"/>
      <w:r w:rsidRPr="006F26AB">
        <w:t xml:space="preserve"> in DRIVE-FORWARD, or </w:t>
      </w:r>
      <w:r w:rsidR="00B836DC">
        <w:t>DELSTRIGO</w:t>
      </w:r>
      <w:r w:rsidRPr="006F26AB">
        <w:t xml:space="preserve"> or EFV/FTC/TDF in DRIVE-AHEAD are presented in Table </w:t>
      </w:r>
      <w:r w:rsidR="002C24E2">
        <w:t>3</w:t>
      </w:r>
      <w:r w:rsidRPr="006F26AB">
        <w:t>.</w:t>
      </w:r>
    </w:p>
    <w:p w14:paraId="13CFF60C" w14:textId="43565998" w:rsidR="006F26AB" w:rsidRDefault="006F26AB" w:rsidP="006F26AB">
      <w:pPr>
        <w:jc w:val="center"/>
        <w:rPr>
          <w:b/>
        </w:rPr>
      </w:pPr>
      <w:r w:rsidRPr="006F26AB">
        <w:rPr>
          <w:b/>
        </w:rPr>
        <w:t xml:space="preserve">Table </w:t>
      </w:r>
      <w:r w:rsidR="002C24E2">
        <w:rPr>
          <w:b/>
        </w:rPr>
        <w:t>3</w:t>
      </w:r>
      <w:r w:rsidRPr="006F26AB">
        <w:rPr>
          <w:b/>
        </w:rPr>
        <w:t>: Selected Grade 2 to 4 Laboratory Abnormalities Reported in DRIVE-FORWARD and DRIVE-AHEAD (Week 48)</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38"/>
        <w:gridCol w:w="20"/>
        <w:gridCol w:w="1443"/>
        <w:gridCol w:w="1559"/>
        <w:gridCol w:w="1418"/>
        <w:gridCol w:w="1701"/>
        <w:gridCol w:w="1414"/>
      </w:tblGrid>
      <w:tr w:rsidR="006F26AB" w:rsidRPr="006F26AB" w14:paraId="5528C451" w14:textId="77777777" w:rsidTr="007150F6">
        <w:trPr>
          <w:jc w:val="center"/>
        </w:trPr>
        <w:tc>
          <w:tcPr>
            <w:tcW w:w="1320" w:type="dxa"/>
            <w:tcBorders>
              <w:top w:val="single" w:sz="4" w:space="0" w:color="auto"/>
              <w:left w:val="single" w:sz="4" w:space="0" w:color="auto"/>
              <w:bottom w:val="single" w:sz="4" w:space="0" w:color="auto"/>
              <w:right w:val="nil"/>
            </w:tcBorders>
          </w:tcPr>
          <w:p w14:paraId="721A9AAB" w14:textId="77777777" w:rsidR="006F26AB" w:rsidRPr="006F26AB" w:rsidRDefault="006F26AB" w:rsidP="006F26AB">
            <w:pPr>
              <w:tabs>
                <w:tab w:val="left" w:pos="360"/>
              </w:tabs>
              <w:spacing w:after="80" w:line="276" w:lineRule="auto"/>
              <w:ind w:right="234"/>
              <w:rPr>
                <w:rFonts w:eastAsia="Calibri" w:cs="Arial"/>
                <w:b/>
                <w:sz w:val="16"/>
                <w:szCs w:val="16"/>
                <w:lang w:val="en-US" w:eastAsia="ja-JP"/>
              </w:rPr>
            </w:pPr>
          </w:p>
        </w:tc>
        <w:tc>
          <w:tcPr>
            <w:tcW w:w="1701" w:type="dxa"/>
            <w:gridSpan w:val="3"/>
            <w:tcBorders>
              <w:top w:val="single" w:sz="4" w:space="0" w:color="auto"/>
              <w:left w:val="nil"/>
              <w:bottom w:val="single" w:sz="4" w:space="0" w:color="auto"/>
              <w:right w:val="single" w:sz="4" w:space="0" w:color="auto"/>
            </w:tcBorders>
          </w:tcPr>
          <w:p w14:paraId="01AC8225" w14:textId="77777777" w:rsidR="006F26AB" w:rsidRPr="006F26AB" w:rsidRDefault="006F26AB" w:rsidP="006F26AB">
            <w:pPr>
              <w:tabs>
                <w:tab w:val="left" w:pos="360"/>
              </w:tabs>
              <w:spacing w:after="80" w:line="276" w:lineRule="auto"/>
              <w:ind w:right="234"/>
              <w:rPr>
                <w:rFonts w:eastAsia="Calibri" w:cs="Arial"/>
                <w:b/>
                <w:sz w:val="16"/>
                <w:szCs w:val="16"/>
                <w:lang w:val="en-US" w:eastAsia="ja-JP"/>
              </w:rPr>
            </w:pPr>
          </w:p>
        </w:tc>
        <w:tc>
          <w:tcPr>
            <w:tcW w:w="2977" w:type="dxa"/>
            <w:gridSpan w:val="2"/>
            <w:tcBorders>
              <w:top w:val="single" w:sz="4" w:space="0" w:color="auto"/>
              <w:left w:val="single" w:sz="4" w:space="0" w:color="auto"/>
              <w:bottom w:val="single" w:sz="4" w:space="0" w:color="auto"/>
              <w:right w:val="single" w:sz="12" w:space="0" w:color="auto"/>
            </w:tcBorders>
            <w:vAlign w:val="center"/>
            <w:hideMark/>
          </w:tcPr>
          <w:p w14:paraId="520967D5" w14:textId="77777777" w:rsidR="006F26AB" w:rsidRPr="006F26AB" w:rsidRDefault="006F26AB" w:rsidP="006F26AB">
            <w:pPr>
              <w:tabs>
                <w:tab w:val="left" w:pos="360"/>
              </w:tabs>
              <w:spacing w:after="0" w:line="276" w:lineRule="auto"/>
              <w:ind w:right="232"/>
              <w:jc w:val="center"/>
              <w:rPr>
                <w:rFonts w:eastAsia="Calibri" w:cs="Arial"/>
                <w:b/>
                <w:sz w:val="16"/>
                <w:szCs w:val="16"/>
                <w:lang w:val="en-US" w:eastAsia="ja-JP"/>
              </w:rPr>
            </w:pPr>
            <w:r w:rsidRPr="006F26AB">
              <w:rPr>
                <w:rFonts w:eastAsia="Calibri" w:cs="Arial"/>
                <w:b/>
                <w:sz w:val="16"/>
                <w:szCs w:val="16"/>
                <w:lang w:eastAsia="en-AU" w:bidi="th-TH"/>
              </w:rPr>
              <w:t>DRIVE-FORWARD</w:t>
            </w:r>
          </w:p>
        </w:tc>
        <w:tc>
          <w:tcPr>
            <w:tcW w:w="3115" w:type="dxa"/>
            <w:gridSpan w:val="2"/>
            <w:tcBorders>
              <w:top w:val="single" w:sz="4" w:space="0" w:color="auto"/>
              <w:left w:val="single" w:sz="12" w:space="0" w:color="auto"/>
              <w:bottom w:val="single" w:sz="4" w:space="0" w:color="auto"/>
              <w:right w:val="single" w:sz="4" w:space="0" w:color="auto"/>
            </w:tcBorders>
            <w:vAlign w:val="center"/>
            <w:hideMark/>
          </w:tcPr>
          <w:p w14:paraId="4DE13E88" w14:textId="77777777" w:rsidR="006F26AB" w:rsidRPr="006F26AB" w:rsidRDefault="006F26AB" w:rsidP="006F26AB">
            <w:pPr>
              <w:tabs>
                <w:tab w:val="left" w:pos="360"/>
              </w:tabs>
              <w:spacing w:after="0" w:line="276" w:lineRule="auto"/>
              <w:ind w:right="232"/>
              <w:jc w:val="center"/>
              <w:rPr>
                <w:rFonts w:eastAsia="Calibri" w:cs="Arial"/>
                <w:b/>
                <w:sz w:val="16"/>
                <w:szCs w:val="16"/>
                <w:lang w:val="en-US" w:eastAsia="ja-JP"/>
              </w:rPr>
            </w:pPr>
            <w:r w:rsidRPr="006F26AB">
              <w:rPr>
                <w:rFonts w:eastAsia="Calibri" w:cs="Arial"/>
                <w:b/>
                <w:sz w:val="16"/>
                <w:szCs w:val="16"/>
                <w:lang w:eastAsia="en-AU" w:bidi="th-TH"/>
              </w:rPr>
              <w:t>DRIVE-AHEAD</w:t>
            </w:r>
          </w:p>
        </w:tc>
      </w:tr>
      <w:tr w:rsidR="006F26AB" w:rsidRPr="006F26AB" w14:paraId="2ECA31A3" w14:textId="77777777" w:rsidTr="007150F6">
        <w:trPr>
          <w:trHeight w:val="890"/>
          <w:jc w:val="center"/>
        </w:trPr>
        <w:tc>
          <w:tcPr>
            <w:tcW w:w="1320" w:type="dxa"/>
            <w:tcBorders>
              <w:top w:val="single" w:sz="4" w:space="0" w:color="auto"/>
              <w:left w:val="single" w:sz="4" w:space="0" w:color="auto"/>
              <w:bottom w:val="single" w:sz="4" w:space="0" w:color="auto"/>
              <w:right w:val="nil"/>
            </w:tcBorders>
            <w:vAlign w:val="bottom"/>
            <w:hideMark/>
          </w:tcPr>
          <w:p w14:paraId="18003A42" w14:textId="77777777" w:rsidR="006F26AB" w:rsidRPr="006F26AB" w:rsidRDefault="006F26AB" w:rsidP="006F26AB">
            <w:pPr>
              <w:tabs>
                <w:tab w:val="left" w:pos="360"/>
              </w:tabs>
              <w:spacing w:after="0" w:line="276" w:lineRule="auto"/>
              <w:ind w:right="234"/>
              <w:jc w:val="center"/>
              <w:rPr>
                <w:rFonts w:eastAsia="Calibri" w:cs="Arial"/>
                <w:b/>
                <w:sz w:val="16"/>
                <w:szCs w:val="16"/>
                <w:lang w:val="en-US" w:eastAsia="ja-JP"/>
              </w:rPr>
            </w:pPr>
            <w:r w:rsidRPr="006F26AB">
              <w:rPr>
                <w:rFonts w:eastAsia="Calibri" w:cs="Arial"/>
                <w:b/>
                <w:sz w:val="16"/>
                <w:szCs w:val="16"/>
                <w:lang w:eastAsia="en-AU"/>
              </w:rPr>
              <w:t>Laboratory Parameter Preferred Term (Unit)</w:t>
            </w:r>
          </w:p>
        </w:tc>
        <w:tc>
          <w:tcPr>
            <w:tcW w:w="1701" w:type="dxa"/>
            <w:gridSpan w:val="3"/>
            <w:tcBorders>
              <w:top w:val="single" w:sz="4" w:space="0" w:color="auto"/>
              <w:left w:val="single" w:sz="4" w:space="0" w:color="auto"/>
              <w:bottom w:val="single" w:sz="4" w:space="0" w:color="auto"/>
              <w:right w:val="single" w:sz="4" w:space="0" w:color="auto"/>
            </w:tcBorders>
          </w:tcPr>
          <w:p w14:paraId="5BC7BFDB" w14:textId="77777777" w:rsidR="006F26AB" w:rsidRPr="006F26AB" w:rsidRDefault="006F26AB" w:rsidP="006F26AB">
            <w:pPr>
              <w:tabs>
                <w:tab w:val="left" w:pos="360"/>
              </w:tabs>
              <w:spacing w:after="0" w:line="276" w:lineRule="auto"/>
              <w:ind w:right="234"/>
              <w:jc w:val="center"/>
              <w:rPr>
                <w:rFonts w:eastAsia="Calibri" w:cs="Arial"/>
                <w:b/>
                <w:sz w:val="16"/>
                <w:szCs w:val="16"/>
                <w:lang w:val="en-US" w:eastAsia="ja-JP"/>
              </w:rPr>
            </w:pPr>
          </w:p>
          <w:p w14:paraId="19181226" w14:textId="77777777" w:rsidR="006F26AB" w:rsidRPr="006F26AB" w:rsidRDefault="006F26AB" w:rsidP="006F26AB">
            <w:pPr>
              <w:tabs>
                <w:tab w:val="left" w:pos="360"/>
              </w:tabs>
              <w:spacing w:after="0" w:line="276" w:lineRule="auto"/>
              <w:ind w:right="234"/>
              <w:jc w:val="center"/>
              <w:rPr>
                <w:rFonts w:eastAsia="Calibri" w:cs="Arial"/>
                <w:b/>
                <w:sz w:val="16"/>
                <w:szCs w:val="16"/>
                <w:lang w:eastAsia="en-AU"/>
              </w:rPr>
            </w:pPr>
          </w:p>
          <w:p w14:paraId="4B7CEA43" w14:textId="77777777" w:rsidR="006F26AB" w:rsidRPr="006F26AB" w:rsidRDefault="006F26AB" w:rsidP="006F26AB">
            <w:pPr>
              <w:tabs>
                <w:tab w:val="left" w:pos="360"/>
              </w:tabs>
              <w:spacing w:after="0" w:line="276" w:lineRule="auto"/>
              <w:ind w:right="234"/>
              <w:jc w:val="center"/>
              <w:rPr>
                <w:rFonts w:eastAsia="Calibri" w:cs="Arial"/>
                <w:b/>
                <w:sz w:val="16"/>
                <w:szCs w:val="16"/>
                <w:lang w:val="en-US" w:eastAsia="ja-JP"/>
              </w:rPr>
            </w:pPr>
            <w:r w:rsidRPr="006F26AB">
              <w:rPr>
                <w:rFonts w:eastAsia="Calibri" w:cs="Arial"/>
                <w:b/>
                <w:sz w:val="16"/>
                <w:szCs w:val="16"/>
                <w:lang w:eastAsia="en-AU"/>
              </w:rPr>
              <w:t>Limit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33D77F"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Doravirine-</w:t>
            </w:r>
          </w:p>
          <w:p w14:paraId="69DEDDBA" w14:textId="662313FB" w:rsidR="006F26AB" w:rsidRPr="006F26AB" w:rsidRDefault="00C54C73" w:rsidP="006F26AB">
            <w:pPr>
              <w:spacing w:after="0" w:line="276" w:lineRule="auto"/>
              <w:jc w:val="center"/>
              <w:rPr>
                <w:rFonts w:eastAsia="Calibri" w:cs="Arial"/>
                <w:b/>
                <w:sz w:val="16"/>
                <w:szCs w:val="16"/>
                <w:lang w:eastAsia="en-AU"/>
              </w:rPr>
            </w:pPr>
            <w:r>
              <w:rPr>
                <w:rFonts w:eastAsia="Calibri" w:cs="Arial"/>
                <w:b/>
                <w:sz w:val="16"/>
                <w:szCs w:val="16"/>
                <w:lang w:eastAsia="en-AU"/>
              </w:rPr>
              <w:t>PIFELTRO</w:t>
            </w:r>
          </w:p>
          <w:p w14:paraId="25ED2A6C" w14:textId="77777777" w:rsidR="006F26AB" w:rsidRPr="006F26AB" w:rsidRDefault="006F26AB" w:rsidP="006F26AB">
            <w:pPr>
              <w:spacing w:after="0" w:line="276" w:lineRule="auto"/>
              <w:ind w:left="-108"/>
              <w:jc w:val="center"/>
              <w:rPr>
                <w:rFonts w:eastAsia="Calibri" w:cs="Arial"/>
                <w:b/>
                <w:bCs/>
                <w:sz w:val="16"/>
                <w:szCs w:val="16"/>
                <w:lang w:eastAsia="en-AU"/>
              </w:rPr>
            </w:pPr>
            <w:r w:rsidRPr="006F26AB">
              <w:rPr>
                <w:rFonts w:eastAsia="Calibri" w:cs="Arial"/>
                <w:b/>
                <w:bCs/>
                <w:sz w:val="16"/>
                <w:szCs w:val="16"/>
                <w:lang w:eastAsia="en-AU"/>
              </w:rPr>
              <w:t xml:space="preserve">+2 NRTIs </w:t>
            </w:r>
          </w:p>
          <w:p w14:paraId="168142C2" w14:textId="77777777" w:rsidR="006F26AB" w:rsidRPr="006F26AB" w:rsidRDefault="006F26AB" w:rsidP="006F26AB">
            <w:pPr>
              <w:spacing w:after="0" w:line="276" w:lineRule="auto"/>
              <w:ind w:left="-108"/>
              <w:jc w:val="center"/>
              <w:rPr>
                <w:rFonts w:eastAsia="Calibri" w:cs="Arial"/>
                <w:b/>
                <w:sz w:val="16"/>
                <w:szCs w:val="16"/>
                <w:lang w:val="pt-BR" w:eastAsia="ja-JP"/>
              </w:rPr>
            </w:pPr>
            <w:r w:rsidRPr="006F26AB">
              <w:rPr>
                <w:rFonts w:eastAsia="Calibri" w:cs="Arial"/>
                <w:b/>
                <w:sz w:val="16"/>
                <w:szCs w:val="16"/>
                <w:lang w:eastAsia="en-AU"/>
              </w:rPr>
              <w:t>Once Daily</w:t>
            </w:r>
          </w:p>
        </w:tc>
        <w:tc>
          <w:tcPr>
            <w:tcW w:w="1418" w:type="dxa"/>
            <w:tcBorders>
              <w:top w:val="single" w:sz="4" w:space="0" w:color="auto"/>
              <w:left w:val="single" w:sz="4" w:space="0" w:color="auto"/>
              <w:bottom w:val="single" w:sz="4" w:space="0" w:color="auto"/>
              <w:right w:val="single" w:sz="12" w:space="0" w:color="auto"/>
            </w:tcBorders>
            <w:vAlign w:val="center"/>
          </w:tcPr>
          <w:p w14:paraId="77EAD7ED" w14:textId="77777777" w:rsidR="006F26AB" w:rsidRPr="006F26AB" w:rsidRDefault="006F26AB" w:rsidP="006F26AB">
            <w:pPr>
              <w:spacing w:after="0" w:line="276" w:lineRule="auto"/>
              <w:ind w:left="-108"/>
              <w:jc w:val="center"/>
              <w:rPr>
                <w:rFonts w:eastAsia="Calibri" w:cs="Arial"/>
                <w:b/>
                <w:bCs/>
                <w:sz w:val="16"/>
                <w:szCs w:val="16"/>
                <w:lang w:val="en-US" w:eastAsia="ja-JP"/>
              </w:rPr>
            </w:pPr>
          </w:p>
          <w:p w14:paraId="076A9BEF" w14:textId="77777777" w:rsidR="006F26AB" w:rsidRPr="006F26AB" w:rsidRDefault="006F26AB" w:rsidP="006F26AB">
            <w:pPr>
              <w:spacing w:after="0" w:line="276" w:lineRule="auto"/>
              <w:ind w:left="-108"/>
              <w:jc w:val="center"/>
              <w:rPr>
                <w:rFonts w:eastAsia="Calibri" w:cs="Arial"/>
                <w:b/>
                <w:bCs/>
                <w:sz w:val="16"/>
                <w:szCs w:val="16"/>
                <w:lang w:eastAsia="en-AU"/>
              </w:rPr>
            </w:pPr>
            <w:proofErr w:type="spellStart"/>
            <w:r w:rsidRPr="006F26AB">
              <w:rPr>
                <w:rFonts w:eastAsia="Calibri" w:cs="Arial"/>
                <w:b/>
                <w:bCs/>
                <w:sz w:val="16"/>
                <w:szCs w:val="16"/>
                <w:lang w:eastAsia="en-AU"/>
              </w:rPr>
              <w:t>DRV+r</w:t>
            </w:r>
            <w:proofErr w:type="spellEnd"/>
          </w:p>
          <w:p w14:paraId="1FECC477" w14:textId="77777777" w:rsidR="006F26AB" w:rsidRPr="006F26AB" w:rsidRDefault="006F26AB" w:rsidP="006F26AB">
            <w:pPr>
              <w:spacing w:after="0" w:line="276" w:lineRule="auto"/>
              <w:ind w:left="-108"/>
              <w:jc w:val="center"/>
              <w:rPr>
                <w:rFonts w:eastAsia="Calibri" w:cs="Arial"/>
                <w:b/>
                <w:bCs/>
                <w:sz w:val="16"/>
                <w:szCs w:val="16"/>
                <w:lang w:eastAsia="en-AU"/>
              </w:rPr>
            </w:pPr>
            <w:r w:rsidRPr="006F26AB">
              <w:rPr>
                <w:rFonts w:eastAsia="Calibri" w:cs="Arial"/>
                <w:b/>
                <w:bCs/>
                <w:sz w:val="16"/>
                <w:szCs w:val="16"/>
                <w:lang w:eastAsia="en-AU"/>
              </w:rPr>
              <w:t xml:space="preserve">+2 NRTIs </w:t>
            </w:r>
          </w:p>
          <w:p w14:paraId="5939DC40" w14:textId="77777777" w:rsidR="006F26AB" w:rsidRPr="006F26AB" w:rsidRDefault="006F26AB" w:rsidP="006F26AB">
            <w:pPr>
              <w:spacing w:after="0" w:line="276" w:lineRule="auto"/>
              <w:ind w:left="-108"/>
              <w:jc w:val="center"/>
              <w:rPr>
                <w:rFonts w:eastAsia="Calibri" w:cs="Arial"/>
                <w:b/>
                <w:sz w:val="16"/>
                <w:szCs w:val="16"/>
                <w:lang w:val="pt-BR" w:eastAsia="ja-JP"/>
              </w:rPr>
            </w:pPr>
            <w:r w:rsidRPr="006F26AB">
              <w:rPr>
                <w:rFonts w:eastAsia="Calibri" w:cs="Arial"/>
                <w:b/>
                <w:sz w:val="16"/>
                <w:szCs w:val="16"/>
                <w:lang w:eastAsia="en-AU"/>
              </w:rPr>
              <w:t>Once Daily</w:t>
            </w:r>
          </w:p>
        </w:tc>
        <w:tc>
          <w:tcPr>
            <w:tcW w:w="1701" w:type="dxa"/>
            <w:tcBorders>
              <w:top w:val="single" w:sz="4" w:space="0" w:color="auto"/>
              <w:left w:val="single" w:sz="12" w:space="0" w:color="auto"/>
              <w:bottom w:val="single" w:sz="4" w:space="0" w:color="auto"/>
              <w:right w:val="single" w:sz="4" w:space="0" w:color="auto"/>
            </w:tcBorders>
            <w:vAlign w:val="center"/>
          </w:tcPr>
          <w:p w14:paraId="1BC366FB" w14:textId="77777777" w:rsidR="006F26AB" w:rsidRPr="006F26AB" w:rsidRDefault="006F26AB" w:rsidP="006F26AB">
            <w:pPr>
              <w:spacing w:after="0" w:line="276" w:lineRule="auto"/>
              <w:jc w:val="center"/>
              <w:rPr>
                <w:rFonts w:eastAsia="Calibri" w:cs="Arial"/>
                <w:b/>
                <w:sz w:val="16"/>
                <w:szCs w:val="16"/>
                <w:lang w:val="en-US" w:eastAsia="ja-JP"/>
              </w:rPr>
            </w:pPr>
          </w:p>
          <w:p w14:paraId="32527BF5" w14:textId="77777777" w:rsidR="006F26AB" w:rsidRPr="006F26AB" w:rsidRDefault="006F26AB" w:rsidP="006F26AB">
            <w:pPr>
              <w:spacing w:after="0" w:line="276" w:lineRule="auto"/>
              <w:jc w:val="center"/>
              <w:rPr>
                <w:rFonts w:eastAsia="Calibri" w:cs="Arial"/>
                <w:b/>
                <w:sz w:val="16"/>
                <w:szCs w:val="16"/>
                <w:lang w:eastAsia="en-AU"/>
              </w:rPr>
            </w:pPr>
          </w:p>
          <w:p w14:paraId="216A3881" w14:textId="6AC27D6A" w:rsidR="006F26AB" w:rsidRPr="006F26AB" w:rsidRDefault="00B836DC" w:rsidP="006F26AB">
            <w:pPr>
              <w:spacing w:after="0" w:line="276" w:lineRule="auto"/>
              <w:jc w:val="center"/>
              <w:rPr>
                <w:rFonts w:eastAsia="Calibri" w:cs="Arial"/>
                <w:b/>
                <w:sz w:val="16"/>
                <w:szCs w:val="16"/>
                <w:lang w:eastAsia="en-AU"/>
              </w:rPr>
            </w:pPr>
            <w:r>
              <w:rPr>
                <w:rFonts w:eastAsia="Calibri" w:cs="Arial"/>
                <w:b/>
                <w:sz w:val="16"/>
                <w:szCs w:val="16"/>
                <w:lang w:eastAsia="en-AU"/>
              </w:rPr>
              <w:t>DELSTRIGO</w:t>
            </w:r>
          </w:p>
          <w:p w14:paraId="03065FD2" w14:textId="77777777" w:rsidR="006F26AB" w:rsidRPr="006F26AB" w:rsidRDefault="006F26AB" w:rsidP="006F26AB">
            <w:pPr>
              <w:tabs>
                <w:tab w:val="left" w:pos="360"/>
              </w:tabs>
              <w:spacing w:after="0" w:line="276" w:lineRule="auto"/>
              <w:ind w:right="230"/>
              <w:jc w:val="center"/>
              <w:rPr>
                <w:rFonts w:eastAsia="Calibri" w:cs="Arial"/>
                <w:b/>
                <w:sz w:val="16"/>
                <w:szCs w:val="16"/>
                <w:lang w:val="pt-BR" w:eastAsia="ja-JP"/>
              </w:rPr>
            </w:pPr>
            <w:r w:rsidRPr="006F26AB">
              <w:rPr>
                <w:rFonts w:eastAsia="Calibri" w:cs="Arial"/>
                <w:b/>
                <w:sz w:val="16"/>
                <w:szCs w:val="16"/>
                <w:lang w:eastAsia="en-AU"/>
              </w:rPr>
              <w:t>Once Daily</w:t>
            </w:r>
          </w:p>
        </w:tc>
        <w:tc>
          <w:tcPr>
            <w:tcW w:w="1414" w:type="dxa"/>
            <w:tcBorders>
              <w:top w:val="single" w:sz="4" w:space="0" w:color="auto"/>
              <w:left w:val="nil"/>
              <w:bottom w:val="single" w:sz="4" w:space="0" w:color="auto"/>
              <w:right w:val="single" w:sz="4" w:space="0" w:color="auto"/>
            </w:tcBorders>
            <w:vAlign w:val="center"/>
          </w:tcPr>
          <w:p w14:paraId="26969C2F" w14:textId="77777777" w:rsidR="006F26AB" w:rsidRPr="006F26AB" w:rsidRDefault="006F26AB" w:rsidP="006F26AB">
            <w:pPr>
              <w:spacing w:after="0" w:line="276" w:lineRule="auto"/>
              <w:jc w:val="center"/>
              <w:rPr>
                <w:rFonts w:eastAsia="Calibri" w:cs="Arial"/>
                <w:b/>
                <w:sz w:val="16"/>
                <w:szCs w:val="16"/>
                <w:lang w:val="en-US" w:eastAsia="ja-JP"/>
              </w:rPr>
            </w:pPr>
          </w:p>
          <w:p w14:paraId="7AF286F2" w14:textId="77777777" w:rsidR="006F26AB" w:rsidRPr="006F26AB" w:rsidRDefault="006F26AB" w:rsidP="006F26AB">
            <w:pPr>
              <w:spacing w:after="0" w:line="276" w:lineRule="auto"/>
              <w:jc w:val="center"/>
              <w:rPr>
                <w:rFonts w:eastAsia="Calibri" w:cs="Arial"/>
                <w:b/>
                <w:sz w:val="16"/>
                <w:szCs w:val="16"/>
                <w:lang w:eastAsia="en-AU"/>
              </w:rPr>
            </w:pPr>
          </w:p>
          <w:p w14:paraId="452FFAE2" w14:textId="77777777" w:rsidR="006F26AB" w:rsidRPr="006F26AB" w:rsidRDefault="006F26AB" w:rsidP="006F26AB">
            <w:pPr>
              <w:spacing w:after="0" w:line="276" w:lineRule="auto"/>
              <w:jc w:val="center"/>
              <w:rPr>
                <w:rFonts w:eastAsia="Calibri" w:cs="Arial"/>
                <w:b/>
                <w:sz w:val="16"/>
                <w:szCs w:val="16"/>
                <w:lang w:eastAsia="en-AU"/>
              </w:rPr>
            </w:pPr>
            <w:r w:rsidRPr="006F26AB">
              <w:rPr>
                <w:rFonts w:eastAsia="Calibri" w:cs="Arial"/>
                <w:b/>
                <w:sz w:val="16"/>
                <w:szCs w:val="16"/>
                <w:lang w:eastAsia="en-AU"/>
              </w:rPr>
              <w:t>EFV/FTC/TDF</w:t>
            </w:r>
          </w:p>
          <w:p w14:paraId="5CB88B70" w14:textId="77777777" w:rsidR="006F26AB" w:rsidRPr="006F26AB" w:rsidRDefault="006F26AB" w:rsidP="006F26AB">
            <w:pPr>
              <w:tabs>
                <w:tab w:val="left" w:pos="360"/>
              </w:tabs>
              <w:spacing w:after="0" w:line="276" w:lineRule="auto"/>
              <w:ind w:right="230"/>
              <w:jc w:val="center"/>
              <w:rPr>
                <w:rFonts w:eastAsia="Calibri" w:cs="Arial"/>
                <w:b/>
                <w:sz w:val="16"/>
                <w:szCs w:val="16"/>
                <w:lang w:val="pt-BR" w:eastAsia="ja-JP"/>
              </w:rPr>
            </w:pPr>
            <w:r w:rsidRPr="006F26AB">
              <w:rPr>
                <w:rFonts w:eastAsia="Calibri" w:cs="Arial"/>
                <w:b/>
                <w:sz w:val="16"/>
                <w:szCs w:val="16"/>
                <w:lang w:eastAsia="en-AU"/>
              </w:rPr>
              <w:t>Once Daily</w:t>
            </w:r>
          </w:p>
        </w:tc>
      </w:tr>
      <w:tr w:rsidR="006F26AB" w:rsidRPr="006F26AB" w14:paraId="5E67C0DC" w14:textId="77777777" w:rsidTr="007150F6">
        <w:trPr>
          <w:trHeight w:val="144"/>
          <w:jc w:val="center"/>
        </w:trPr>
        <w:tc>
          <w:tcPr>
            <w:tcW w:w="1320" w:type="dxa"/>
            <w:tcBorders>
              <w:top w:val="single" w:sz="4" w:space="0" w:color="auto"/>
              <w:left w:val="single" w:sz="4" w:space="0" w:color="auto"/>
              <w:bottom w:val="single" w:sz="4" w:space="0" w:color="auto"/>
              <w:right w:val="nil"/>
            </w:tcBorders>
          </w:tcPr>
          <w:p w14:paraId="1DDF0DEA" w14:textId="77777777" w:rsidR="006F26AB" w:rsidRPr="006F26AB" w:rsidRDefault="006F26AB" w:rsidP="006F26AB">
            <w:pPr>
              <w:tabs>
                <w:tab w:val="left" w:pos="360"/>
              </w:tabs>
              <w:spacing w:after="0" w:line="276" w:lineRule="auto"/>
              <w:ind w:right="234"/>
              <w:jc w:val="center"/>
              <w:rPr>
                <w:rFonts w:eastAsia="Calibri" w:cs="Arial"/>
                <w:b/>
                <w:sz w:val="16"/>
                <w:szCs w:val="16"/>
                <w:lang w:val="en-US" w:eastAsia="ja-JP"/>
              </w:rPr>
            </w:pPr>
          </w:p>
        </w:tc>
        <w:tc>
          <w:tcPr>
            <w:tcW w:w="258" w:type="dxa"/>
            <w:gridSpan w:val="2"/>
            <w:tcBorders>
              <w:top w:val="single" w:sz="4" w:space="0" w:color="auto"/>
              <w:left w:val="single" w:sz="4" w:space="0" w:color="auto"/>
              <w:bottom w:val="single" w:sz="4" w:space="0" w:color="auto"/>
              <w:right w:val="nil"/>
            </w:tcBorders>
          </w:tcPr>
          <w:p w14:paraId="1125795E" w14:textId="77777777" w:rsidR="006F26AB" w:rsidRPr="006F26AB" w:rsidRDefault="006F26AB" w:rsidP="006F26AB">
            <w:pPr>
              <w:tabs>
                <w:tab w:val="left" w:pos="360"/>
              </w:tabs>
              <w:spacing w:after="0" w:line="276" w:lineRule="auto"/>
              <w:ind w:right="234"/>
              <w:jc w:val="center"/>
              <w:rPr>
                <w:rFonts w:eastAsia="Calibri" w:cs="Arial"/>
                <w:b/>
                <w:sz w:val="16"/>
                <w:szCs w:val="16"/>
                <w:lang w:val="en-US" w:eastAsia="ja-JP"/>
              </w:rPr>
            </w:pPr>
          </w:p>
        </w:tc>
        <w:tc>
          <w:tcPr>
            <w:tcW w:w="1443" w:type="dxa"/>
            <w:tcBorders>
              <w:top w:val="single" w:sz="4" w:space="0" w:color="auto"/>
              <w:left w:val="nil"/>
              <w:bottom w:val="single" w:sz="4" w:space="0" w:color="auto"/>
              <w:right w:val="single" w:sz="4" w:space="0" w:color="auto"/>
            </w:tcBorders>
          </w:tcPr>
          <w:p w14:paraId="65ADB6D4" w14:textId="77777777" w:rsidR="006F26AB" w:rsidRPr="006F26AB" w:rsidRDefault="006F26AB" w:rsidP="006F26AB">
            <w:pPr>
              <w:tabs>
                <w:tab w:val="left" w:pos="360"/>
              </w:tabs>
              <w:spacing w:after="0" w:line="276" w:lineRule="auto"/>
              <w:ind w:right="234"/>
              <w:jc w:val="center"/>
              <w:rPr>
                <w:rFonts w:eastAsia="Calibri" w:cs="Arial"/>
                <w:b/>
                <w:sz w:val="16"/>
                <w:szCs w:val="16"/>
                <w:lang w:val="en-US" w:eastAsia="ja-JP"/>
              </w:rPr>
            </w:pPr>
          </w:p>
        </w:tc>
        <w:tc>
          <w:tcPr>
            <w:tcW w:w="1559" w:type="dxa"/>
            <w:tcBorders>
              <w:top w:val="single" w:sz="4" w:space="0" w:color="auto"/>
              <w:left w:val="single" w:sz="4" w:space="0" w:color="auto"/>
              <w:bottom w:val="single" w:sz="4" w:space="0" w:color="auto"/>
              <w:right w:val="single" w:sz="4" w:space="0" w:color="auto"/>
            </w:tcBorders>
            <w:hideMark/>
          </w:tcPr>
          <w:p w14:paraId="544BDF3F"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N=383</w:t>
            </w:r>
          </w:p>
        </w:tc>
        <w:tc>
          <w:tcPr>
            <w:tcW w:w="1418" w:type="dxa"/>
            <w:tcBorders>
              <w:top w:val="single" w:sz="4" w:space="0" w:color="auto"/>
              <w:left w:val="single" w:sz="4" w:space="0" w:color="auto"/>
              <w:bottom w:val="single" w:sz="4" w:space="0" w:color="auto"/>
              <w:right w:val="single" w:sz="12" w:space="0" w:color="auto"/>
            </w:tcBorders>
            <w:hideMark/>
          </w:tcPr>
          <w:p w14:paraId="7DC053DE" w14:textId="77777777" w:rsidR="006F26AB" w:rsidRPr="006F26AB" w:rsidRDefault="006F26AB" w:rsidP="006F26AB">
            <w:pPr>
              <w:spacing w:after="0" w:line="276" w:lineRule="auto"/>
              <w:ind w:left="-108"/>
              <w:jc w:val="center"/>
              <w:rPr>
                <w:rFonts w:eastAsia="Calibri" w:cs="Arial"/>
                <w:b/>
                <w:bCs/>
                <w:sz w:val="16"/>
                <w:szCs w:val="16"/>
                <w:lang w:val="en-US" w:eastAsia="ja-JP"/>
              </w:rPr>
            </w:pPr>
            <w:r w:rsidRPr="006F26AB">
              <w:rPr>
                <w:rFonts w:eastAsia="Calibri" w:cs="Arial"/>
                <w:b/>
                <w:sz w:val="16"/>
                <w:szCs w:val="16"/>
                <w:lang w:eastAsia="en-AU"/>
              </w:rPr>
              <w:t>N=383</w:t>
            </w:r>
          </w:p>
        </w:tc>
        <w:tc>
          <w:tcPr>
            <w:tcW w:w="1701" w:type="dxa"/>
            <w:tcBorders>
              <w:top w:val="single" w:sz="4" w:space="0" w:color="auto"/>
              <w:left w:val="single" w:sz="12" w:space="0" w:color="auto"/>
              <w:bottom w:val="single" w:sz="4" w:space="0" w:color="auto"/>
              <w:right w:val="single" w:sz="4" w:space="0" w:color="auto"/>
            </w:tcBorders>
            <w:hideMark/>
          </w:tcPr>
          <w:p w14:paraId="565E5FA3" w14:textId="77777777" w:rsidR="006F26AB" w:rsidRPr="006F26AB" w:rsidRDefault="006F26AB" w:rsidP="006F26AB">
            <w:pPr>
              <w:tabs>
                <w:tab w:val="left" w:pos="360"/>
              </w:tabs>
              <w:spacing w:after="0" w:line="276" w:lineRule="auto"/>
              <w:ind w:right="230"/>
              <w:jc w:val="center"/>
              <w:rPr>
                <w:rFonts w:eastAsia="Calibri" w:cs="Arial"/>
                <w:b/>
                <w:sz w:val="16"/>
                <w:szCs w:val="16"/>
                <w:lang w:val="en-US" w:eastAsia="ja-JP"/>
              </w:rPr>
            </w:pPr>
            <w:r w:rsidRPr="006F26AB">
              <w:rPr>
                <w:rFonts w:eastAsia="Calibri" w:cs="Arial"/>
                <w:b/>
                <w:sz w:val="16"/>
                <w:szCs w:val="16"/>
                <w:lang w:eastAsia="en-AU"/>
              </w:rPr>
              <w:t>N=364</w:t>
            </w:r>
          </w:p>
        </w:tc>
        <w:tc>
          <w:tcPr>
            <w:tcW w:w="1414" w:type="dxa"/>
            <w:tcBorders>
              <w:top w:val="single" w:sz="4" w:space="0" w:color="auto"/>
              <w:left w:val="nil"/>
              <w:bottom w:val="single" w:sz="4" w:space="0" w:color="auto"/>
              <w:right w:val="single" w:sz="4" w:space="0" w:color="auto"/>
            </w:tcBorders>
            <w:hideMark/>
          </w:tcPr>
          <w:p w14:paraId="7D87D0F2"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N=364</w:t>
            </w:r>
          </w:p>
        </w:tc>
      </w:tr>
      <w:tr w:rsidR="006F26AB" w:rsidRPr="006F26AB" w14:paraId="39094C13" w14:textId="77777777" w:rsidTr="007150F6">
        <w:trPr>
          <w:trHeight w:val="144"/>
          <w:jc w:val="center"/>
        </w:trPr>
        <w:tc>
          <w:tcPr>
            <w:tcW w:w="5998" w:type="dxa"/>
            <w:gridSpan w:val="6"/>
            <w:tcBorders>
              <w:top w:val="single" w:sz="4" w:space="0" w:color="auto"/>
              <w:left w:val="single" w:sz="4" w:space="0" w:color="auto"/>
              <w:bottom w:val="single" w:sz="4" w:space="0" w:color="auto"/>
              <w:right w:val="single" w:sz="12" w:space="0" w:color="auto"/>
            </w:tcBorders>
            <w:hideMark/>
          </w:tcPr>
          <w:p w14:paraId="4D5E95CE" w14:textId="77777777" w:rsidR="006F26AB" w:rsidRPr="006F26AB" w:rsidRDefault="006F26AB" w:rsidP="006F26AB">
            <w:pPr>
              <w:tabs>
                <w:tab w:val="left" w:pos="360"/>
              </w:tabs>
              <w:spacing w:after="0" w:line="276" w:lineRule="auto"/>
              <w:ind w:right="230"/>
              <w:jc w:val="left"/>
              <w:rPr>
                <w:rFonts w:eastAsia="Calibri" w:cs="Arial"/>
                <w:b/>
                <w:sz w:val="16"/>
                <w:szCs w:val="16"/>
                <w:lang w:val="en-US" w:eastAsia="ja-JP"/>
              </w:rPr>
            </w:pPr>
            <w:r w:rsidRPr="006F26AB">
              <w:rPr>
                <w:rFonts w:eastAsia="Calibri" w:cs="Arial"/>
                <w:b/>
                <w:sz w:val="16"/>
                <w:szCs w:val="16"/>
                <w:lang w:eastAsia="en-AU"/>
              </w:rPr>
              <w:t>Blood Chemistry</w:t>
            </w:r>
          </w:p>
        </w:tc>
        <w:tc>
          <w:tcPr>
            <w:tcW w:w="3115" w:type="dxa"/>
            <w:gridSpan w:val="2"/>
            <w:tcBorders>
              <w:top w:val="single" w:sz="4" w:space="0" w:color="auto"/>
              <w:left w:val="single" w:sz="12" w:space="0" w:color="auto"/>
              <w:bottom w:val="single" w:sz="4" w:space="0" w:color="auto"/>
              <w:right w:val="single" w:sz="4" w:space="0" w:color="auto"/>
            </w:tcBorders>
          </w:tcPr>
          <w:p w14:paraId="40A5F087" w14:textId="77777777" w:rsidR="006F26AB" w:rsidRPr="006F26AB" w:rsidRDefault="006F26AB" w:rsidP="006F26AB">
            <w:pPr>
              <w:tabs>
                <w:tab w:val="left" w:pos="360"/>
              </w:tabs>
              <w:spacing w:after="0" w:line="276" w:lineRule="auto"/>
              <w:ind w:right="230"/>
              <w:rPr>
                <w:rFonts w:eastAsia="Calibri" w:cs="Arial"/>
                <w:b/>
                <w:sz w:val="16"/>
                <w:szCs w:val="16"/>
                <w:lang w:val="en-US" w:eastAsia="ja-JP"/>
              </w:rPr>
            </w:pPr>
          </w:p>
        </w:tc>
      </w:tr>
      <w:tr w:rsidR="006F26AB" w:rsidRPr="006F26AB" w14:paraId="252D3CA2" w14:textId="77777777" w:rsidTr="007150F6">
        <w:trPr>
          <w:jc w:val="center"/>
        </w:trPr>
        <w:tc>
          <w:tcPr>
            <w:tcW w:w="5998" w:type="dxa"/>
            <w:gridSpan w:val="6"/>
            <w:tcBorders>
              <w:top w:val="single" w:sz="4" w:space="0" w:color="auto"/>
              <w:left w:val="single" w:sz="4" w:space="0" w:color="auto"/>
              <w:bottom w:val="single" w:sz="4" w:space="0" w:color="auto"/>
              <w:right w:val="single" w:sz="12" w:space="0" w:color="auto"/>
            </w:tcBorders>
            <w:vAlign w:val="center"/>
            <w:hideMark/>
          </w:tcPr>
          <w:p w14:paraId="34B8575C" w14:textId="77777777" w:rsidR="006F26AB" w:rsidRPr="006F26AB" w:rsidRDefault="006F26AB" w:rsidP="006F26AB">
            <w:pPr>
              <w:tabs>
                <w:tab w:val="left" w:pos="360"/>
              </w:tabs>
              <w:spacing w:after="0" w:line="276" w:lineRule="auto"/>
              <w:ind w:right="230"/>
              <w:jc w:val="left"/>
              <w:rPr>
                <w:rFonts w:eastAsia="Calibri" w:cs="Arial"/>
                <w:sz w:val="16"/>
                <w:szCs w:val="16"/>
                <w:lang w:val="pt-BR" w:eastAsia="ja-JP"/>
              </w:rPr>
            </w:pPr>
            <w:r w:rsidRPr="006F26AB">
              <w:rPr>
                <w:rFonts w:eastAsia="Calibri" w:cs="Arial"/>
                <w:sz w:val="16"/>
                <w:szCs w:val="16"/>
                <w:lang w:val="pt-BR" w:eastAsia="en-AU"/>
              </w:rPr>
              <w:t>Total bilirubin</w:t>
            </w:r>
          </w:p>
        </w:tc>
        <w:tc>
          <w:tcPr>
            <w:tcW w:w="1701" w:type="dxa"/>
            <w:tcBorders>
              <w:top w:val="single" w:sz="4" w:space="0" w:color="auto"/>
              <w:left w:val="single" w:sz="12" w:space="0" w:color="auto"/>
              <w:bottom w:val="single" w:sz="4" w:space="0" w:color="auto"/>
              <w:right w:val="single" w:sz="4" w:space="0" w:color="auto"/>
            </w:tcBorders>
          </w:tcPr>
          <w:p w14:paraId="1EFC31D3" w14:textId="77777777" w:rsidR="006F26AB" w:rsidRPr="006F26AB" w:rsidRDefault="006F26AB" w:rsidP="006F26AB">
            <w:pPr>
              <w:tabs>
                <w:tab w:val="left" w:pos="756"/>
              </w:tabs>
              <w:spacing w:after="0" w:line="276" w:lineRule="auto"/>
              <w:ind w:right="230"/>
              <w:rPr>
                <w:rFonts w:eastAsia="Calibri" w:cs="Arial"/>
                <w:sz w:val="16"/>
                <w:szCs w:val="16"/>
                <w:lang w:val="pt-BR" w:eastAsia="ja-JP"/>
              </w:rPr>
            </w:pPr>
          </w:p>
        </w:tc>
        <w:tc>
          <w:tcPr>
            <w:tcW w:w="1414" w:type="dxa"/>
            <w:tcBorders>
              <w:top w:val="single" w:sz="4" w:space="0" w:color="auto"/>
              <w:left w:val="single" w:sz="4" w:space="0" w:color="auto"/>
              <w:bottom w:val="single" w:sz="4" w:space="0" w:color="auto"/>
              <w:right w:val="single" w:sz="4" w:space="0" w:color="auto"/>
            </w:tcBorders>
          </w:tcPr>
          <w:p w14:paraId="4C10377B" w14:textId="77777777" w:rsidR="006F26AB" w:rsidRPr="006F26AB" w:rsidRDefault="006F26AB" w:rsidP="006F26AB">
            <w:pPr>
              <w:tabs>
                <w:tab w:val="left" w:pos="360"/>
              </w:tabs>
              <w:spacing w:after="0" w:line="276" w:lineRule="auto"/>
              <w:ind w:right="230"/>
              <w:rPr>
                <w:rFonts w:eastAsia="Calibri" w:cs="Arial"/>
                <w:sz w:val="16"/>
                <w:szCs w:val="16"/>
                <w:lang w:val="pt-BR" w:eastAsia="ja-JP"/>
              </w:rPr>
            </w:pPr>
          </w:p>
        </w:tc>
      </w:tr>
      <w:tr w:rsidR="006F26AB" w:rsidRPr="006F26AB" w14:paraId="1DDAEC8D" w14:textId="77777777" w:rsidTr="007150F6">
        <w:trPr>
          <w:jc w:val="center"/>
        </w:trPr>
        <w:tc>
          <w:tcPr>
            <w:tcW w:w="1320" w:type="dxa"/>
            <w:tcBorders>
              <w:top w:val="single" w:sz="4" w:space="0" w:color="auto"/>
              <w:left w:val="single" w:sz="4" w:space="0" w:color="auto"/>
              <w:bottom w:val="nil"/>
              <w:right w:val="single" w:sz="8" w:space="0" w:color="auto"/>
            </w:tcBorders>
            <w:hideMark/>
          </w:tcPr>
          <w:p w14:paraId="537BC940" w14:textId="77777777" w:rsidR="006F26AB" w:rsidRPr="006F26AB" w:rsidRDefault="006F26AB" w:rsidP="006F26AB">
            <w:pPr>
              <w:tabs>
                <w:tab w:val="left" w:pos="360"/>
              </w:tabs>
              <w:spacing w:after="0" w:line="276" w:lineRule="auto"/>
              <w:ind w:right="234"/>
              <w:jc w:val="left"/>
              <w:rPr>
                <w:rFonts w:eastAsia="Calibri" w:cs="Arial"/>
                <w:sz w:val="16"/>
                <w:szCs w:val="16"/>
                <w:lang w:val="en-US" w:eastAsia="ja-JP"/>
              </w:rPr>
            </w:pPr>
            <w:r w:rsidRPr="006F26AB">
              <w:rPr>
                <w:rFonts w:eastAsia="Calibri" w:cs="Arial"/>
                <w:sz w:val="16"/>
                <w:szCs w:val="16"/>
                <w:lang w:eastAsia="en-AU"/>
              </w:rPr>
              <w:t>Grade 2</w:t>
            </w:r>
          </w:p>
        </w:tc>
        <w:tc>
          <w:tcPr>
            <w:tcW w:w="1701" w:type="dxa"/>
            <w:gridSpan w:val="3"/>
            <w:tcBorders>
              <w:top w:val="single" w:sz="4" w:space="0" w:color="auto"/>
              <w:left w:val="single" w:sz="8" w:space="0" w:color="auto"/>
              <w:bottom w:val="nil"/>
              <w:right w:val="single" w:sz="4" w:space="0" w:color="auto"/>
            </w:tcBorders>
            <w:vAlign w:val="center"/>
            <w:hideMark/>
          </w:tcPr>
          <w:p w14:paraId="4EE47125" w14:textId="77777777" w:rsidR="006F26AB" w:rsidRPr="006F26AB" w:rsidRDefault="006F26AB" w:rsidP="006F26AB">
            <w:pPr>
              <w:widowControl w:val="0"/>
              <w:autoSpaceDE w:val="0"/>
              <w:autoSpaceDN w:val="0"/>
              <w:adjustRightInd w:val="0"/>
              <w:spacing w:after="0" w:line="276" w:lineRule="auto"/>
              <w:ind w:left="160" w:right="1" w:hanging="160"/>
              <w:jc w:val="center"/>
              <w:rPr>
                <w:rFonts w:eastAsia="Calibri" w:cs="Arial"/>
                <w:sz w:val="16"/>
                <w:szCs w:val="16"/>
                <w:lang w:val="en-US" w:eastAsia="ja-JP"/>
              </w:rPr>
            </w:pPr>
            <w:r w:rsidRPr="006F26AB">
              <w:rPr>
                <w:rFonts w:eastAsia="Calibri" w:cs="Arial"/>
                <w:sz w:val="16"/>
                <w:szCs w:val="16"/>
                <w:lang w:eastAsia="en-AU"/>
              </w:rPr>
              <w:t>1.6 - &lt;2.6 x ULN</w:t>
            </w:r>
          </w:p>
        </w:tc>
        <w:tc>
          <w:tcPr>
            <w:tcW w:w="1559" w:type="dxa"/>
            <w:tcBorders>
              <w:top w:val="single" w:sz="4" w:space="0" w:color="auto"/>
              <w:left w:val="single" w:sz="4" w:space="0" w:color="auto"/>
              <w:bottom w:val="nil"/>
              <w:right w:val="single" w:sz="4" w:space="0" w:color="auto"/>
            </w:tcBorders>
            <w:vAlign w:val="center"/>
            <w:hideMark/>
          </w:tcPr>
          <w:p w14:paraId="2CD56A90" w14:textId="77777777" w:rsidR="006F26AB" w:rsidRPr="006F26AB" w:rsidRDefault="006F26AB" w:rsidP="006F26AB">
            <w:pPr>
              <w:tabs>
                <w:tab w:val="left" w:pos="360"/>
              </w:tabs>
              <w:spacing w:after="0" w:line="276" w:lineRule="auto"/>
              <w:ind w:right="42"/>
              <w:jc w:val="center"/>
              <w:rPr>
                <w:rFonts w:eastAsia="Calibri" w:cs="Arial"/>
                <w:sz w:val="16"/>
                <w:szCs w:val="16"/>
                <w:lang w:val="pt-BR" w:eastAsia="ja-JP"/>
              </w:rPr>
            </w:pPr>
            <w:r w:rsidRPr="006F26AB">
              <w:rPr>
                <w:rFonts w:eastAsia="Calibri" w:cs="Arial"/>
                <w:sz w:val="16"/>
                <w:szCs w:val="16"/>
                <w:lang w:eastAsia="en-AU"/>
              </w:rPr>
              <w:t>2</w:t>
            </w:r>
            <w:r w:rsidRPr="006F26AB">
              <w:rPr>
                <w:rFonts w:eastAsia="Calibri" w:cs="Arial"/>
                <w:sz w:val="16"/>
                <w:szCs w:val="16"/>
                <w:lang w:val="pt-BR" w:eastAsia="en-AU"/>
              </w:rPr>
              <w:t>%</w:t>
            </w:r>
          </w:p>
        </w:tc>
        <w:tc>
          <w:tcPr>
            <w:tcW w:w="1418" w:type="dxa"/>
            <w:tcBorders>
              <w:top w:val="single" w:sz="4" w:space="0" w:color="auto"/>
              <w:left w:val="single" w:sz="4" w:space="0" w:color="auto"/>
              <w:bottom w:val="nil"/>
              <w:right w:val="single" w:sz="12" w:space="0" w:color="auto"/>
            </w:tcBorders>
            <w:vAlign w:val="center"/>
            <w:hideMark/>
          </w:tcPr>
          <w:p w14:paraId="1265F327"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&lt;1</w:t>
            </w:r>
            <w:r w:rsidRPr="006F26AB">
              <w:rPr>
                <w:rFonts w:eastAsia="Calibri" w:cs="Arial"/>
                <w:sz w:val="16"/>
                <w:szCs w:val="16"/>
                <w:lang w:val="pt-BR" w:eastAsia="en-AU"/>
              </w:rPr>
              <w:t>%</w:t>
            </w:r>
          </w:p>
        </w:tc>
        <w:tc>
          <w:tcPr>
            <w:tcW w:w="1701" w:type="dxa"/>
            <w:tcBorders>
              <w:top w:val="single" w:sz="4" w:space="0" w:color="auto"/>
              <w:left w:val="single" w:sz="12" w:space="0" w:color="auto"/>
              <w:bottom w:val="nil"/>
              <w:right w:val="single" w:sz="4" w:space="0" w:color="auto"/>
            </w:tcBorders>
            <w:vAlign w:val="center"/>
            <w:hideMark/>
          </w:tcPr>
          <w:p w14:paraId="6C2DD4AA" w14:textId="77777777" w:rsidR="006F26AB" w:rsidRPr="006F26AB" w:rsidRDefault="006F26AB" w:rsidP="006F26AB">
            <w:pPr>
              <w:tabs>
                <w:tab w:val="left" w:pos="756"/>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2</w:t>
            </w:r>
            <w:r w:rsidRPr="006F26AB">
              <w:rPr>
                <w:rFonts w:eastAsia="Calibri" w:cs="Arial"/>
                <w:sz w:val="16"/>
                <w:szCs w:val="16"/>
                <w:lang w:val="pt-BR" w:eastAsia="en-AU"/>
              </w:rPr>
              <w:t>%</w:t>
            </w:r>
          </w:p>
        </w:tc>
        <w:tc>
          <w:tcPr>
            <w:tcW w:w="1414" w:type="dxa"/>
            <w:tcBorders>
              <w:top w:val="single" w:sz="4" w:space="0" w:color="auto"/>
              <w:left w:val="single" w:sz="4" w:space="0" w:color="auto"/>
              <w:bottom w:val="nil"/>
              <w:right w:val="single" w:sz="4" w:space="0" w:color="auto"/>
            </w:tcBorders>
            <w:vAlign w:val="center"/>
            <w:hideMark/>
          </w:tcPr>
          <w:p w14:paraId="3544721F"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0</w:t>
            </w:r>
            <w:r w:rsidRPr="006F26AB">
              <w:rPr>
                <w:rFonts w:eastAsia="Calibri" w:cs="Arial"/>
                <w:sz w:val="16"/>
                <w:szCs w:val="16"/>
                <w:lang w:val="pt-BR" w:eastAsia="en-AU"/>
              </w:rPr>
              <w:t>%</w:t>
            </w:r>
          </w:p>
        </w:tc>
      </w:tr>
      <w:tr w:rsidR="006F26AB" w:rsidRPr="006F26AB" w14:paraId="15463C60" w14:textId="77777777" w:rsidTr="007150F6">
        <w:trPr>
          <w:jc w:val="center"/>
        </w:trPr>
        <w:tc>
          <w:tcPr>
            <w:tcW w:w="1320" w:type="dxa"/>
            <w:tcBorders>
              <w:top w:val="nil"/>
              <w:left w:val="single" w:sz="4" w:space="0" w:color="auto"/>
              <w:bottom w:val="single" w:sz="4" w:space="0" w:color="auto"/>
              <w:right w:val="single" w:sz="8" w:space="0" w:color="auto"/>
            </w:tcBorders>
            <w:hideMark/>
          </w:tcPr>
          <w:p w14:paraId="72B1962A" w14:textId="77777777" w:rsidR="006F26AB" w:rsidRPr="006F26AB" w:rsidRDefault="006F26AB" w:rsidP="006F26AB">
            <w:pPr>
              <w:tabs>
                <w:tab w:val="left" w:pos="360"/>
              </w:tabs>
              <w:spacing w:after="0" w:line="276" w:lineRule="auto"/>
              <w:ind w:right="234"/>
              <w:jc w:val="left"/>
              <w:rPr>
                <w:rFonts w:eastAsia="Calibri" w:cs="Arial"/>
                <w:sz w:val="16"/>
                <w:szCs w:val="16"/>
                <w:lang w:val="en-US" w:eastAsia="ja-JP"/>
              </w:rPr>
            </w:pPr>
            <w:r w:rsidRPr="006F26AB">
              <w:rPr>
                <w:rFonts w:eastAsia="Calibri" w:cs="Arial"/>
                <w:sz w:val="16"/>
                <w:szCs w:val="16"/>
                <w:lang w:eastAsia="en-AU"/>
              </w:rPr>
              <w:t>Grade 3-4</w:t>
            </w:r>
          </w:p>
        </w:tc>
        <w:tc>
          <w:tcPr>
            <w:tcW w:w="1701" w:type="dxa"/>
            <w:gridSpan w:val="3"/>
            <w:tcBorders>
              <w:top w:val="nil"/>
              <w:left w:val="single" w:sz="8" w:space="0" w:color="auto"/>
              <w:bottom w:val="single" w:sz="4" w:space="0" w:color="auto"/>
              <w:right w:val="single" w:sz="4" w:space="0" w:color="auto"/>
            </w:tcBorders>
            <w:vAlign w:val="center"/>
            <w:hideMark/>
          </w:tcPr>
          <w:p w14:paraId="21DACB43" w14:textId="77777777" w:rsidR="006F26AB" w:rsidRPr="006F26AB" w:rsidRDefault="006F26AB" w:rsidP="006F26AB">
            <w:pPr>
              <w:widowControl w:val="0"/>
              <w:tabs>
                <w:tab w:val="left" w:pos="1571"/>
              </w:tabs>
              <w:autoSpaceDE w:val="0"/>
              <w:autoSpaceDN w:val="0"/>
              <w:adjustRightInd w:val="0"/>
              <w:spacing w:after="0" w:line="276" w:lineRule="auto"/>
              <w:ind w:left="160" w:right="1" w:hanging="160"/>
              <w:jc w:val="center"/>
              <w:rPr>
                <w:rFonts w:eastAsia="Calibri" w:cs="Arial"/>
                <w:sz w:val="16"/>
                <w:szCs w:val="16"/>
                <w:lang w:val="en-US" w:eastAsia="ja-JP"/>
              </w:rPr>
            </w:pPr>
            <w:r w:rsidRPr="006F26AB">
              <w:rPr>
                <w:rFonts w:eastAsia="Calibri" w:cs="Arial"/>
                <w:sz w:val="16"/>
                <w:szCs w:val="16"/>
                <w:lang w:eastAsia="en-AU"/>
              </w:rPr>
              <w:t>≥2.6 x ULN</w:t>
            </w:r>
          </w:p>
        </w:tc>
        <w:tc>
          <w:tcPr>
            <w:tcW w:w="1559" w:type="dxa"/>
            <w:tcBorders>
              <w:top w:val="nil"/>
              <w:left w:val="single" w:sz="4" w:space="0" w:color="auto"/>
              <w:bottom w:val="single" w:sz="4" w:space="0" w:color="auto"/>
              <w:right w:val="single" w:sz="4" w:space="0" w:color="auto"/>
            </w:tcBorders>
            <w:vAlign w:val="center"/>
            <w:hideMark/>
          </w:tcPr>
          <w:p w14:paraId="61B48282" w14:textId="77777777" w:rsidR="006F26AB" w:rsidRPr="006F26AB" w:rsidRDefault="006F26AB" w:rsidP="006F26AB">
            <w:pPr>
              <w:tabs>
                <w:tab w:val="left" w:pos="360"/>
              </w:tabs>
              <w:spacing w:after="0" w:line="276" w:lineRule="auto"/>
              <w:ind w:right="42"/>
              <w:jc w:val="center"/>
              <w:rPr>
                <w:rFonts w:eastAsia="Calibri" w:cs="Arial"/>
                <w:sz w:val="16"/>
                <w:szCs w:val="16"/>
                <w:lang w:val="pt-BR" w:eastAsia="ja-JP"/>
              </w:rPr>
            </w:pPr>
            <w:r w:rsidRPr="006F26AB">
              <w:rPr>
                <w:rFonts w:eastAsia="Calibri" w:cs="Arial"/>
                <w:sz w:val="16"/>
                <w:szCs w:val="16"/>
                <w:lang w:eastAsia="en-AU"/>
              </w:rPr>
              <w:t>0</w:t>
            </w:r>
            <w:r w:rsidRPr="006F26AB">
              <w:rPr>
                <w:rFonts w:eastAsia="Calibri" w:cs="Arial"/>
                <w:sz w:val="16"/>
                <w:szCs w:val="16"/>
                <w:lang w:val="pt-BR" w:eastAsia="en-AU"/>
              </w:rPr>
              <w:t>%</w:t>
            </w:r>
          </w:p>
        </w:tc>
        <w:tc>
          <w:tcPr>
            <w:tcW w:w="1418" w:type="dxa"/>
            <w:tcBorders>
              <w:top w:val="nil"/>
              <w:left w:val="single" w:sz="4" w:space="0" w:color="auto"/>
              <w:bottom w:val="single" w:sz="4" w:space="0" w:color="auto"/>
              <w:right w:val="single" w:sz="12" w:space="0" w:color="auto"/>
            </w:tcBorders>
            <w:vAlign w:val="center"/>
            <w:hideMark/>
          </w:tcPr>
          <w:p w14:paraId="64FFA5C4"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0</w:t>
            </w:r>
            <w:r w:rsidRPr="006F26AB">
              <w:rPr>
                <w:rFonts w:eastAsia="Calibri" w:cs="Arial"/>
                <w:sz w:val="16"/>
                <w:szCs w:val="16"/>
                <w:lang w:val="pt-BR" w:eastAsia="en-AU"/>
              </w:rPr>
              <w:t>%</w:t>
            </w:r>
          </w:p>
        </w:tc>
        <w:tc>
          <w:tcPr>
            <w:tcW w:w="1701" w:type="dxa"/>
            <w:tcBorders>
              <w:top w:val="nil"/>
              <w:left w:val="single" w:sz="12" w:space="0" w:color="auto"/>
              <w:bottom w:val="single" w:sz="4" w:space="0" w:color="auto"/>
              <w:right w:val="single" w:sz="4" w:space="0" w:color="auto"/>
            </w:tcBorders>
            <w:vAlign w:val="center"/>
            <w:hideMark/>
          </w:tcPr>
          <w:p w14:paraId="3E8749AA" w14:textId="77777777" w:rsidR="006F26AB" w:rsidRPr="006F26AB" w:rsidRDefault="006F26AB" w:rsidP="006F26AB">
            <w:pPr>
              <w:tabs>
                <w:tab w:val="left" w:pos="756"/>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&lt;1</w:t>
            </w:r>
            <w:r w:rsidRPr="006F26AB">
              <w:rPr>
                <w:rFonts w:eastAsia="Calibri" w:cs="Arial"/>
                <w:sz w:val="16"/>
                <w:szCs w:val="16"/>
                <w:lang w:val="pt-BR" w:eastAsia="en-AU"/>
              </w:rPr>
              <w:t>%</w:t>
            </w:r>
          </w:p>
        </w:tc>
        <w:tc>
          <w:tcPr>
            <w:tcW w:w="1414" w:type="dxa"/>
            <w:tcBorders>
              <w:top w:val="nil"/>
              <w:left w:val="single" w:sz="4" w:space="0" w:color="auto"/>
              <w:bottom w:val="single" w:sz="4" w:space="0" w:color="auto"/>
              <w:right w:val="single" w:sz="4" w:space="0" w:color="auto"/>
            </w:tcBorders>
            <w:vAlign w:val="center"/>
            <w:hideMark/>
          </w:tcPr>
          <w:p w14:paraId="6721C317"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&lt;1</w:t>
            </w:r>
            <w:r w:rsidRPr="006F26AB">
              <w:rPr>
                <w:rFonts w:eastAsia="Calibri" w:cs="Arial"/>
                <w:sz w:val="16"/>
                <w:szCs w:val="16"/>
                <w:lang w:val="pt-BR" w:eastAsia="en-AU"/>
              </w:rPr>
              <w:t>%</w:t>
            </w:r>
          </w:p>
        </w:tc>
      </w:tr>
      <w:tr w:rsidR="006F26AB" w:rsidRPr="006F26AB" w14:paraId="3A6A3FB5" w14:textId="77777777" w:rsidTr="007150F6">
        <w:trPr>
          <w:jc w:val="center"/>
        </w:trPr>
        <w:tc>
          <w:tcPr>
            <w:tcW w:w="5998" w:type="dxa"/>
            <w:gridSpan w:val="6"/>
            <w:tcBorders>
              <w:top w:val="single" w:sz="4" w:space="0" w:color="auto"/>
              <w:left w:val="single" w:sz="4" w:space="0" w:color="auto"/>
              <w:bottom w:val="single" w:sz="4" w:space="0" w:color="auto"/>
              <w:right w:val="single" w:sz="12" w:space="0" w:color="auto"/>
            </w:tcBorders>
            <w:vAlign w:val="center"/>
            <w:hideMark/>
          </w:tcPr>
          <w:p w14:paraId="4286DB62" w14:textId="77777777" w:rsidR="006F26AB" w:rsidRPr="006F26AB" w:rsidRDefault="006F26AB" w:rsidP="006F26AB">
            <w:pPr>
              <w:tabs>
                <w:tab w:val="left" w:pos="360"/>
              </w:tabs>
              <w:spacing w:after="0" w:line="276" w:lineRule="auto"/>
              <w:ind w:right="230"/>
              <w:rPr>
                <w:rFonts w:eastAsia="Calibri" w:cs="Arial"/>
                <w:sz w:val="16"/>
                <w:szCs w:val="16"/>
                <w:lang w:val="pt-BR" w:eastAsia="ja-JP"/>
              </w:rPr>
            </w:pPr>
            <w:r w:rsidRPr="006F26AB">
              <w:rPr>
                <w:rFonts w:eastAsia="Calibri" w:cs="Arial"/>
                <w:sz w:val="16"/>
                <w:szCs w:val="16"/>
                <w:lang w:val="pt-BR" w:eastAsia="en-AU"/>
              </w:rPr>
              <w:t xml:space="preserve">Creatinine </w:t>
            </w:r>
            <w:r w:rsidRPr="006F26AB">
              <w:rPr>
                <w:rFonts w:eastAsia="Calibri" w:cs="Arial"/>
                <w:bCs/>
                <w:sz w:val="16"/>
                <w:szCs w:val="16"/>
                <w:lang w:eastAsia="en-AU"/>
              </w:rPr>
              <w:t>(mg/</w:t>
            </w:r>
            <w:proofErr w:type="spellStart"/>
            <w:r w:rsidRPr="006F26AB">
              <w:rPr>
                <w:rFonts w:eastAsia="Calibri" w:cs="Arial"/>
                <w:bCs/>
                <w:sz w:val="16"/>
                <w:szCs w:val="16"/>
                <w:lang w:eastAsia="en-AU"/>
              </w:rPr>
              <w:t>dL</w:t>
            </w:r>
            <w:proofErr w:type="spellEnd"/>
            <w:r w:rsidRPr="006F26AB">
              <w:rPr>
                <w:rFonts w:eastAsia="Calibri" w:cs="Arial"/>
                <w:bCs/>
                <w:sz w:val="16"/>
                <w:szCs w:val="16"/>
                <w:lang w:eastAsia="en-AU"/>
              </w:rPr>
              <w:t>)</w:t>
            </w:r>
          </w:p>
        </w:tc>
        <w:tc>
          <w:tcPr>
            <w:tcW w:w="3115" w:type="dxa"/>
            <w:gridSpan w:val="2"/>
            <w:tcBorders>
              <w:top w:val="single" w:sz="4" w:space="0" w:color="auto"/>
              <w:left w:val="single" w:sz="12" w:space="0" w:color="auto"/>
              <w:bottom w:val="single" w:sz="4" w:space="0" w:color="auto"/>
              <w:right w:val="single" w:sz="4" w:space="0" w:color="auto"/>
            </w:tcBorders>
            <w:vAlign w:val="center"/>
          </w:tcPr>
          <w:p w14:paraId="4A9B1465" w14:textId="77777777" w:rsidR="006F26AB" w:rsidRPr="006F26AB" w:rsidRDefault="006F26AB" w:rsidP="006F26AB">
            <w:pPr>
              <w:tabs>
                <w:tab w:val="left" w:pos="360"/>
              </w:tabs>
              <w:spacing w:after="0" w:line="276" w:lineRule="auto"/>
              <w:ind w:right="230"/>
              <w:rPr>
                <w:rFonts w:eastAsia="Calibri" w:cs="Arial"/>
                <w:sz w:val="16"/>
                <w:szCs w:val="16"/>
                <w:lang w:val="pt-BR" w:eastAsia="ja-JP"/>
              </w:rPr>
            </w:pPr>
          </w:p>
        </w:tc>
      </w:tr>
      <w:tr w:rsidR="006F26AB" w:rsidRPr="006F26AB" w14:paraId="40A28084" w14:textId="77777777" w:rsidTr="007150F6">
        <w:trPr>
          <w:jc w:val="center"/>
        </w:trPr>
        <w:tc>
          <w:tcPr>
            <w:tcW w:w="1320" w:type="dxa"/>
            <w:tcBorders>
              <w:top w:val="single" w:sz="4" w:space="0" w:color="auto"/>
              <w:left w:val="single" w:sz="4" w:space="0" w:color="auto"/>
              <w:bottom w:val="nil"/>
              <w:right w:val="single" w:sz="4" w:space="0" w:color="auto"/>
            </w:tcBorders>
            <w:vAlign w:val="center"/>
            <w:hideMark/>
          </w:tcPr>
          <w:p w14:paraId="191AD481"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2</w:t>
            </w:r>
          </w:p>
        </w:tc>
        <w:tc>
          <w:tcPr>
            <w:tcW w:w="1701" w:type="dxa"/>
            <w:gridSpan w:val="3"/>
            <w:tcBorders>
              <w:top w:val="single" w:sz="4" w:space="0" w:color="auto"/>
              <w:left w:val="single" w:sz="4" w:space="0" w:color="auto"/>
              <w:bottom w:val="nil"/>
              <w:right w:val="single" w:sz="4" w:space="0" w:color="auto"/>
            </w:tcBorders>
            <w:hideMark/>
          </w:tcPr>
          <w:p w14:paraId="355712DC" w14:textId="77777777" w:rsidR="006F26AB" w:rsidRPr="006F26AB" w:rsidRDefault="006F26AB" w:rsidP="006F26AB">
            <w:pPr>
              <w:spacing w:after="0" w:line="276" w:lineRule="auto"/>
              <w:jc w:val="left"/>
              <w:rPr>
                <w:rFonts w:eastAsia="Calibri" w:cs="Arial"/>
                <w:sz w:val="16"/>
                <w:szCs w:val="16"/>
                <w:lang w:val="en-US" w:eastAsia="ja-JP"/>
              </w:rPr>
            </w:pPr>
            <w:r w:rsidRPr="006F26AB">
              <w:rPr>
                <w:rFonts w:eastAsia="Calibri" w:cs="Arial"/>
                <w:sz w:val="16"/>
                <w:szCs w:val="16"/>
                <w:lang w:eastAsia="en-AU"/>
              </w:rPr>
              <w:t>&gt;1.3 - 1.8 x ULN or Increase of &gt;0.3 mg/</w:t>
            </w:r>
            <w:proofErr w:type="spellStart"/>
            <w:r w:rsidRPr="006F26AB">
              <w:rPr>
                <w:rFonts w:eastAsia="Calibri" w:cs="Arial"/>
                <w:sz w:val="16"/>
                <w:szCs w:val="16"/>
                <w:lang w:eastAsia="en-AU"/>
              </w:rPr>
              <w:t>dL</w:t>
            </w:r>
            <w:proofErr w:type="spellEnd"/>
            <w:r w:rsidRPr="006F26AB">
              <w:rPr>
                <w:rFonts w:eastAsia="Calibri" w:cs="Arial"/>
                <w:sz w:val="16"/>
                <w:szCs w:val="16"/>
                <w:lang w:eastAsia="en-AU"/>
              </w:rPr>
              <w:t xml:space="preserve"> above baseline</w:t>
            </w:r>
          </w:p>
        </w:tc>
        <w:tc>
          <w:tcPr>
            <w:tcW w:w="1559" w:type="dxa"/>
            <w:tcBorders>
              <w:top w:val="single" w:sz="4" w:space="0" w:color="auto"/>
              <w:left w:val="single" w:sz="4" w:space="0" w:color="auto"/>
              <w:bottom w:val="nil"/>
              <w:right w:val="single" w:sz="4" w:space="0" w:color="auto"/>
            </w:tcBorders>
          </w:tcPr>
          <w:p w14:paraId="687B4C06" w14:textId="77777777" w:rsidR="006F26AB" w:rsidRPr="006F26AB" w:rsidRDefault="006F26AB" w:rsidP="006F26AB">
            <w:pPr>
              <w:tabs>
                <w:tab w:val="left" w:pos="360"/>
              </w:tabs>
              <w:spacing w:after="0" w:line="276" w:lineRule="auto"/>
              <w:ind w:right="42"/>
              <w:jc w:val="center"/>
              <w:rPr>
                <w:rFonts w:eastAsia="Calibri" w:cs="Arial"/>
                <w:sz w:val="16"/>
                <w:szCs w:val="16"/>
                <w:lang w:val="en-US" w:eastAsia="ja-JP"/>
              </w:rPr>
            </w:pPr>
          </w:p>
          <w:p w14:paraId="5D2074AB" w14:textId="77777777" w:rsidR="006F26AB" w:rsidRPr="006F26AB" w:rsidRDefault="006F26AB" w:rsidP="006F26AB">
            <w:pPr>
              <w:tabs>
                <w:tab w:val="left" w:pos="360"/>
              </w:tabs>
              <w:spacing w:after="0" w:line="276" w:lineRule="auto"/>
              <w:ind w:right="42"/>
              <w:jc w:val="center"/>
              <w:rPr>
                <w:rFonts w:eastAsia="Calibri" w:cs="Arial"/>
                <w:sz w:val="16"/>
                <w:szCs w:val="16"/>
                <w:lang w:val="pt-BR" w:eastAsia="ja-JP"/>
              </w:rPr>
            </w:pPr>
            <w:r w:rsidRPr="006F26AB">
              <w:rPr>
                <w:rFonts w:eastAsia="Calibri" w:cs="Arial"/>
                <w:sz w:val="16"/>
                <w:szCs w:val="16"/>
                <w:lang w:eastAsia="en-AU"/>
              </w:rPr>
              <w:t>3</w:t>
            </w:r>
            <w:r w:rsidRPr="006F26AB">
              <w:rPr>
                <w:rFonts w:eastAsia="Calibri" w:cs="Arial"/>
                <w:sz w:val="16"/>
                <w:szCs w:val="16"/>
                <w:lang w:val="pt-BR" w:eastAsia="en-AU"/>
              </w:rPr>
              <w:t xml:space="preserve">% </w:t>
            </w:r>
          </w:p>
        </w:tc>
        <w:tc>
          <w:tcPr>
            <w:tcW w:w="1418" w:type="dxa"/>
            <w:tcBorders>
              <w:top w:val="single" w:sz="4" w:space="0" w:color="auto"/>
              <w:left w:val="single" w:sz="4" w:space="0" w:color="auto"/>
              <w:bottom w:val="nil"/>
              <w:right w:val="single" w:sz="12" w:space="0" w:color="auto"/>
            </w:tcBorders>
          </w:tcPr>
          <w:p w14:paraId="4128B2F1"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p w14:paraId="516593D4"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4</w:t>
            </w:r>
            <w:r w:rsidRPr="006F26AB">
              <w:rPr>
                <w:rFonts w:eastAsia="Calibri" w:cs="Arial"/>
                <w:sz w:val="16"/>
                <w:szCs w:val="16"/>
                <w:lang w:val="pt-BR" w:eastAsia="en-AU"/>
              </w:rPr>
              <w:t>%</w:t>
            </w:r>
          </w:p>
        </w:tc>
        <w:tc>
          <w:tcPr>
            <w:tcW w:w="1701" w:type="dxa"/>
            <w:tcBorders>
              <w:top w:val="single" w:sz="4" w:space="0" w:color="auto"/>
              <w:left w:val="nil"/>
              <w:bottom w:val="nil"/>
              <w:right w:val="single" w:sz="4" w:space="0" w:color="auto"/>
            </w:tcBorders>
          </w:tcPr>
          <w:p w14:paraId="40E50269"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p>
          <w:p w14:paraId="2C9A3A2E"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val="pt-BR" w:eastAsia="en-AU"/>
              </w:rPr>
              <w:t>2%</w:t>
            </w:r>
          </w:p>
        </w:tc>
        <w:tc>
          <w:tcPr>
            <w:tcW w:w="1414" w:type="dxa"/>
            <w:tcBorders>
              <w:top w:val="single" w:sz="4" w:space="0" w:color="auto"/>
              <w:left w:val="single" w:sz="4" w:space="0" w:color="auto"/>
              <w:bottom w:val="nil"/>
              <w:right w:val="single" w:sz="4" w:space="0" w:color="auto"/>
            </w:tcBorders>
          </w:tcPr>
          <w:p w14:paraId="33B6CDDB"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p>
          <w:p w14:paraId="0704078E"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val="pt-BR" w:eastAsia="en-AU"/>
              </w:rPr>
              <w:t>1%</w:t>
            </w:r>
          </w:p>
        </w:tc>
      </w:tr>
      <w:tr w:rsidR="006F26AB" w:rsidRPr="006F26AB" w14:paraId="341C2069" w14:textId="77777777" w:rsidTr="007150F6">
        <w:trPr>
          <w:jc w:val="center"/>
        </w:trPr>
        <w:tc>
          <w:tcPr>
            <w:tcW w:w="1320" w:type="dxa"/>
            <w:tcBorders>
              <w:top w:val="nil"/>
              <w:left w:val="single" w:sz="4" w:space="0" w:color="auto"/>
              <w:bottom w:val="single" w:sz="4" w:space="0" w:color="auto"/>
              <w:right w:val="single" w:sz="4" w:space="0" w:color="auto"/>
            </w:tcBorders>
            <w:vAlign w:val="center"/>
            <w:hideMark/>
          </w:tcPr>
          <w:p w14:paraId="35292F0E"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3-4</w:t>
            </w:r>
          </w:p>
        </w:tc>
        <w:tc>
          <w:tcPr>
            <w:tcW w:w="1701" w:type="dxa"/>
            <w:gridSpan w:val="3"/>
            <w:tcBorders>
              <w:top w:val="nil"/>
              <w:left w:val="single" w:sz="4" w:space="0" w:color="auto"/>
              <w:bottom w:val="single" w:sz="4" w:space="0" w:color="auto"/>
              <w:right w:val="single" w:sz="4" w:space="0" w:color="auto"/>
            </w:tcBorders>
            <w:hideMark/>
          </w:tcPr>
          <w:p w14:paraId="07FF0388" w14:textId="77777777" w:rsidR="006F26AB" w:rsidRPr="006F26AB" w:rsidRDefault="006F26AB" w:rsidP="006F26AB">
            <w:pPr>
              <w:autoSpaceDE w:val="0"/>
              <w:autoSpaceDN w:val="0"/>
              <w:adjustRightInd w:val="0"/>
              <w:spacing w:after="0" w:line="276" w:lineRule="auto"/>
              <w:jc w:val="left"/>
              <w:rPr>
                <w:rFonts w:eastAsia="Calibri" w:cs="Arial"/>
                <w:sz w:val="16"/>
                <w:szCs w:val="16"/>
                <w:lang w:val="en-US" w:eastAsia="ja-JP"/>
              </w:rPr>
            </w:pPr>
            <w:r w:rsidRPr="006F26AB">
              <w:rPr>
                <w:rFonts w:eastAsia="Calibri" w:cs="Arial"/>
                <w:sz w:val="16"/>
                <w:szCs w:val="16"/>
                <w:lang w:eastAsia="en-AU"/>
              </w:rPr>
              <w:t>&gt;1.8 x ULN or Increase of ≥1.5 x above baseline</w:t>
            </w:r>
          </w:p>
        </w:tc>
        <w:tc>
          <w:tcPr>
            <w:tcW w:w="1559" w:type="dxa"/>
            <w:tcBorders>
              <w:top w:val="nil"/>
              <w:left w:val="single" w:sz="4" w:space="0" w:color="auto"/>
              <w:bottom w:val="single" w:sz="4" w:space="0" w:color="auto"/>
              <w:right w:val="single" w:sz="4" w:space="0" w:color="auto"/>
            </w:tcBorders>
            <w:hideMark/>
          </w:tcPr>
          <w:p w14:paraId="5D372AE8" w14:textId="77777777" w:rsidR="006F26AB" w:rsidRPr="006F26AB" w:rsidRDefault="006F26AB" w:rsidP="006F26AB">
            <w:pPr>
              <w:tabs>
                <w:tab w:val="left" w:pos="360"/>
              </w:tabs>
              <w:spacing w:after="0" w:line="276" w:lineRule="auto"/>
              <w:ind w:right="42"/>
              <w:jc w:val="center"/>
              <w:rPr>
                <w:rFonts w:eastAsia="Calibri" w:cs="Arial"/>
                <w:sz w:val="16"/>
                <w:szCs w:val="16"/>
                <w:lang w:val="pt-BR" w:eastAsia="ja-JP"/>
              </w:rPr>
            </w:pPr>
            <w:r w:rsidRPr="006F26AB">
              <w:rPr>
                <w:rFonts w:eastAsia="Calibri" w:cs="Arial"/>
                <w:sz w:val="16"/>
                <w:szCs w:val="16"/>
                <w:lang w:eastAsia="en-AU"/>
              </w:rPr>
              <w:t>2</w:t>
            </w:r>
            <w:r w:rsidRPr="006F26AB">
              <w:rPr>
                <w:rFonts w:eastAsia="Calibri" w:cs="Arial"/>
                <w:sz w:val="16"/>
                <w:szCs w:val="16"/>
                <w:lang w:val="pt-BR" w:eastAsia="en-AU"/>
              </w:rPr>
              <w:t>%</w:t>
            </w:r>
          </w:p>
        </w:tc>
        <w:tc>
          <w:tcPr>
            <w:tcW w:w="1418" w:type="dxa"/>
            <w:tcBorders>
              <w:top w:val="nil"/>
              <w:left w:val="single" w:sz="4" w:space="0" w:color="auto"/>
              <w:bottom w:val="single" w:sz="4" w:space="0" w:color="auto"/>
              <w:right w:val="single" w:sz="12" w:space="0" w:color="auto"/>
            </w:tcBorders>
            <w:hideMark/>
          </w:tcPr>
          <w:p w14:paraId="2875F075"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3</w:t>
            </w:r>
            <w:r w:rsidRPr="006F26AB">
              <w:rPr>
                <w:rFonts w:eastAsia="Calibri" w:cs="Arial"/>
                <w:sz w:val="16"/>
                <w:szCs w:val="16"/>
                <w:lang w:val="pt-BR" w:eastAsia="en-AU"/>
              </w:rPr>
              <w:t>%</w:t>
            </w:r>
          </w:p>
        </w:tc>
        <w:tc>
          <w:tcPr>
            <w:tcW w:w="1701" w:type="dxa"/>
            <w:tcBorders>
              <w:top w:val="nil"/>
              <w:left w:val="nil"/>
              <w:bottom w:val="single" w:sz="4" w:space="0" w:color="auto"/>
              <w:right w:val="single" w:sz="4" w:space="0" w:color="auto"/>
            </w:tcBorders>
            <w:hideMark/>
          </w:tcPr>
          <w:p w14:paraId="4F967ABD"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val="pt-BR" w:eastAsia="en-AU"/>
              </w:rPr>
              <w:t>2%</w:t>
            </w:r>
          </w:p>
        </w:tc>
        <w:tc>
          <w:tcPr>
            <w:tcW w:w="1414" w:type="dxa"/>
            <w:tcBorders>
              <w:top w:val="nil"/>
              <w:left w:val="single" w:sz="4" w:space="0" w:color="auto"/>
              <w:bottom w:val="single" w:sz="4" w:space="0" w:color="auto"/>
              <w:right w:val="single" w:sz="4" w:space="0" w:color="auto"/>
            </w:tcBorders>
            <w:hideMark/>
          </w:tcPr>
          <w:p w14:paraId="5AEF9460"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val="pt-BR" w:eastAsia="en-AU"/>
              </w:rPr>
              <w:t>1%</w:t>
            </w:r>
          </w:p>
        </w:tc>
      </w:tr>
      <w:tr w:rsidR="006F26AB" w:rsidRPr="006F26AB" w14:paraId="7D9E622F" w14:textId="77777777" w:rsidTr="007150F6">
        <w:trPr>
          <w:jc w:val="center"/>
        </w:trPr>
        <w:tc>
          <w:tcPr>
            <w:tcW w:w="5998" w:type="dxa"/>
            <w:gridSpan w:val="6"/>
            <w:tcBorders>
              <w:top w:val="single" w:sz="4" w:space="0" w:color="auto"/>
              <w:left w:val="single" w:sz="4" w:space="0" w:color="auto"/>
              <w:bottom w:val="single" w:sz="4" w:space="0" w:color="auto"/>
              <w:right w:val="single" w:sz="12" w:space="0" w:color="auto"/>
            </w:tcBorders>
            <w:vAlign w:val="center"/>
            <w:hideMark/>
          </w:tcPr>
          <w:p w14:paraId="36142773" w14:textId="77777777" w:rsidR="006F26AB" w:rsidRPr="006F26AB" w:rsidRDefault="006F26AB" w:rsidP="006F26AB">
            <w:pPr>
              <w:tabs>
                <w:tab w:val="left" w:pos="360"/>
              </w:tabs>
              <w:spacing w:after="0" w:line="276" w:lineRule="auto"/>
              <w:ind w:right="230"/>
              <w:rPr>
                <w:rFonts w:eastAsia="Calibri" w:cs="Arial"/>
                <w:sz w:val="16"/>
                <w:szCs w:val="16"/>
                <w:lang w:val="pt-BR" w:eastAsia="ja-JP"/>
              </w:rPr>
            </w:pPr>
            <w:r w:rsidRPr="006F26AB">
              <w:rPr>
                <w:rFonts w:eastAsia="Calibri" w:cs="Arial"/>
                <w:sz w:val="16"/>
                <w:szCs w:val="16"/>
                <w:lang w:val="pt-BR" w:eastAsia="en-AU"/>
              </w:rPr>
              <w:t>Aspartate aminotransferase (IU/L)</w:t>
            </w:r>
          </w:p>
        </w:tc>
        <w:tc>
          <w:tcPr>
            <w:tcW w:w="1701" w:type="dxa"/>
            <w:tcBorders>
              <w:top w:val="single" w:sz="4" w:space="0" w:color="auto"/>
              <w:left w:val="single" w:sz="12" w:space="0" w:color="auto"/>
              <w:bottom w:val="single" w:sz="4" w:space="0" w:color="auto"/>
              <w:right w:val="single" w:sz="4" w:space="0" w:color="auto"/>
            </w:tcBorders>
          </w:tcPr>
          <w:p w14:paraId="3E3A2F4F" w14:textId="77777777" w:rsidR="006F26AB" w:rsidRPr="006F26AB" w:rsidRDefault="006F26AB" w:rsidP="006F26AB">
            <w:pPr>
              <w:tabs>
                <w:tab w:val="left" w:pos="756"/>
              </w:tabs>
              <w:spacing w:after="0" w:line="276" w:lineRule="auto"/>
              <w:ind w:right="230"/>
              <w:rPr>
                <w:rFonts w:eastAsia="Calibri" w:cs="Arial"/>
                <w:sz w:val="16"/>
                <w:szCs w:val="16"/>
                <w:lang w:val="pt-BR" w:eastAsia="ja-JP"/>
              </w:rPr>
            </w:pPr>
          </w:p>
        </w:tc>
        <w:tc>
          <w:tcPr>
            <w:tcW w:w="1414" w:type="dxa"/>
            <w:tcBorders>
              <w:top w:val="single" w:sz="4" w:space="0" w:color="auto"/>
              <w:left w:val="single" w:sz="4" w:space="0" w:color="auto"/>
              <w:bottom w:val="single" w:sz="4" w:space="0" w:color="auto"/>
              <w:right w:val="single" w:sz="4" w:space="0" w:color="auto"/>
            </w:tcBorders>
          </w:tcPr>
          <w:p w14:paraId="5935BCF1" w14:textId="77777777" w:rsidR="006F26AB" w:rsidRPr="006F26AB" w:rsidRDefault="006F26AB" w:rsidP="006F26AB">
            <w:pPr>
              <w:tabs>
                <w:tab w:val="left" w:pos="360"/>
              </w:tabs>
              <w:spacing w:after="0" w:line="276" w:lineRule="auto"/>
              <w:ind w:right="230"/>
              <w:rPr>
                <w:rFonts w:eastAsia="Calibri" w:cs="Arial"/>
                <w:sz w:val="16"/>
                <w:szCs w:val="16"/>
                <w:lang w:val="pt-BR" w:eastAsia="ja-JP"/>
              </w:rPr>
            </w:pPr>
          </w:p>
        </w:tc>
      </w:tr>
      <w:tr w:rsidR="006F26AB" w:rsidRPr="006F26AB" w14:paraId="6D91BCAB" w14:textId="77777777" w:rsidTr="007150F6">
        <w:trPr>
          <w:jc w:val="center"/>
        </w:trPr>
        <w:tc>
          <w:tcPr>
            <w:tcW w:w="1320" w:type="dxa"/>
            <w:tcBorders>
              <w:top w:val="single" w:sz="4" w:space="0" w:color="auto"/>
              <w:left w:val="single" w:sz="4" w:space="0" w:color="auto"/>
              <w:bottom w:val="nil"/>
              <w:right w:val="single" w:sz="4" w:space="0" w:color="auto"/>
            </w:tcBorders>
            <w:vAlign w:val="center"/>
            <w:hideMark/>
          </w:tcPr>
          <w:p w14:paraId="40298FD9"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2</w:t>
            </w:r>
          </w:p>
        </w:tc>
        <w:tc>
          <w:tcPr>
            <w:tcW w:w="1701" w:type="dxa"/>
            <w:gridSpan w:val="3"/>
            <w:tcBorders>
              <w:top w:val="single" w:sz="4" w:space="0" w:color="auto"/>
              <w:left w:val="single" w:sz="4" w:space="0" w:color="auto"/>
              <w:bottom w:val="nil"/>
              <w:right w:val="single" w:sz="4" w:space="0" w:color="auto"/>
            </w:tcBorders>
            <w:hideMark/>
          </w:tcPr>
          <w:p w14:paraId="15804B88" w14:textId="77777777" w:rsidR="006F26AB" w:rsidRPr="006F26AB" w:rsidRDefault="006F26AB" w:rsidP="006F26AB">
            <w:pPr>
              <w:widowControl w:val="0"/>
              <w:autoSpaceDE w:val="0"/>
              <w:autoSpaceDN w:val="0"/>
              <w:adjustRightInd w:val="0"/>
              <w:spacing w:after="0" w:line="276" w:lineRule="auto"/>
              <w:ind w:left="160" w:right="1" w:hanging="160"/>
              <w:jc w:val="center"/>
              <w:rPr>
                <w:rFonts w:eastAsia="Calibri" w:cs="Arial"/>
                <w:sz w:val="16"/>
                <w:szCs w:val="16"/>
                <w:lang w:val="en-US" w:eastAsia="ja-JP"/>
              </w:rPr>
            </w:pPr>
            <w:r w:rsidRPr="006F26AB">
              <w:rPr>
                <w:rFonts w:eastAsia="Calibri" w:cs="Arial"/>
                <w:sz w:val="16"/>
                <w:szCs w:val="16"/>
                <w:lang w:eastAsia="en-AU"/>
              </w:rPr>
              <w:t>2.5 - &lt;5.0 x ULN</w:t>
            </w:r>
          </w:p>
        </w:tc>
        <w:tc>
          <w:tcPr>
            <w:tcW w:w="1559" w:type="dxa"/>
            <w:tcBorders>
              <w:top w:val="single" w:sz="4" w:space="0" w:color="auto"/>
              <w:left w:val="single" w:sz="4" w:space="0" w:color="auto"/>
              <w:bottom w:val="nil"/>
              <w:right w:val="single" w:sz="4" w:space="0" w:color="auto"/>
            </w:tcBorders>
            <w:hideMark/>
          </w:tcPr>
          <w:p w14:paraId="75DE4FC2" w14:textId="77777777" w:rsidR="006F26AB" w:rsidRPr="006F26AB" w:rsidRDefault="006F26AB" w:rsidP="006F26AB">
            <w:pPr>
              <w:tabs>
                <w:tab w:val="left" w:pos="360"/>
              </w:tabs>
              <w:spacing w:after="0" w:line="276" w:lineRule="auto"/>
              <w:ind w:right="42"/>
              <w:jc w:val="center"/>
              <w:rPr>
                <w:rFonts w:eastAsia="Calibri" w:cs="Arial"/>
                <w:sz w:val="16"/>
                <w:szCs w:val="16"/>
                <w:lang w:val="pt-BR" w:eastAsia="ja-JP"/>
              </w:rPr>
            </w:pPr>
            <w:r w:rsidRPr="006F26AB">
              <w:rPr>
                <w:rFonts w:eastAsia="Calibri" w:cs="Arial"/>
                <w:sz w:val="16"/>
                <w:szCs w:val="16"/>
                <w:lang w:eastAsia="en-AU"/>
              </w:rPr>
              <w:t>4</w:t>
            </w:r>
            <w:r w:rsidRPr="006F26AB">
              <w:rPr>
                <w:rFonts w:eastAsia="Calibri" w:cs="Arial"/>
                <w:sz w:val="16"/>
                <w:szCs w:val="16"/>
                <w:lang w:val="pt-BR" w:eastAsia="en-AU"/>
              </w:rPr>
              <w:t>%</w:t>
            </w:r>
          </w:p>
        </w:tc>
        <w:tc>
          <w:tcPr>
            <w:tcW w:w="1418" w:type="dxa"/>
            <w:tcBorders>
              <w:top w:val="single" w:sz="4" w:space="0" w:color="auto"/>
              <w:left w:val="single" w:sz="4" w:space="0" w:color="auto"/>
              <w:bottom w:val="nil"/>
              <w:right w:val="single" w:sz="12" w:space="0" w:color="auto"/>
            </w:tcBorders>
            <w:hideMark/>
          </w:tcPr>
          <w:p w14:paraId="6CA6BDE2"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3</w:t>
            </w:r>
            <w:r w:rsidRPr="006F26AB">
              <w:rPr>
                <w:rFonts w:eastAsia="Calibri" w:cs="Arial"/>
                <w:sz w:val="16"/>
                <w:szCs w:val="16"/>
                <w:lang w:val="pt-BR" w:eastAsia="en-AU"/>
              </w:rPr>
              <w:t>%</w:t>
            </w:r>
          </w:p>
        </w:tc>
        <w:tc>
          <w:tcPr>
            <w:tcW w:w="1701" w:type="dxa"/>
            <w:tcBorders>
              <w:top w:val="single" w:sz="4" w:space="0" w:color="auto"/>
              <w:left w:val="single" w:sz="12" w:space="0" w:color="auto"/>
              <w:bottom w:val="nil"/>
              <w:right w:val="single" w:sz="4" w:space="0" w:color="auto"/>
            </w:tcBorders>
            <w:hideMark/>
          </w:tcPr>
          <w:p w14:paraId="53CF8368" w14:textId="77777777" w:rsidR="006F26AB" w:rsidRPr="006F26AB" w:rsidRDefault="006F26AB" w:rsidP="006F26AB">
            <w:pPr>
              <w:tabs>
                <w:tab w:val="left" w:pos="756"/>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2</w:t>
            </w:r>
            <w:r w:rsidRPr="006F26AB">
              <w:rPr>
                <w:rFonts w:eastAsia="Calibri" w:cs="Arial"/>
                <w:sz w:val="16"/>
                <w:szCs w:val="16"/>
                <w:lang w:val="pt-BR" w:eastAsia="en-AU"/>
              </w:rPr>
              <w:t>%</w:t>
            </w:r>
          </w:p>
        </w:tc>
        <w:tc>
          <w:tcPr>
            <w:tcW w:w="1414" w:type="dxa"/>
            <w:tcBorders>
              <w:top w:val="single" w:sz="4" w:space="0" w:color="auto"/>
              <w:left w:val="single" w:sz="4" w:space="0" w:color="auto"/>
              <w:bottom w:val="nil"/>
              <w:right w:val="single" w:sz="4" w:space="0" w:color="auto"/>
            </w:tcBorders>
            <w:hideMark/>
          </w:tcPr>
          <w:p w14:paraId="5AF113CE"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2</w:t>
            </w:r>
            <w:r w:rsidRPr="006F26AB">
              <w:rPr>
                <w:rFonts w:eastAsia="Calibri" w:cs="Arial"/>
                <w:sz w:val="16"/>
                <w:szCs w:val="16"/>
                <w:lang w:val="pt-BR" w:eastAsia="en-AU"/>
              </w:rPr>
              <w:t>%</w:t>
            </w:r>
          </w:p>
        </w:tc>
      </w:tr>
      <w:tr w:rsidR="006F26AB" w:rsidRPr="006F26AB" w14:paraId="0207BFA4" w14:textId="77777777" w:rsidTr="007150F6">
        <w:trPr>
          <w:jc w:val="center"/>
        </w:trPr>
        <w:tc>
          <w:tcPr>
            <w:tcW w:w="1320" w:type="dxa"/>
            <w:tcBorders>
              <w:top w:val="nil"/>
              <w:left w:val="single" w:sz="4" w:space="0" w:color="auto"/>
              <w:bottom w:val="single" w:sz="4" w:space="0" w:color="auto"/>
              <w:right w:val="single" w:sz="4" w:space="0" w:color="auto"/>
            </w:tcBorders>
            <w:vAlign w:val="center"/>
            <w:hideMark/>
          </w:tcPr>
          <w:p w14:paraId="0AFFEF79"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3-4</w:t>
            </w:r>
          </w:p>
        </w:tc>
        <w:tc>
          <w:tcPr>
            <w:tcW w:w="1701" w:type="dxa"/>
            <w:gridSpan w:val="3"/>
            <w:tcBorders>
              <w:top w:val="nil"/>
              <w:left w:val="single" w:sz="4" w:space="0" w:color="auto"/>
              <w:bottom w:val="single" w:sz="4" w:space="0" w:color="auto"/>
              <w:right w:val="single" w:sz="4" w:space="0" w:color="auto"/>
            </w:tcBorders>
            <w:hideMark/>
          </w:tcPr>
          <w:p w14:paraId="1792B878" w14:textId="77777777" w:rsidR="006F26AB" w:rsidRPr="006F26AB" w:rsidRDefault="006F26AB" w:rsidP="006F26AB">
            <w:pPr>
              <w:widowControl w:val="0"/>
              <w:autoSpaceDE w:val="0"/>
              <w:autoSpaceDN w:val="0"/>
              <w:adjustRightInd w:val="0"/>
              <w:spacing w:after="0" w:line="276" w:lineRule="auto"/>
              <w:ind w:left="160" w:right="1" w:hanging="160"/>
              <w:jc w:val="center"/>
              <w:rPr>
                <w:rFonts w:eastAsia="Calibri" w:cs="Arial"/>
                <w:sz w:val="16"/>
                <w:szCs w:val="16"/>
                <w:lang w:val="pt-BR" w:eastAsia="ja-JP"/>
              </w:rPr>
            </w:pPr>
            <w:r w:rsidRPr="006F26AB">
              <w:rPr>
                <w:rFonts w:eastAsia="Calibri" w:cs="Arial"/>
                <w:sz w:val="16"/>
                <w:szCs w:val="16"/>
                <w:lang w:eastAsia="en-AU"/>
              </w:rPr>
              <w:t>≥5.0 x ULN</w:t>
            </w:r>
          </w:p>
        </w:tc>
        <w:tc>
          <w:tcPr>
            <w:tcW w:w="1559" w:type="dxa"/>
            <w:tcBorders>
              <w:top w:val="nil"/>
              <w:left w:val="single" w:sz="4" w:space="0" w:color="auto"/>
              <w:bottom w:val="single" w:sz="4" w:space="0" w:color="auto"/>
              <w:right w:val="single" w:sz="4" w:space="0" w:color="auto"/>
            </w:tcBorders>
            <w:hideMark/>
          </w:tcPr>
          <w:p w14:paraId="72BBA051" w14:textId="77777777" w:rsidR="006F26AB" w:rsidRPr="006F26AB" w:rsidRDefault="006F26AB" w:rsidP="006F26AB">
            <w:pPr>
              <w:tabs>
                <w:tab w:val="left" w:pos="360"/>
              </w:tabs>
              <w:spacing w:after="0" w:line="276" w:lineRule="auto"/>
              <w:ind w:right="42"/>
              <w:jc w:val="center"/>
              <w:rPr>
                <w:rFonts w:eastAsia="Calibri" w:cs="Arial"/>
                <w:sz w:val="16"/>
                <w:szCs w:val="16"/>
                <w:lang w:val="pt-BR" w:eastAsia="ja-JP"/>
              </w:rPr>
            </w:pPr>
            <w:r w:rsidRPr="006F26AB">
              <w:rPr>
                <w:rFonts w:eastAsia="Calibri" w:cs="Arial"/>
                <w:sz w:val="16"/>
                <w:szCs w:val="16"/>
                <w:lang w:eastAsia="en-AU"/>
              </w:rPr>
              <w:t>&lt;1%</w:t>
            </w:r>
          </w:p>
        </w:tc>
        <w:tc>
          <w:tcPr>
            <w:tcW w:w="1418" w:type="dxa"/>
            <w:tcBorders>
              <w:top w:val="nil"/>
              <w:left w:val="single" w:sz="4" w:space="0" w:color="auto"/>
              <w:bottom w:val="single" w:sz="4" w:space="0" w:color="auto"/>
              <w:right w:val="single" w:sz="12" w:space="0" w:color="auto"/>
            </w:tcBorders>
            <w:hideMark/>
          </w:tcPr>
          <w:p w14:paraId="230243A1"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2</w:t>
            </w:r>
            <w:r w:rsidRPr="006F26AB">
              <w:rPr>
                <w:rFonts w:eastAsia="Calibri" w:cs="Arial"/>
                <w:sz w:val="16"/>
                <w:szCs w:val="16"/>
                <w:lang w:val="pt-BR" w:eastAsia="en-AU"/>
              </w:rPr>
              <w:t>%</w:t>
            </w:r>
          </w:p>
        </w:tc>
        <w:tc>
          <w:tcPr>
            <w:tcW w:w="1701" w:type="dxa"/>
            <w:tcBorders>
              <w:top w:val="nil"/>
              <w:left w:val="single" w:sz="12" w:space="0" w:color="auto"/>
              <w:bottom w:val="single" w:sz="4" w:space="0" w:color="auto"/>
              <w:right w:val="single" w:sz="4" w:space="0" w:color="auto"/>
            </w:tcBorders>
            <w:hideMark/>
          </w:tcPr>
          <w:p w14:paraId="28E9493D"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&lt;1</w:t>
            </w:r>
            <w:r w:rsidRPr="006F26AB">
              <w:rPr>
                <w:rFonts w:eastAsia="Calibri" w:cs="Arial"/>
                <w:sz w:val="16"/>
                <w:szCs w:val="16"/>
                <w:lang w:val="pt-BR" w:eastAsia="en-AU"/>
              </w:rPr>
              <w:t>%</w:t>
            </w:r>
          </w:p>
        </w:tc>
        <w:tc>
          <w:tcPr>
            <w:tcW w:w="1414" w:type="dxa"/>
            <w:tcBorders>
              <w:top w:val="nil"/>
              <w:left w:val="single" w:sz="4" w:space="0" w:color="auto"/>
              <w:bottom w:val="single" w:sz="4" w:space="0" w:color="auto"/>
              <w:right w:val="single" w:sz="4" w:space="0" w:color="auto"/>
            </w:tcBorders>
            <w:hideMark/>
          </w:tcPr>
          <w:p w14:paraId="18AB6328"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2</w:t>
            </w:r>
            <w:r w:rsidRPr="006F26AB">
              <w:rPr>
                <w:rFonts w:eastAsia="Calibri" w:cs="Arial"/>
                <w:sz w:val="16"/>
                <w:szCs w:val="16"/>
                <w:lang w:val="pt-BR" w:eastAsia="en-AU"/>
              </w:rPr>
              <w:t>%</w:t>
            </w:r>
          </w:p>
        </w:tc>
      </w:tr>
      <w:tr w:rsidR="006F26AB" w:rsidRPr="006F26AB" w14:paraId="0405A111" w14:textId="77777777" w:rsidTr="007150F6">
        <w:trPr>
          <w:jc w:val="center"/>
        </w:trPr>
        <w:tc>
          <w:tcPr>
            <w:tcW w:w="5998" w:type="dxa"/>
            <w:gridSpan w:val="6"/>
            <w:tcBorders>
              <w:top w:val="single" w:sz="4" w:space="0" w:color="auto"/>
              <w:left w:val="single" w:sz="4" w:space="0" w:color="auto"/>
              <w:bottom w:val="single" w:sz="4" w:space="0" w:color="auto"/>
              <w:right w:val="single" w:sz="12" w:space="0" w:color="auto"/>
            </w:tcBorders>
            <w:vAlign w:val="center"/>
            <w:hideMark/>
          </w:tcPr>
          <w:p w14:paraId="7E4F9C57" w14:textId="77777777" w:rsidR="006F26AB" w:rsidRPr="006F26AB" w:rsidRDefault="006F26AB" w:rsidP="006F26AB">
            <w:pPr>
              <w:tabs>
                <w:tab w:val="left" w:pos="360"/>
              </w:tabs>
              <w:spacing w:after="0" w:line="276" w:lineRule="auto"/>
              <w:ind w:right="230"/>
              <w:rPr>
                <w:rFonts w:eastAsia="Calibri" w:cs="Arial"/>
                <w:sz w:val="16"/>
                <w:szCs w:val="16"/>
                <w:lang w:val="pt-BR" w:eastAsia="ja-JP"/>
              </w:rPr>
            </w:pPr>
            <w:r w:rsidRPr="006F26AB">
              <w:rPr>
                <w:rFonts w:eastAsia="Calibri" w:cs="Arial"/>
                <w:sz w:val="16"/>
                <w:szCs w:val="16"/>
                <w:lang w:val="pt-BR" w:eastAsia="en-AU"/>
              </w:rPr>
              <w:t>Alanine aminotransferase (IU/L)</w:t>
            </w:r>
          </w:p>
        </w:tc>
        <w:tc>
          <w:tcPr>
            <w:tcW w:w="1701" w:type="dxa"/>
            <w:tcBorders>
              <w:top w:val="single" w:sz="4" w:space="0" w:color="auto"/>
              <w:left w:val="single" w:sz="12" w:space="0" w:color="auto"/>
              <w:bottom w:val="single" w:sz="4" w:space="0" w:color="auto"/>
              <w:right w:val="single" w:sz="4" w:space="0" w:color="auto"/>
            </w:tcBorders>
          </w:tcPr>
          <w:p w14:paraId="4F2DA46D" w14:textId="77777777" w:rsidR="006F26AB" w:rsidRPr="006F26AB" w:rsidRDefault="006F26AB" w:rsidP="006F26AB">
            <w:pPr>
              <w:tabs>
                <w:tab w:val="left" w:pos="360"/>
              </w:tabs>
              <w:spacing w:after="0" w:line="276" w:lineRule="auto"/>
              <w:ind w:right="230"/>
              <w:rPr>
                <w:rFonts w:eastAsia="Calibri" w:cs="Arial"/>
                <w:sz w:val="16"/>
                <w:szCs w:val="16"/>
                <w:lang w:val="pt-BR" w:eastAsia="ja-JP"/>
              </w:rPr>
            </w:pPr>
          </w:p>
        </w:tc>
        <w:tc>
          <w:tcPr>
            <w:tcW w:w="1414" w:type="dxa"/>
            <w:tcBorders>
              <w:top w:val="single" w:sz="4" w:space="0" w:color="auto"/>
              <w:left w:val="single" w:sz="4" w:space="0" w:color="auto"/>
              <w:bottom w:val="single" w:sz="4" w:space="0" w:color="auto"/>
              <w:right w:val="single" w:sz="4" w:space="0" w:color="auto"/>
            </w:tcBorders>
          </w:tcPr>
          <w:p w14:paraId="2509CCE1" w14:textId="77777777" w:rsidR="006F26AB" w:rsidRPr="006F26AB" w:rsidRDefault="006F26AB" w:rsidP="006F26AB">
            <w:pPr>
              <w:tabs>
                <w:tab w:val="left" w:pos="360"/>
              </w:tabs>
              <w:spacing w:after="0" w:line="276" w:lineRule="auto"/>
              <w:ind w:right="230"/>
              <w:rPr>
                <w:rFonts w:eastAsia="Calibri" w:cs="Arial"/>
                <w:sz w:val="16"/>
                <w:szCs w:val="16"/>
                <w:lang w:val="pt-BR" w:eastAsia="ja-JP"/>
              </w:rPr>
            </w:pPr>
          </w:p>
        </w:tc>
      </w:tr>
      <w:tr w:rsidR="006F26AB" w:rsidRPr="006F26AB" w14:paraId="75BE4863" w14:textId="77777777" w:rsidTr="007150F6">
        <w:trPr>
          <w:jc w:val="center"/>
        </w:trPr>
        <w:tc>
          <w:tcPr>
            <w:tcW w:w="1320" w:type="dxa"/>
            <w:tcBorders>
              <w:top w:val="single" w:sz="4" w:space="0" w:color="auto"/>
              <w:left w:val="single" w:sz="4" w:space="0" w:color="auto"/>
              <w:bottom w:val="nil"/>
              <w:right w:val="single" w:sz="4" w:space="0" w:color="auto"/>
            </w:tcBorders>
            <w:vAlign w:val="center"/>
            <w:hideMark/>
          </w:tcPr>
          <w:p w14:paraId="6700CE08"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2</w:t>
            </w:r>
          </w:p>
        </w:tc>
        <w:tc>
          <w:tcPr>
            <w:tcW w:w="1701" w:type="dxa"/>
            <w:gridSpan w:val="3"/>
            <w:tcBorders>
              <w:top w:val="single" w:sz="4" w:space="0" w:color="auto"/>
              <w:left w:val="single" w:sz="4" w:space="0" w:color="auto"/>
              <w:bottom w:val="nil"/>
              <w:right w:val="single" w:sz="4" w:space="0" w:color="auto"/>
            </w:tcBorders>
            <w:hideMark/>
          </w:tcPr>
          <w:p w14:paraId="24ED0657" w14:textId="77777777" w:rsidR="006F26AB" w:rsidRPr="006F26AB" w:rsidRDefault="006F26AB" w:rsidP="006F26AB">
            <w:pPr>
              <w:widowControl w:val="0"/>
              <w:autoSpaceDE w:val="0"/>
              <w:autoSpaceDN w:val="0"/>
              <w:adjustRightInd w:val="0"/>
              <w:spacing w:after="0" w:line="276" w:lineRule="auto"/>
              <w:ind w:left="160" w:right="1" w:hanging="160"/>
              <w:jc w:val="center"/>
              <w:rPr>
                <w:rFonts w:eastAsia="Calibri" w:cs="Arial"/>
                <w:sz w:val="16"/>
                <w:szCs w:val="16"/>
                <w:lang w:val="pt-BR" w:eastAsia="ja-JP"/>
              </w:rPr>
            </w:pPr>
            <w:r w:rsidRPr="006F26AB">
              <w:rPr>
                <w:rFonts w:eastAsia="Calibri" w:cs="Arial"/>
                <w:sz w:val="16"/>
                <w:szCs w:val="16"/>
                <w:lang w:eastAsia="en-AU"/>
              </w:rPr>
              <w:t>2.5 - &lt;5.0 x ULN</w:t>
            </w:r>
          </w:p>
        </w:tc>
        <w:tc>
          <w:tcPr>
            <w:tcW w:w="1559" w:type="dxa"/>
            <w:tcBorders>
              <w:top w:val="single" w:sz="4" w:space="0" w:color="auto"/>
              <w:left w:val="single" w:sz="4" w:space="0" w:color="auto"/>
              <w:bottom w:val="nil"/>
              <w:right w:val="single" w:sz="4" w:space="0" w:color="auto"/>
            </w:tcBorders>
            <w:hideMark/>
          </w:tcPr>
          <w:p w14:paraId="3418EDA1" w14:textId="77777777" w:rsidR="006F26AB" w:rsidRPr="006F26AB" w:rsidRDefault="006F26AB" w:rsidP="006F26AB">
            <w:pPr>
              <w:tabs>
                <w:tab w:val="left" w:pos="360"/>
              </w:tabs>
              <w:spacing w:after="0" w:line="276" w:lineRule="auto"/>
              <w:ind w:right="42"/>
              <w:jc w:val="center"/>
              <w:rPr>
                <w:rFonts w:eastAsia="Calibri" w:cs="Arial"/>
                <w:sz w:val="16"/>
                <w:szCs w:val="16"/>
                <w:lang w:val="pt-BR" w:eastAsia="ja-JP"/>
              </w:rPr>
            </w:pPr>
            <w:r w:rsidRPr="006F26AB">
              <w:rPr>
                <w:rFonts w:eastAsia="Calibri" w:cs="Arial"/>
                <w:sz w:val="16"/>
                <w:szCs w:val="16"/>
                <w:lang w:eastAsia="en-AU"/>
              </w:rPr>
              <w:t>3</w:t>
            </w:r>
            <w:r w:rsidRPr="006F26AB">
              <w:rPr>
                <w:rFonts w:eastAsia="Calibri" w:cs="Arial"/>
                <w:sz w:val="16"/>
                <w:szCs w:val="16"/>
                <w:lang w:val="pt-BR" w:eastAsia="en-AU"/>
              </w:rPr>
              <w:t>%</w:t>
            </w:r>
          </w:p>
        </w:tc>
        <w:tc>
          <w:tcPr>
            <w:tcW w:w="1418" w:type="dxa"/>
            <w:tcBorders>
              <w:top w:val="single" w:sz="4" w:space="0" w:color="auto"/>
              <w:left w:val="single" w:sz="4" w:space="0" w:color="auto"/>
              <w:bottom w:val="nil"/>
              <w:right w:val="single" w:sz="12" w:space="0" w:color="auto"/>
            </w:tcBorders>
            <w:hideMark/>
          </w:tcPr>
          <w:p w14:paraId="3B6111E7"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2</w:t>
            </w:r>
            <w:r w:rsidRPr="006F26AB">
              <w:rPr>
                <w:rFonts w:eastAsia="Calibri" w:cs="Arial"/>
                <w:sz w:val="16"/>
                <w:szCs w:val="16"/>
                <w:lang w:val="pt-BR" w:eastAsia="en-AU"/>
              </w:rPr>
              <w:t>%</w:t>
            </w:r>
          </w:p>
        </w:tc>
        <w:tc>
          <w:tcPr>
            <w:tcW w:w="1701" w:type="dxa"/>
            <w:tcBorders>
              <w:top w:val="single" w:sz="4" w:space="0" w:color="auto"/>
              <w:left w:val="single" w:sz="12" w:space="0" w:color="auto"/>
              <w:bottom w:val="nil"/>
              <w:right w:val="single" w:sz="4" w:space="0" w:color="auto"/>
            </w:tcBorders>
            <w:hideMark/>
          </w:tcPr>
          <w:p w14:paraId="15F8B1A6"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3</w:t>
            </w:r>
            <w:r w:rsidRPr="006F26AB">
              <w:rPr>
                <w:rFonts w:eastAsia="Calibri" w:cs="Arial"/>
                <w:sz w:val="16"/>
                <w:szCs w:val="16"/>
                <w:lang w:val="pt-BR" w:eastAsia="en-AU"/>
              </w:rPr>
              <w:t>%</w:t>
            </w:r>
          </w:p>
        </w:tc>
        <w:tc>
          <w:tcPr>
            <w:tcW w:w="1414" w:type="dxa"/>
            <w:tcBorders>
              <w:top w:val="single" w:sz="4" w:space="0" w:color="auto"/>
              <w:left w:val="single" w:sz="4" w:space="0" w:color="auto"/>
              <w:bottom w:val="nil"/>
              <w:right w:val="single" w:sz="4" w:space="0" w:color="auto"/>
            </w:tcBorders>
            <w:hideMark/>
          </w:tcPr>
          <w:p w14:paraId="00C3E1E9"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4</w:t>
            </w:r>
            <w:r w:rsidRPr="006F26AB">
              <w:rPr>
                <w:rFonts w:eastAsia="Calibri" w:cs="Arial"/>
                <w:sz w:val="16"/>
                <w:szCs w:val="16"/>
                <w:lang w:val="pt-BR" w:eastAsia="en-AU"/>
              </w:rPr>
              <w:t>%</w:t>
            </w:r>
          </w:p>
        </w:tc>
      </w:tr>
      <w:tr w:rsidR="006F26AB" w:rsidRPr="006F26AB" w14:paraId="076198C5" w14:textId="77777777" w:rsidTr="007150F6">
        <w:trPr>
          <w:jc w:val="center"/>
        </w:trPr>
        <w:tc>
          <w:tcPr>
            <w:tcW w:w="1320" w:type="dxa"/>
            <w:tcBorders>
              <w:top w:val="nil"/>
              <w:left w:val="single" w:sz="4" w:space="0" w:color="auto"/>
              <w:bottom w:val="single" w:sz="4" w:space="0" w:color="auto"/>
              <w:right w:val="single" w:sz="4" w:space="0" w:color="auto"/>
            </w:tcBorders>
            <w:vAlign w:val="center"/>
            <w:hideMark/>
          </w:tcPr>
          <w:p w14:paraId="1FEBE645"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3-4</w:t>
            </w:r>
          </w:p>
        </w:tc>
        <w:tc>
          <w:tcPr>
            <w:tcW w:w="1701" w:type="dxa"/>
            <w:gridSpan w:val="3"/>
            <w:tcBorders>
              <w:top w:val="nil"/>
              <w:left w:val="single" w:sz="4" w:space="0" w:color="auto"/>
              <w:bottom w:val="single" w:sz="4" w:space="0" w:color="auto"/>
              <w:right w:val="single" w:sz="4" w:space="0" w:color="auto"/>
            </w:tcBorders>
            <w:hideMark/>
          </w:tcPr>
          <w:p w14:paraId="37ED9E16" w14:textId="77777777" w:rsidR="006F26AB" w:rsidRPr="006F26AB" w:rsidRDefault="006F26AB" w:rsidP="006F26AB">
            <w:pPr>
              <w:widowControl w:val="0"/>
              <w:autoSpaceDE w:val="0"/>
              <w:autoSpaceDN w:val="0"/>
              <w:adjustRightInd w:val="0"/>
              <w:spacing w:after="0" w:line="276" w:lineRule="auto"/>
              <w:ind w:left="160" w:right="1" w:hanging="160"/>
              <w:jc w:val="center"/>
              <w:rPr>
                <w:rFonts w:eastAsia="Calibri" w:cs="Arial"/>
                <w:sz w:val="16"/>
                <w:szCs w:val="16"/>
                <w:lang w:val="pt-BR" w:eastAsia="ja-JP"/>
              </w:rPr>
            </w:pPr>
            <w:r w:rsidRPr="006F26AB">
              <w:rPr>
                <w:rFonts w:eastAsia="Calibri" w:cs="Arial"/>
                <w:sz w:val="16"/>
                <w:szCs w:val="16"/>
                <w:lang w:eastAsia="en-AU"/>
              </w:rPr>
              <w:t>≥5.0 x ULN</w:t>
            </w:r>
          </w:p>
        </w:tc>
        <w:tc>
          <w:tcPr>
            <w:tcW w:w="1559" w:type="dxa"/>
            <w:tcBorders>
              <w:top w:val="nil"/>
              <w:left w:val="single" w:sz="4" w:space="0" w:color="auto"/>
              <w:bottom w:val="single" w:sz="4" w:space="0" w:color="auto"/>
              <w:right w:val="single" w:sz="4" w:space="0" w:color="auto"/>
            </w:tcBorders>
            <w:hideMark/>
          </w:tcPr>
          <w:p w14:paraId="31D69499" w14:textId="77777777" w:rsidR="006F26AB" w:rsidRPr="006F26AB" w:rsidRDefault="006F26AB" w:rsidP="006F26AB">
            <w:pPr>
              <w:tabs>
                <w:tab w:val="left" w:pos="360"/>
              </w:tabs>
              <w:spacing w:after="0" w:line="276" w:lineRule="auto"/>
              <w:ind w:right="42"/>
              <w:jc w:val="center"/>
              <w:rPr>
                <w:rFonts w:eastAsia="Calibri" w:cs="Arial"/>
                <w:sz w:val="16"/>
                <w:szCs w:val="16"/>
                <w:lang w:val="pt-BR" w:eastAsia="ja-JP"/>
              </w:rPr>
            </w:pPr>
            <w:r w:rsidRPr="006F26AB">
              <w:rPr>
                <w:rFonts w:eastAsia="Calibri" w:cs="Arial"/>
                <w:sz w:val="16"/>
                <w:szCs w:val="16"/>
                <w:lang w:eastAsia="en-AU"/>
              </w:rPr>
              <w:t>1%</w:t>
            </w:r>
          </w:p>
        </w:tc>
        <w:tc>
          <w:tcPr>
            <w:tcW w:w="1418" w:type="dxa"/>
            <w:tcBorders>
              <w:top w:val="nil"/>
              <w:left w:val="single" w:sz="4" w:space="0" w:color="auto"/>
              <w:bottom w:val="single" w:sz="4" w:space="0" w:color="auto"/>
              <w:right w:val="single" w:sz="12" w:space="0" w:color="auto"/>
            </w:tcBorders>
            <w:hideMark/>
          </w:tcPr>
          <w:p w14:paraId="100F8CEC" w14:textId="77777777" w:rsidR="006F26AB" w:rsidRPr="006F26AB" w:rsidRDefault="006F26AB" w:rsidP="006F26AB">
            <w:pPr>
              <w:tabs>
                <w:tab w:val="left" w:pos="360"/>
              </w:tabs>
              <w:spacing w:after="0" w:line="276" w:lineRule="auto"/>
              <w:ind w:right="234"/>
              <w:jc w:val="center"/>
              <w:rPr>
                <w:rFonts w:eastAsia="Calibri" w:cs="Arial"/>
                <w:sz w:val="16"/>
                <w:szCs w:val="16"/>
                <w:lang w:val="pt-BR" w:eastAsia="ja-JP"/>
              </w:rPr>
            </w:pPr>
            <w:r w:rsidRPr="006F26AB">
              <w:rPr>
                <w:rFonts w:eastAsia="Calibri" w:cs="Arial"/>
                <w:sz w:val="16"/>
                <w:szCs w:val="16"/>
                <w:lang w:eastAsia="en-AU"/>
              </w:rPr>
              <w:t>2%</w:t>
            </w:r>
          </w:p>
        </w:tc>
        <w:tc>
          <w:tcPr>
            <w:tcW w:w="1701" w:type="dxa"/>
            <w:tcBorders>
              <w:top w:val="nil"/>
              <w:left w:val="single" w:sz="12" w:space="0" w:color="auto"/>
              <w:bottom w:val="single" w:sz="4" w:space="0" w:color="auto"/>
              <w:right w:val="single" w:sz="4" w:space="0" w:color="auto"/>
            </w:tcBorders>
            <w:hideMark/>
          </w:tcPr>
          <w:p w14:paraId="3F9DFD52"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&lt;1%</w:t>
            </w:r>
          </w:p>
        </w:tc>
        <w:tc>
          <w:tcPr>
            <w:tcW w:w="1414" w:type="dxa"/>
            <w:tcBorders>
              <w:top w:val="nil"/>
              <w:left w:val="single" w:sz="4" w:space="0" w:color="auto"/>
              <w:bottom w:val="single" w:sz="4" w:space="0" w:color="auto"/>
              <w:right w:val="single" w:sz="4" w:space="0" w:color="auto"/>
            </w:tcBorders>
            <w:hideMark/>
          </w:tcPr>
          <w:p w14:paraId="2B0C067C"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2%</w:t>
            </w:r>
          </w:p>
        </w:tc>
      </w:tr>
      <w:tr w:rsidR="006F26AB" w:rsidRPr="006F26AB" w14:paraId="567673CD" w14:textId="77777777" w:rsidTr="007150F6">
        <w:trPr>
          <w:jc w:val="center"/>
        </w:trPr>
        <w:tc>
          <w:tcPr>
            <w:tcW w:w="5998" w:type="dxa"/>
            <w:gridSpan w:val="6"/>
            <w:tcBorders>
              <w:top w:val="single" w:sz="4" w:space="0" w:color="auto"/>
              <w:left w:val="single" w:sz="4" w:space="0" w:color="auto"/>
              <w:bottom w:val="single" w:sz="4" w:space="0" w:color="auto"/>
              <w:right w:val="single" w:sz="12" w:space="0" w:color="auto"/>
            </w:tcBorders>
            <w:vAlign w:val="center"/>
            <w:hideMark/>
          </w:tcPr>
          <w:p w14:paraId="462E6940" w14:textId="77777777" w:rsidR="006F26AB" w:rsidRPr="006F26AB" w:rsidRDefault="006F26AB" w:rsidP="006F26AB">
            <w:pPr>
              <w:tabs>
                <w:tab w:val="left" w:pos="360"/>
              </w:tabs>
              <w:spacing w:after="0" w:line="276" w:lineRule="auto"/>
              <w:ind w:right="230"/>
              <w:rPr>
                <w:rFonts w:eastAsia="Calibri" w:cs="Arial"/>
                <w:sz w:val="16"/>
                <w:szCs w:val="16"/>
                <w:lang w:val="en-US" w:eastAsia="ja-JP"/>
              </w:rPr>
            </w:pPr>
            <w:r w:rsidRPr="006F26AB">
              <w:rPr>
                <w:rFonts w:eastAsia="Calibri" w:cs="Arial"/>
                <w:sz w:val="16"/>
                <w:szCs w:val="16"/>
                <w:lang w:eastAsia="en-AU"/>
              </w:rPr>
              <w:t xml:space="preserve">Alkaline phosphatase </w:t>
            </w:r>
            <w:r w:rsidRPr="006F26AB">
              <w:rPr>
                <w:rFonts w:eastAsia="Calibri" w:cs="Arial"/>
                <w:sz w:val="16"/>
                <w:szCs w:val="16"/>
                <w:lang w:val="pt-BR" w:eastAsia="en-AU"/>
              </w:rPr>
              <w:t>(IU/L)</w:t>
            </w:r>
          </w:p>
        </w:tc>
        <w:tc>
          <w:tcPr>
            <w:tcW w:w="1701" w:type="dxa"/>
            <w:tcBorders>
              <w:top w:val="single" w:sz="4" w:space="0" w:color="auto"/>
              <w:left w:val="single" w:sz="12" w:space="0" w:color="auto"/>
              <w:bottom w:val="single" w:sz="4" w:space="0" w:color="auto"/>
              <w:right w:val="single" w:sz="4" w:space="0" w:color="auto"/>
            </w:tcBorders>
          </w:tcPr>
          <w:p w14:paraId="7D88921D" w14:textId="77777777" w:rsidR="006F26AB" w:rsidRPr="006F26AB" w:rsidRDefault="006F26AB" w:rsidP="006F26AB">
            <w:pPr>
              <w:tabs>
                <w:tab w:val="left" w:pos="360"/>
              </w:tabs>
              <w:spacing w:after="0" w:line="276" w:lineRule="auto"/>
              <w:ind w:right="230"/>
              <w:rPr>
                <w:rFonts w:eastAsia="Calibri" w:cs="Arial"/>
                <w:sz w:val="16"/>
                <w:szCs w:val="16"/>
                <w:lang w:val="en-US" w:eastAsia="ja-JP"/>
              </w:rPr>
            </w:pPr>
          </w:p>
        </w:tc>
        <w:tc>
          <w:tcPr>
            <w:tcW w:w="1414" w:type="dxa"/>
            <w:tcBorders>
              <w:top w:val="single" w:sz="4" w:space="0" w:color="auto"/>
              <w:left w:val="single" w:sz="4" w:space="0" w:color="auto"/>
              <w:bottom w:val="single" w:sz="4" w:space="0" w:color="auto"/>
              <w:right w:val="single" w:sz="4" w:space="0" w:color="auto"/>
            </w:tcBorders>
          </w:tcPr>
          <w:p w14:paraId="7B5A68E1" w14:textId="77777777" w:rsidR="006F26AB" w:rsidRPr="006F26AB" w:rsidRDefault="006F26AB" w:rsidP="006F26AB">
            <w:pPr>
              <w:tabs>
                <w:tab w:val="left" w:pos="360"/>
              </w:tabs>
              <w:spacing w:after="0" w:line="276" w:lineRule="auto"/>
              <w:ind w:right="230"/>
              <w:rPr>
                <w:rFonts w:eastAsia="Calibri" w:cs="Arial"/>
                <w:sz w:val="16"/>
                <w:szCs w:val="16"/>
                <w:lang w:val="en-US" w:eastAsia="ja-JP"/>
              </w:rPr>
            </w:pPr>
          </w:p>
        </w:tc>
      </w:tr>
      <w:tr w:rsidR="006F26AB" w:rsidRPr="006F26AB" w14:paraId="0FCD5DCA" w14:textId="77777777" w:rsidTr="007150F6">
        <w:trPr>
          <w:jc w:val="center"/>
        </w:trPr>
        <w:tc>
          <w:tcPr>
            <w:tcW w:w="1320" w:type="dxa"/>
            <w:tcBorders>
              <w:top w:val="single" w:sz="4" w:space="0" w:color="auto"/>
              <w:left w:val="single" w:sz="4" w:space="0" w:color="auto"/>
              <w:bottom w:val="nil"/>
              <w:right w:val="single" w:sz="4" w:space="0" w:color="auto"/>
            </w:tcBorders>
            <w:vAlign w:val="center"/>
            <w:hideMark/>
          </w:tcPr>
          <w:p w14:paraId="19456740"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lastRenderedPageBreak/>
              <w:t>Grade 2</w:t>
            </w:r>
          </w:p>
        </w:tc>
        <w:tc>
          <w:tcPr>
            <w:tcW w:w="1701" w:type="dxa"/>
            <w:gridSpan w:val="3"/>
            <w:tcBorders>
              <w:top w:val="single" w:sz="4" w:space="0" w:color="auto"/>
              <w:left w:val="single" w:sz="4" w:space="0" w:color="auto"/>
              <w:bottom w:val="nil"/>
              <w:right w:val="single" w:sz="4" w:space="0" w:color="auto"/>
            </w:tcBorders>
            <w:hideMark/>
          </w:tcPr>
          <w:p w14:paraId="1696CBAF" w14:textId="77777777" w:rsidR="006F26AB" w:rsidRPr="006F26AB" w:rsidRDefault="006F26AB" w:rsidP="006F26AB">
            <w:pPr>
              <w:widowControl w:val="0"/>
              <w:autoSpaceDE w:val="0"/>
              <w:autoSpaceDN w:val="0"/>
              <w:adjustRightInd w:val="0"/>
              <w:spacing w:after="0" w:line="276" w:lineRule="auto"/>
              <w:ind w:left="160" w:right="1" w:hanging="160"/>
              <w:jc w:val="center"/>
              <w:rPr>
                <w:rFonts w:eastAsia="Calibri" w:cs="Arial"/>
                <w:sz w:val="16"/>
                <w:szCs w:val="16"/>
                <w:lang w:val="en-US" w:eastAsia="ja-JP"/>
              </w:rPr>
            </w:pPr>
            <w:r w:rsidRPr="006F26AB">
              <w:rPr>
                <w:rFonts w:eastAsia="Calibri" w:cs="Arial"/>
                <w:sz w:val="16"/>
                <w:szCs w:val="16"/>
                <w:lang w:eastAsia="en-AU"/>
              </w:rPr>
              <w:t>2.5 - &lt;5.0 x ULN</w:t>
            </w:r>
          </w:p>
        </w:tc>
        <w:tc>
          <w:tcPr>
            <w:tcW w:w="1559" w:type="dxa"/>
            <w:tcBorders>
              <w:top w:val="single" w:sz="4" w:space="0" w:color="auto"/>
              <w:left w:val="single" w:sz="4" w:space="0" w:color="auto"/>
              <w:bottom w:val="nil"/>
              <w:right w:val="single" w:sz="4" w:space="0" w:color="auto"/>
            </w:tcBorders>
            <w:hideMark/>
          </w:tcPr>
          <w:p w14:paraId="3210AC5A" w14:textId="77777777" w:rsidR="006F26AB" w:rsidRPr="006F26AB" w:rsidRDefault="006F26AB" w:rsidP="006F26AB">
            <w:pPr>
              <w:tabs>
                <w:tab w:val="left" w:pos="360"/>
              </w:tabs>
              <w:spacing w:after="0" w:line="276" w:lineRule="auto"/>
              <w:ind w:right="42"/>
              <w:jc w:val="center"/>
              <w:rPr>
                <w:rFonts w:eastAsia="Calibri" w:cs="Arial"/>
                <w:sz w:val="16"/>
                <w:szCs w:val="16"/>
                <w:lang w:val="en-US" w:eastAsia="ja-JP"/>
              </w:rPr>
            </w:pPr>
            <w:r w:rsidRPr="006F26AB">
              <w:rPr>
                <w:rFonts w:eastAsia="Calibri" w:cs="Arial"/>
                <w:sz w:val="16"/>
                <w:szCs w:val="16"/>
                <w:lang w:eastAsia="en-AU"/>
              </w:rPr>
              <w:t>&lt;1%</w:t>
            </w:r>
          </w:p>
        </w:tc>
        <w:tc>
          <w:tcPr>
            <w:tcW w:w="1418" w:type="dxa"/>
            <w:tcBorders>
              <w:top w:val="single" w:sz="4" w:space="0" w:color="auto"/>
              <w:left w:val="single" w:sz="4" w:space="0" w:color="auto"/>
              <w:bottom w:val="nil"/>
              <w:right w:val="single" w:sz="12" w:space="0" w:color="auto"/>
            </w:tcBorders>
            <w:hideMark/>
          </w:tcPr>
          <w:p w14:paraId="44B0BFE1"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&lt;1%</w:t>
            </w:r>
          </w:p>
        </w:tc>
        <w:tc>
          <w:tcPr>
            <w:tcW w:w="1701" w:type="dxa"/>
            <w:tcBorders>
              <w:top w:val="single" w:sz="4" w:space="0" w:color="auto"/>
              <w:left w:val="single" w:sz="12" w:space="0" w:color="auto"/>
              <w:bottom w:val="nil"/>
              <w:right w:val="single" w:sz="4" w:space="0" w:color="auto"/>
            </w:tcBorders>
            <w:hideMark/>
          </w:tcPr>
          <w:p w14:paraId="4BBDE3A5"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0%</w:t>
            </w:r>
          </w:p>
        </w:tc>
        <w:tc>
          <w:tcPr>
            <w:tcW w:w="1414" w:type="dxa"/>
            <w:tcBorders>
              <w:top w:val="single" w:sz="4" w:space="0" w:color="auto"/>
              <w:left w:val="single" w:sz="4" w:space="0" w:color="auto"/>
              <w:bottom w:val="nil"/>
              <w:right w:val="single" w:sz="4" w:space="0" w:color="auto"/>
            </w:tcBorders>
            <w:hideMark/>
          </w:tcPr>
          <w:p w14:paraId="4ED300AA"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&lt;1%</w:t>
            </w:r>
          </w:p>
        </w:tc>
      </w:tr>
      <w:tr w:rsidR="006F26AB" w:rsidRPr="006F26AB" w14:paraId="30681D80" w14:textId="77777777" w:rsidTr="007150F6">
        <w:trPr>
          <w:jc w:val="center"/>
        </w:trPr>
        <w:tc>
          <w:tcPr>
            <w:tcW w:w="1320" w:type="dxa"/>
            <w:tcBorders>
              <w:top w:val="nil"/>
              <w:left w:val="single" w:sz="4" w:space="0" w:color="auto"/>
              <w:bottom w:val="single" w:sz="4" w:space="0" w:color="auto"/>
              <w:right w:val="single" w:sz="4" w:space="0" w:color="auto"/>
            </w:tcBorders>
            <w:vAlign w:val="center"/>
            <w:hideMark/>
          </w:tcPr>
          <w:p w14:paraId="5493D4AA"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3-4</w:t>
            </w:r>
          </w:p>
        </w:tc>
        <w:tc>
          <w:tcPr>
            <w:tcW w:w="1701" w:type="dxa"/>
            <w:gridSpan w:val="3"/>
            <w:tcBorders>
              <w:top w:val="nil"/>
              <w:left w:val="single" w:sz="4" w:space="0" w:color="auto"/>
              <w:bottom w:val="single" w:sz="4" w:space="0" w:color="auto"/>
              <w:right w:val="single" w:sz="4" w:space="0" w:color="auto"/>
            </w:tcBorders>
            <w:hideMark/>
          </w:tcPr>
          <w:p w14:paraId="46526622"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≥5.0 x ULN</w:t>
            </w:r>
          </w:p>
        </w:tc>
        <w:tc>
          <w:tcPr>
            <w:tcW w:w="1559" w:type="dxa"/>
            <w:tcBorders>
              <w:top w:val="nil"/>
              <w:left w:val="single" w:sz="4" w:space="0" w:color="auto"/>
              <w:bottom w:val="single" w:sz="4" w:space="0" w:color="auto"/>
              <w:right w:val="single" w:sz="4" w:space="0" w:color="auto"/>
            </w:tcBorders>
            <w:hideMark/>
          </w:tcPr>
          <w:p w14:paraId="6225012A" w14:textId="77777777" w:rsidR="006F26AB" w:rsidRPr="006F26AB" w:rsidRDefault="006F26AB" w:rsidP="006F26AB">
            <w:pPr>
              <w:tabs>
                <w:tab w:val="left" w:pos="360"/>
              </w:tabs>
              <w:spacing w:after="0" w:line="276" w:lineRule="auto"/>
              <w:ind w:right="42"/>
              <w:jc w:val="center"/>
              <w:rPr>
                <w:rFonts w:eastAsia="Calibri" w:cs="Arial"/>
                <w:sz w:val="16"/>
                <w:szCs w:val="16"/>
                <w:lang w:val="en-US" w:eastAsia="ja-JP"/>
              </w:rPr>
            </w:pPr>
            <w:r w:rsidRPr="006F26AB">
              <w:rPr>
                <w:rFonts w:eastAsia="Calibri" w:cs="Arial"/>
                <w:sz w:val="16"/>
                <w:szCs w:val="16"/>
                <w:lang w:eastAsia="en-AU"/>
              </w:rPr>
              <w:t>0%</w:t>
            </w:r>
          </w:p>
        </w:tc>
        <w:tc>
          <w:tcPr>
            <w:tcW w:w="1418" w:type="dxa"/>
            <w:tcBorders>
              <w:top w:val="nil"/>
              <w:left w:val="single" w:sz="4" w:space="0" w:color="auto"/>
              <w:bottom w:val="single" w:sz="4" w:space="0" w:color="auto"/>
              <w:right w:val="single" w:sz="12" w:space="0" w:color="auto"/>
            </w:tcBorders>
            <w:hideMark/>
          </w:tcPr>
          <w:p w14:paraId="40AA87CB"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0%</w:t>
            </w:r>
          </w:p>
        </w:tc>
        <w:tc>
          <w:tcPr>
            <w:tcW w:w="1701" w:type="dxa"/>
            <w:tcBorders>
              <w:top w:val="nil"/>
              <w:left w:val="single" w:sz="12" w:space="0" w:color="auto"/>
              <w:bottom w:val="single" w:sz="4" w:space="0" w:color="auto"/>
              <w:right w:val="single" w:sz="4" w:space="0" w:color="auto"/>
            </w:tcBorders>
            <w:hideMark/>
          </w:tcPr>
          <w:p w14:paraId="692840EC"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0%</w:t>
            </w:r>
          </w:p>
        </w:tc>
        <w:tc>
          <w:tcPr>
            <w:tcW w:w="1414" w:type="dxa"/>
            <w:tcBorders>
              <w:top w:val="nil"/>
              <w:left w:val="single" w:sz="4" w:space="0" w:color="auto"/>
              <w:bottom w:val="single" w:sz="4" w:space="0" w:color="auto"/>
              <w:right w:val="single" w:sz="4" w:space="0" w:color="auto"/>
            </w:tcBorders>
            <w:hideMark/>
          </w:tcPr>
          <w:p w14:paraId="484F9731"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&lt;1%</w:t>
            </w:r>
          </w:p>
        </w:tc>
      </w:tr>
      <w:tr w:rsidR="006F26AB" w:rsidRPr="006F26AB" w14:paraId="7D26CE8E" w14:textId="77777777" w:rsidTr="007150F6">
        <w:trPr>
          <w:jc w:val="center"/>
        </w:trPr>
        <w:tc>
          <w:tcPr>
            <w:tcW w:w="1320" w:type="dxa"/>
            <w:tcBorders>
              <w:top w:val="single" w:sz="4" w:space="0" w:color="auto"/>
              <w:left w:val="single" w:sz="4" w:space="0" w:color="auto"/>
              <w:bottom w:val="single" w:sz="4" w:space="0" w:color="auto"/>
              <w:right w:val="nil"/>
            </w:tcBorders>
            <w:vAlign w:val="center"/>
            <w:hideMark/>
          </w:tcPr>
          <w:p w14:paraId="25408427" w14:textId="77777777" w:rsidR="006F26AB" w:rsidRPr="006F26AB" w:rsidRDefault="006F26AB" w:rsidP="006F26AB">
            <w:pPr>
              <w:tabs>
                <w:tab w:val="left" w:pos="360"/>
              </w:tabs>
              <w:spacing w:after="0" w:line="276" w:lineRule="auto"/>
              <w:ind w:right="230"/>
              <w:rPr>
                <w:rFonts w:eastAsia="Calibri" w:cs="Arial"/>
                <w:sz w:val="16"/>
                <w:szCs w:val="16"/>
                <w:lang w:val="en-US" w:eastAsia="ja-JP"/>
              </w:rPr>
            </w:pPr>
            <w:r w:rsidRPr="006F26AB">
              <w:rPr>
                <w:rFonts w:eastAsia="Calibri" w:cs="Arial"/>
                <w:sz w:val="16"/>
                <w:szCs w:val="16"/>
                <w:lang w:eastAsia="en-AU"/>
              </w:rPr>
              <w:t>Lipase</w:t>
            </w:r>
          </w:p>
        </w:tc>
        <w:tc>
          <w:tcPr>
            <w:tcW w:w="1701" w:type="dxa"/>
            <w:gridSpan w:val="3"/>
            <w:tcBorders>
              <w:top w:val="single" w:sz="4" w:space="0" w:color="auto"/>
              <w:left w:val="nil"/>
              <w:bottom w:val="single" w:sz="4" w:space="0" w:color="auto"/>
              <w:right w:val="nil"/>
            </w:tcBorders>
            <w:vAlign w:val="center"/>
          </w:tcPr>
          <w:p w14:paraId="371A9F0A" w14:textId="77777777" w:rsidR="006F26AB" w:rsidRPr="006F26AB" w:rsidRDefault="006F26AB" w:rsidP="006F26AB">
            <w:pPr>
              <w:tabs>
                <w:tab w:val="left" w:pos="360"/>
              </w:tabs>
              <w:spacing w:after="0" w:line="276" w:lineRule="auto"/>
              <w:ind w:right="230"/>
              <w:rPr>
                <w:rFonts w:eastAsia="Calibri" w:cs="Arial"/>
                <w:sz w:val="16"/>
                <w:szCs w:val="16"/>
                <w:lang w:val="en-US" w:eastAsia="ja-JP"/>
              </w:rPr>
            </w:pPr>
          </w:p>
        </w:tc>
        <w:tc>
          <w:tcPr>
            <w:tcW w:w="1559" w:type="dxa"/>
            <w:tcBorders>
              <w:top w:val="single" w:sz="4" w:space="0" w:color="auto"/>
              <w:left w:val="nil"/>
              <w:bottom w:val="single" w:sz="4" w:space="0" w:color="auto"/>
              <w:right w:val="nil"/>
            </w:tcBorders>
          </w:tcPr>
          <w:p w14:paraId="1354186E"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tc>
        <w:tc>
          <w:tcPr>
            <w:tcW w:w="1418" w:type="dxa"/>
            <w:tcBorders>
              <w:top w:val="single" w:sz="4" w:space="0" w:color="auto"/>
              <w:left w:val="nil"/>
              <w:bottom w:val="single" w:sz="4" w:space="0" w:color="auto"/>
              <w:right w:val="single" w:sz="12" w:space="0" w:color="auto"/>
            </w:tcBorders>
          </w:tcPr>
          <w:p w14:paraId="1C39E69D"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tc>
        <w:tc>
          <w:tcPr>
            <w:tcW w:w="1701" w:type="dxa"/>
            <w:tcBorders>
              <w:top w:val="single" w:sz="4" w:space="0" w:color="auto"/>
              <w:left w:val="single" w:sz="12" w:space="0" w:color="auto"/>
              <w:bottom w:val="single" w:sz="4" w:space="0" w:color="auto"/>
              <w:right w:val="single" w:sz="4" w:space="0" w:color="auto"/>
            </w:tcBorders>
          </w:tcPr>
          <w:p w14:paraId="7450E6C7"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tc>
        <w:tc>
          <w:tcPr>
            <w:tcW w:w="1414" w:type="dxa"/>
            <w:tcBorders>
              <w:top w:val="single" w:sz="4" w:space="0" w:color="auto"/>
              <w:left w:val="single" w:sz="4" w:space="0" w:color="auto"/>
              <w:bottom w:val="single" w:sz="4" w:space="0" w:color="auto"/>
              <w:right w:val="single" w:sz="4" w:space="0" w:color="auto"/>
            </w:tcBorders>
          </w:tcPr>
          <w:p w14:paraId="5EB26703"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tc>
      </w:tr>
      <w:tr w:rsidR="006F26AB" w:rsidRPr="006F26AB" w14:paraId="325DB4B5" w14:textId="77777777" w:rsidTr="007150F6">
        <w:trPr>
          <w:jc w:val="center"/>
        </w:trPr>
        <w:tc>
          <w:tcPr>
            <w:tcW w:w="1320" w:type="dxa"/>
            <w:tcBorders>
              <w:top w:val="single" w:sz="4" w:space="0" w:color="auto"/>
              <w:left w:val="single" w:sz="4" w:space="0" w:color="auto"/>
              <w:bottom w:val="nil"/>
              <w:right w:val="single" w:sz="4" w:space="0" w:color="auto"/>
            </w:tcBorders>
            <w:vAlign w:val="center"/>
            <w:hideMark/>
          </w:tcPr>
          <w:p w14:paraId="54CF1013"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2</w:t>
            </w:r>
          </w:p>
        </w:tc>
        <w:tc>
          <w:tcPr>
            <w:tcW w:w="1701" w:type="dxa"/>
            <w:gridSpan w:val="3"/>
            <w:tcBorders>
              <w:top w:val="single" w:sz="4" w:space="0" w:color="auto"/>
              <w:left w:val="single" w:sz="4" w:space="0" w:color="auto"/>
              <w:bottom w:val="nil"/>
              <w:right w:val="single" w:sz="4" w:space="0" w:color="auto"/>
            </w:tcBorders>
            <w:vAlign w:val="center"/>
            <w:hideMark/>
          </w:tcPr>
          <w:p w14:paraId="26A897B9"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1.5 - &lt;3.0 x ULN</w:t>
            </w:r>
          </w:p>
        </w:tc>
        <w:tc>
          <w:tcPr>
            <w:tcW w:w="1559" w:type="dxa"/>
            <w:tcBorders>
              <w:top w:val="single" w:sz="4" w:space="0" w:color="auto"/>
              <w:left w:val="single" w:sz="4" w:space="0" w:color="auto"/>
              <w:bottom w:val="nil"/>
              <w:right w:val="single" w:sz="4" w:space="0" w:color="auto"/>
            </w:tcBorders>
            <w:hideMark/>
          </w:tcPr>
          <w:p w14:paraId="2CD1607C" w14:textId="77777777" w:rsidR="006F26AB" w:rsidRPr="006F26AB" w:rsidRDefault="006F26AB" w:rsidP="006F26AB">
            <w:pPr>
              <w:tabs>
                <w:tab w:val="left" w:pos="360"/>
              </w:tabs>
              <w:spacing w:after="0" w:line="276" w:lineRule="auto"/>
              <w:ind w:right="42"/>
              <w:jc w:val="center"/>
              <w:rPr>
                <w:rFonts w:eastAsia="Calibri" w:cs="Arial"/>
                <w:sz w:val="16"/>
                <w:szCs w:val="16"/>
                <w:lang w:val="en-US" w:eastAsia="ja-JP"/>
              </w:rPr>
            </w:pPr>
            <w:r w:rsidRPr="006F26AB">
              <w:rPr>
                <w:rFonts w:eastAsia="Calibri" w:cs="Arial"/>
                <w:sz w:val="16"/>
                <w:szCs w:val="16"/>
                <w:lang w:eastAsia="en-AU"/>
              </w:rPr>
              <w:t>4%</w:t>
            </w:r>
          </w:p>
        </w:tc>
        <w:tc>
          <w:tcPr>
            <w:tcW w:w="1418" w:type="dxa"/>
            <w:tcBorders>
              <w:top w:val="single" w:sz="4" w:space="0" w:color="auto"/>
              <w:left w:val="single" w:sz="4" w:space="0" w:color="auto"/>
              <w:bottom w:val="nil"/>
              <w:right w:val="single" w:sz="12" w:space="0" w:color="auto"/>
            </w:tcBorders>
            <w:hideMark/>
          </w:tcPr>
          <w:p w14:paraId="776F4B70"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5%</w:t>
            </w:r>
          </w:p>
        </w:tc>
        <w:tc>
          <w:tcPr>
            <w:tcW w:w="1701" w:type="dxa"/>
            <w:tcBorders>
              <w:top w:val="single" w:sz="4" w:space="0" w:color="auto"/>
              <w:left w:val="single" w:sz="12" w:space="0" w:color="auto"/>
              <w:bottom w:val="nil"/>
              <w:right w:val="single" w:sz="4" w:space="0" w:color="auto"/>
            </w:tcBorders>
            <w:hideMark/>
          </w:tcPr>
          <w:p w14:paraId="03ADF217"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5%</w:t>
            </w:r>
          </w:p>
        </w:tc>
        <w:tc>
          <w:tcPr>
            <w:tcW w:w="1414" w:type="dxa"/>
            <w:tcBorders>
              <w:top w:val="single" w:sz="4" w:space="0" w:color="auto"/>
              <w:left w:val="single" w:sz="4" w:space="0" w:color="auto"/>
              <w:bottom w:val="nil"/>
              <w:right w:val="single" w:sz="4" w:space="0" w:color="auto"/>
            </w:tcBorders>
            <w:hideMark/>
          </w:tcPr>
          <w:p w14:paraId="432D0D22"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4%</w:t>
            </w:r>
          </w:p>
        </w:tc>
      </w:tr>
      <w:tr w:rsidR="006F26AB" w:rsidRPr="006F26AB" w14:paraId="150670F1" w14:textId="77777777" w:rsidTr="007150F6">
        <w:trPr>
          <w:jc w:val="center"/>
        </w:trPr>
        <w:tc>
          <w:tcPr>
            <w:tcW w:w="1320" w:type="dxa"/>
            <w:tcBorders>
              <w:top w:val="nil"/>
              <w:left w:val="single" w:sz="4" w:space="0" w:color="auto"/>
              <w:bottom w:val="single" w:sz="4" w:space="0" w:color="auto"/>
              <w:right w:val="single" w:sz="4" w:space="0" w:color="auto"/>
            </w:tcBorders>
            <w:vAlign w:val="center"/>
            <w:hideMark/>
          </w:tcPr>
          <w:p w14:paraId="4FEA580C"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3-4</w:t>
            </w:r>
          </w:p>
        </w:tc>
        <w:tc>
          <w:tcPr>
            <w:tcW w:w="1701" w:type="dxa"/>
            <w:gridSpan w:val="3"/>
            <w:tcBorders>
              <w:top w:val="nil"/>
              <w:left w:val="single" w:sz="4" w:space="0" w:color="auto"/>
              <w:bottom w:val="single" w:sz="4" w:space="0" w:color="auto"/>
              <w:right w:val="single" w:sz="4" w:space="0" w:color="auto"/>
            </w:tcBorders>
            <w:vAlign w:val="center"/>
            <w:hideMark/>
          </w:tcPr>
          <w:p w14:paraId="6C40AB75"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≥3.0 x ULN</w:t>
            </w:r>
          </w:p>
        </w:tc>
        <w:tc>
          <w:tcPr>
            <w:tcW w:w="1559" w:type="dxa"/>
            <w:tcBorders>
              <w:top w:val="nil"/>
              <w:left w:val="single" w:sz="4" w:space="0" w:color="auto"/>
              <w:bottom w:val="single" w:sz="4" w:space="0" w:color="auto"/>
              <w:right w:val="single" w:sz="4" w:space="0" w:color="auto"/>
            </w:tcBorders>
            <w:hideMark/>
          </w:tcPr>
          <w:p w14:paraId="07FEA550" w14:textId="77777777" w:rsidR="006F26AB" w:rsidRPr="006F26AB" w:rsidRDefault="006F26AB" w:rsidP="006F26AB">
            <w:pPr>
              <w:tabs>
                <w:tab w:val="left" w:pos="360"/>
              </w:tabs>
              <w:spacing w:after="0" w:line="276" w:lineRule="auto"/>
              <w:ind w:right="42"/>
              <w:jc w:val="center"/>
              <w:rPr>
                <w:rFonts w:eastAsia="Calibri" w:cs="Arial"/>
                <w:sz w:val="16"/>
                <w:szCs w:val="16"/>
                <w:lang w:val="en-US" w:eastAsia="ja-JP"/>
              </w:rPr>
            </w:pPr>
            <w:r w:rsidRPr="006F26AB">
              <w:rPr>
                <w:rFonts w:eastAsia="Calibri" w:cs="Arial"/>
                <w:sz w:val="16"/>
                <w:szCs w:val="16"/>
                <w:lang w:eastAsia="en-AU"/>
              </w:rPr>
              <w:t>3%</w:t>
            </w:r>
          </w:p>
        </w:tc>
        <w:tc>
          <w:tcPr>
            <w:tcW w:w="1418" w:type="dxa"/>
            <w:tcBorders>
              <w:top w:val="nil"/>
              <w:left w:val="single" w:sz="4" w:space="0" w:color="auto"/>
              <w:bottom w:val="single" w:sz="4" w:space="0" w:color="auto"/>
              <w:right w:val="single" w:sz="12" w:space="0" w:color="auto"/>
            </w:tcBorders>
            <w:hideMark/>
          </w:tcPr>
          <w:p w14:paraId="4F18A0A3"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2%</w:t>
            </w:r>
          </w:p>
        </w:tc>
        <w:tc>
          <w:tcPr>
            <w:tcW w:w="1701" w:type="dxa"/>
            <w:tcBorders>
              <w:top w:val="nil"/>
              <w:left w:val="single" w:sz="12" w:space="0" w:color="auto"/>
              <w:bottom w:val="single" w:sz="4" w:space="0" w:color="auto"/>
              <w:right w:val="single" w:sz="4" w:space="0" w:color="auto"/>
            </w:tcBorders>
            <w:hideMark/>
          </w:tcPr>
          <w:p w14:paraId="7ED77E5A"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1%</w:t>
            </w:r>
          </w:p>
        </w:tc>
        <w:tc>
          <w:tcPr>
            <w:tcW w:w="1414" w:type="dxa"/>
            <w:tcBorders>
              <w:top w:val="nil"/>
              <w:left w:val="single" w:sz="4" w:space="0" w:color="auto"/>
              <w:bottom w:val="single" w:sz="4" w:space="0" w:color="auto"/>
              <w:right w:val="single" w:sz="4" w:space="0" w:color="auto"/>
            </w:tcBorders>
            <w:hideMark/>
          </w:tcPr>
          <w:p w14:paraId="2C174D8A"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2%</w:t>
            </w:r>
          </w:p>
        </w:tc>
      </w:tr>
      <w:tr w:rsidR="006F26AB" w:rsidRPr="006F26AB" w14:paraId="33AB0B5D" w14:textId="77777777" w:rsidTr="007150F6">
        <w:trPr>
          <w:jc w:val="center"/>
        </w:trPr>
        <w:tc>
          <w:tcPr>
            <w:tcW w:w="1558" w:type="dxa"/>
            <w:gridSpan w:val="2"/>
            <w:tcBorders>
              <w:top w:val="single" w:sz="4" w:space="0" w:color="auto"/>
              <w:left w:val="single" w:sz="4" w:space="0" w:color="auto"/>
              <w:bottom w:val="single" w:sz="4" w:space="0" w:color="auto"/>
              <w:right w:val="nil"/>
            </w:tcBorders>
            <w:vAlign w:val="center"/>
            <w:hideMark/>
          </w:tcPr>
          <w:p w14:paraId="33277DCE" w14:textId="77777777" w:rsidR="006F26AB" w:rsidRPr="006F26AB" w:rsidRDefault="006F26AB" w:rsidP="006F26AB">
            <w:pPr>
              <w:tabs>
                <w:tab w:val="left" w:pos="1502"/>
              </w:tabs>
              <w:spacing w:after="0" w:line="276" w:lineRule="auto"/>
              <w:ind w:right="-2609"/>
              <w:rPr>
                <w:rFonts w:eastAsia="Calibri" w:cs="Arial"/>
                <w:sz w:val="16"/>
                <w:szCs w:val="16"/>
                <w:lang w:val="en-US" w:eastAsia="ja-JP"/>
              </w:rPr>
            </w:pPr>
            <w:r w:rsidRPr="006F26AB">
              <w:rPr>
                <w:rFonts w:eastAsia="Calibri" w:cs="Arial"/>
                <w:sz w:val="16"/>
                <w:szCs w:val="16"/>
                <w:lang w:val="pt-BR" w:eastAsia="en-AU"/>
              </w:rPr>
              <w:t xml:space="preserve">Creatine kinase (IU/L)  </w:t>
            </w:r>
          </w:p>
        </w:tc>
        <w:tc>
          <w:tcPr>
            <w:tcW w:w="1463" w:type="dxa"/>
            <w:gridSpan w:val="2"/>
            <w:tcBorders>
              <w:top w:val="single" w:sz="4" w:space="0" w:color="auto"/>
              <w:left w:val="nil"/>
              <w:bottom w:val="single" w:sz="4" w:space="0" w:color="auto"/>
              <w:right w:val="nil"/>
            </w:tcBorders>
            <w:vAlign w:val="center"/>
          </w:tcPr>
          <w:p w14:paraId="0D1220C7" w14:textId="77777777" w:rsidR="006F26AB" w:rsidRPr="006F26AB" w:rsidRDefault="006F26AB" w:rsidP="006F26AB">
            <w:pPr>
              <w:tabs>
                <w:tab w:val="left" w:pos="360"/>
              </w:tabs>
              <w:spacing w:after="0" w:line="276" w:lineRule="auto"/>
              <w:ind w:right="230"/>
              <w:rPr>
                <w:rFonts w:eastAsia="Calibri" w:cs="Arial"/>
                <w:sz w:val="16"/>
                <w:szCs w:val="16"/>
                <w:lang w:val="en-US" w:eastAsia="ja-JP"/>
              </w:rPr>
            </w:pPr>
          </w:p>
        </w:tc>
        <w:tc>
          <w:tcPr>
            <w:tcW w:w="1559" w:type="dxa"/>
            <w:tcBorders>
              <w:top w:val="single" w:sz="4" w:space="0" w:color="auto"/>
              <w:left w:val="nil"/>
              <w:bottom w:val="single" w:sz="4" w:space="0" w:color="auto"/>
              <w:right w:val="nil"/>
            </w:tcBorders>
          </w:tcPr>
          <w:p w14:paraId="0B803D13"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tc>
        <w:tc>
          <w:tcPr>
            <w:tcW w:w="1418" w:type="dxa"/>
            <w:tcBorders>
              <w:top w:val="single" w:sz="4" w:space="0" w:color="auto"/>
              <w:left w:val="nil"/>
              <w:bottom w:val="single" w:sz="4" w:space="0" w:color="auto"/>
              <w:right w:val="single" w:sz="12" w:space="0" w:color="auto"/>
            </w:tcBorders>
          </w:tcPr>
          <w:p w14:paraId="51B3C004"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tc>
        <w:tc>
          <w:tcPr>
            <w:tcW w:w="1701" w:type="dxa"/>
            <w:tcBorders>
              <w:top w:val="single" w:sz="4" w:space="0" w:color="auto"/>
              <w:left w:val="single" w:sz="12" w:space="0" w:color="auto"/>
              <w:bottom w:val="single" w:sz="4" w:space="0" w:color="auto"/>
              <w:right w:val="single" w:sz="4" w:space="0" w:color="auto"/>
            </w:tcBorders>
          </w:tcPr>
          <w:p w14:paraId="77DA498B"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tc>
        <w:tc>
          <w:tcPr>
            <w:tcW w:w="1414" w:type="dxa"/>
            <w:tcBorders>
              <w:top w:val="single" w:sz="4" w:space="0" w:color="auto"/>
              <w:left w:val="single" w:sz="4" w:space="0" w:color="auto"/>
              <w:bottom w:val="single" w:sz="4" w:space="0" w:color="auto"/>
              <w:right w:val="single" w:sz="4" w:space="0" w:color="auto"/>
            </w:tcBorders>
          </w:tcPr>
          <w:p w14:paraId="0C444F83"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p>
        </w:tc>
      </w:tr>
      <w:tr w:rsidR="006F26AB" w:rsidRPr="006F26AB" w14:paraId="74ED384E" w14:textId="77777777" w:rsidTr="007150F6">
        <w:trPr>
          <w:jc w:val="center"/>
        </w:trPr>
        <w:tc>
          <w:tcPr>
            <w:tcW w:w="1320" w:type="dxa"/>
            <w:tcBorders>
              <w:top w:val="single" w:sz="4" w:space="0" w:color="auto"/>
              <w:left w:val="single" w:sz="4" w:space="0" w:color="auto"/>
              <w:bottom w:val="nil"/>
              <w:right w:val="single" w:sz="4" w:space="0" w:color="auto"/>
            </w:tcBorders>
            <w:vAlign w:val="center"/>
            <w:hideMark/>
          </w:tcPr>
          <w:p w14:paraId="43DFC028"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2</w:t>
            </w:r>
          </w:p>
        </w:tc>
        <w:tc>
          <w:tcPr>
            <w:tcW w:w="1701" w:type="dxa"/>
            <w:gridSpan w:val="3"/>
            <w:tcBorders>
              <w:top w:val="single" w:sz="4" w:space="0" w:color="auto"/>
              <w:left w:val="single" w:sz="4" w:space="0" w:color="auto"/>
              <w:bottom w:val="nil"/>
              <w:right w:val="single" w:sz="4" w:space="0" w:color="auto"/>
            </w:tcBorders>
            <w:vAlign w:val="center"/>
            <w:hideMark/>
          </w:tcPr>
          <w:p w14:paraId="79DBA268" w14:textId="77777777" w:rsidR="006F26AB" w:rsidRPr="006F26AB" w:rsidRDefault="006F26AB" w:rsidP="006F26AB">
            <w:pPr>
              <w:tabs>
                <w:tab w:val="left" w:pos="360"/>
              </w:tabs>
              <w:spacing w:after="0" w:line="276" w:lineRule="auto"/>
              <w:ind w:right="15"/>
              <w:jc w:val="center"/>
              <w:rPr>
                <w:rFonts w:eastAsia="Calibri" w:cs="Arial"/>
                <w:sz w:val="16"/>
                <w:szCs w:val="16"/>
                <w:lang w:val="en-US" w:eastAsia="ja-JP"/>
              </w:rPr>
            </w:pPr>
            <w:r w:rsidRPr="006F26AB">
              <w:rPr>
                <w:rFonts w:eastAsia="Calibri" w:cs="Arial"/>
                <w:sz w:val="16"/>
                <w:szCs w:val="16"/>
                <w:lang w:eastAsia="en-AU"/>
              </w:rPr>
              <w:t>6.0 - &lt;10.0 x ULN</w:t>
            </w:r>
          </w:p>
        </w:tc>
        <w:tc>
          <w:tcPr>
            <w:tcW w:w="1559" w:type="dxa"/>
            <w:tcBorders>
              <w:top w:val="single" w:sz="4" w:space="0" w:color="auto"/>
              <w:left w:val="single" w:sz="4" w:space="0" w:color="auto"/>
              <w:bottom w:val="nil"/>
              <w:right w:val="single" w:sz="4" w:space="0" w:color="auto"/>
            </w:tcBorders>
            <w:hideMark/>
          </w:tcPr>
          <w:p w14:paraId="79F274DA" w14:textId="77777777" w:rsidR="006F26AB" w:rsidRPr="006F26AB" w:rsidRDefault="006F26AB" w:rsidP="006F26AB">
            <w:pPr>
              <w:tabs>
                <w:tab w:val="left" w:pos="360"/>
              </w:tabs>
              <w:spacing w:after="0" w:line="276" w:lineRule="auto"/>
              <w:ind w:right="42"/>
              <w:jc w:val="center"/>
              <w:rPr>
                <w:rFonts w:eastAsia="Calibri" w:cs="Arial"/>
                <w:sz w:val="16"/>
                <w:szCs w:val="16"/>
                <w:lang w:val="en-US" w:eastAsia="ja-JP"/>
              </w:rPr>
            </w:pPr>
            <w:r w:rsidRPr="006F26AB">
              <w:rPr>
                <w:rFonts w:eastAsia="Calibri" w:cs="Arial"/>
                <w:sz w:val="16"/>
                <w:szCs w:val="16"/>
                <w:lang w:eastAsia="en-AU"/>
              </w:rPr>
              <w:t>2%</w:t>
            </w:r>
          </w:p>
        </w:tc>
        <w:tc>
          <w:tcPr>
            <w:tcW w:w="1418" w:type="dxa"/>
            <w:tcBorders>
              <w:top w:val="single" w:sz="4" w:space="0" w:color="auto"/>
              <w:left w:val="single" w:sz="4" w:space="0" w:color="auto"/>
              <w:bottom w:val="nil"/>
              <w:right w:val="single" w:sz="12" w:space="0" w:color="auto"/>
            </w:tcBorders>
            <w:hideMark/>
          </w:tcPr>
          <w:p w14:paraId="6579BFD0"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3%</w:t>
            </w:r>
          </w:p>
        </w:tc>
        <w:tc>
          <w:tcPr>
            <w:tcW w:w="1701" w:type="dxa"/>
            <w:tcBorders>
              <w:top w:val="single" w:sz="4" w:space="0" w:color="auto"/>
              <w:left w:val="single" w:sz="12" w:space="0" w:color="auto"/>
              <w:bottom w:val="nil"/>
              <w:right w:val="single" w:sz="4" w:space="0" w:color="auto"/>
            </w:tcBorders>
            <w:hideMark/>
          </w:tcPr>
          <w:p w14:paraId="0AC068B4"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2%</w:t>
            </w:r>
          </w:p>
        </w:tc>
        <w:tc>
          <w:tcPr>
            <w:tcW w:w="1414" w:type="dxa"/>
            <w:tcBorders>
              <w:top w:val="single" w:sz="4" w:space="0" w:color="auto"/>
              <w:left w:val="single" w:sz="4" w:space="0" w:color="auto"/>
              <w:bottom w:val="nil"/>
              <w:right w:val="single" w:sz="4" w:space="0" w:color="auto"/>
            </w:tcBorders>
            <w:hideMark/>
          </w:tcPr>
          <w:p w14:paraId="127D8893"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2%</w:t>
            </w:r>
          </w:p>
        </w:tc>
      </w:tr>
      <w:tr w:rsidR="006F26AB" w:rsidRPr="006F26AB" w14:paraId="742AA8F1" w14:textId="77777777" w:rsidTr="007150F6">
        <w:trPr>
          <w:jc w:val="center"/>
        </w:trPr>
        <w:tc>
          <w:tcPr>
            <w:tcW w:w="1320" w:type="dxa"/>
            <w:tcBorders>
              <w:top w:val="nil"/>
              <w:left w:val="single" w:sz="4" w:space="0" w:color="auto"/>
              <w:bottom w:val="single" w:sz="4" w:space="0" w:color="auto"/>
              <w:right w:val="single" w:sz="4" w:space="0" w:color="auto"/>
            </w:tcBorders>
            <w:vAlign w:val="center"/>
            <w:hideMark/>
          </w:tcPr>
          <w:p w14:paraId="4B95FE6C" w14:textId="77777777" w:rsidR="006F26AB" w:rsidRPr="006F26AB" w:rsidRDefault="006F26AB" w:rsidP="006F26AB">
            <w:pPr>
              <w:tabs>
                <w:tab w:val="left" w:pos="360"/>
              </w:tabs>
              <w:spacing w:after="0" w:line="276" w:lineRule="auto"/>
              <w:ind w:right="234"/>
              <w:rPr>
                <w:rFonts w:eastAsia="Calibri" w:cs="Arial"/>
                <w:sz w:val="16"/>
                <w:szCs w:val="16"/>
                <w:lang w:val="en-US" w:eastAsia="ja-JP"/>
              </w:rPr>
            </w:pPr>
            <w:r w:rsidRPr="006F26AB">
              <w:rPr>
                <w:rFonts w:eastAsia="Calibri" w:cs="Arial"/>
                <w:sz w:val="16"/>
                <w:szCs w:val="16"/>
                <w:lang w:eastAsia="en-AU"/>
              </w:rPr>
              <w:t>Grade 3-4</w:t>
            </w:r>
          </w:p>
        </w:tc>
        <w:tc>
          <w:tcPr>
            <w:tcW w:w="1701" w:type="dxa"/>
            <w:gridSpan w:val="3"/>
            <w:tcBorders>
              <w:top w:val="nil"/>
              <w:left w:val="single" w:sz="4" w:space="0" w:color="auto"/>
              <w:bottom w:val="single" w:sz="4" w:space="0" w:color="auto"/>
              <w:right w:val="single" w:sz="4" w:space="0" w:color="auto"/>
            </w:tcBorders>
            <w:vAlign w:val="center"/>
            <w:hideMark/>
          </w:tcPr>
          <w:p w14:paraId="544E5943"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≥10.0 x ULN</w:t>
            </w:r>
          </w:p>
        </w:tc>
        <w:tc>
          <w:tcPr>
            <w:tcW w:w="1559" w:type="dxa"/>
            <w:tcBorders>
              <w:top w:val="nil"/>
              <w:left w:val="single" w:sz="4" w:space="0" w:color="auto"/>
              <w:bottom w:val="single" w:sz="4" w:space="0" w:color="auto"/>
              <w:right w:val="single" w:sz="4" w:space="0" w:color="auto"/>
            </w:tcBorders>
            <w:hideMark/>
          </w:tcPr>
          <w:p w14:paraId="5CC34BFC" w14:textId="77777777" w:rsidR="006F26AB" w:rsidRPr="006F26AB" w:rsidRDefault="006F26AB" w:rsidP="006F26AB">
            <w:pPr>
              <w:tabs>
                <w:tab w:val="left" w:pos="360"/>
              </w:tabs>
              <w:spacing w:after="0" w:line="276" w:lineRule="auto"/>
              <w:ind w:right="42"/>
              <w:jc w:val="center"/>
              <w:rPr>
                <w:rFonts w:eastAsia="Calibri" w:cs="Arial"/>
                <w:sz w:val="16"/>
                <w:szCs w:val="16"/>
                <w:lang w:val="en-US" w:eastAsia="ja-JP"/>
              </w:rPr>
            </w:pPr>
            <w:r w:rsidRPr="006F26AB">
              <w:rPr>
                <w:rFonts w:eastAsia="Calibri" w:cs="Arial"/>
                <w:sz w:val="16"/>
                <w:szCs w:val="16"/>
                <w:lang w:eastAsia="en-AU"/>
              </w:rPr>
              <w:t>3%</w:t>
            </w:r>
          </w:p>
        </w:tc>
        <w:tc>
          <w:tcPr>
            <w:tcW w:w="1418" w:type="dxa"/>
            <w:tcBorders>
              <w:top w:val="nil"/>
              <w:left w:val="single" w:sz="4" w:space="0" w:color="auto"/>
              <w:bottom w:val="single" w:sz="4" w:space="0" w:color="auto"/>
              <w:right w:val="single" w:sz="12" w:space="0" w:color="auto"/>
            </w:tcBorders>
            <w:hideMark/>
          </w:tcPr>
          <w:p w14:paraId="4B46EAEC"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4%</w:t>
            </w:r>
          </w:p>
        </w:tc>
        <w:tc>
          <w:tcPr>
            <w:tcW w:w="1701" w:type="dxa"/>
            <w:tcBorders>
              <w:top w:val="nil"/>
              <w:left w:val="single" w:sz="12" w:space="0" w:color="auto"/>
              <w:bottom w:val="single" w:sz="4" w:space="0" w:color="auto"/>
              <w:right w:val="single" w:sz="4" w:space="0" w:color="auto"/>
            </w:tcBorders>
            <w:hideMark/>
          </w:tcPr>
          <w:p w14:paraId="7AAF3A8B"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2%</w:t>
            </w:r>
          </w:p>
        </w:tc>
        <w:tc>
          <w:tcPr>
            <w:tcW w:w="1414" w:type="dxa"/>
            <w:tcBorders>
              <w:top w:val="nil"/>
              <w:left w:val="single" w:sz="4" w:space="0" w:color="auto"/>
              <w:bottom w:val="single" w:sz="4" w:space="0" w:color="auto"/>
              <w:right w:val="single" w:sz="4" w:space="0" w:color="auto"/>
            </w:tcBorders>
            <w:hideMark/>
          </w:tcPr>
          <w:p w14:paraId="2F65EC65" w14:textId="77777777" w:rsidR="006F26AB" w:rsidRPr="006F26AB" w:rsidRDefault="006F26AB" w:rsidP="006F26AB">
            <w:pPr>
              <w:tabs>
                <w:tab w:val="left" w:pos="360"/>
              </w:tabs>
              <w:spacing w:after="0" w:line="276" w:lineRule="auto"/>
              <w:ind w:right="234"/>
              <w:jc w:val="center"/>
              <w:rPr>
                <w:rFonts w:eastAsia="Calibri" w:cs="Arial"/>
                <w:sz w:val="16"/>
                <w:szCs w:val="16"/>
                <w:lang w:val="en-US" w:eastAsia="ja-JP"/>
              </w:rPr>
            </w:pPr>
            <w:r w:rsidRPr="006F26AB">
              <w:rPr>
                <w:rFonts w:eastAsia="Calibri" w:cs="Arial"/>
                <w:sz w:val="16"/>
                <w:szCs w:val="16"/>
                <w:lang w:eastAsia="en-AU"/>
              </w:rPr>
              <w:t>3%</w:t>
            </w:r>
          </w:p>
        </w:tc>
      </w:tr>
      <w:tr w:rsidR="006F26AB" w:rsidRPr="006F26AB" w14:paraId="4543EC15" w14:textId="77777777" w:rsidTr="007150F6">
        <w:trPr>
          <w:jc w:val="center"/>
        </w:trPr>
        <w:tc>
          <w:tcPr>
            <w:tcW w:w="9113" w:type="dxa"/>
            <w:gridSpan w:val="8"/>
            <w:tcBorders>
              <w:top w:val="single" w:sz="4" w:space="0" w:color="auto"/>
              <w:left w:val="single" w:sz="4" w:space="0" w:color="auto"/>
              <w:bottom w:val="single" w:sz="4" w:space="0" w:color="auto"/>
              <w:right w:val="single" w:sz="4" w:space="0" w:color="auto"/>
            </w:tcBorders>
            <w:hideMark/>
          </w:tcPr>
          <w:p w14:paraId="23A025FB" w14:textId="77777777" w:rsidR="006F26AB" w:rsidRPr="006F26AB" w:rsidRDefault="006F26AB" w:rsidP="006F26AB">
            <w:pPr>
              <w:autoSpaceDE w:val="0"/>
              <w:autoSpaceDN w:val="0"/>
              <w:adjustRightInd w:val="0"/>
              <w:spacing w:after="0" w:line="276" w:lineRule="auto"/>
              <w:rPr>
                <w:rFonts w:eastAsia="Calibri" w:cs="Arial"/>
                <w:sz w:val="16"/>
                <w:szCs w:val="16"/>
                <w:lang w:val="en-US" w:eastAsia="ja-JP"/>
              </w:rPr>
            </w:pPr>
            <w:r w:rsidRPr="006F26AB">
              <w:rPr>
                <w:rFonts w:eastAsia="Calibri" w:cs="Arial"/>
                <w:sz w:val="16"/>
                <w:szCs w:val="16"/>
                <w:lang w:eastAsia="en-AU"/>
              </w:rPr>
              <w:t>ULN = Upper limit of normal range.</w:t>
            </w:r>
          </w:p>
          <w:p w14:paraId="51DDCE65" w14:textId="77777777" w:rsidR="006F26AB" w:rsidRPr="006F26AB" w:rsidRDefault="006F26AB" w:rsidP="006F26AB">
            <w:pPr>
              <w:autoSpaceDE w:val="0"/>
              <w:autoSpaceDN w:val="0"/>
              <w:adjustRightInd w:val="0"/>
              <w:spacing w:after="0" w:line="276" w:lineRule="auto"/>
              <w:rPr>
                <w:rFonts w:eastAsia="Calibri" w:cs="Arial"/>
                <w:sz w:val="16"/>
                <w:szCs w:val="16"/>
                <w:lang w:val="en-US" w:eastAsia="ja-JP"/>
              </w:rPr>
            </w:pPr>
            <w:r w:rsidRPr="006F26AB">
              <w:rPr>
                <w:rFonts w:eastAsia="Calibri" w:cs="Arial"/>
                <w:sz w:val="16"/>
                <w:szCs w:val="16"/>
                <w:lang w:eastAsia="en-AU"/>
              </w:rPr>
              <w:t xml:space="preserve">Note: NRTIs = FTC/TDF </w:t>
            </w:r>
            <w:r w:rsidRPr="006F26AB">
              <w:rPr>
                <w:rFonts w:eastAsia="Calibri" w:cs="Arial"/>
                <w:color w:val="1A1A1A"/>
                <w:sz w:val="16"/>
                <w:szCs w:val="16"/>
                <w:lang w:eastAsia="en-AU"/>
              </w:rPr>
              <w:t>or ABC/3TC</w:t>
            </w:r>
            <w:r w:rsidRPr="006F26AB">
              <w:rPr>
                <w:rFonts w:eastAsia="Calibri" w:cs="Arial"/>
                <w:sz w:val="16"/>
                <w:szCs w:val="16"/>
                <w:lang w:eastAsia="en-AU"/>
              </w:rPr>
              <w:t>.</w:t>
            </w:r>
          </w:p>
        </w:tc>
      </w:tr>
    </w:tbl>
    <w:p w14:paraId="15E38D5E" w14:textId="77777777" w:rsidR="006F26AB" w:rsidRPr="006F26AB" w:rsidRDefault="006F26AB" w:rsidP="006F26AB">
      <w:pPr>
        <w:jc w:val="left"/>
        <w:rPr>
          <w:b/>
        </w:rPr>
      </w:pPr>
    </w:p>
    <w:p w14:paraId="36D71159" w14:textId="77777777" w:rsidR="00C90032" w:rsidRDefault="00C90032" w:rsidP="00C90032">
      <w:pPr>
        <w:rPr>
          <w:u w:val="single"/>
        </w:rPr>
      </w:pPr>
      <w:r w:rsidRPr="00C90032">
        <w:rPr>
          <w:u w:val="single"/>
        </w:rPr>
        <w:t>Change in Lipids from Baseline</w:t>
      </w:r>
    </w:p>
    <w:p w14:paraId="1FA6C88F" w14:textId="62B7FE5F" w:rsidR="006F26AB" w:rsidRPr="006F26AB" w:rsidRDefault="006F26AB" w:rsidP="006F26AB">
      <w:r w:rsidRPr="006F26AB">
        <w:t xml:space="preserve">For DRIVE-FORWARD and DRIVE-AHEAD, changes from baseline at Week 48 in LDL-cholesterol, non-HDL-cholesterol, total cholesterol, triglycerides, and HDL-cholesterol are shown in Table </w:t>
      </w:r>
      <w:r w:rsidR="002C24E2">
        <w:t>4</w:t>
      </w:r>
      <w:r w:rsidRPr="006F26AB">
        <w:t>.</w:t>
      </w:r>
    </w:p>
    <w:p w14:paraId="5C68DC01" w14:textId="53BB8A78" w:rsidR="006F26AB" w:rsidRDefault="006F26AB" w:rsidP="006F26AB">
      <w:r w:rsidRPr="006F26AB">
        <w:t>For LDL- and non-HDL-cholesterol, total cholesterol, and triglycerides, the differences in the mean change from baseline at Week 48 (doravirine-</w:t>
      </w:r>
      <w:r w:rsidR="00C54C73">
        <w:t>PIFELTRO</w:t>
      </w:r>
      <w:r w:rsidRPr="006F26AB">
        <w:rPr>
          <w:bCs/>
          <w:i/>
          <w:lang w:val="en-US"/>
        </w:rPr>
        <w:t xml:space="preserve"> – </w:t>
      </w:r>
      <w:proofErr w:type="spellStart"/>
      <w:r w:rsidRPr="006F26AB">
        <w:rPr>
          <w:bCs/>
        </w:rPr>
        <w:t>DRV+r</w:t>
      </w:r>
      <w:proofErr w:type="spellEnd"/>
      <w:r w:rsidRPr="006F26AB">
        <w:rPr>
          <w:bCs/>
          <w:i/>
          <w:lang w:val="en-US"/>
        </w:rPr>
        <w:t xml:space="preserve"> </w:t>
      </w:r>
      <w:r w:rsidRPr="006F26AB">
        <w:rPr>
          <w:bCs/>
          <w:lang w:val="en-US"/>
        </w:rPr>
        <w:t>and</w:t>
      </w:r>
      <w:r w:rsidRPr="006F26AB">
        <w:rPr>
          <w:bCs/>
          <w:i/>
          <w:lang w:val="en-US"/>
        </w:rPr>
        <w:t xml:space="preserve"> </w:t>
      </w:r>
      <w:r w:rsidR="00B836DC">
        <w:t>DELSTRIGO</w:t>
      </w:r>
      <w:r w:rsidRPr="006F26AB">
        <w:t>) favoured the doravirine treatment groups. The LDL and non-HDL comparisons were pre-specified and the differences were statistically significant, showing superiority for doravirine for both parameters.</w:t>
      </w:r>
    </w:p>
    <w:p w14:paraId="5CBBFF4C" w14:textId="77777777" w:rsidR="00EF7790" w:rsidRPr="006F26AB" w:rsidRDefault="00EF7790" w:rsidP="006F26AB"/>
    <w:p w14:paraId="39BC1634" w14:textId="47A680C4" w:rsidR="006F26AB" w:rsidRDefault="006F26AB" w:rsidP="006F26AB">
      <w:pPr>
        <w:jc w:val="center"/>
        <w:rPr>
          <w:b/>
        </w:rPr>
      </w:pPr>
      <w:r w:rsidRPr="006F26AB">
        <w:rPr>
          <w:b/>
        </w:rPr>
        <w:t xml:space="preserve">Table </w:t>
      </w:r>
      <w:r w:rsidR="002C24E2">
        <w:rPr>
          <w:b/>
        </w:rPr>
        <w:t>4</w:t>
      </w:r>
      <w:r w:rsidRPr="006F26AB">
        <w:rPr>
          <w:b/>
        </w:rPr>
        <w:t xml:space="preserve">: Mean Change from Baseline in Fasting Lipids in </w:t>
      </w:r>
      <w:r w:rsidRPr="006F26AB">
        <w:rPr>
          <w:b/>
          <w:lang w:bidi="th-TH"/>
        </w:rPr>
        <w:t>DRIVE-FORWARD</w:t>
      </w:r>
      <w:r w:rsidRPr="006F26AB">
        <w:rPr>
          <w:b/>
        </w:rPr>
        <w:t xml:space="preserve"> and </w:t>
      </w:r>
      <w:r w:rsidRPr="006F26AB">
        <w:rPr>
          <w:b/>
          <w:lang w:bidi="th-TH"/>
        </w:rPr>
        <w:t>DRIVE-AHEAD (</w:t>
      </w:r>
      <w:r w:rsidRPr="006F26AB">
        <w:rPr>
          <w:b/>
        </w:rPr>
        <w:t>Week 48)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653"/>
        <w:gridCol w:w="1604"/>
        <w:gridCol w:w="1673"/>
        <w:gridCol w:w="1590"/>
      </w:tblGrid>
      <w:tr w:rsidR="006F26AB" w:rsidRPr="006F26AB" w14:paraId="4AEFA1BD" w14:textId="77777777" w:rsidTr="007150F6">
        <w:tc>
          <w:tcPr>
            <w:tcW w:w="2552" w:type="dxa"/>
            <w:vMerge w:val="restart"/>
            <w:tcBorders>
              <w:top w:val="single" w:sz="4" w:space="0" w:color="auto"/>
              <w:left w:val="single" w:sz="4" w:space="0" w:color="auto"/>
              <w:bottom w:val="single" w:sz="4" w:space="0" w:color="auto"/>
              <w:right w:val="single" w:sz="4" w:space="0" w:color="auto"/>
            </w:tcBorders>
            <w:vAlign w:val="bottom"/>
            <w:hideMark/>
          </w:tcPr>
          <w:p w14:paraId="24C86B13" w14:textId="77777777" w:rsidR="006F26AB" w:rsidRPr="006F26AB" w:rsidRDefault="006F26AB" w:rsidP="006F26AB">
            <w:pPr>
              <w:spacing w:after="0" w:line="276" w:lineRule="auto"/>
              <w:rPr>
                <w:rFonts w:eastAsia="MS Gothic" w:cs="Arial"/>
                <w:b/>
                <w:color w:val="000000"/>
                <w:sz w:val="16"/>
                <w:szCs w:val="16"/>
                <w:lang w:val="en-US" w:eastAsia="ja-JP"/>
              </w:rPr>
            </w:pPr>
            <w:r w:rsidRPr="006F26AB">
              <w:rPr>
                <w:rFonts w:eastAsia="Calibri" w:cs="Arial"/>
                <w:b/>
                <w:sz w:val="16"/>
                <w:szCs w:val="16"/>
                <w:lang w:eastAsia="en-AU"/>
              </w:rPr>
              <w:t>Laboratory Parameter Preferred Term</w:t>
            </w:r>
          </w:p>
        </w:tc>
        <w:tc>
          <w:tcPr>
            <w:tcW w:w="3257" w:type="dxa"/>
            <w:gridSpan w:val="2"/>
            <w:tcBorders>
              <w:top w:val="single" w:sz="4" w:space="0" w:color="auto"/>
              <w:left w:val="single" w:sz="4" w:space="0" w:color="auto"/>
              <w:bottom w:val="single" w:sz="4" w:space="0" w:color="auto"/>
              <w:right w:val="single" w:sz="12" w:space="0" w:color="auto"/>
            </w:tcBorders>
            <w:vAlign w:val="center"/>
            <w:hideMark/>
          </w:tcPr>
          <w:p w14:paraId="37C071BF" w14:textId="77777777" w:rsidR="006F26AB" w:rsidRPr="006F26AB" w:rsidRDefault="006F26AB" w:rsidP="006F26AB">
            <w:pPr>
              <w:spacing w:after="0" w:line="276" w:lineRule="auto"/>
              <w:contextualSpacing/>
              <w:jc w:val="center"/>
              <w:rPr>
                <w:rFonts w:eastAsia="MS Gothic" w:cs="Arial"/>
                <w:b/>
                <w:color w:val="000000"/>
                <w:sz w:val="16"/>
                <w:szCs w:val="16"/>
                <w:lang w:val="en-US" w:eastAsia="ja-JP"/>
              </w:rPr>
            </w:pPr>
            <w:r w:rsidRPr="006F26AB">
              <w:rPr>
                <w:rFonts w:eastAsia="Calibri" w:cs="Arial"/>
                <w:b/>
                <w:sz w:val="16"/>
                <w:szCs w:val="16"/>
                <w:lang w:eastAsia="en-AU" w:bidi="th-TH"/>
              </w:rPr>
              <w:t>DRIVE-FORWARD</w:t>
            </w:r>
          </w:p>
        </w:tc>
        <w:tc>
          <w:tcPr>
            <w:tcW w:w="3263" w:type="dxa"/>
            <w:gridSpan w:val="2"/>
            <w:tcBorders>
              <w:top w:val="single" w:sz="4" w:space="0" w:color="auto"/>
              <w:left w:val="single" w:sz="12" w:space="0" w:color="auto"/>
              <w:bottom w:val="single" w:sz="4" w:space="0" w:color="auto"/>
              <w:right w:val="single" w:sz="4" w:space="0" w:color="auto"/>
            </w:tcBorders>
            <w:vAlign w:val="center"/>
            <w:hideMark/>
          </w:tcPr>
          <w:p w14:paraId="6CD88EEA" w14:textId="77777777" w:rsidR="006F26AB" w:rsidRPr="006F26AB" w:rsidRDefault="006F26AB" w:rsidP="006F26AB">
            <w:pPr>
              <w:spacing w:after="0" w:line="276" w:lineRule="auto"/>
              <w:contextualSpacing/>
              <w:jc w:val="center"/>
              <w:rPr>
                <w:rFonts w:eastAsia="MS Gothic" w:cs="Arial"/>
                <w:b/>
                <w:color w:val="000000"/>
                <w:sz w:val="16"/>
                <w:szCs w:val="16"/>
                <w:lang w:val="en-US" w:eastAsia="ja-JP"/>
              </w:rPr>
            </w:pPr>
            <w:r w:rsidRPr="006F26AB">
              <w:rPr>
                <w:rFonts w:eastAsia="Calibri" w:cs="Arial"/>
                <w:b/>
                <w:sz w:val="16"/>
                <w:szCs w:val="16"/>
                <w:lang w:eastAsia="en-AU" w:bidi="th-TH"/>
              </w:rPr>
              <w:t>DRIVE-AHEAD</w:t>
            </w:r>
          </w:p>
        </w:tc>
      </w:tr>
      <w:tr w:rsidR="006F26AB" w:rsidRPr="006F26AB" w14:paraId="344A7C8C" w14:textId="77777777" w:rsidTr="007150F6">
        <w:tc>
          <w:tcPr>
            <w:tcW w:w="2552" w:type="dxa"/>
            <w:vMerge/>
            <w:tcBorders>
              <w:top w:val="single" w:sz="4" w:space="0" w:color="auto"/>
              <w:left w:val="single" w:sz="4" w:space="0" w:color="auto"/>
              <w:bottom w:val="single" w:sz="4" w:space="0" w:color="auto"/>
              <w:right w:val="single" w:sz="4" w:space="0" w:color="auto"/>
            </w:tcBorders>
            <w:vAlign w:val="center"/>
            <w:hideMark/>
          </w:tcPr>
          <w:p w14:paraId="661CBDBA" w14:textId="77777777" w:rsidR="006F26AB" w:rsidRPr="006F26AB" w:rsidRDefault="006F26AB" w:rsidP="006F26AB">
            <w:pPr>
              <w:spacing w:after="80" w:line="276" w:lineRule="auto"/>
              <w:rPr>
                <w:rFonts w:eastAsia="MS Gothic" w:cs="Arial"/>
                <w:b/>
                <w:color w:val="000000"/>
                <w:sz w:val="16"/>
                <w:szCs w:val="16"/>
                <w:lang w:val="en-US" w:eastAsia="ja-JP"/>
              </w:rPr>
            </w:pPr>
          </w:p>
        </w:tc>
        <w:tc>
          <w:tcPr>
            <w:tcW w:w="1653" w:type="dxa"/>
            <w:tcBorders>
              <w:top w:val="single" w:sz="4" w:space="0" w:color="auto"/>
              <w:left w:val="single" w:sz="4" w:space="0" w:color="auto"/>
              <w:bottom w:val="single" w:sz="4" w:space="0" w:color="auto"/>
              <w:right w:val="single" w:sz="4" w:space="0" w:color="auto"/>
            </w:tcBorders>
            <w:vAlign w:val="center"/>
            <w:hideMark/>
          </w:tcPr>
          <w:p w14:paraId="77A78240"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Doravirine-</w:t>
            </w:r>
          </w:p>
          <w:p w14:paraId="703CD0DA" w14:textId="62017FE0" w:rsidR="006F26AB" w:rsidRPr="006F26AB" w:rsidRDefault="00C54C73" w:rsidP="006F26AB">
            <w:pPr>
              <w:spacing w:after="0" w:line="276" w:lineRule="auto"/>
              <w:jc w:val="center"/>
              <w:rPr>
                <w:rFonts w:eastAsia="Calibri" w:cs="Arial"/>
                <w:b/>
                <w:sz w:val="16"/>
                <w:szCs w:val="16"/>
                <w:lang w:eastAsia="en-AU"/>
              </w:rPr>
            </w:pPr>
            <w:r>
              <w:rPr>
                <w:rFonts w:eastAsia="Calibri" w:cs="Arial"/>
                <w:b/>
                <w:sz w:val="16"/>
                <w:szCs w:val="16"/>
                <w:lang w:eastAsia="en-AU"/>
              </w:rPr>
              <w:t>PIFELTRO</w:t>
            </w:r>
          </w:p>
          <w:p w14:paraId="682521EB" w14:textId="77777777" w:rsidR="006F26AB" w:rsidRPr="006F26AB" w:rsidRDefault="006F26AB" w:rsidP="006F26AB">
            <w:pPr>
              <w:spacing w:after="0" w:line="276" w:lineRule="auto"/>
              <w:jc w:val="center"/>
              <w:rPr>
                <w:rFonts w:eastAsia="Calibri" w:cs="Arial"/>
                <w:b/>
                <w:bCs/>
                <w:sz w:val="16"/>
                <w:szCs w:val="16"/>
                <w:lang w:eastAsia="en-AU"/>
              </w:rPr>
            </w:pPr>
            <w:r w:rsidRPr="006F26AB">
              <w:rPr>
                <w:rFonts w:eastAsia="Calibri" w:cs="Arial"/>
                <w:b/>
                <w:bCs/>
                <w:sz w:val="16"/>
                <w:szCs w:val="16"/>
                <w:lang w:eastAsia="en-AU"/>
              </w:rPr>
              <w:t xml:space="preserve">+2 NRTIs </w:t>
            </w:r>
          </w:p>
          <w:p w14:paraId="739335C5" w14:textId="77777777" w:rsidR="006F26AB" w:rsidRPr="006F26AB" w:rsidRDefault="006F26AB" w:rsidP="006F26AB">
            <w:pPr>
              <w:spacing w:after="0" w:line="276" w:lineRule="auto"/>
              <w:jc w:val="center"/>
              <w:rPr>
                <w:rFonts w:eastAsia="MS Gothic" w:cs="Arial"/>
                <w:b/>
                <w:color w:val="000000"/>
                <w:sz w:val="16"/>
                <w:szCs w:val="16"/>
                <w:lang w:val="en-US" w:eastAsia="ja-JP"/>
              </w:rPr>
            </w:pPr>
            <w:r w:rsidRPr="006F26AB">
              <w:rPr>
                <w:rFonts w:eastAsia="Calibri" w:cs="Arial"/>
                <w:b/>
                <w:sz w:val="16"/>
                <w:szCs w:val="16"/>
                <w:lang w:eastAsia="en-AU"/>
              </w:rPr>
              <w:t>Once Daily</w:t>
            </w:r>
          </w:p>
        </w:tc>
        <w:tc>
          <w:tcPr>
            <w:tcW w:w="1604" w:type="dxa"/>
            <w:tcBorders>
              <w:top w:val="single" w:sz="4" w:space="0" w:color="auto"/>
              <w:left w:val="single" w:sz="4" w:space="0" w:color="auto"/>
              <w:bottom w:val="single" w:sz="4" w:space="0" w:color="auto"/>
              <w:right w:val="single" w:sz="12" w:space="0" w:color="auto"/>
            </w:tcBorders>
            <w:vAlign w:val="bottom"/>
            <w:hideMark/>
          </w:tcPr>
          <w:p w14:paraId="7182BB01" w14:textId="77777777" w:rsidR="006F26AB" w:rsidRPr="006F26AB" w:rsidRDefault="006F26AB" w:rsidP="006F26AB">
            <w:pPr>
              <w:spacing w:after="0" w:line="276" w:lineRule="auto"/>
              <w:ind w:left="-115"/>
              <w:jc w:val="center"/>
              <w:rPr>
                <w:rFonts w:eastAsia="Calibri" w:cs="Arial"/>
                <w:b/>
                <w:bCs/>
                <w:sz w:val="16"/>
                <w:szCs w:val="16"/>
                <w:lang w:val="en-US" w:eastAsia="ja-JP"/>
              </w:rPr>
            </w:pPr>
            <w:proofErr w:type="spellStart"/>
            <w:r w:rsidRPr="006F26AB">
              <w:rPr>
                <w:rFonts w:eastAsia="Calibri" w:cs="Arial"/>
                <w:b/>
                <w:bCs/>
                <w:sz w:val="16"/>
                <w:szCs w:val="16"/>
                <w:lang w:eastAsia="en-AU"/>
              </w:rPr>
              <w:t>DRV+r</w:t>
            </w:r>
            <w:proofErr w:type="spellEnd"/>
          </w:p>
          <w:p w14:paraId="3F4CF98B" w14:textId="77777777" w:rsidR="006F26AB" w:rsidRPr="006F26AB" w:rsidRDefault="006F26AB" w:rsidP="006F26AB">
            <w:pPr>
              <w:spacing w:after="0" w:line="276" w:lineRule="auto"/>
              <w:ind w:left="-108"/>
              <w:jc w:val="center"/>
              <w:rPr>
                <w:rFonts w:eastAsia="Calibri" w:cs="Arial"/>
                <w:b/>
                <w:bCs/>
                <w:sz w:val="16"/>
                <w:szCs w:val="16"/>
                <w:lang w:eastAsia="en-AU"/>
              </w:rPr>
            </w:pPr>
            <w:r w:rsidRPr="006F26AB">
              <w:rPr>
                <w:rFonts w:eastAsia="Calibri" w:cs="Arial"/>
                <w:b/>
                <w:bCs/>
                <w:sz w:val="16"/>
                <w:szCs w:val="16"/>
                <w:lang w:eastAsia="en-AU"/>
              </w:rPr>
              <w:t xml:space="preserve">+2 NRTIs </w:t>
            </w:r>
          </w:p>
          <w:p w14:paraId="070E1DCB" w14:textId="77777777" w:rsidR="006F26AB" w:rsidRPr="006F26AB" w:rsidRDefault="006F26AB" w:rsidP="006F26AB">
            <w:pPr>
              <w:spacing w:after="0" w:line="276" w:lineRule="auto"/>
              <w:ind w:left="-108"/>
              <w:jc w:val="center"/>
              <w:rPr>
                <w:rFonts w:eastAsia="MS Gothic" w:cs="Arial"/>
                <w:b/>
                <w:color w:val="000000"/>
                <w:sz w:val="16"/>
                <w:szCs w:val="16"/>
                <w:lang w:val="en-US" w:eastAsia="ja-JP"/>
              </w:rPr>
            </w:pPr>
            <w:r w:rsidRPr="006F26AB">
              <w:rPr>
                <w:rFonts w:eastAsia="Calibri" w:cs="Arial"/>
                <w:b/>
                <w:sz w:val="16"/>
                <w:szCs w:val="16"/>
                <w:lang w:eastAsia="en-AU"/>
              </w:rPr>
              <w:t>Once Daily</w:t>
            </w:r>
          </w:p>
        </w:tc>
        <w:tc>
          <w:tcPr>
            <w:tcW w:w="1673" w:type="dxa"/>
            <w:tcBorders>
              <w:top w:val="single" w:sz="4" w:space="0" w:color="auto"/>
              <w:left w:val="single" w:sz="12" w:space="0" w:color="auto"/>
              <w:bottom w:val="single" w:sz="4" w:space="0" w:color="auto"/>
              <w:right w:val="single" w:sz="4" w:space="0" w:color="auto"/>
            </w:tcBorders>
            <w:vAlign w:val="bottom"/>
            <w:hideMark/>
          </w:tcPr>
          <w:p w14:paraId="4399B57C" w14:textId="6E938EF6" w:rsidR="006F26AB" w:rsidRPr="006F26AB" w:rsidRDefault="00B836DC" w:rsidP="006F26AB">
            <w:pPr>
              <w:tabs>
                <w:tab w:val="left" w:pos="360"/>
              </w:tabs>
              <w:spacing w:after="0" w:line="276" w:lineRule="auto"/>
              <w:ind w:right="230"/>
              <w:jc w:val="center"/>
              <w:rPr>
                <w:rFonts w:eastAsia="Calibri" w:cs="Arial"/>
                <w:b/>
                <w:sz w:val="16"/>
                <w:szCs w:val="16"/>
                <w:lang w:val="en-US" w:eastAsia="ja-JP"/>
              </w:rPr>
            </w:pPr>
            <w:r>
              <w:rPr>
                <w:rFonts w:eastAsia="Calibri" w:cs="Arial"/>
                <w:b/>
                <w:sz w:val="16"/>
                <w:szCs w:val="16"/>
                <w:lang w:eastAsia="en-AU"/>
              </w:rPr>
              <w:t>DELSTRIGO</w:t>
            </w:r>
          </w:p>
          <w:p w14:paraId="7AD42D7C" w14:textId="77777777" w:rsidR="006F26AB" w:rsidRPr="006F26AB" w:rsidRDefault="006F26AB" w:rsidP="006F26AB">
            <w:pPr>
              <w:tabs>
                <w:tab w:val="left" w:pos="360"/>
              </w:tabs>
              <w:spacing w:after="0" w:line="276" w:lineRule="auto"/>
              <w:ind w:right="230"/>
              <w:jc w:val="center"/>
              <w:rPr>
                <w:rFonts w:eastAsia="MS Gothic" w:cs="Arial"/>
                <w:b/>
                <w:color w:val="000000"/>
                <w:sz w:val="16"/>
                <w:szCs w:val="16"/>
                <w:lang w:val="en-US" w:eastAsia="ja-JP"/>
              </w:rPr>
            </w:pPr>
            <w:r w:rsidRPr="006F26AB">
              <w:rPr>
                <w:rFonts w:eastAsia="Calibri" w:cs="Arial"/>
                <w:b/>
                <w:sz w:val="16"/>
                <w:szCs w:val="16"/>
                <w:lang w:eastAsia="en-AU"/>
              </w:rPr>
              <w:t>Once Daily</w:t>
            </w:r>
          </w:p>
        </w:tc>
        <w:tc>
          <w:tcPr>
            <w:tcW w:w="1590" w:type="dxa"/>
            <w:tcBorders>
              <w:top w:val="single" w:sz="4" w:space="0" w:color="auto"/>
              <w:left w:val="single" w:sz="4" w:space="0" w:color="auto"/>
              <w:bottom w:val="single" w:sz="4" w:space="0" w:color="auto"/>
              <w:right w:val="single" w:sz="4" w:space="0" w:color="auto"/>
            </w:tcBorders>
            <w:vAlign w:val="bottom"/>
            <w:hideMark/>
          </w:tcPr>
          <w:p w14:paraId="38E1ED47"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EFV/FTC/TDF</w:t>
            </w:r>
          </w:p>
          <w:p w14:paraId="4E58809A" w14:textId="77777777" w:rsidR="006F26AB" w:rsidRPr="006F26AB" w:rsidRDefault="006F26AB" w:rsidP="006F26AB">
            <w:pPr>
              <w:tabs>
                <w:tab w:val="left" w:pos="360"/>
              </w:tabs>
              <w:spacing w:after="0" w:line="276" w:lineRule="auto"/>
              <w:ind w:right="230"/>
              <w:jc w:val="center"/>
              <w:rPr>
                <w:rFonts w:eastAsia="MS Gothic" w:cs="Arial"/>
                <w:b/>
                <w:color w:val="000000"/>
                <w:sz w:val="16"/>
                <w:szCs w:val="16"/>
                <w:lang w:val="en-US" w:eastAsia="ja-JP"/>
              </w:rPr>
            </w:pPr>
            <w:r w:rsidRPr="006F26AB">
              <w:rPr>
                <w:rFonts w:eastAsia="Calibri" w:cs="Arial"/>
                <w:b/>
                <w:sz w:val="16"/>
                <w:szCs w:val="16"/>
                <w:lang w:eastAsia="en-AU"/>
              </w:rPr>
              <w:t>Once Daily</w:t>
            </w:r>
          </w:p>
        </w:tc>
      </w:tr>
      <w:tr w:rsidR="006F26AB" w:rsidRPr="006F26AB" w14:paraId="2CAFEF4E" w14:textId="77777777" w:rsidTr="007150F6">
        <w:tc>
          <w:tcPr>
            <w:tcW w:w="2552" w:type="dxa"/>
            <w:tcBorders>
              <w:top w:val="single" w:sz="4" w:space="0" w:color="auto"/>
              <w:left w:val="single" w:sz="4" w:space="0" w:color="auto"/>
              <w:bottom w:val="single" w:sz="4" w:space="0" w:color="auto"/>
              <w:right w:val="single" w:sz="4" w:space="0" w:color="auto"/>
            </w:tcBorders>
            <w:vAlign w:val="center"/>
          </w:tcPr>
          <w:p w14:paraId="2898D037" w14:textId="77777777" w:rsidR="006F26AB" w:rsidRPr="006F26AB" w:rsidRDefault="006F26AB" w:rsidP="006F26AB">
            <w:pPr>
              <w:spacing w:after="0" w:line="276" w:lineRule="auto"/>
              <w:rPr>
                <w:rFonts w:eastAsia="MS Gothic" w:cs="Arial"/>
                <w:b/>
                <w:color w:val="000000"/>
                <w:sz w:val="16"/>
                <w:szCs w:val="16"/>
                <w:lang w:val="en-US" w:eastAsia="ja-JP"/>
              </w:rPr>
            </w:pPr>
          </w:p>
        </w:tc>
        <w:tc>
          <w:tcPr>
            <w:tcW w:w="1653" w:type="dxa"/>
            <w:tcBorders>
              <w:top w:val="single" w:sz="4" w:space="0" w:color="auto"/>
              <w:left w:val="single" w:sz="4" w:space="0" w:color="auto"/>
              <w:bottom w:val="single" w:sz="4" w:space="0" w:color="auto"/>
              <w:right w:val="single" w:sz="4" w:space="0" w:color="auto"/>
            </w:tcBorders>
            <w:hideMark/>
          </w:tcPr>
          <w:p w14:paraId="0978A128" w14:textId="77777777" w:rsidR="006F26AB" w:rsidRPr="006F26AB" w:rsidRDefault="006F26AB" w:rsidP="006F26AB">
            <w:pPr>
              <w:spacing w:after="0" w:line="276" w:lineRule="auto"/>
              <w:jc w:val="center"/>
              <w:rPr>
                <w:rFonts w:eastAsia="Calibri" w:cs="Arial"/>
                <w:b/>
                <w:bCs/>
                <w:sz w:val="16"/>
                <w:szCs w:val="16"/>
                <w:lang w:val="en-US" w:eastAsia="ja-JP"/>
              </w:rPr>
            </w:pPr>
            <w:r w:rsidRPr="006F26AB">
              <w:rPr>
                <w:rFonts w:eastAsia="Calibri" w:cs="Arial"/>
                <w:b/>
                <w:bCs/>
                <w:sz w:val="16"/>
                <w:szCs w:val="16"/>
                <w:lang w:eastAsia="en-AU"/>
              </w:rPr>
              <w:t>N=320</w:t>
            </w:r>
          </w:p>
        </w:tc>
        <w:tc>
          <w:tcPr>
            <w:tcW w:w="1604" w:type="dxa"/>
            <w:tcBorders>
              <w:top w:val="single" w:sz="4" w:space="0" w:color="auto"/>
              <w:left w:val="single" w:sz="4" w:space="0" w:color="auto"/>
              <w:bottom w:val="single" w:sz="4" w:space="0" w:color="auto"/>
              <w:right w:val="single" w:sz="12" w:space="0" w:color="auto"/>
            </w:tcBorders>
            <w:hideMark/>
          </w:tcPr>
          <w:p w14:paraId="73CB2078" w14:textId="77777777" w:rsidR="006F26AB" w:rsidRPr="006F26AB" w:rsidRDefault="006F26AB" w:rsidP="006F26AB">
            <w:pPr>
              <w:spacing w:after="0" w:line="276" w:lineRule="auto"/>
              <w:jc w:val="center"/>
              <w:rPr>
                <w:rFonts w:eastAsia="Calibri" w:cs="Arial"/>
                <w:b/>
                <w:bCs/>
                <w:sz w:val="16"/>
                <w:szCs w:val="16"/>
                <w:lang w:val="en-US" w:eastAsia="ja-JP"/>
              </w:rPr>
            </w:pPr>
            <w:r w:rsidRPr="006F26AB">
              <w:rPr>
                <w:rFonts w:eastAsia="Calibri" w:cs="Arial"/>
                <w:b/>
                <w:bCs/>
                <w:sz w:val="16"/>
                <w:szCs w:val="16"/>
                <w:lang w:eastAsia="en-AU"/>
              </w:rPr>
              <w:t>N=311</w:t>
            </w:r>
          </w:p>
        </w:tc>
        <w:tc>
          <w:tcPr>
            <w:tcW w:w="1673" w:type="dxa"/>
            <w:tcBorders>
              <w:top w:val="single" w:sz="4" w:space="0" w:color="auto"/>
              <w:left w:val="single" w:sz="12" w:space="0" w:color="auto"/>
              <w:bottom w:val="single" w:sz="4" w:space="0" w:color="auto"/>
              <w:right w:val="single" w:sz="4" w:space="0" w:color="auto"/>
            </w:tcBorders>
            <w:hideMark/>
          </w:tcPr>
          <w:p w14:paraId="52A98A7D"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N=320</w:t>
            </w:r>
          </w:p>
        </w:tc>
        <w:tc>
          <w:tcPr>
            <w:tcW w:w="1590" w:type="dxa"/>
            <w:tcBorders>
              <w:top w:val="single" w:sz="4" w:space="0" w:color="auto"/>
              <w:left w:val="single" w:sz="4" w:space="0" w:color="auto"/>
              <w:bottom w:val="single" w:sz="4" w:space="0" w:color="auto"/>
              <w:right w:val="single" w:sz="4" w:space="0" w:color="auto"/>
            </w:tcBorders>
            <w:hideMark/>
          </w:tcPr>
          <w:p w14:paraId="4D32B0A8" w14:textId="77777777" w:rsidR="006F26AB" w:rsidRPr="006F26AB" w:rsidRDefault="006F26AB" w:rsidP="006F26AB">
            <w:pPr>
              <w:spacing w:after="0" w:line="276" w:lineRule="auto"/>
              <w:jc w:val="center"/>
              <w:rPr>
                <w:rFonts w:eastAsia="Calibri" w:cs="Arial"/>
                <w:b/>
                <w:sz w:val="16"/>
                <w:szCs w:val="16"/>
                <w:lang w:val="en-US" w:eastAsia="ja-JP"/>
              </w:rPr>
            </w:pPr>
            <w:r w:rsidRPr="006F26AB">
              <w:rPr>
                <w:rFonts w:eastAsia="Calibri" w:cs="Arial"/>
                <w:b/>
                <w:sz w:val="16"/>
                <w:szCs w:val="16"/>
                <w:lang w:eastAsia="en-AU"/>
              </w:rPr>
              <w:t>N=307</w:t>
            </w:r>
          </w:p>
        </w:tc>
      </w:tr>
      <w:tr w:rsidR="006F26AB" w:rsidRPr="006F26AB" w14:paraId="6842847F" w14:textId="77777777" w:rsidTr="007150F6">
        <w:tc>
          <w:tcPr>
            <w:tcW w:w="2552" w:type="dxa"/>
            <w:tcBorders>
              <w:top w:val="single" w:sz="4" w:space="0" w:color="auto"/>
              <w:left w:val="single" w:sz="4" w:space="0" w:color="auto"/>
              <w:bottom w:val="single" w:sz="4" w:space="0" w:color="auto"/>
              <w:right w:val="single" w:sz="4" w:space="0" w:color="auto"/>
            </w:tcBorders>
            <w:hideMark/>
          </w:tcPr>
          <w:p w14:paraId="747C47BE" w14:textId="77777777" w:rsidR="006F26AB" w:rsidRPr="006F26AB" w:rsidRDefault="006F26AB" w:rsidP="006F26AB">
            <w:pPr>
              <w:spacing w:after="0" w:line="276" w:lineRule="auto"/>
              <w:rPr>
                <w:rFonts w:eastAsia="MS Gothic" w:cs="Arial"/>
                <w:color w:val="000000"/>
                <w:sz w:val="16"/>
                <w:szCs w:val="16"/>
                <w:lang w:val="en-US" w:eastAsia="ja-JP"/>
              </w:rPr>
            </w:pPr>
            <w:r w:rsidRPr="006F26AB">
              <w:rPr>
                <w:rFonts w:eastAsia="MS Gothic" w:cs="Arial"/>
                <w:color w:val="000000"/>
                <w:sz w:val="16"/>
                <w:szCs w:val="16"/>
                <w:lang w:eastAsia="en-AU"/>
              </w:rPr>
              <w:t>LDL-Cholesterol (mg/</w:t>
            </w:r>
            <w:proofErr w:type="spellStart"/>
            <w:r w:rsidRPr="006F26AB">
              <w:rPr>
                <w:rFonts w:eastAsia="MS Gothic" w:cs="Arial"/>
                <w:color w:val="000000"/>
                <w:sz w:val="16"/>
                <w:szCs w:val="16"/>
                <w:lang w:eastAsia="en-AU"/>
              </w:rPr>
              <w:t>dL</w:t>
            </w:r>
            <w:proofErr w:type="spellEnd"/>
            <w:r w:rsidRPr="006F26AB">
              <w:rPr>
                <w:rFonts w:eastAsia="MS Gothic" w:cs="Arial"/>
                <w:color w:val="000000"/>
                <w:sz w:val="16"/>
                <w:szCs w:val="16"/>
                <w:lang w:eastAsia="en-AU"/>
              </w:rPr>
              <w:t>)*</w:t>
            </w:r>
          </w:p>
        </w:tc>
        <w:tc>
          <w:tcPr>
            <w:tcW w:w="1653" w:type="dxa"/>
            <w:tcBorders>
              <w:top w:val="single" w:sz="4" w:space="0" w:color="auto"/>
              <w:left w:val="single" w:sz="4" w:space="0" w:color="auto"/>
              <w:bottom w:val="single" w:sz="4" w:space="0" w:color="auto"/>
              <w:right w:val="single" w:sz="4" w:space="0" w:color="auto"/>
            </w:tcBorders>
            <w:hideMark/>
          </w:tcPr>
          <w:p w14:paraId="5ED93E01"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-4.6</w:t>
            </w:r>
          </w:p>
        </w:tc>
        <w:tc>
          <w:tcPr>
            <w:tcW w:w="1604" w:type="dxa"/>
            <w:tcBorders>
              <w:top w:val="single" w:sz="4" w:space="0" w:color="auto"/>
              <w:left w:val="single" w:sz="4" w:space="0" w:color="auto"/>
              <w:bottom w:val="single" w:sz="4" w:space="0" w:color="auto"/>
              <w:right w:val="single" w:sz="12" w:space="0" w:color="auto"/>
            </w:tcBorders>
            <w:hideMark/>
          </w:tcPr>
          <w:p w14:paraId="4F2CA17A"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9.5</w:t>
            </w:r>
          </w:p>
        </w:tc>
        <w:tc>
          <w:tcPr>
            <w:tcW w:w="1673" w:type="dxa"/>
            <w:tcBorders>
              <w:top w:val="single" w:sz="4" w:space="0" w:color="auto"/>
              <w:left w:val="single" w:sz="12" w:space="0" w:color="auto"/>
              <w:bottom w:val="single" w:sz="4" w:space="0" w:color="auto"/>
              <w:right w:val="single" w:sz="4" w:space="0" w:color="auto"/>
            </w:tcBorders>
            <w:hideMark/>
          </w:tcPr>
          <w:p w14:paraId="7E3B9B7C"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-2.1</w:t>
            </w:r>
          </w:p>
        </w:tc>
        <w:tc>
          <w:tcPr>
            <w:tcW w:w="1590" w:type="dxa"/>
            <w:tcBorders>
              <w:top w:val="single" w:sz="4" w:space="0" w:color="auto"/>
              <w:left w:val="single" w:sz="4" w:space="0" w:color="auto"/>
              <w:bottom w:val="single" w:sz="4" w:space="0" w:color="auto"/>
              <w:right w:val="single" w:sz="4" w:space="0" w:color="auto"/>
            </w:tcBorders>
            <w:hideMark/>
          </w:tcPr>
          <w:p w14:paraId="4FC8DFE7"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8.3</w:t>
            </w:r>
          </w:p>
        </w:tc>
      </w:tr>
      <w:tr w:rsidR="006F26AB" w:rsidRPr="006F26AB" w14:paraId="3D623945" w14:textId="77777777" w:rsidTr="007150F6">
        <w:tc>
          <w:tcPr>
            <w:tcW w:w="2552" w:type="dxa"/>
            <w:tcBorders>
              <w:top w:val="single" w:sz="4" w:space="0" w:color="auto"/>
              <w:left w:val="single" w:sz="4" w:space="0" w:color="auto"/>
              <w:bottom w:val="single" w:sz="4" w:space="0" w:color="auto"/>
              <w:right w:val="single" w:sz="4" w:space="0" w:color="auto"/>
            </w:tcBorders>
            <w:hideMark/>
          </w:tcPr>
          <w:p w14:paraId="5AE1E556" w14:textId="77777777" w:rsidR="006F26AB" w:rsidRPr="006F26AB" w:rsidRDefault="006F26AB" w:rsidP="006F26AB">
            <w:pPr>
              <w:spacing w:after="0" w:line="276" w:lineRule="auto"/>
              <w:rPr>
                <w:rFonts w:eastAsia="MS Gothic" w:cs="Arial"/>
                <w:color w:val="000000"/>
                <w:sz w:val="16"/>
                <w:szCs w:val="16"/>
                <w:lang w:val="en-US" w:eastAsia="ja-JP"/>
              </w:rPr>
            </w:pPr>
            <w:r w:rsidRPr="006F26AB">
              <w:rPr>
                <w:rFonts w:eastAsia="MS Gothic" w:cs="Arial"/>
                <w:color w:val="000000"/>
                <w:sz w:val="16"/>
                <w:szCs w:val="16"/>
                <w:lang w:eastAsia="en-AU"/>
              </w:rPr>
              <w:t>Non-HDL Cholesterol (mg/</w:t>
            </w:r>
            <w:proofErr w:type="spellStart"/>
            <w:r w:rsidRPr="006F26AB">
              <w:rPr>
                <w:rFonts w:eastAsia="MS Gothic" w:cs="Arial"/>
                <w:color w:val="000000"/>
                <w:sz w:val="16"/>
                <w:szCs w:val="16"/>
                <w:lang w:eastAsia="en-AU"/>
              </w:rPr>
              <w:t>dL</w:t>
            </w:r>
            <w:proofErr w:type="spellEnd"/>
            <w:r w:rsidRPr="006F26AB">
              <w:rPr>
                <w:rFonts w:eastAsia="MS Gothic" w:cs="Arial"/>
                <w:color w:val="000000"/>
                <w:sz w:val="16"/>
                <w:szCs w:val="16"/>
                <w:lang w:eastAsia="en-AU"/>
              </w:rPr>
              <w:t>)*</w:t>
            </w:r>
          </w:p>
        </w:tc>
        <w:tc>
          <w:tcPr>
            <w:tcW w:w="1653" w:type="dxa"/>
            <w:tcBorders>
              <w:top w:val="single" w:sz="4" w:space="0" w:color="auto"/>
              <w:left w:val="single" w:sz="4" w:space="0" w:color="auto"/>
              <w:bottom w:val="single" w:sz="4" w:space="0" w:color="auto"/>
              <w:right w:val="single" w:sz="4" w:space="0" w:color="auto"/>
            </w:tcBorders>
            <w:hideMark/>
          </w:tcPr>
          <w:p w14:paraId="2727EEFB"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-5.4</w:t>
            </w:r>
          </w:p>
        </w:tc>
        <w:tc>
          <w:tcPr>
            <w:tcW w:w="1604" w:type="dxa"/>
            <w:tcBorders>
              <w:top w:val="single" w:sz="4" w:space="0" w:color="auto"/>
              <w:left w:val="single" w:sz="4" w:space="0" w:color="auto"/>
              <w:bottom w:val="single" w:sz="4" w:space="0" w:color="auto"/>
              <w:right w:val="single" w:sz="12" w:space="0" w:color="auto"/>
            </w:tcBorders>
            <w:hideMark/>
          </w:tcPr>
          <w:p w14:paraId="4207EBC0"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13.7</w:t>
            </w:r>
          </w:p>
        </w:tc>
        <w:tc>
          <w:tcPr>
            <w:tcW w:w="1673" w:type="dxa"/>
            <w:tcBorders>
              <w:top w:val="single" w:sz="4" w:space="0" w:color="auto"/>
              <w:left w:val="single" w:sz="12" w:space="0" w:color="auto"/>
              <w:bottom w:val="single" w:sz="4" w:space="0" w:color="auto"/>
              <w:right w:val="single" w:sz="4" w:space="0" w:color="auto"/>
            </w:tcBorders>
            <w:hideMark/>
          </w:tcPr>
          <w:p w14:paraId="44EBF30D"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-4.1</w:t>
            </w:r>
          </w:p>
        </w:tc>
        <w:tc>
          <w:tcPr>
            <w:tcW w:w="1590" w:type="dxa"/>
            <w:tcBorders>
              <w:top w:val="single" w:sz="4" w:space="0" w:color="auto"/>
              <w:left w:val="single" w:sz="4" w:space="0" w:color="auto"/>
              <w:bottom w:val="single" w:sz="4" w:space="0" w:color="auto"/>
              <w:right w:val="single" w:sz="4" w:space="0" w:color="auto"/>
            </w:tcBorders>
            <w:hideMark/>
          </w:tcPr>
          <w:p w14:paraId="2AD80C72"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12.7</w:t>
            </w:r>
          </w:p>
        </w:tc>
      </w:tr>
      <w:tr w:rsidR="006F26AB" w:rsidRPr="006F26AB" w14:paraId="0C2E5CBB" w14:textId="77777777" w:rsidTr="007150F6">
        <w:tc>
          <w:tcPr>
            <w:tcW w:w="2552" w:type="dxa"/>
            <w:tcBorders>
              <w:top w:val="single" w:sz="4" w:space="0" w:color="auto"/>
              <w:left w:val="single" w:sz="4" w:space="0" w:color="auto"/>
              <w:bottom w:val="single" w:sz="4" w:space="0" w:color="auto"/>
              <w:right w:val="single" w:sz="4" w:space="0" w:color="auto"/>
            </w:tcBorders>
            <w:hideMark/>
          </w:tcPr>
          <w:p w14:paraId="7C3BED52" w14:textId="77777777" w:rsidR="006F26AB" w:rsidRPr="006F26AB" w:rsidRDefault="006F26AB" w:rsidP="006F26AB">
            <w:pPr>
              <w:spacing w:after="0" w:line="276" w:lineRule="auto"/>
              <w:rPr>
                <w:rFonts w:eastAsia="MS Gothic" w:cs="Arial"/>
                <w:color w:val="000000"/>
                <w:sz w:val="16"/>
                <w:szCs w:val="16"/>
                <w:lang w:val="en-US" w:eastAsia="ja-JP"/>
              </w:rPr>
            </w:pPr>
            <w:r w:rsidRPr="006F26AB">
              <w:rPr>
                <w:rFonts w:eastAsia="MS Gothic" w:cs="Arial"/>
                <w:color w:val="000000"/>
                <w:sz w:val="16"/>
                <w:szCs w:val="16"/>
                <w:lang w:eastAsia="en-AU"/>
              </w:rPr>
              <w:t>Total Cholesterol (mg/</w:t>
            </w:r>
            <w:proofErr w:type="spellStart"/>
            <w:r w:rsidRPr="006F26AB">
              <w:rPr>
                <w:rFonts w:eastAsia="MS Gothic" w:cs="Arial"/>
                <w:color w:val="000000"/>
                <w:sz w:val="16"/>
                <w:szCs w:val="16"/>
                <w:lang w:eastAsia="en-AU"/>
              </w:rPr>
              <w:t>dL</w:t>
            </w:r>
            <w:proofErr w:type="spellEnd"/>
            <w:r w:rsidRPr="006F26AB">
              <w:rPr>
                <w:rFonts w:eastAsia="MS Gothic" w:cs="Arial"/>
                <w:color w:val="000000"/>
                <w:sz w:val="16"/>
                <w:szCs w:val="16"/>
                <w:lang w:eastAsia="en-AU"/>
              </w:rPr>
              <w:t>)</w:t>
            </w:r>
          </w:p>
        </w:tc>
        <w:tc>
          <w:tcPr>
            <w:tcW w:w="1653" w:type="dxa"/>
            <w:tcBorders>
              <w:top w:val="single" w:sz="4" w:space="0" w:color="auto"/>
              <w:left w:val="single" w:sz="4" w:space="0" w:color="auto"/>
              <w:bottom w:val="single" w:sz="4" w:space="0" w:color="auto"/>
              <w:right w:val="single" w:sz="4" w:space="0" w:color="auto"/>
            </w:tcBorders>
            <w:hideMark/>
          </w:tcPr>
          <w:p w14:paraId="220C5A27"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-1.4</w:t>
            </w:r>
          </w:p>
        </w:tc>
        <w:tc>
          <w:tcPr>
            <w:tcW w:w="1604" w:type="dxa"/>
            <w:tcBorders>
              <w:top w:val="single" w:sz="4" w:space="0" w:color="auto"/>
              <w:left w:val="single" w:sz="4" w:space="0" w:color="auto"/>
              <w:bottom w:val="single" w:sz="4" w:space="0" w:color="auto"/>
              <w:right w:val="single" w:sz="12" w:space="0" w:color="auto"/>
            </w:tcBorders>
            <w:hideMark/>
          </w:tcPr>
          <w:p w14:paraId="4EEB4B48"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18.0</w:t>
            </w:r>
          </w:p>
        </w:tc>
        <w:tc>
          <w:tcPr>
            <w:tcW w:w="1673" w:type="dxa"/>
            <w:tcBorders>
              <w:top w:val="single" w:sz="4" w:space="0" w:color="auto"/>
              <w:left w:val="single" w:sz="12" w:space="0" w:color="auto"/>
              <w:bottom w:val="single" w:sz="4" w:space="0" w:color="auto"/>
              <w:right w:val="single" w:sz="4" w:space="0" w:color="auto"/>
            </w:tcBorders>
            <w:hideMark/>
          </w:tcPr>
          <w:p w14:paraId="33B3DD14"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-2.2</w:t>
            </w:r>
          </w:p>
        </w:tc>
        <w:tc>
          <w:tcPr>
            <w:tcW w:w="1590" w:type="dxa"/>
            <w:tcBorders>
              <w:top w:val="single" w:sz="4" w:space="0" w:color="auto"/>
              <w:left w:val="single" w:sz="4" w:space="0" w:color="auto"/>
              <w:bottom w:val="single" w:sz="4" w:space="0" w:color="auto"/>
              <w:right w:val="single" w:sz="4" w:space="0" w:color="auto"/>
            </w:tcBorders>
            <w:hideMark/>
          </w:tcPr>
          <w:p w14:paraId="16350C87"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21.1</w:t>
            </w:r>
          </w:p>
        </w:tc>
      </w:tr>
      <w:tr w:rsidR="006F26AB" w:rsidRPr="006F26AB" w14:paraId="6EF62EA8" w14:textId="77777777" w:rsidTr="007150F6">
        <w:tc>
          <w:tcPr>
            <w:tcW w:w="2552" w:type="dxa"/>
            <w:tcBorders>
              <w:top w:val="single" w:sz="4" w:space="0" w:color="auto"/>
              <w:left w:val="single" w:sz="4" w:space="0" w:color="auto"/>
              <w:bottom w:val="single" w:sz="4" w:space="0" w:color="auto"/>
              <w:right w:val="single" w:sz="4" w:space="0" w:color="auto"/>
            </w:tcBorders>
            <w:hideMark/>
          </w:tcPr>
          <w:p w14:paraId="69A8228F" w14:textId="77777777" w:rsidR="006F26AB" w:rsidRPr="006F26AB" w:rsidRDefault="006F26AB" w:rsidP="006F26AB">
            <w:pPr>
              <w:spacing w:after="0" w:line="276" w:lineRule="auto"/>
              <w:rPr>
                <w:rFonts w:eastAsia="MS Gothic" w:cs="Arial"/>
                <w:color w:val="000000"/>
                <w:sz w:val="16"/>
                <w:szCs w:val="16"/>
                <w:lang w:val="en-US" w:eastAsia="ja-JP"/>
              </w:rPr>
            </w:pPr>
            <w:r w:rsidRPr="006F26AB">
              <w:rPr>
                <w:rFonts w:eastAsia="MS Gothic" w:cs="Arial"/>
                <w:color w:val="000000"/>
                <w:sz w:val="16"/>
                <w:szCs w:val="16"/>
                <w:lang w:eastAsia="en-AU"/>
              </w:rPr>
              <w:t>Triglycerides (mg/</w:t>
            </w:r>
            <w:proofErr w:type="spellStart"/>
            <w:r w:rsidRPr="006F26AB">
              <w:rPr>
                <w:rFonts w:eastAsia="MS Gothic" w:cs="Arial"/>
                <w:color w:val="000000"/>
                <w:sz w:val="16"/>
                <w:szCs w:val="16"/>
                <w:lang w:eastAsia="en-AU"/>
              </w:rPr>
              <w:t>dL</w:t>
            </w:r>
            <w:proofErr w:type="spellEnd"/>
            <w:r w:rsidRPr="006F26AB">
              <w:rPr>
                <w:rFonts w:eastAsia="MS Gothic" w:cs="Arial"/>
                <w:color w:val="000000"/>
                <w:sz w:val="16"/>
                <w:szCs w:val="16"/>
                <w:lang w:eastAsia="en-AU"/>
              </w:rPr>
              <w:t>)</w:t>
            </w:r>
          </w:p>
        </w:tc>
        <w:tc>
          <w:tcPr>
            <w:tcW w:w="1653" w:type="dxa"/>
            <w:tcBorders>
              <w:top w:val="single" w:sz="4" w:space="0" w:color="auto"/>
              <w:left w:val="single" w:sz="4" w:space="0" w:color="auto"/>
              <w:bottom w:val="single" w:sz="4" w:space="0" w:color="auto"/>
              <w:right w:val="single" w:sz="4" w:space="0" w:color="auto"/>
            </w:tcBorders>
            <w:hideMark/>
          </w:tcPr>
          <w:p w14:paraId="7242C3BA"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-3.1</w:t>
            </w:r>
          </w:p>
        </w:tc>
        <w:tc>
          <w:tcPr>
            <w:tcW w:w="1604" w:type="dxa"/>
            <w:tcBorders>
              <w:top w:val="single" w:sz="4" w:space="0" w:color="auto"/>
              <w:left w:val="single" w:sz="4" w:space="0" w:color="auto"/>
              <w:bottom w:val="single" w:sz="4" w:space="0" w:color="auto"/>
              <w:right w:val="single" w:sz="12" w:space="0" w:color="auto"/>
            </w:tcBorders>
            <w:hideMark/>
          </w:tcPr>
          <w:p w14:paraId="065BB979"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24.5</w:t>
            </w:r>
          </w:p>
        </w:tc>
        <w:tc>
          <w:tcPr>
            <w:tcW w:w="1673" w:type="dxa"/>
            <w:tcBorders>
              <w:top w:val="single" w:sz="4" w:space="0" w:color="auto"/>
              <w:left w:val="single" w:sz="12" w:space="0" w:color="auto"/>
              <w:bottom w:val="single" w:sz="4" w:space="0" w:color="auto"/>
              <w:right w:val="single" w:sz="4" w:space="0" w:color="auto"/>
            </w:tcBorders>
            <w:hideMark/>
          </w:tcPr>
          <w:p w14:paraId="07E71706"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-12.0</w:t>
            </w:r>
          </w:p>
        </w:tc>
        <w:tc>
          <w:tcPr>
            <w:tcW w:w="1590" w:type="dxa"/>
            <w:tcBorders>
              <w:top w:val="single" w:sz="4" w:space="0" w:color="auto"/>
              <w:left w:val="single" w:sz="4" w:space="0" w:color="auto"/>
              <w:bottom w:val="single" w:sz="4" w:space="0" w:color="auto"/>
              <w:right w:val="single" w:sz="4" w:space="0" w:color="auto"/>
            </w:tcBorders>
            <w:hideMark/>
          </w:tcPr>
          <w:p w14:paraId="476B0045"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21.6</w:t>
            </w:r>
          </w:p>
        </w:tc>
      </w:tr>
      <w:tr w:rsidR="006F26AB" w:rsidRPr="006F26AB" w14:paraId="69001A78" w14:textId="77777777" w:rsidTr="007150F6">
        <w:tc>
          <w:tcPr>
            <w:tcW w:w="2552" w:type="dxa"/>
            <w:tcBorders>
              <w:top w:val="single" w:sz="4" w:space="0" w:color="auto"/>
              <w:left w:val="single" w:sz="4" w:space="0" w:color="auto"/>
              <w:bottom w:val="single" w:sz="4" w:space="0" w:color="auto"/>
              <w:right w:val="single" w:sz="4" w:space="0" w:color="auto"/>
            </w:tcBorders>
            <w:hideMark/>
          </w:tcPr>
          <w:p w14:paraId="7568C9D4" w14:textId="77777777" w:rsidR="006F26AB" w:rsidRPr="006F26AB" w:rsidRDefault="006F26AB" w:rsidP="006F26AB">
            <w:pPr>
              <w:spacing w:after="0" w:line="276" w:lineRule="auto"/>
              <w:rPr>
                <w:rFonts w:eastAsia="MS Gothic" w:cs="Arial"/>
                <w:color w:val="000000"/>
                <w:sz w:val="16"/>
                <w:szCs w:val="16"/>
                <w:lang w:val="en-US" w:eastAsia="ja-JP"/>
              </w:rPr>
            </w:pPr>
            <w:r w:rsidRPr="006F26AB">
              <w:rPr>
                <w:rFonts w:eastAsia="MS Gothic" w:cs="Arial"/>
                <w:color w:val="000000"/>
                <w:sz w:val="16"/>
                <w:szCs w:val="16"/>
                <w:lang w:eastAsia="en-AU"/>
              </w:rPr>
              <w:t>HDL-Cholesterol (mg/</w:t>
            </w:r>
            <w:proofErr w:type="spellStart"/>
            <w:r w:rsidRPr="006F26AB">
              <w:rPr>
                <w:rFonts w:eastAsia="MS Gothic" w:cs="Arial"/>
                <w:color w:val="000000"/>
                <w:sz w:val="16"/>
                <w:szCs w:val="16"/>
                <w:lang w:eastAsia="en-AU"/>
              </w:rPr>
              <w:t>dL</w:t>
            </w:r>
            <w:proofErr w:type="spellEnd"/>
            <w:r w:rsidRPr="006F26AB">
              <w:rPr>
                <w:rFonts w:eastAsia="MS Gothic" w:cs="Arial"/>
                <w:color w:val="000000"/>
                <w:sz w:val="16"/>
                <w:szCs w:val="16"/>
                <w:lang w:eastAsia="en-AU"/>
              </w:rPr>
              <w:t>)</w:t>
            </w:r>
          </w:p>
        </w:tc>
        <w:tc>
          <w:tcPr>
            <w:tcW w:w="1653" w:type="dxa"/>
            <w:tcBorders>
              <w:top w:val="single" w:sz="4" w:space="0" w:color="auto"/>
              <w:left w:val="single" w:sz="4" w:space="0" w:color="auto"/>
              <w:bottom w:val="single" w:sz="4" w:space="0" w:color="auto"/>
              <w:right w:val="single" w:sz="4" w:space="0" w:color="auto"/>
            </w:tcBorders>
            <w:hideMark/>
          </w:tcPr>
          <w:p w14:paraId="5013D24F"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4.0</w:t>
            </w:r>
          </w:p>
        </w:tc>
        <w:tc>
          <w:tcPr>
            <w:tcW w:w="1604" w:type="dxa"/>
            <w:tcBorders>
              <w:top w:val="single" w:sz="4" w:space="0" w:color="auto"/>
              <w:left w:val="single" w:sz="4" w:space="0" w:color="auto"/>
              <w:bottom w:val="single" w:sz="4" w:space="0" w:color="auto"/>
              <w:right w:val="single" w:sz="12" w:space="0" w:color="auto"/>
            </w:tcBorders>
            <w:hideMark/>
          </w:tcPr>
          <w:p w14:paraId="23780A20"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4.3</w:t>
            </w:r>
          </w:p>
        </w:tc>
        <w:tc>
          <w:tcPr>
            <w:tcW w:w="1673" w:type="dxa"/>
            <w:tcBorders>
              <w:top w:val="single" w:sz="4" w:space="0" w:color="auto"/>
              <w:left w:val="single" w:sz="12" w:space="0" w:color="auto"/>
              <w:bottom w:val="single" w:sz="4" w:space="0" w:color="auto"/>
              <w:right w:val="single" w:sz="4" w:space="0" w:color="auto"/>
            </w:tcBorders>
            <w:hideMark/>
          </w:tcPr>
          <w:p w14:paraId="4F2936E7"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1.8</w:t>
            </w:r>
          </w:p>
        </w:tc>
        <w:tc>
          <w:tcPr>
            <w:tcW w:w="1590" w:type="dxa"/>
            <w:tcBorders>
              <w:top w:val="single" w:sz="4" w:space="0" w:color="auto"/>
              <w:left w:val="single" w:sz="4" w:space="0" w:color="auto"/>
              <w:bottom w:val="single" w:sz="4" w:space="0" w:color="auto"/>
              <w:right w:val="single" w:sz="4" w:space="0" w:color="auto"/>
            </w:tcBorders>
            <w:hideMark/>
          </w:tcPr>
          <w:p w14:paraId="7B2C2E7B"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MS Gothic" w:cs="Arial"/>
                <w:color w:val="000000"/>
                <w:sz w:val="16"/>
                <w:szCs w:val="16"/>
                <w:lang w:eastAsia="en-AU"/>
              </w:rPr>
              <w:t>8.4</w:t>
            </w:r>
          </w:p>
        </w:tc>
      </w:tr>
      <w:tr w:rsidR="006F26AB" w:rsidRPr="006F26AB" w14:paraId="24D4D0CF" w14:textId="77777777" w:rsidTr="007150F6">
        <w:tc>
          <w:tcPr>
            <w:tcW w:w="9072" w:type="dxa"/>
            <w:gridSpan w:val="5"/>
            <w:tcBorders>
              <w:top w:val="single" w:sz="4" w:space="0" w:color="auto"/>
              <w:left w:val="single" w:sz="4" w:space="0" w:color="auto"/>
              <w:bottom w:val="single" w:sz="4" w:space="0" w:color="auto"/>
              <w:right w:val="single" w:sz="4" w:space="0" w:color="auto"/>
            </w:tcBorders>
            <w:hideMark/>
          </w:tcPr>
          <w:p w14:paraId="44045C1D" w14:textId="4F6130CC" w:rsidR="006F26AB" w:rsidRPr="006F26AB" w:rsidRDefault="006F26AB" w:rsidP="006F26AB">
            <w:pPr>
              <w:spacing w:after="0" w:line="276" w:lineRule="auto"/>
              <w:rPr>
                <w:rFonts w:eastAsia="MS Gothic" w:cs="Arial"/>
                <w:color w:val="000000"/>
                <w:sz w:val="16"/>
                <w:szCs w:val="16"/>
                <w:lang w:val="en-US" w:eastAsia="ja-JP"/>
              </w:rPr>
            </w:pPr>
            <w:r w:rsidRPr="006F26AB">
              <w:rPr>
                <w:rFonts w:eastAsia="MS Gothic" w:cs="Arial"/>
                <w:color w:val="000000"/>
                <w:sz w:val="16"/>
                <w:szCs w:val="16"/>
                <w:lang w:eastAsia="en-AU"/>
              </w:rPr>
              <w:t>Subjects on lipid-lowering agents at baseline were excluded from these analyses (in DRIVE-FORWARD: doravirine-</w:t>
            </w:r>
            <w:r w:rsidR="00C54C73">
              <w:rPr>
                <w:rFonts w:eastAsia="MS Gothic" w:cs="Arial"/>
                <w:color w:val="000000"/>
                <w:sz w:val="16"/>
                <w:szCs w:val="16"/>
                <w:lang w:eastAsia="en-AU"/>
              </w:rPr>
              <w:t>PIFELTRO</w:t>
            </w:r>
            <w:r w:rsidRPr="006F26AB">
              <w:rPr>
                <w:rFonts w:eastAsia="MS Gothic" w:cs="Arial"/>
                <w:color w:val="000000"/>
                <w:sz w:val="16"/>
                <w:szCs w:val="16"/>
                <w:lang w:eastAsia="en-AU"/>
              </w:rPr>
              <w:t xml:space="preserve"> n=12 and </w:t>
            </w:r>
            <w:proofErr w:type="spellStart"/>
            <w:r w:rsidRPr="006F26AB">
              <w:rPr>
                <w:rFonts w:eastAsia="MS Gothic" w:cs="Arial"/>
                <w:color w:val="000000"/>
                <w:sz w:val="16"/>
                <w:szCs w:val="16"/>
                <w:lang w:eastAsia="en-AU"/>
              </w:rPr>
              <w:t>DRV+r</w:t>
            </w:r>
            <w:proofErr w:type="spellEnd"/>
            <w:r w:rsidRPr="006F26AB">
              <w:rPr>
                <w:rFonts w:eastAsia="MS Gothic" w:cs="Arial"/>
                <w:color w:val="000000"/>
                <w:sz w:val="16"/>
                <w:szCs w:val="16"/>
                <w:lang w:eastAsia="en-AU"/>
              </w:rPr>
              <w:t xml:space="preserve"> n=14; in </w:t>
            </w:r>
            <w:r w:rsidRPr="006F26AB">
              <w:rPr>
                <w:rFonts w:eastAsia="Calibri" w:cs="Arial"/>
                <w:sz w:val="16"/>
                <w:szCs w:val="16"/>
                <w:lang w:eastAsia="en-AU" w:bidi="th-TH"/>
              </w:rPr>
              <w:t>DRIVE-AHEAD</w:t>
            </w:r>
            <w:r w:rsidRPr="006F26AB">
              <w:rPr>
                <w:rFonts w:eastAsia="MS Gothic" w:cs="Arial"/>
                <w:color w:val="000000"/>
                <w:sz w:val="16"/>
                <w:szCs w:val="16"/>
                <w:lang w:eastAsia="en-AU"/>
              </w:rPr>
              <w:t xml:space="preserve">: </w:t>
            </w:r>
            <w:r w:rsidR="00B836DC">
              <w:rPr>
                <w:rFonts w:eastAsia="MS Gothic" w:cs="Arial"/>
                <w:color w:val="000000"/>
                <w:sz w:val="16"/>
                <w:szCs w:val="16"/>
                <w:lang w:eastAsia="en-AU"/>
              </w:rPr>
              <w:t>DELSTRIGO</w:t>
            </w:r>
            <w:r w:rsidRPr="006F26AB">
              <w:rPr>
                <w:rFonts w:eastAsia="MS Gothic" w:cs="Arial"/>
                <w:color w:val="000000"/>
                <w:sz w:val="16"/>
                <w:szCs w:val="16"/>
                <w:lang w:eastAsia="en-AU"/>
              </w:rPr>
              <w:t xml:space="preserve"> n=15 and EFV/FTC/TDF n=10). Subjects initiating a lipid-lowering agent post-baseline had their last fasted on-treatment value (prior to starting the agent) carried forward (in DRIVE-FORWARD: doravirine-</w:t>
            </w:r>
            <w:r w:rsidR="00C54C73">
              <w:rPr>
                <w:rFonts w:eastAsia="MS Gothic" w:cs="Arial"/>
                <w:color w:val="000000"/>
                <w:sz w:val="16"/>
                <w:szCs w:val="16"/>
                <w:lang w:eastAsia="en-AU"/>
              </w:rPr>
              <w:t>PIFELTRO</w:t>
            </w:r>
            <w:r w:rsidRPr="006F26AB">
              <w:rPr>
                <w:rFonts w:eastAsia="MS Gothic" w:cs="Arial"/>
                <w:color w:val="000000"/>
                <w:sz w:val="16"/>
                <w:szCs w:val="16"/>
                <w:lang w:eastAsia="en-AU"/>
              </w:rPr>
              <w:t xml:space="preserve"> n=6 and </w:t>
            </w:r>
            <w:proofErr w:type="spellStart"/>
            <w:r w:rsidRPr="006F26AB">
              <w:rPr>
                <w:rFonts w:eastAsia="MS Gothic" w:cs="Arial"/>
                <w:color w:val="000000"/>
                <w:sz w:val="16"/>
                <w:szCs w:val="16"/>
                <w:lang w:eastAsia="en-AU"/>
              </w:rPr>
              <w:t>DRV+r</w:t>
            </w:r>
            <w:proofErr w:type="spellEnd"/>
            <w:r w:rsidRPr="006F26AB">
              <w:rPr>
                <w:rFonts w:eastAsia="MS Gothic" w:cs="Arial"/>
                <w:color w:val="000000"/>
                <w:sz w:val="16"/>
                <w:szCs w:val="16"/>
                <w:lang w:eastAsia="en-AU"/>
              </w:rPr>
              <w:t xml:space="preserve"> n=4; in </w:t>
            </w:r>
            <w:r w:rsidRPr="006F26AB">
              <w:rPr>
                <w:rFonts w:eastAsia="Calibri" w:cs="Arial"/>
                <w:sz w:val="16"/>
                <w:szCs w:val="16"/>
                <w:lang w:eastAsia="en-AU" w:bidi="th-TH"/>
              </w:rPr>
              <w:t>DRIVE-AHEAD:</w:t>
            </w:r>
            <w:r w:rsidRPr="006F26AB">
              <w:rPr>
                <w:rFonts w:eastAsia="Calibri" w:cs="Times New Roman"/>
                <w:sz w:val="16"/>
                <w:szCs w:val="16"/>
                <w:lang w:eastAsia="en-AU"/>
              </w:rPr>
              <w:t xml:space="preserve"> </w:t>
            </w:r>
            <w:r w:rsidR="00B836DC">
              <w:rPr>
                <w:rFonts w:eastAsia="MS Gothic" w:cs="Arial"/>
                <w:color w:val="000000"/>
                <w:sz w:val="16"/>
                <w:szCs w:val="16"/>
                <w:lang w:eastAsia="en-AU"/>
              </w:rPr>
              <w:t>DELSTRIGO</w:t>
            </w:r>
            <w:r w:rsidRPr="006F26AB">
              <w:rPr>
                <w:rFonts w:eastAsia="MS Gothic" w:cs="Arial"/>
                <w:color w:val="000000"/>
                <w:sz w:val="16"/>
                <w:szCs w:val="16"/>
                <w:lang w:eastAsia="en-AU"/>
              </w:rPr>
              <w:t xml:space="preserve"> n=3 and EFV/FTC/TDF n=8).</w:t>
            </w:r>
          </w:p>
          <w:p w14:paraId="764E9B4D" w14:textId="77777777" w:rsidR="006F26AB" w:rsidRPr="006F26AB" w:rsidRDefault="006F26AB" w:rsidP="006F26AB">
            <w:pPr>
              <w:spacing w:after="0" w:line="276" w:lineRule="auto"/>
              <w:rPr>
                <w:rFonts w:eastAsia="MS Gothic" w:cs="Arial"/>
                <w:color w:val="000000"/>
                <w:sz w:val="16"/>
                <w:szCs w:val="16"/>
                <w:lang w:eastAsia="en-AU"/>
              </w:rPr>
            </w:pPr>
            <w:r w:rsidRPr="006F26AB">
              <w:rPr>
                <w:rFonts w:eastAsia="MS Gothic" w:cs="Arial"/>
                <w:color w:val="000000"/>
                <w:sz w:val="16"/>
                <w:szCs w:val="16"/>
                <w:lang w:eastAsia="en-AU"/>
              </w:rPr>
              <w:t xml:space="preserve">*P-values for the pre-specified hypothesis testing for treatment difference were &lt;0.0001 in both DRIVE-FORWARD and </w:t>
            </w:r>
            <w:r w:rsidRPr="006F26AB">
              <w:rPr>
                <w:rFonts w:eastAsia="Calibri" w:cs="Arial"/>
                <w:sz w:val="16"/>
                <w:szCs w:val="16"/>
                <w:lang w:eastAsia="en-AU" w:bidi="th-TH"/>
              </w:rPr>
              <w:t>DRIVE-AHEAD</w:t>
            </w:r>
            <w:r w:rsidRPr="006F26AB">
              <w:rPr>
                <w:rFonts w:eastAsia="MS Gothic" w:cs="Arial"/>
                <w:color w:val="000000"/>
                <w:sz w:val="16"/>
                <w:szCs w:val="16"/>
                <w:lang w:eastAsia="en-AU"/>
              </w:rPr>
              <w:t>.</w:t>
            </w:r>
          </w:p>
          <w:p w14:paraId="40A8BFD9" w14:textId="77777777" w:rsidR="006F26AB" w:rsidRPr="006F26AB" w:rsidRDefault="006F26AB" w:rsidP="006F26AB">
            <w:pPr>
              <w:spacing w:after="0" w:line="276" w:lineRule="auto"/>
              <w:rPr>
                <w:rFonts w:eastAsia="MS Gothic" w:cs="Arial"/>
                <w:color w:val="000000"/>
                <w:sz w:val="16"/>
                <w:szCs w:val="16"/>
                <w:lang w:val="en-US" w:eastAsia="ja-JP"/>
              </w:rPr>
            </w:pPr>
            <w:r w:rsidRPr="006F26AB">
              <w:rPr>
                <w:rFonts w:eastAsia="Calibri" w:cs="Arial"/>
                <w:sz w:val="16"/>
                <w:szCs w:val="16"/>
                <w:lang w:eastAsia="en-AU"/>
              </w:rPr>
              <w:t xml:space="preserve">Note: NRTIs = FTC/TDF </w:t>
            </w:r>
            <w:r w:rsidRPr="006F26AB">
              <w:rPr>
                <w:rFonts w:eastAsia="Calibri" w:cs="Arial"/>
                <w:color w:val="1A1A1A"/>
                <w:sz w:val="16"/>
                <w:szCs w:val="16"/>
                <w:lang w:eastAsia="en-AU"/>
              </w:rPr>
              <w:t>or ABC/3TC</w:t>
            </w:r>
            <w:r w:rsidRPr="006F26AB">
              <w:rPr>
                <w:rFonts w:eastAsia="Calibri" w:cs="Arial"/>
                <w:sz w:val="16"/>
                <w:szCs w:val="16"/>
                <w:lang w:eastAsia="en-AU"/>
              </w:rPr>
              <w:t>.</w:t>
            </w:r>
          </w:p>
        </w:tc>
      </w:tr>
    </w:tbl>
    <w:p w14:paraId="135B5B09" w14:textId="77777777" w:rsidR="006F26AB" w:rsidRDefault="006F26AB" w:rsidP="00C90032">
      <w:pPr>
        <w:rPr>
          <w:b/>
          <w:szCs w:val="20"/>
        </w:rPr>
      </w:pPr>
    </w:p>
    <w:p w14:paraId="2123A0A4" w14:textId="77777777" w:rsidR="00C90032" w:rsidRDefault="00C90032" w:rsidP="00C90032">
      <w:pPr>
        <w:rPr>
          <w:u w:val="single"/>
        </w:rPr>
      </w:pPr>
      <w:r w:rsidRPr="00C90032">
        <w:rPr>
          <w:u w:val="single"/>
        </w:rPr>
        <w:t>Neuropsychiatric Adverse Events</w:t>
      </w:r>
    </w:p>
    <w:p w14:paraId="17EEFE45" w14:textId="5E99D7E7" w:rsidR="006F26AB" w:rsidRDefault="006F26AB" w:rsidP="006F26AB">
      <w:r>
        <w:t xml:space="preserve">For DRIVE-AHEAD, the analysis of subjects with neuropsychiatric adverse events by Week 48 is presented in </w:t>
      </w:r>
      <w:r w:rsidRPr="00600D44">
        <w:t xml:space="preserve">Table </w:t>
      </w:r>
      <w:r w:rsidR="002C24E2">
        <w:t>5</w:t>
      </w:r>
      <w:r>
        <w:t xml:space="preserve">. A statistically significantly lower proportion of </w:t>
      </w:r>
      <w:r w:rsidR="00B836DC">
        <w:t>DELSTRIGO</w:t>
      </w:r>
      <w:r>
        <w:t>-treated subjects compared to EFV/FTC/TDF-treated subjects reported neuropsychiatric adverse events by Week 48 in the three pre-specified categories of dizziness, sleep disorders and disturbances, and altered sensorium.</w:t>
      </w:r>
    </w:p>
    <w:p w14:paraId="32C026D6" w14:textId="6C748866" w:rsidR="006F26AB" w:rsidRDefault="006F26AB" w:rsidP="006F26AB">
      <w:pPr>
        <w:jc w:val="center"/>
        <w:rPr>
          <w:b/>
        </w:rPr>
      </w:pPr>
      <w:r w:rsidRPr="006F26AB">
        <w:rPr>
          <w:b/>
        </w:rPr>
        <w:lastRenderedPageBreak/>
        <w:t xml:space="preserve">Table </w:t>
      </w:r>
      <w:r w:rsidR="002C24E2">
        <w:rPr>
          <w:b/>
        </w:rPr>
        <w:t>5</w:t>
      </w:r>
      <w:r w:rsidRPr="006F26AB">
        <w:rPr>
          <w:b/>
        </w:rPr>
        <w:t>: DRIVE-AHEAD - Analysis of Subjects with Neuropsychiatric Adverse Events (Week 48)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651"/>
        <w:gridCol w:w="1650"/>
        <w:gridCol w:w="1786"/>
        <w:gridCol w:w="1470"/>
      </w:tblGrid>
      <w:tr w:rsidR="006F26AB" w:rsidRPr="006F26AB" w14:paraId="105E327E" w14:textId="77777777" w:rsidTr="007150F6">
        <w:tc>
          <w:tcPr>
            <w:tcW w:w="2577" w:type="dxa"/>
            <w:tcBorders>
              <w:top w:val="single" w:sz="4" w:space="0" w:color="auto"/>
              <w:left w:val="single" w:sz="4" w:space="0" w:color="auto"/>
              <w:bottom w:val="single" w:sz="4" w:space="0" w:color="auto"/>
              <w:right w:val="single" w:sz="4" w:space="0" w:color="auto"/>
            </w:tcBorders>
            <w:vAlign w:val="center"/>
            <w:hideMark/>
          </w:tcPr>
          <w:p w14:paraId="1F957CB1" w14:textId="77777777" w:rsidR="006F26AB" w:rsidRPr="006F26AB" w:rsidRDefault="006F26AB" w:rsidP="006F26AB">
            <w:pPr>
              <w:spacing w:after="80" w:line="276" w:lineRule="auto"/>
              <w:rPr>
                <w:rFonts w:ascii="Times New Roman" w:eastAsia="Calibri" w:hAnsi="Times New Roman" w:cs="Times New Roman"/>
                <w:lang w:eastAsia="en-AU"/>
              </w:rPr>
            </w:pPr>
          </w:p>
        </w:tc>
        <w:tc>
          <w:tcPr>
            <w:tcW w:w="1651" w:type="dxa"/>
            <w:tcBorders>
              <w:top w:val="single" w:sz="4" w:space="0" w:color="auto"/>
              <w:left w:val="single" w:sz="4" w:space="0" w:color="auto"/>
              <w:bottom w:val="single" w:sz="4" w:space="0" w:color="auto"/>
              <w:right w:val="single" w:sz="4" w:space="0" w:color="auto"/>
            </w:tcBorders>
            <w:vAlign w:val="center"/>
          </w:tcPr>
          <w:p w14:paraId="44DD5849"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p>
          <w:p w14:paraId="7A90B505"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p>
          <w:p w14:paraId="1C7D6C1E"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p>
          <w:p w14:paraId="12A97293" w14:textId="4EFC91EF" w:rsidR="006F26AB" w:rsidRPr="006F26AB" w:rsidRDefault="00B836DC" w:rsidP="006F26AB">
            <w:pPr>
              <w:widowControl w:val="0"/>
              <w:autoSpaceDE w:val="0"/>
              <w:autoSpaceDN w:val="0"/>
              <w:adjustRightInd w:val="0"/>
              <w:spacing w:after="0" w:line="276" w:lineRule="auto"/>
              <w:jc w:val="center"/>
              <w:rPr>
                <w:rFonts w:eastAsia="Calibri" w:cs="Arial"/>
                <w:b/>
                <w:sz w:val="16"/>
                <w:szCs w:val="16"/>
                <w:lang w:eastAsia="en-AU"/>
              </w:rPr>
            </w:pPr>
            <w:r>
              <w:rPr>
                <w:rFonts w:eastAsia="Calibri" w:cs="Arial"/>
                <w:b/>
                <w:sz w:val="16"/>
                <w:szCs w:val="16"/>
                <w:lang w:eastAsia="en-AU"/>
              </w:rPr>
              <w:t>DELSTRIGO</w:t>
            </w:r>
          </w:p>
          <w:p w14:paraId="099D234F"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b/>
                <w:sz w:val="16"/>
                <w:szCs w:val="16"/>
                <w:lang w:eastAsia="en-AU"/>
              </w:rPr>
              <w:t>Once Daily</w:t>
            </w:r>
          </w:p>
        </w:tc>
        <w:tc>
          <w:tcPr>
            <w:tcW w:w="1650" w:type="dxa"/>
            <w:tcBorders>
              <w:top w:val="single" w:sz="4" w:space="0" w:color="auto"/>
              <w:left w:val="single" w:sz="4" w:space="0" w:color="auto"/>
              <w:bottom w:val="single" w:sz="4" w:space="0" w:color="auto"/>
              <w:right w:val="single" w:sz="4" w:space="0" w:color="auto"/>
            </w:tcBorders>
            <w:vAlign w:val="center"/>
          </w:tcPr>
          <w:p w14:paraId="6C604020"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p>
          <w:p w14:paraId="4388EED5"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p>
          <w:p w14:paraId="773F27BC"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p>
          <w:p w14:paraId="4CE446A4"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r w:rsidRPr="006F26AB">
              <w:rPr>
                <w:rFonts w:eastAsia="Calibri" w:cs="Arial"/>
                <w:b/>
                <w:sz w:val="16"/>
                <w:szCs w:val="16"/>
                <w:lang w:eastAsia="en-AU"/>
              </w:rPr>
              <w:t>EFV/FTC/TDF</w:t>
            </w:r>
          </w:p>
          <w:p w14:paraId="6C76D845"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b/>
                <w:sz w:val="16"/>
                <w:szCs w:val="16"/>
                <w:lang w:eastAsia="en-AU"/>
              </w:rPr>
              <w:t>Once Daily</w:t>
            </w:r>
          </w:p>
        </w:tc>
        <w:tc>
          <w:tcPr>
            <w:tcW w:w="1786" w:type="dxa"/>
            <w:tcBorders>
              <w:top w:val="single" w:sz="4" w:space="0" w:color="auto"/>
              <w:left w:val="single" w:sz="4" w:space="0" w:color="auto"/>
              <w:bottom w:val="single" w:sz="4" w:space="0" w:color="auto"/>
              <w:right w:val="single" w:sz="4" w:space="0" w:color="auto"/>
            </w:tcBorders>
            <w:vAlign w:val="center"/>
          </w:tcPr>
          <w:p w14:paraId="2653AEFA"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p>
          <w:p w14:paraId="736C737A"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r w:rsidRPr="006F26AB">
              <w:rPr>
                <w:rFonts w:eastAsia="Calibri" w:cs="Arial"/>
                <w:b/>
                <w:sz w:val="16"/>
                <w:szCs w:val="16"/>
                <w:lang w:eastAsia="en-AU"/>
              </w:rPr>
              <w:t>Treatment</w:t>
            </w:r>
          </w:p>
          <w:p w14:paraId="2296F42D"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r w:rsidRPr="006F26AB">
              <w:rPr>
                <w:rFonts w:eastAsia="Calibri" w:cs="Arial"/>
                <w:b/>
                <w:sz w:val="16"/>
                <w:szCs w:val="16"/>
                <w:lang w:eastAsia="en-AU"/>
              </w:rPr>
              <w:t>Difference</w:t>
            </w:r>
          </w:p>
          <w:p w14:paraId="1422288F" w14:textId="4A774F92"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r w:rsidRPr="006F26AB">
              <w:rPr>
                <w:rFonts w:eastAsia="Calibri" w:cs="Arial"/>
                <w:b/>
                <w:sz w:val="16"/>
                <w:szCs w:val="16"/>
                <w:lang w:eastAsia="en-AU"/>
              </w:rPr>
              <w:t>(</w:t>
            </w:r>
            <w:r w:rsidR="00B836DC">
              <w:rPr>
                <w:rFonts w:eastAsia="Calibri" w:cs="Arial"/>
                <w:b/>
                <w:sz w:val="16"/>
                <w:szCs w:val="16"/>
                <w:lang w:eastAsia="en-AU"/>
              </w:rPr>
              <w:t>DELSTRIGO</w:t>
            </w:r>
          </w:p>
          <w:p w14:paraId="7D7AB0FD"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eastAsia="en-AU"/>
              </w:rPr>
            </w:pPr>
            <w:r w:rsidRPr="006F26AB">
              <w:rPr>
                <w:rFonts w:eastAsia="Calibri" w:cs="Arial"/>
                <w:b/>
                <w:sz w:val="16"/>
                <w:szCs w:val="16"/>
                <w:lang w:eastAsia="en-AU"/>
              </w:rPr>
              <w:t>- EFV/FTC/TDF)</w:t>
            </w:r>
          </w:p>
          <w:p w14:paraId="66E4DF35"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b/>
                <w:sz w:val="16"/>
                <w:szCs w:val="16"/>
                <w:lang w:eastAsia="en-AU"/>
              </w:rPr>
              <w:t>Estimate (95% CI)</w:t>
            </w:r>
            <w:r w:rsidRPr="006F26AB">
              <w:rPr>
                <w:rFonts w:eastAsia="Calibri" w:cs="Arial"/>
                <w:sz w:val="16"/>
                <w:szCs w:val="16"/>
                <w:lang w:eastAsia="en-AU"/>
              </w:rPr>
              <w:t>*</w:t>
            </w:r>
          </w:p>
        </w:tc>
        <w:tc>
          <w:tcPr>
            <w:tcW w:w="1470" w:type="dxa"/>
            <w:tcBorders>
              <w:top w:val="single" w:sz="4" w:space="0" w:color="auto"/>
              <w:left w:val="single" w:sz="4" w:space="0" w:color="auto"/>
              <w:bottom w:val="single" w:sz="4" w:space="0" w:color="auto"/>
              <w:right w:val="single" w:sz="4" w:space="0" w:color="auto"/>
            </w:tcBorders>
            <w:vAlign w:val="center"/>
          </w:tcPr>
          <w:p w14:paraId="7553D37C" w14:textId="77777777" w:rsidR="006F26AB" w:rsidRPr="006F26AB" w:rsidRDefault="006F26AB" w:rsidP="006F26AB">
            <w:pPr>
              <w:spacing w:after="0" w:line="276" w:lineRule="auto"/>
              <w:jc w:val="center"/>
              <w:rPr>
                <w:rFonts w:eastAsia="Calibri" w:cs="Arial"/>
                <w:b/>
                <w:sz w:val="16"/>
                <w:szCs w:val="16"/>
                <w:lang w:val="en-US" w:eastAsia="ja-JP"/>
              </w:rPr>
            </w:pPr>
          </w:p>
          <w:p w14:paraId="2BE53715" w14:textId="77777777" w:rsidR="006F26AB" w:rsidRPr="006F26AB" w:rsidRDefault="006F26AB" w:rsidP="006F26AB">
            <w:pPr>
              <w:spacing w:after="0" w:line="276" w:lineRule="auto"/>
              <w:jc w:val="center"/>
              <w:rPr>
                <w:rFonts w:eastAsia="Calibri" w:cs="Arial"/>
                <w:b/>
                <w:sz w:val="16"/>
                <w:szCs w:val="16"/>
                <w:lang w:eastAsia="en-AU"/>
              </w:rPr>
            </w:pPr>
          </w:p>
          <w:p w14:paraId="137EDDD9" w14:textId="77777777" w:rsidR="006F26AB" w:rsidRPr="006F26AB" w:rsidRDefault="006F26AB" w:rsidP="006F26AB">
            <w:pPr>
              <w:spacing w:after="0" w:line="276" w:lineRule="auto"/>
              <w:jc w:val="center"/>
              <w:rPr>
                <w:rFonts w:eastAsia="Calibri" w:cs="Arial"/>
                <w:b/>
                <w:sz w:val="16"/>
                <w:szCs w:val="16"/>
                <w:lang w:eastAsia="en-AU"/>
              </w:rPr>
            </w:pPr>
          </w:p>
          <w:p w14:paraId="051190AC" w14:textId="77777777" w:rsidR="006F26AB" w:rsidRPr="006F26AB" w:rsidRDefault="006F26AB" w:rsidP="006F26AB">
            <w:pPr>
              <w:spacing w:after="0" w:line="276" w:lineRule="auto"/>
              <w:jc w:val="center"/>
              <w:rPr>
                <w:rFonts w:eastAsia="Calibri" w:cs="Arial"/>
                <w:b/>
                <w:sz w:val="16"/>
                <w:szCs w:val="16"/>
                <w:lang w:eastAsia="en-AU"/>
              </w:rPr>
            </w:pPr>
            <w:r w:rsidRPr="006F26AB">
              <w:rPr>
                <w:rFonts w:eastAsia="Calibri" w:cs="Arial"/>
                <w:b/>
                <w:sz w:val="16"/>
                <w:szCs w:val="16"/>
                <w:lang w:eastAsia="en-AU"/>
              </w:rPr>
              <w:t>2-Sided</w:t>
            </w:r>
          </w:p>
          <w:p w14:paraId="0DE7CADD" w14:textId="77777777" w:rsidR="006F26AB" w:rsidRPr="006F26AB" w:rsidRDefault="006F26AB" w:rsidP="006F26AB">
            <w:pPr>
              <w:spacing w:after="0" w:line="276" w:lineRule="auto"/>
              <w:jc w:val="center"/>
              <w:rPr>
                <w:rFonts w:eastAsia="MS Gothic" w:cs="Arial"/>
                <w:b/>
                <w:color w:val="000000"/>
                <w:sz w:val="16"/>
                <w:szCs w:val="16"/>
                <w:lang w:val="en-US" w:eastAsia="ja-JP"/>
              </w:rPr>
            </w:pPr>
            <w:r w:rsidRPr="006F26AB">
              <w:rPr>
                <w:rFonts w:eastAsia="Calibri" w:cs="Arial"/>
                <w:b/>
                <w:sz w:val="16"/>
                <w:szCs w:val="16"/>
                <w:lang w:eastAsia="en-AU"/>
              </w:rPr>
              <w:t>P-value</w:t>
            </w:r>
          </w:p>
        </w:tc>
      </w:tr>
      <w:tr w:rsidR="006F26AB" w:rsidRPr="006F26AB" w14:paraId="6B02C3A9" w14:textId="77777777" w:rsidTr="007150F6">
        <w:tc>
          <w:tcPr>
            <w:tcW w:w="2577" w:type="dxa"/>
            <w:tcBorders>
              <w:top w:val="single" w:sz="4" w:space="0" w:color="auto"/>
              <w:left w:val="single" w:sz="4" w:space="0" w:color="auto"/>
              <w:bottom w:val="single" w:sz="4" w:space="0" w:color="auto"/>
              <w:right w:val="single" w:sz="4" w:space="0" w:color="auto"/>
            </w:tcBorders>
            <w:vAlign w:val="center"/>
          </w:tcPr>
          <w:p w14:paraId="08C3B3B7" w14:textId="77777777" w:rsidR="006F26AB" w:rsidRPr="006F26AB" w:rsidRDefault="006F26AB" w:rsidP="006F26AB">
            <w:pPr>
              <w:spacing w:after="80" w:line="276" w:lineRule="auto"/>
              <w:rPr>
                <w:rFonts w:eastAsia="MS Gothic" w:cs="Arial"/>
                <w:b/>
                <w:color w:val="000000"/>
                <w:sz w:val="16"/>
                <w:szCs w:val="16"/>
                <w:lang w:val="en-US" w:eastAsia="ja-JP"/>
              </w:rPr>
            </w:pPr>
          </w:p>
        </w:tc>
        <w:tc>
          <w:tcPr>
            <w:tcW w:w="1651" w:type="dxa"/>
            <w:tcBorders>
              <w:top w:val="single" w:sz="4" w:space="0" w:color="auto"/>
              <w:left w:val="single" w:sz="4" w:space="0" w:color="auto"/>
              <w:bottom w:val="single" w:sz="4" w:space="0" w:color="auto"/>
              <w:right w:val="single" w:sz="4" w:space="0" w:color="auto"/>
            </w:tcBorders>
            <w:vAlign w:val="center"/>
            <w:hideMark/>
          </w:tcPr>
          <w:p w14:paraId="56D21FD6"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b/>
                <w:sz w:val="16"/>
                <w:szCs w:val="16"/>
                <w:lang w:eastAsia="en-AU"/>
              </w:rPr>
              <w:t>N=364</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61C42F6"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b/>
                <w:sz w:val="16"/>
                <w:szCs w:val="16"/>
                <w:lang w:eastAsia="en-AU"/>
              </w:rPr>
              <w:t>N=364</w:t>
            </w:r>
          </w:p>
        </w:tc>
        <w:tc>
          <w:tcPr>
            <w:tcW w:w="1786" w:type="dxa"/>
            <w:tcBorders>
              <w:top w:val="single" w:sz="4" w:space="0" w:color="auto"/>
              <w:left w:val="single" w:sz="4" w:space="0" w:color="auto"/>
              <w:bottom w:val="single" w:sz="4" w:space="0" w:color="auto"/>
              <w:right w:val="single" w:sz="4" w:space="0" w:color="auto"/>
            </w:tcBorders>
            <w:vAlign w:val="center"/>
          </w:tcPr>
          <w:p w14:paraId="1541B8A1"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p>
        </w:tc>
        <w:tc>
          <w:tcPr>
            <w:tcW w:w="1470" w:type="dxa"/>
            <w:tcBorders>
              <w:top w:val="single" w:sz="4" w:space="0" w:color="auto"/>
              <w:left w:val="single" w:sz="4" w:space="0" w:color="auto"/>
              <w:bottom w:val="single" w:sz="4" w:space="0" w:color="auto"/>
              <w:right w:val="single" w:sz="4" w:space="0" w:color="auto"/>
            </w:tcBorders>
            <w:vAlign w:val="center"/>
          </w:tcPr>
          <w:p w14:paraId="1554A320" w14:textId="77777777" w:rsidR="006F26AB" w:rsidRPr="006F26AB" w:rsidRDefault="006F26AB" w:rsidP="006F26AB">
            <w:pPr>
              <w:spacing w:after="0" w:line="276" w:lineRule="auto"/>
              <w:jc w:val="center"/>
              <w:rPr>
                <w:rFonts w:eastAsia="Calibri" w:cs="Arial"/>
                <w:b/>
                <w:sz w:val="16"/>
                <w:szCs w:val="16"/>
                <w:lang w:val="en-US" w:eastAsia="ja-JP"/>
              </w:rPr>
            </w:pPr>
          </w:p>
        </w:tc>
      </w:tr>
      <w:tr w:rsidR="006F26AB" w:rsidRPr="006F26AB" w14:paraId="32DAA41D" w14:textId="77777777" w:rsidTr="007150F6">
        <w:tc>
          <w:tcPr>
            <w:tcW w:w="2577" w:type="dxa"/>
            <w:tcBorders>
              <w:top w:val="single" w:sz="4" w:space="0" w:color="auto"/>
              <w:left w:val="single" w:sz="4" w:space="0" w:color="auto"/>
              <w:bottom w:val="single" w:sz="4" w:space="0" w:color="auto"/>
              <w:right w:val="single" w:sz="4" w:space="0" w:color="auto"/>
            </w:tcBorders>
            <w:vAlign w:val="center"/>
            <w:hideMark/>
          </w:tcPr>
          <w:p w14:paraId="64191DB5" w14:textId="77777777" w:rsidR="006F26AB" w:rsidRPr="006F26AB" w:rsidRDefault="006F26AB" w:rsidP="006F26AB">
            <w:pPr>
              <w:spacing w:after="0" w:line="276" w:lineRule="auto"/>
              <w:jc w:val="left"/>
              <w:rPr>
                <w:rFonts w:eastAsia="MS Gothic" w:cs="Arial"/>
                <w:color w:val="000000"/>
                <w:sz w:val="16"/>
                <w:szCs w:val="16"/>
                <w:lang w:val="en-US" w:eastAsia="ja-JP"/>
              </w:rPr>
            </w:pPr>
            <w:r w:rsidRPr="006F26AB">
              <w:rPr>
                <w:rFonts w:eastAsia="Calibri" w:cs="Arial"/>
                <w:sz w:val="16"/>
                <w:szCs w:val="16"/>
                <w:lang w:eastAsia="en-AU"/>
              </w:rPr>
              <w:t>Subjects with one or more neuropsychiatric adverse events</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2959793"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sz w:val="16"/>
                <w:szCs w:val="16"/>
                <w:lang w:eastAsia="en-AU"/>
              </w:rPr>
              <w:t>24%</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FE4AEAE"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sz w:val="16"/>
                <w:szCs w:val="16"/>
                <w:lang w:eastAsia="en-AU"/>
              </w:rPr>
              <w:t>57%</w:t>
            </w:r>
          </w:p>
        </w:tc>
        <w:tc>
          <w:tcPr>
            <w:tcW w:w="1786" w:type="dxa"/>
            <w:tcBorders>
              <w:top w:val="single" w:sz="4" w:space="0" w:color="auto"/>
              <w:left w:val="single" w:sz="4" w:space="0" w:color="auto"/>
              <w:bottom w:val="single" w:sz="4" w:space="0" w:color="auto"/>
              <w:right w:val="single" w:sz="4" w:space="0" w:color="auto"/>
            </w:tcBorders>
            <w:vAlign w:val="center"/>
            <w:hideMark/>
          </w:tcPr>
          <w:p w14:paraId="730E1F9A"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sz w:val="16"/>
                <w:szCs w:val="16"/>
                <w:lang w:eastAsia="en-AU"/>
              </w:rPr>
              <w:t>-33.2 (-39.8, -26.4)</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FDF4157" w14:textId="77777777" w:rsidR="006F26AB" w:rsidRPr="006F26AB" w:rsidRDefault="006F26AB" w:rsidP="006F26AB">
            <w:pPr>
              <w:spacing w:after="0" w:line="276" w:lineRule="auto"/>
              <w:jc w:val="center"/>
              <w:rPr>
                <w:rFonts w:ascii="Times New Roman" w:eastAsia="Calibri" w:hAnsi="Times New Roman" w:cs="Times New Roman"/>
                <w:lang w:eastAsia="en-AU"/>
              </w:rPr>
            </w:pPr>
          </w:p>
        </w:tc>
      </w:tr>
      <w:tr w:rsidR="006F26AB" w:rsidRPr="006F26AB" w14:paraId="61BBBFCE" w14:textId="77777777" w:rsidTr="007150F6">
        <w:tc>
          <w:tcPr>
            <w:tcW w:w="2577" w:type="dxa"/>
            <w:tcBorders>
              <w:top w:val="single" w:sz="4" w:space="0" w:color="auto"/>
              <w:left w:val="single" w:sz="4" w:space="0" w:color="auto"/>
              <w:bottom w:val="single" w:sz="4" w:space="0" w:color="auto"/>
              <w:right w:val="single" w:sz="4" w:space="0" w:color="auto"/>
            </w:tcBorders>
            <w:vAlign w:val="center"/>
            <w:hideMark/>
          </w:tcPr>
          <w:p w14:paraId="08D6A99B" w14:textId="77777777" w:rsidR="006F26AB" w:rsidRPr="006F26AB" w:rsidRDefault="006F26AB" w:rsidP="006F26AB">
            <w:pPr>
              <w:spacing w:after="0" w:line="276" w:lineRule="auto"/>
              <w:jc w:val="left"/>
              <w:rPr>
                <w:rFonts w:eastAsia="MS Gothic" w:cs="Arial"/>
                <w:color w:val="000000"/>
                <w:sz w:val="16"/>
                <w:szCs w:val="16"/>
                <w:lang w:val="en-US" w:eastAsia="ja-JP"/>
              </w:rPr>
            </w:pPr>
            <w:r w:rsidRPr="006F26AB">
              <w:rPr>
                <w:rFonts w:eastAsia="Calibri" w:cs="Arial"/>
                <w:bCs/>
                <w:sz w:val="16"/>
                <w:szCs w:val="16"/>
                <w:lang w:eastAsia="en-AU"/>
              </w:rPr>
              <w:t xml:space="preserve">Dizziness </w:t>
            </w:r>
            <w:r w:rsidRPr="006F26AB">
              <w:rPr>
                <w:rFonts w:eastAsia="Calibri" w:cs="Arial"/>
                <w:sz w:val="16"/>
                <w:szCs w:val="16"/>
                <w:lang w:eastAsia="en-AU"/>
              </w:rPr>
              <w:t xml:space="preserv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E355436"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9%</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EEC583C"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37%</w:t>
            </w:r>
          </w:p>
        </w:tc>
        <w:tc>
          <w:tcPr>
            <w:tcW w:w="1786" w:type="dxa"/>
            <w:tcBorders>
              <w:top w:val="single" w:sz="4" w:space="0" w:color="auto"/>
              <w:left w:val="single" w:sz="4" w:space="0" w:color="auto"/>
              <w:bottom w:val="single" w:sz="4" w:space="0" w:color="auto"/>
              <w:right w:val="single" w:sz="4" w:space="0" w:color="auto"/>
            </w:tcBorders>
            <w:vAlign w:val="center"/>
            <w:hideMark/>
          </w:tcPr>
          <w:p w14:paraId="5C01CD9D"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sz w:val="16"/>
                <w:szCs w:val="16"/>
                <w:lang w:eastAsia="en-AU"/>
              </w:rPr>
              <w:t>-28.3 (-34.0, -22.5)</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C39D561"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&lt;0.001</w:t>
            </w:r>
          </w:p>
        </w:tc>
      </w:tr>
      <w:tr w:rsidR="006F26AB" w:rsidRPr="006F26AB" w14:paraId="2D3EA565" w14:textId="77777777" w:rsidTr="007150F6">
        <w:tc>
          <w:tcPr>
            <w:tcW w:w="2577" w:type="dxa"/>
            <w:tcBorders>
              <w:top w:val="single" w:sz="4" w:space="0" w:color="auto"/>
              <w:left w:val="single" w:sz="4" w:space="0" w:color="auto"/>
              <w:bottom w:val="single" w:sz="4" w:space="0" w:color="auto"/>
              <w:right w:val="single" w:sz="4" w:space="0" w:color="auto"/>
            </w:tcBorders>
            <w:vAlign w:val="center"/>
            <w:hideMark/>
          </w:tcPr>
          <w:p w14:paraId="7ABA2C4E" w14:textId="77777777" w:rsidR="006F26AB" w:rsidRPr="006F26AB" w:rsidRDefault="006F26AB" w:rsidP="006F26AB">
            <w:pPr>
              <w:spacing w:after="0" w:line="276" w:lineRule="auto"/>
              <w:jc w:val="left"/>
              <w:rPr>
                <w:rFonts w:eastAsia="MS Gothic" w:cs="Arial"/>
                <w:color w:val="000000"/>
                <w:sz w:val="16"/>
                <w:szCs w:val="16"/>
                <w:lang w:val="en-US" w:eastAsia="ja-JP"/>
              </w:rPr>
            </w:pPr>
            <w:r w:rsidRPr="006F26AB">
              <w:rPr>
                <w:rFonts w:eastAsia="Calibri" w:cs="Arial"/>
                <w:bCs/>
                <w:sz w:val="16"/>
                <w:szCs w:val="16"/>
                <w:lang w:eastAsia="en-AU"/>
              </w:rPr>
              <w:t xml:space="preserve">Sleep disorders and disturbances </w:t>
            </w:r>
            <w:r w:rsidRPr="006F26AB">
              <w:rPr>
                <w:rFonts w:eastAsia="Calibri" w:cs="Arial"/>
                <w:sz w:val="16"/>
                <w:szCs w:val="16"/>
                <w:lang w:eastAsia="en-AU"/>
              </w:rPr>
              <w:t xml:space="preserv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342B0CF"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12%</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085D46F"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26%</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9337AFE" w14:textId="77777777" w:rsidR="006F26AB" w:rsidRPr="006F26AB" w:rsidRDefault="006F26AB" w:rsidP="006F26AB">
            <w:pPr>
              <w:widowControl w:val="0"/>
              <w:autoSpaceDE w:val="0"/>
              <w:autoSpaceDN w:val="0"/>
              <w:adjustRightInd w:val="0"/>
              <w:spacing w:after="0" w:line="276" w:lineRule="auto"/>
              <w:jc w:val="center"/>
              <w:rPr>
                <w:rFonts w:eastAsia="Calibri" w:cs="Arial"/>
                <w:b/>
                <w:sz w:val="16"/>
                <w:szCs w:val="16"/>
                <w:lang w:val="en-US" w:eastAsia="ja-JP"/>
              </w:rPr>
            </w:pPr>
            <w:r w:rsidRPr="006F26AB">
              <w:rPr>
                <w:rFonts w:eastAsia="Calibri" w:cs="Arial"/>
                <w:sz w:val="16"/>
                <w:szCs w:val="16"/>
                <w:lang w:eastAsia="en-AU"/>
              </w:rPr>
              <w:t>-13.5 (-19.1, -7.9)</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70245DA"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&lt;0.001</w:t>
            </w:r>
          </w:p>
        </w:tc>
      </w:tr>
      <w:tr w:rsidR="006F26AB" w:rsidRPr="006F26AB" w14:paraId="0D6848AF" w14:textId="77777777" w:rsidTr="007150F6">
        <w:tc>
          <w:tcPr>
            <w:tcW w:w="2577" w:type="dxa"/>
            <w:tcBorders>
              <w:top w:val="single" w:sz="4" w:space="0" w:color="auto"/>
              <w:left w:val="single" w:sz="4" w:space="0" w:color="auto"/>
              <w:bottom w:val="single" w:sz="4" w:space="0" w:color="auto"/>
              <w:right w:val="single" w:sz="4" w:space="0" w:color="auto"/>
            </w:tcBorders>
            <w:vAlign w:val="center"/>
            <w:hideMark/>
          </w:tcPr>
          <w:p w14:paraId="575BEE6E" w14:textId="77777777" w:rsidR="006F26AB" w:rsidRPr="006F26AB" w:rsidRDefault="006F26AB" w:rsidP="006F26AB">
            <w:pPr>
              <w:spacing w:after="0" w:line="276" w:lineRule="auto"/>
              <w:jc w:val="left"/>
              <w:rPr>
                <w:rFonts w:eastAsia="MS Gothic" w:cs="Arial"/>
                <w:color w:val="000000"/>
                <w:sz w:val="16"/>
                <w:szCs w:val="16"/>
                <w:lang w:val="en-US" w:eastAsia="ja-JP"/>
              </w:rPr>
            </w:pPr>
            <w:r w:rsidRPr="006F26AB">
              <w:rPr>
                <w:rFonts w:eastAsia="Calibri" w:cs="Arial"/>
                <w:bCs/>
                <w:sz w:val="16"/>
                <w:szCs w:val="16"/>
                <w:lang w:eastAsia="en-AU"/>
              </w:rPr>
              <w:t>Altered sensorium</w:t>
            </w:r>
            <w:r w:rsidRPr="006F26AB">
              <w:rPr>
                <w:rFonts w:eastAsia="Calibri" w:cs="Arial"/>
                <w:bCs/>
                <w:sz w:val="16"/>
                <w:szCs w:val="16"/>
                <w:vertAlign w:val="superscript"/>
                <w:lang w:eastAsia="en-AU"/>
              </w:rPr>
              <w:t>†</w:t>
            </w:r>
            <w:r w:rsidRPr="006F26AB">
              <w:rPr>
                <w:rFonts w:eastAsia="Calibri" w:cs="Arial"/>
                <w:sz w:val="16"/>
                <w:szCs w:val="16"/>
                <w:lang w:eastAsia="en-AU"/>
              </w:rPr>
              <w:t xml:space="preserv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CD6CA86"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4%</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7246B58"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8%</w:t>
            </w:r>
          </w:p>
        </w:tc>
        <w:tc>
          <w:tcPr>
            <w:tcW w:w="1786" w:type="dxa"/>
            <w:tcBorders>
              <w:top w:val="single" w:sz="4" w:space="0" w:color="auto"/>
              <w:left w:val="single" w:sz="4" w:space="0" w:color="auto"/>
              <w:bottom w:val="single" w:sz="4" w:space="0" w:color="auto"/>
              <w:right w:val="single" w:sz="4" w:space="0" w:color="auto"/>
            </w:tcBorders>
            <w:vAlign w:val="center"/>
            <w:hideMark/>
          </w:tcPr>
          <w:p w14:paraId="2B36E1C4"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-3.8 (-7.6, -0.3)</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37FEB06"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0.033</w:t>
            </w:r>
          </w:p>
        </w:tc>
      </w:tr>
      <w:tr w:rsidR="006F26AB" w:rsidRPr="006F26AB" w14:paraId="68F9E56B" w14:textId="77777777" w:rsidTr="007150F6">
        <w:tc>
          <w:tcPr>
            <w:tcW w:w="2577" w:type="dxa"/>
            <w:tcBorders>
              <w:top w:val="single" w:sz="4" w:space="0" w:color="auto"/>
              <w:left w:val="single" w:sz="4" w:space="0" w:color="auto"/>
              <w:bottom w:val="single" w:sz="4" w:space="0" w:color="auto"/>
              <w:right w:val="single" w:sz="4" w:space="0" w:color="auto"/>
            </w:tcBorders>
            <w:vAlign w:val="center"/>
            <w:hideMark/>
          </w:tcPr>
          <w:p w14:paraId="74B90CA8" w14:textId="77777777" w:rsidR="006F26AB" w:rsidRPr="006F26AB" w:rsidRDefault="006F26AB" w:rsidP="006F26AB">
            <w:pPr>
              <w:spacing w:after="0" w:line="276" w:lineRule="auto"/>
              <w:jc w:val="left"/>
              <w:rPr>
                <w:rFonts w:eastAsia="Calibri" w:cs="Arial"/>
                <w:bCs/>
                <w:sz w:val="16"/>
                <w:szCs w:val="16"/>
                <w:lang w:val="en-US" w:eastAsia="ja-JP"/>
              </w:rPr>
            </w:pPr>
            <w:r w:rsidRPr="006F26AB">
              <w:rPr>
                <w:rFonts w:eastAsia="Calibri" w:cs="Arial"/>
                <w:bCs/>
                <w:sz w:val="16"/>
                <w:szCs w:val="16"/>
                <w:lang w:eastAsia="en-AU"/>
              </w:rPr>
              <w:t xml:space="preserve">Depression and </w:t>
            </w:r>
          </w:p>
          <w:p w14:paraId="7A2773E0" w14:textId="77777777" w:rsidR="006F26AB" w:rsidRPr="006F26AB" w:rsidRDefault="006F26AB" w:rsidP="006F26AB">
            <w:pPr>
              <w:spacing w:after="0" w:line="276" w:lineRule="auto"/>
              <w:jc w:val="left"/>
              <w:rPr>
                <w:rFonts w:eastAsia="MS Gothic" w:cs="Arial"/>
                <w:color w:val="000000"/>
                <w:sz w:val="16"/>
                <w:szCs w:val="16"/>
                <w:lang w:val="en-US" w:eastAsia="ja-JP"/>
              </w:rPr>
            </w:pPr>
            <w:r w:rsidRPr="006F26AB">
              <w:rPr>
                <w:rFonts w:eastAsia="Calibri" w:cs="Arial"/>
                <w:bCs/>
                <w:sz w:val="16"/>
                <w:szCs w:val="16"/>
                <w:lang w:eastAsia="en-AU"/>
              </w:rPr>
              <w:t>suicide/self-injury</w:t>
            </w:r>
            <w:r w:rsidRPr="006F26AB">
              <w:rPr>
                <w:rFonts w:eastAsia="Calibri" w:cs="Arial"/>
                <w:sz w:val="16"/>
                <w:szCs w:val="16"/>
                <w:lang w:eastAsia="en-AU"/>
              </w:rPr>
              <w:t xml:space="preserv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6955953"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4%</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A90B638"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7%</w:t>
            </w:r>
          </w:p>
        </w:tc>
        <w:tc>
          <w:tcPr>
            <w:tcW w:w="1786" w:type="dxa"/>
            <w:tcBorders>
              <w:top w:val="single" w:sz="4" w:space="0" w:color="auto"/>
              <w:left w:val="single" w:sz="4" w:space="0" w:color="auto"/>
              <w:bottom w:val="single" w:sz="4" w:space="0" w:color="auto"/>
              <w:right w:val="single" w:sz="4" w:space="0" w:color="auto"/>
            </w:tcBorders>
            <w:vAlign w:val="center"/>
            <w:hideMark/>
          </w:tcPr>
          <w:p w14:paraId="5CAB5FDA"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-2.5 (-5.9, 0.8)</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5892269" w14:textId="77777777" w:rsidR="006F26AB" w:rsidRPr="006F26AB" w:rsidRDefault="006F26AB" w:rsidP="006F26AB">
            <w:pPr>
              <w:spacing w:after="0" w:line="276" w:lineRule="auto"/>
              <w:jc w:val="center"/>
              <w:rPr>
                <w:rFonts w:eastAsia="MS Gothic" w:cs="Arial"/>
                <w:color w:val="000000"/>
                <w:sz w:val="16"/>
                <w:szCs w:val="16"/>
                <w:lang w:val="en-US" w:eastAsia="ja-JP"/>
              </w:rPr>
            </w:pPr>
            <w:proofErr w:type="spellStart"/>
            <w:r w:rsidRPr="006F26AB">
              <w:rPr>
                <w:rFonts w:eastAsia="Calibri" w:cs="Arial"/>
                <w:sz w:val="16"/>
                <w:szCs w:val="16"/>
                <w:lang w:eastAsia="en-AU"/>
              </w:rPr>
              <w:t>nps</w:t>
            </w:r>
            <w:proofErr w:type="spellEnd"/>
            <w:r w:rsidRPr="006F26AB">
              <w:rPr>
                <w:rFonts w:eastAsia="Calibri" w:cs="Arial"/>
                <w:sz w:val="16"/>
                <w:szCs w:val="16"/>
                <w:vertAlign w:val="superscript"/>
                <w:lang w:eastAsia="en-AU"/>
              </w:rPr>
              <w:t>‡</w:t>
            </w:r>
          </w:p>
        </w:tc>
      </w:tr>
      <w:tr w:rsidR="006F26AB" w:rsidRPr="006F26AB" w14:paraId="19DD62EC" w14:textId="77777777" w:rsidTr="007150F6">
        <w:tc>
          <w:tcPr>
            <w:tcW w:w="2577" w:type="dxa"/>
            <w:tcBorders>
              <w:top w:val="single" w:sz="4" w:space="0" w:color="auto"/>
              <w:left w:val="single" w:sz="4" w:space="0" w:color="auto"/>
              <w:bottom w:val="single" w:sz="4" w:space="0" w:color="auto"/>
              <w:right w:val="single" w:sz="4" w:space="0" w:color="auto"/>
            </w:tcBorders>
            <w:vAlign w:val="center"/>
            <w:hideMark/>
          </w:tcPr>
          <w:p w14:paraId="55E31A74" w14:textId="77777777" w:rsidR="006F26AB" w:rsidRPr="006F26AB" w:rsidRDefault="006F26AB" w:rsidP="006F26AB">
            <w:pPr>
              <w:spacing w:after="0" w:line="276" w:lineRule="auto"/>
              <w:jc w:val="left"/>
              <w:rPr>
                <w:rFonts w:eastAsia="Calibri" w:cs="Arial"/>
                <w:bCs/>
                <w:sz w:val="16"/>
                <w:szCs w:val="16"/>
                <w:lang w:val="en-US" w:eastAsia="ja-JP"/>
              </w:rPr>
            </w:pPr>
            <w:r w:rsidRPr="006F26AB">
              <w:rPr>
                <w:rFonts w:eastAsia="Calibri" w:cs="Arial"/>
                <w:bCs/>
                <w:sz w:val="16"/>
                <w:szCs w:val="16"/>
                <w:lang w:eastAsia="en-AU"/>
              </w:rPr>
              <w:t xml:space="preserve">Psychosis and </w:t>
            </w:r>
          </w:p>
          <w:p w14:paraId="047AB327" w14:textId="77777777" w:rsidR="006F26AB" w:rsidRPr="006F26AB" w:rsidRDefault="006F26AB" w:rsidP="006F26AB">
            <w:pPr>
              <w:spacing w:after="0" w:line="276" w:lineRule="auto"/>
              <w:jc w:val="left"/>
              <w:rPr>
                <w:rFonts w:eastAsia="MS Gothic" w:cs="Arial"/>
                <w:color w:val="000000"/>
                <w:sz w:val="16"/>
                <w:szCs w:val="16"/>
                <w:lang w:val="en-US" w:eastAsia="ja-JP"/>
              </w:rPr>
            </w:pPr>
            <w:r w:rsidRPr="006F26AB">
              <w:rPr>
                <w:rFonts w:eastAsia="Calibri" w:cs="Arial"/>
                <w:bCs/>
                <w:sz w:val="16"/>
                <w:szCs w:val="16"/>
                <w:lang w:eastAsia="en-AU"/>
              </w:rPr>
              <w:t xml:space="preserve">psychotic disorders </w:t>
            </w:r>
            <w:r w:rsidRPr="006F26AB">
              <w:rPr>
                <w:rFonts w:eastAsia="Calibri" w:cs="Arial"/>
                <w:sz w:val="16"/>
                <w:szCs w:val="16"/>
                <w:lang w:eastAsia="en-AU"/>
              </w:rPr>
              <w:t xml:space="preserv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2379EEE"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&lt;1%</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AD90067"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1%</w:t>
            </w:r>
          </w:p>
        </w:tc>
        <w:tc>
          <w:tcPr>
            <w:tcW w:w="1786" w:type="dxa"/>
            <w:tcBorders>
              <w:top w:val="single" w:sz="4" w:space="0" w:color="auto"/>
              <w:left w:val="single" w:sz="4" w:space="0" w:color="auto"/>
              <w:bottom w:val="single" w:sz="4" w:space="0" w:color="auto"/>
              <w:right w:val="single" w:sz="4" w:space="0" w:color="auto"/>
            </w:tcBorders>
            <w:vAlign w:val="center"/>
            <w:hideMark/>
          </w:tcPr>
          <w:p w14:paraId="51F1577E" w14:textId="77777777" w:rsidR="006F26AB" w:rsidRPr="006F26AB" w:rsidRDefault="006F26AB" w:rsidP="006F26AB">
            <w:pPr>
              <w:spacing w:after="0" w:line="276" w:lineRule="auto"/>
              <w:jc w:val="center"/>
              <w:rPr>
                <w:rFonts w:eastAsia="MS Gothic" w:cs="Arial"/>
                <w:color w:val="000000"/>
                <w:sz w:val="16"/>
                <w:szCs w:val="16"/>
                <w:lang w:val="en-US" w:eastAsia="ja-JP"/>
              </w:rPr>
            </w:pPr>
            <w:r w:rsidRPr="006F26AB">
              <w:rPr>
                <w:rFonts w:eastAsia="Calibri" w:cs="Arial"/>
                <w:sz w:val="16"/>
                <w:szCs w:val="16"/>
                <w:lang w:eastAsia="en-AU"/>
              </w:rPr>
              <w:t>-0.8 (-2.5, 0.5)</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2B66214" w14:textId="77777777" w:rsidR="006F26AB" w:rsidRPr="006F26AB" w:rsidRDefault="006F26AB" w:rsidP="006F26AB">
            <w:pPr>
              <w:spacing w:after="0" w:line="276" w:lineRule="auto"/>
              <w:jc w:val="center"/>
              <w:rPr>
                <w:rFonts w:eastAsia="MS Gothic" w:cs="Arial"/>
                <w:color w:val="000000"/>
                <w:sz w:val="16"/>
                <w:szCs w:val="16"/>
                <w:lang w:val="en-US" w:eastAsia="ja-JP"/>
              </w:rPr>
            </w:pPr>
            <w:proofErr w:type="spellStart"/>
            <w:r w:rsidRPr="006F26AB">
              <w:rPr>
                <w:rFonts w:eastAsia="Calibri" w:cs="Arial"/>
                <w:sz w:val="16"/>
                <w:szCs w:val="16"/>
                <w:lang w:eastAsia="en-AU"/>
              </w:rPr>
              <w:t>nps</w:t>
            </w:r>
            <w:proofErr w:type="spellEnd"/>
            <w:r w:rsidRPr="006F26AB">
              <w:rPr>
                <w:rFonts w:eastAsia="Calibri" w:cs="Arial"/>
                <w:sz w:val="16"/>
                <w:szCs w:val="16"/>
                <w:vertAlign w:val="superscript"/>
                <w:lang w:eastAsia="en-AU"/>
              </w:rPr>
              <w:t>‡</w:t>
            </w:r>
          </w:p>
        </w:tc>
      </w:tr>
      <w:tr w:rsidR="006F26AB" w:rsidRPr="006F26AB" w14:paraId="38996D0A" w14:textId="77777777" w:rsidTr="007150F6">
        <w:tc>
          <w:tcPr>
            <w:tcW w:w="9134" w:type="dxa"/>
            <w:gridSpan w:val="5"/>
            <w:tcBorders>
              <w:top w:val="single" w:sz="4" w:space="0" w:color="auto"/>
              <w:left w:val="single" w:sz="4" w:space="0" w:color="auto"/>
              <w:bottom w:val="single" w:sz="4" w:space="0" w:color="auto"/>
              <w:right w:val="single" w:sz="4" w:space="0" w:color="auto"/>
            </w:tcBorders>
            <w:vAlign w:val="center"/>
            <w:hideMark/>
          </w:tcPr>
          <w:p w14:paraId="5D28C06A" w14:textId="77777777" w:rsidR="006F26AB" w:rsidRPr="006F26AB" w:rsidRDefault="006F26AB" w:rsidP="006F26AB">
            <w:pPr>
              <w:widowControl w:val="0"/>
              <w:autoSpaceDE w:val="0"/>
              <w:autoSpaceDN w:val="0"/>
              <w:adjustRightInd w:val="0"/>
              <w:spacing w:after="0" w:line="276" w:lineRule="auto"/>
              <w:ind w:left="159" w:hanging="159"/>
              <w:jc w:val="left"/>
              <w:rPr>
                <w:rFonts w:eastAsia="Calibri" w:cs="Arial"/>
                <w:sz w:val="16"/>
                <w:szCs w:val="16"/>
                <w:lang w:eastAsia="en-AU"/>
              </w:rPr>
            </w:pPr>
            <w:r w:rsidRPr="006F26AB">
              <w:rPr>
                <w:rFonts w:eastAsia="Calibri" w:cs="Arial"/>
                <w:sz w:val="16"/>
                <w:szCs w:val="16"/>
                <w:lang w:eastAsia="en-AU"/>
              </w:rPr>
              <w:t xml:space="preserve">*The 95% CIs were calculated using </w:t>
            </w:r>
            <w:proofErr w:type="spellStart"/>
            <w:r w:rsidRPr="006F26AB">
              <w:rPr>
                <w:rFonts w:eastAsia="Calibri" w:cs="Arial"/>
                <w:sz w:val="16"/>
                <w:szCs w:val="16"/>
                <w:lang w:eastAsia="en-AU"/>
              </w:rPr>
              <w:t>Miettinen</w:t>
            </w:r>
            <w:proofErr w:type="spellEnd"/>
            <w:r w:rsidRPr="006F26AB">
              <w:rPr>
                <w:rFonts w:eastAsia="Calibri" w:cs="Arial"/>
                <w:sz w:val="16"/>
                <w:szCs w:val="16"/>
                <w:lang w:eastAsia="en-AU"/>
              </w:rPr>
              <w:t xml:space="preserve"> and </w:t>
            </w:r>
            <w:proofErr w:type="spellStart"/>
            <w:r w:rsidRPr="006F26AB">
              <w:rPr>
                <w:rFonts w:eastAsia="Calibri" w:cs="Arial"/>
                <w:sz w:val="16"/>
                <w:szCs w:val="16"/>
                <w:lang w:eastAsia="en-AU"/>
              </w:rPr>
              <w:t>Nurminen's</w:t>
            </w:r>
            <w:proofErr w:type="spellEnd"/>
            <w:r w:rsidRPr="006F26AB">
              <w:rPr>
                <w:rFonts w:eastAsia="Calibri" w:cs="Arial"/>
                <w:sz w:val="16"/>
                <w:szCs w:val="16"/>
                <w:lang w:eastAsia="en-AU"/>
              </w:rPr>
              <w:t xml:space="preserve"> method.</w:t>
            </w:r>
          </w:p>
          <w:p w14:paraId="7F6A83B0" w14:textId="77777777" w:rsidR="006F26AB" w:rsidRPr="006F26AB" w:rsidRDefault="006F26AB" w:rsidP="006F26AB">
            <w:pPr>
              <w:widowControl w:val="0"/>
              <w:autoSpaceDE w:val="0"/>
              <w:autoSpaceDN w:val="0"/>
              <w:adjustRightInd w:val="0"/>
              <w:spacing w:after="0" w:line="276" w:lineRule="auto"/>
              <w:ind w:left="159" w:hanging="159"/>
              <w:jc w:val="left"/>
              <w:rPr>
                <w:rFonts w:eastAsia="Calibri" w:cs="Arial"/>
                <w:sz w:val="16"/>
                <w:szCs w:val="16"/>
                <w:lang w:eastAsia="ja-JP"/>
              </w:rPr>
            </w:pPr>
            <w:r w:rsidRPr="006F26AB">
              <w:rPr>
                <w:rFonts w:eastAsia="Calibri" w:cs="Arial"/>
                <w:sz w:val="16"/>
                <w:szCs w:val="16"/>
                <w:vertAlign w:val="superscript"/>
                <w:lang w:eastAsia="ja-JP"/>
              </w:rPr>
              <w:t>†</w:t>
            </w:r>
            <w:r w:rsidRPr="006F26AB">
              <w:rPr>
                <w:rFonts w:eastAsia="Calibri" w:cs="Arial"/>
                <w:sz w:val="16"/>
                <w:szCs w:val="16"/>
                <w:lang w:eastAsia="ja-JP"/>
              </w:rPr>
              <w:t>Inability to think clearly or concentrate.</w:t>
            </w:r>
          </w:p>
          <w:p w14:paraId="344AE755" w14:textId="77777777" w:rsidR="006F26AB" w:rsidRPr="006F26AB" w:rsidRDefault="006F26AB" w:rsidP="006F26AB">
            <w:pPr>
              <w:widowControl w:val="0"/>
              <w:autoSpaceDE w:val="0"/>
              <w:autoSpaceDN w:val="0"/>
              <w:adjustRightInd w:val="0"/>
              <w:spacing w:after="0" w:line="276" w:lineRule="auto"/>
              <w:ind w:left="159" w:hanging="159"/>
              <w:jc w:val="left"/>
              <w:rPr>
                <w:rFonts w:eastAsia="Calibri" w:cs="Arial"/>
                <w:sz w:val="16"/>
                <w:szCs w:val="16"/>
                <w:lang w:val="en-US" w:eastAsia="ja-JP"/>
              </w:rPr>
            </w:pPr>
            <w:r w:rsidRPr="006F26AB">
              <w:rPr>
                <w:rFonts w:eastAsia="Calibri" w:cs="Arial"/>
                <w:sz w:val="16"/>
                <w:szCs w:val="16"/>
                <w:vertAlign w:val="superscript"/>
                <w:lang w:eastAsia="en-AU"/>
              </w:rPr>
              <w:t>‡</w:t>
            </w:r>
            <w:r w:rsidRPr="006F26AB">
              <w:rPr>
                <w:rFonts w:eastAsia="Calibri" w:cs="Arial"/>
                <w:sz w:val="16"/>
                <w:szCs w:val="16"/>
                <w:lang w:eastAsia="en-AU"/>
              </w:rPr>
              <w:t>Not pre-specified for statistical testing.</w:t>
            </w:r>
          </w:p>
        </w:tc>
      </w:tr>
    </w:tbl>
    <w:p w14:paraId="0471155F" w14:textId="77777777" w:rsidR="006F26AB" w:rsidRPr="006F26AB" w:rsidRDefault="006F26AB" w:rsidP="006F26AB">
      <w:pPr>
        <w:jc w:val="left"/>
        <w:rPr>
          <w:b/>
        </w:rPr>
      </w:pPr>
    </w:p>
    <w:p w14:paraId="5045A61B" w14:textId="77777777" w:rsidR="00C90032" w:rsidRDefault="00C90032" w:rsidP="00C90032">
      <w:pPr>
        <w:rPr>
          <w:u w:val="single"/>
        </w:rPr>
      </w:pPr>
      <w:r w:rsidRPr="00C90032">
        <w:rPr>
          <w:u w:val="single"/>
        </w:rPr>
        <w:t>Discontinuation due to Adverse Events</w:t>
      </w:r>
    </w:p>
    <w:p w14:paraId="3E0D44A6" w14:textId="77777777" w:rsidR="006F26AB" w:rsidRDefault="006F26AB" w:rsidP="006F26AB">
      <w:r>
        <w:t xml:space="preserve">In a pooled analysis combining data from two treatment-naïve trials (P007 and </w:t>
      </w:r>
      <w:r>
        <w:rPr>
          <w:lang w:bidi="th-TH"/>
        </w:rPr>
        <w:t>DRIVE-AHEAD)</w:t>
      </w:r>
      <w:r>
        <w:t>, a statistically significantly lower proportion of subjects who discontinued due to an adverse event by Week 48 was seen for the combined doravirine (100 mg) treatment groups (2.8%) compared with the combined EFV treatment groups (6.1%) [treatment difference -3.4%, p-value 0.012].</w:t>
      </w:r>
    </w:p>
    <w:p w14:paraId="55E0878B" w14:textId="77777777" w:rsidR="006F26AB" w:rsidRDefault="006F26AB" w:rsidP="006F26AB">
      <w:pPr>
        <w:pStyle w:val="Heading3"/>
        <w:rPr>
          <w:rFonts w:eastAsia="MS Mincho" w:cs="Times New Roman"/>
        </w:rPr>
      </w:pPr>
      <w:proofErr w:type="spellStart"/>
      <w:r>
        <w:rPr>
          <w:rFonts w:eastAsia="MS Mincho"/>
        </w:rPr>
        <w:t>Postmarketing</w:t>
      </w:r>
      <w:proofErr w:type="spellEnd"/>
      <w:r>
        <w:rPr>
          <w:rFonts w:eastAsia="MS Mincho"/>
        </w:rPr>
        <w:t xml:space="preserve"> Experience</w:t>
      </w:r>
    </w:p>
    <w:p w14:paraId="70F8E535" w14:textId="5FF6ABB9" w:rsidR="006F26AB" w:rsidRPr="006F26AB" w:rsidRDefault="006F26AB" w:rsidP="00C90032">
      <w:pPr>
        <w:rPr>
          <w:rFonts w:eastAsia="Times New Roman"/>
        </w:rPr>
      </w:pPr>
      <w:r>
        <w:t xml:space="preserve">There are no </w:t>
      </w:r>
      <w:proofErr w:type="spellStart"/>
      <w:r>
        <w:t>postmarketing</w:t>
      </w:r>
      <w:proofErr w:type="spellEnd"/>
      <w:r>
        <w:t xml:space="preserve"> data available for doravirine. See the full prescribing information for lamivudine and tenofovir DF for </w:t>
      </w:r>
      <w:proofErr w:type="spellStart"/>
      <w:r>
        <w:t>postmarketing</w:t>
      </w:r>
      <w:proofErr w:type="spellEnd"/>
      <w:r>
        <w:t xml:space="preserve"> information on these products.</w:t>
      </w:r>
    </w:p>
    <w:p w14:paraId="17126FD4" w14:textId="77777777" w:rsidR="00B96052" w:rsidRDefault="00B96052" w:rsidP="00421AF6">
      <w:pPr>
        <w:pStyle w:val="Heading3"/>
      </w:pPr>
      <w:r w:rsidRPr="00B96052">
        <w:t>Reporting suspected adverse effects</w:t>
      </w:r>
    </w:p>
    <w:p w14:paraId="3958CD11" w14:textId="385A057B" w:rsidR="00935DC2" w:rsidRPr="008246E7" w:rsidRDefault="003D3FCB" w:rsidP="008246E7">
      <w:pPr>
        <w:rPr>
          <w:rFonts w:cs="Arial"/>
        </w:rPr>
      </w:pPr>
      <w:r w:rsidRPr="008246E7">
        <w:rPr>
          <w:rFonts w:cs="Arial"/>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4" w:history="1">
        <w:r w:rsidRPr="00596B76">
          <w:rPr>
            <w:rStyle w:val="Hyperlink"/>
            <w:rFonts w:cs="Arial"/>
          </w:rPr>
          <w:t>www.tga.gov.au/reporting-problems</w:t>
        </w:r>
      </w:hyperlink>
      <w:r w:rsidRPr="008246E7">
        <w:rPr>
          <w:rFonts w:cs="Arial"/>
        </w:rPr>
        <w:t>.</w:t>
      </w:r>
    </w:p>
    <w:p w14:paraId="1EBFCFBB" w14:textId="77777777" w:rsidR="00935DC2" w:rsidRDefault="003D3FCB" w:rsidP="00261C3B">
      <w:pPr>
        <w:pStyle w:val="Heading2"/>
      </w:pPr>
      <w:r w:rsidRPr="008246E7">
        <w:t>Overdose</w:t>
      </w:r>
    </w:p>
    <w:p w14:paraId="6C3F5720" w14:textId="5E347465" w:rsidR="002D0023" w:rsidRDefault="002D0023" w:rsidP="002D0023">
      <w:r>
        <w:t xml:space="preserve">There is no known specific treatment for overdose with </w:t>
      </w:r>
      <w:r w:rsidR="00B836DC">
        <w:t>DELSTRIGO</w:t>
      </w:r>
      <w:r>
        <w:t>. If overdose occurs, the patient should be monitored and standard supportive treatment applied as required.</w:t>
      </w:r>
    </w:p>
    <w:p w14:paraId="2B081292" w14:textId="77777777" w:rsidR="0073292B" w:rsidRDefault="0073292B" w:rsidP="0073292B">
      <w:r w:rsidRPr="0073292B">
        <w:rPr>
          <w:i/>
        </w:rPr>
        <w:t>Doravirine:</w:t>
      </w:r>
      <w:r>
        <w:t xml:space="preserve"> There is no known specific treatment for overdose with doravirine.</w:t>
      </w:r>
    </w:p>
    <w:p w14:paraId="6FBD23E8" w14:textId="77777777" w:rsidR="0073292B" w:rsidRDefault="0073292B" w:rsidP="0073292B">
      <w:r w:rsidRPr="0073292B">
        <w:rPr>
          <w:i/>
        </w:rPr>
        <w:t>Lamivudine:</w:t>
      </w:r>
      <w:r>
        <w:t xml:space="preserve"> Because a negligible amount of lamivudine was removed via (4-hour) haemodialysis, continuous ambulatory peritoneal dialysis, and automated peritoneal dialysis, it is not known if continuous haemodialysis would provide clinical benefit in a lamivudine overdose event.</w:t>
      </w:r>
    </w:p>
    <w:p w14:paraId="545A35B9" w14:textId="26A0BB7E" w:rsidR="0073292B" w:rsidRDefault="0073292B" w:rsidP="0073292B">
      <w:r w:rsidRPr="0073292B">
        <w:rPr>
          <w:i/>
        </w:rPr>
        <w:lastRenderedPageBreak/>
        <w:t>Tenofovir DF:</w:t>
      </w:r>
      <w:r>
        <w:t xml:space="preserve"> Tenofovir DF is efficiently removed by haemodialysis with an extraction coefficient of approximately 54%. Following a single 300 mg dose of tenofovir DF, a 4-hour haemodialysis session removed approximately 10% of the administered tenofovir dose.</w:t>
      </w:r>
    </w:p>
    <w:p w14:paraId="7F45A72A" w14:textId="2E2AE0A8" w:rsidR="00C54C73" w:rsidRDefault="00C54C73" w:rsidP="0073292B">
      <w:r>
        <w:t>For information on the management of overdose, contact the Poisons Information Centre on 131126 (Australia).</w:t>
      </w:r>
    </w:p>
    <w:p w14:paraId="68085DB0" w14:textId="5E6D6AA2" w:rsidR="00935DC2" w:rsidRPr="008246E7" w:rsidRDefault="003D3FCB" w:rsidP="008246E7">
      <w:pPr>
        <w:pStyle w:val="Heading1"/>
        <w:rPr>
          <w:rFonts w:cs="Arial"/>
          <w:lang w:val="en-US"/>
        </w:rPr>
      </w:pPr>
      <w:r w:rsidRPr="008246E7">
        <w:rPr>
          <w:rFonts w:cs="Arial"/>
          <w:lang w:val="en-US"/>
        </w:rPr>
        <w:t>Pharmacological properties</w:t>
      </w:r>
    </w:p>
    <w:p w14:paraId="23FF0ACC" w14:textId="77777777" w:rsidR="00935DC2" w:rsidRPr="008246E7" w:rsidRDefault="003D3FCB" w:rsidP="00261C3B">
      <w:pPr>
        <w:pStyle w:val="Heading2"/>
        <w:rPr>
          <w:lang w:val="en-US"/>
        </w:rPr>
      </w:pPr>
      <w:r w:rsidRPr="008246E7">
        <w:t>Pharmacodynamic</w:t>
      </w:r>
      <w:r w:rsidRPr="008246E7">
        <w:rPr>
          <w:lang w:val="en-US"/>
        </w:rPr>
        <w:t xml:space="preserve"> properties </w:t>
      </w:r>
    </w:p>
    <w:p w14:paraId="433E472F" w14:textId="77777777" w:rsidR="00935DC2" w:rsidRDefault="003D3FCB" w:rsidP="00271648">
      <w:pPr>
        <w:pStyle w:val="Heading3"/>
      </w:pPr>
      <w:r w:rsidRPr="008246E7">
        <w:t>Mechanism of action</w:t>
      </w:r>
    </w:p>
    <w:p w14:paraId="5FC3C926" w14:textId="77777777" w:rsidR="007150F6" w:rsidRDefault="007150F6" w:rsidP="007150F6">
      <w:r>
        <w:t>Doravirine is a HIV-1 non-nucleoside reverse transcriptase inhibitor (NNRTI).</w:t>
      </w:r>
    </w:p>
    <w:p w14:paraId="750891FD" w14:textId="77777777" w:rsidR="007150F6" w:rsidRDefault="007150F6" w:rsidP="007150F6">
      <w:r>
        <w:t>Lamivudine and Tenofovir DF are HIV-1 nucleoside analogue reverse transcriptase inhibitors (NRTI).</w:t>
      </w:r>
    </w:p>
    <w:p w14:paraId="6867755F" w14:textId="3DF9642C" w:rsidR="007150F6" w:rsidRDefault="00B836DC" w:rsidP="007150F6">
      <w:r>
        <w:t>DELSTRIGO</w:t>
      </w:r>
      <w:r w:rsidR="007150F6">
        <w:t xml:space="preserve"> is a fixed-dose combination of the antiviral drugs doravirine, lamivudine, and tenofovir DF. </w:t>
      </w:r>
    </w:p>
    <w:p w14:paraId="640E99E5" w14:textId="4DA7A0C9" w:rsidR="007150F6" w:rsidRDefault="007150F6" w:rsidP="007150F6">
      <w:r w:rsidRPr="006A794D">
        <w:rPr>
          <w:i/>
        </w:rPr>
        <w:t>Doravirine</w:t>
      </w:r>
      <w:r w:rsidRPr="00015255">
        <w:t>:</w:t>
      </w:r>
      <w:r>
        <w:t xml:space="preserve"> Doravirine is a </w:t>
      </w:r>
      <w:proofErr w:type="spellStart"/>
      <w:r>
        <w:t>pyridinone</w:t>
      </w:r>
      <w:proofErr w:type="spellEnd"/>
      <w:r>
        <w:t xml:space="preserve"> non-nucleoside reverse transcriptase inhibitor of HIV-1 and inhibits HIV-1 replication by </w:t>
      </w:r>
      <w:proofErr w:type="spellStart"/>
      <w:r w:rsidR="008A362B">
        <w:t>allosteric</w:t>
      </w:r>
      <w:r>
        <w:t>inhibition</w:t>
      </w:r>
      <w:proofErr w:type="spellEnd"/>
      <w:r>
        <w:t xml:space="preserve"> of HIV-1 reverse transcriptase (RT). Doravirine does not inhibit the human cellular DNA polymerases α, ß, and mitochondrial DNA polymerase γ.</w:t>
      </w:r>
    </w:p>
    <w:p w14:paraId="1F32E4F9" w14:textId="77777777" w:rsidR="007150F6" w:rsidRDefault="007150F6" w:rsidP="007150F6">
      <w:r w:rsidRPr="006A794D">
        <w:rPr>
          <w:i/>
        </w:rPr>
        <w:t>Lamivudine</w:t>
      </w:r>
      <w:r w:rsidRPr="00015255">
        <w:t>:</w:t>
      </w:r>
      <w:r>
        <w:t xml:space="preserve"> Lamivudine is a synthetic nucleoside analogue. Intracellularly, lamivudine is phosphorylated to its active 5´-triphosphate metabolite, lamivudine triphosphate (3TC-TP). The principal mode of action of 3TC-TP is inhibition of RT via DNA chain termination after incorporation of the nucleotide analogue.</w:t>
      </w:r>
    </w:p>
    <w:p w14:paraId="7E86E4D1" w14:textId="77777777" w:rsidR="007150F6" w:rsidRDefault="007150F6" w:rsidP="007150F6">
      <w:r w:rsidRPr="006A794D">
        <w:rPr>
          <w:i/>
        </w:rPr>
        <w:t>Tenofovir DF</w:t>
      </w:r>
      <w:r w:rsidRPr="00015255">
        <w:t>:</w:t>
      </w:r>
      <w:r>
        <w:t xml:space="preserve"> Tenofovir DF is an acyclic nucleoside phosphonate </w:t>
      </w:r>
      <w:proofErr w:type="spellStart"/>
      <w:r>
        <w:t>diester</w:t>
      </w:r>
      <w:proofErr w:type="spellEnd"/>
      <w:r>
        <w:t xml:space="preserve"> analogue of adenosine monophosphate. Tenofovir DF requires initial </w:t>
      </w:r>
      <w:proofErr w:type="spellStart"/>
      <w:r>
        <w:t>diester</w:t>
      </w:r>
      <w:proofErr w:type="spellEnd"/>
      <w:r>
        <w:t xml:space="preserve"> hydrolysis for conversion to tenofovir and subsequent </w:t>
      </w:r>
      <w:proofErr w:type="spellStart"/>
      <w:r>
        <w:t>phosphorylations</w:t>
      </w:r>
      <w:proofErr w:type="spellEnd"/>
      <w:r>
        <w:t xml:space="preserve"> by cellular enzymes to form tenofovir diphosphate. Tenofovir diphosphate inhibits the activity of HIV-1 RT by competing with the natural substrate deoxyadenosine 5′-triphosphate and, after incorporation into DNA, by DNA chain termination. Tenofovir diphosphate is a weak inhibitor of mammalian DNA polymerases α, β, and mitochondrial DNA polymerase γ.</w:t>
      </w:r>
    </w:p>
    <w:p w14:paraId="1EEC552D" w14:textId="77777777" w:rsidR="007150F6" w:rsidRPr="007150F6" w:rsidRDefault="007150F6" w:rsidP="007150F6">
      <w:pPr>
        <w:pStyle w:val="Heading3"/>
      </w:pPr>
      <w:r w:rsidRPr="007150F6">
        <w:t>Antiviral Activity in Cell Culture</w:t>
      </w:r>
    </w:p>
    <w:p w14:paraId="6B8C6926" w14:textId="77777777" w:rsidR="007150F6" w:rsidRDefault="007150F6" w:rsidP="007150F6">
      <w:r w:rsidRPr="006A794D">
        <w:rPr>
          <w:i/>
        </w:rPr>
        <w:t>Doravirine</w:t>
      </w:r>
      <w:r w:rsidRPr="00015255">
        <w:t>:</w:t>
      </w:r>
      <w:r>
        <w:t xml:space="preserve"> Doravirine exhibited an EC</w:t>
      </w:r>
      <w:r w:rsidRPr="00290DCB">
        <w:rPr>
          <w:vertAlign w:val="subscript"/>
        </w:rPr>
        <w:t>50</w:t>
      </w:r>
      <w:r>
        <w:t xml:space="preserve"> value of 12.0±4.4 </w:t>
      </w:r>
      <w:proofErr w:type="spellStart"/>
      <w:r>
        <w:t>nM</w:t>
      </w:r>
      <w:proofErr w:type="spellEnd"/>
      <w:r>
        <w:t xml:space="preserve"> against wild-type laboratory strains of HIV-1 when tested in the presence of 100% normal human serum (NHS) using MT4-GFP reporter cells. Doravirine demonstrated antiviral activity against a broad panel of primary HIV-1 isolates (A, A1, AE, AG, B, BF, C, D, G, H) with EC</w:t>
      </w:r>
      <w:r w:rsidRPr="00F12BA5">
        <w:rPr>
          <w:vertAlign w:val="subscript"/>
        </w:rPr>
        <w:t>50</w:t>
      </w:r>
      <w:r>
        <w:t xml:space="preserve"> values ranging from 0.6 </w:t>
      </w:r>
      <w:proofErr w:type="spellStart"/>
      <w:r>
        <w:t>nM</w:t>
      </w:r>
      <w:proofErr w:type="spellEnd"/>
      <w:r>
        <w:t xml:space="preserve"> to 10.0 </w:t>
      </w:r>
      <w:proofErr w:type="spellStart"/>
      <w:r>
        <w:t>nM</w:t>
      </w:r>
      <w:proofErr w:type="spellEnd"/>
      <w:r>
        <w:t>. The antiviral activity of doravirine was not antagonistic when combined with lamivudine and tenofovir DF.</w:t>
      </w:r>
    </w:p>
    <w:p w14:paraId="04AAD3CA" w14:textId="77777777" w:rsidR="007150F6" w:rsidRDefault="007150F6" w:rsidP="007150F6">
      <w:r w:rsidRPr="006A794D">
        <w:rPr>
          <w:i/>
        </w:rPr>
        <w:t>Lamivudine</w:t>
      </w:r>
      <w:r w:rsidRPr="00015255">
        <w:t>:</w:t>
      </w:r>
      <w:r>
        <w:t xml:space="preserve"> The antiviral activity of lamivudine against HIV-1 was assessed in a number of cell lines including monocytes and peripheral blood mononuclear cells (PBMCs) using standard susceptibility assays. EC</w:t>
      </w:r>
      <w:r w:rsidRPr="00F12BA5">
        <w:rPr>
          <w:vertAlign w:val="subscript"/>
        </w:rPr>
        <w:t>50</w:t>
      </w:r>
      <w:r>
        <w:t xml:space="preserve"> values were in the range of 0.003 to 15 </w:t>
      </w:r>
      <w:proofErr w:type="spellStart"/>
      <w:r>
        <w:t>microM</w:t>
      </w:r>
      <w:proofErr w:type="spellEnd"/>
      <w:r>
        <w:t xml:space="preserve"> (1 </w:t>
      </w:r>
      <w:proofErr w:type="spellStart"/>
      <w:r>
        <w:t>microM</w:t>
      </w:r>
      <w:proofErr w:type="spellEnd"/>
      <w:r>
        <w:t xml:space="preserve"> = 0.23 mcg per mL). The median EC</w:t>
      </w:r>
      <w:r w:rsidRPr="00F12BA5">
        <w:rPr>
          <w:vertAlign w:val="subscript"/>
        </w:rPr>
        <w:t>50</w:t>
      </w:r>
      <w:r>
        <w:t xml:space="preserve"> values of lamivudine were 60 </w:t>
      </w:r>
      <w:proofErr w:type="spellStart"/>
      <w:r>
        <w:t>nM</w:t>
      </w:r>
      <w:proofErr w:type="spellEnd"/>
      <w:r>
        <w:t xml:space="preserve"> (range: 20 to 70 </w:t>
      </w:r>
      <w:proofErr w:type="spellStart"/>
      <w:r>
        <w:t>nM</w:t>
      </w:r>
      <w:proofErr w:type="spellEnd"/>
      <w:r>
        <w:t xml:space="preserve">), 35 </w:t>
      </w:r>
      <w:proofErr w:type="spellStart"/>
      <w:r>
        <w:t>nM</w:t>
      </w:r>
      <w:proofErr w:type="spellEnd"/>
      <w:r>
        <w:t xml:space="preserve"> (range: 30 to 40 </w:t>
      </w:r>
      <w:proofErr w:type="spellStart"/>
      <w:r>
        <w:t>nM</w:t>
      </w:r>
      <w:proofErr w:type="spellEnd"/>
      <w:r>
        <w:t xml:space="preserve">), 30 </w:t>
      </w:r>
      <w:proofErr w:type="spellStart"/>
      <w:r>
        <w:t>nM</w:t>
      </w:r>
      <w:proofErr w:type="spellEnd"/>
      <w:r>
        <w:t xml:space="preserve"> (range: 20 to 90 </w:t>
      </w:r>
      <w:proofErr w:type="spellStart"/>
      <w:r>
        <w:t>nM</w:t>
      </w:r>
      <w:proofErr w:type="spellEnd"/>
      <w:r>
        <w:t xml:space="preserve">), 20 </w:t>
      </w:r>
      <w:proofErr w:type="spellStart"/>
      <w:r>
        <w:t>nM</w:t>
      </w:r>
      <w:proofErr w:type="spellEnd"/>
      <w:r>
        <w:t xml:space="preserve"> (range: 3 to 40 </w:t>
      </w:r>
      <w:proofErr w:type="spellStart"/>
      <w:r>
        <w:t>nM</w:t>
      </w:r>
      <w:proofErr w:type="spellEnd"/>
      <w:r>
        <w:t xml:space="preserve">), 30 </w:t>
      </w:r>
      <w:proofErr w:type="spellStart"/>
      <w:r>
        <w:t>nM</w:t>
      </w:r>
      <w:proofErr w:type="spellEnd"/>
      <w:r>
        <w:t xml:space="preserve"> (range: 1 to 60 </w:t>
      </w:r>
      <w:proofErr w:type="spellStart"/>
      <w:r>
        <w:t>nM</w:t>
      </w:r>
      <w:proofErr w:type="spellEnd"/>
      <w:r>
        <w:t xml:space="preserve">), 30 </w:t>
      </w:r>
      <w:proofErr w:type="spellStart"/>
      <w:r>
        <w:t>nM</w:t>
      </w:r>
      <w:proofErr w:type="spellEnd"/>
      <w:r>
        <w:t xml:space="preserve"> (range: 20 to 70 </w:t>
      </w:r>
      <w:proofErr w:type="spellStart"/>
      <w:r>
        <w:t>nM</w:t>
      </w:r>
      <w:proofErr w:type="spellEnd"/>
      <w:r>
        <w:t xml:space="preserve">), 30 </w:t>
      </w:r>
      <w:proofErr w:type="spellStart"/>
      <w:r>
        <w:t>nM</w:t>
      </w:r>
      <w:proofErr w:type="spellEnd"/>
      <w:r>
        <w:t xml:space="preserve"> (range: 3 to 70 </w:t>
      </w:r>
      <w:proofErr w:type="spellStart"/>
      <w:r>
        <w:t>nM</w:t>
      </w:r>
      <w:proofErr w:type="spellEnd"/>
      <w:r>
        <w:t xml:space="preserve">), and 30 </w:t>
      </w:r>
      <w:proofErr w:type="spellStart"/>
      <w:r>
        <w:t>nM</w:t>
      </w:r>
      <w:proofErr w:type="spellEnd"/>
      <w:r>
        <w:t xml:space="preserve"> (range: 20 to 90 </w:t>
      </w:r>
      <w:proofErr w:type="spellStart"/>
      <w:r>
        <w:t>nM</w:t>
      </w:r>
      <w:proofErr w:type="spellEnd"/>
      <w:r>
        <w:t xml:space="preserve">) against HIV-1 clades A-G and group O viruses (n = 3 except n = </w:t>
      </w:r>
      <w:r>
        <w:lastRenderedPageBreak/>
        <w:t xml:space="preserve">2 for clade B) respectively. Ribavirin (50 </w:t>
      </w:r>
      <w:proofErr w:type="spellStart"/>
      <w:r>
        <w:t>microM</w:t>
      </w:r>
      <w:proofErr w:type="spellEnd"/>
      <w:r>
        <w:t>) used in the treatment of chronic HCV infection decreased the anti-HIV-1 activity of lamivudine by 3.5-fold in MT-4 cells.</w:t>
      </w:r>
    </w:p>
    <w:p w14:paraId="71AB3206" w14:textId="288B9EF6" w:rsidR="002D0023" w:rsidRDefault="007150F6" w:rsidP="007150F6">
      <w:r w:rsidRPr="006A794D">
        <w:rPr>
          <w:i/>
        </w:rPr>
        <w:t>Tenofovir DF</w:t>
      </w:r>
      <w:r w:rsidRPr="00015255">
        <w:t>:</w:t>
      </w:r>
      <w:r>
        <w:t xml:space="preserve"> The antiviral activity of tenofovir against laboratory and clinical isolates of HIV-1 was assessed in T </w:t>
      </w:r>
      <w:proofErr w:type="spellStart"/>
      <w:r>
        <w:t>lymphoblastoid</w:t>
      </w:r>
      <w:proofErr w:type="spellEnd"/>
      <w:r>
        <w:t xml:space="preserve"> cell lines, primary monocyte/macrophage cells and peripheral blood lymphocytes. The EC</w:t>
      </w:r>
      <w:r w:rsidRPr="00F12BA5">
        <w:rPr>
          <w:vertAlign w:val="subscript"/>
        </w:rPr>
        <w:t>50</w:t>
      </w:r>
      <w:r>
        <w:t xml:space="preserve"> values for tenofovir were in the range of 0.04–8.5 </w:t>
      </w:r>
      <w:proofErr w:type="spellStart"/>
      <w:r>
        <w:t>microM</w:t>
      </w:r>
      <w:proofErr w:type="spellEnd"/>
      <w:r>
        <w:t>. Tenofovir displayed antiviral activity in cell culture against HIV-1 clades A, B, C, D, E, F, G, and O (EC</w:t>
      </w:r>
      <w:r w:rsidRPr="00F12BA5">
        <w:rPr>
          <w:vertAlign w:val="subscript"/>
        </w:rPr>
        <w:t>50</w:t>
      </w:r>
      <w:r>
        <w:t xml:space="preserve"> values ranged from 0.5–2.2 </w:t>
      </w:r>
      <w:proofErr w:type="spellStart"/>
      <w:r>
        <w:t>microM</w:t>
      </w:r>
      <w:proofErr w:type="spellEnd"/>
      <w:r>
        <w:t>).</w:t>
      </w:r>
    </w:p>
    <w:p w14:paraId="6B5C4D78" w14:textId="77777777" w:rsidR="00A83797" w:rsidRPr="00A83797" w:rsidRDefault="00A83797" w:rsidP="007150F6">
      <w:pPr>
        <w:pStyle w:val="Heading3"/>
      </w:pPr>
      <w:r w:rsidRPr="00A83797">
        <w:t>Effects on Electrocardiogram</w:t>
      </w:r>
    </w:p>
    <w:p w14:paraId="2F852BB9" w14:textId="708736A8" w:rsidR="00AE527C" w:rsidRDefault="007150F6" w:rsidP="00A83797">
      <w:r w:rsidRPr="008C6334">
        <w:t>At a doravirine dose of 1200 mg, which provides approximately 4 times the peak concentration observed following the maximum approved dose, doravirine does not prolong the QT interval to any clinically relevant extent.</w:t>
      </w:r>
    </w:p>
    <w:p w14:paraId="496C4061" w14:textId="6EB11C8F" w:rsidR="00A83797" w:rsidRDefault="00A83797" w:rsidP="00A83797">
      <w:pPr>
        <w:pStyle w:val="Heading3"/>
      </w:pPr>
      <w:r>
        <w:t>Microbiology</w:t>
      </w:r>
    </w:p>
    <w:p w14:paraId="0E48B4E9" w14:textId="6645213C" w:rsidR="007150F6" w:rsidRDefault="007150F6" w:rsidP="00A83797">
      <w:pPr>
        <w:rPr>
          <w:u w:val="single"/>
        </w:rPr>
      </w:pPr>
      <w:r>
        <w:rPr>
          <w:u w:val="single"/>
        </w:rPr>
        <w:t>Resistance</w:t>
      </w:r>
    </w:p>
    <w:p w14:paraId="58EEA433" w14:textId="2A8D317D" w:rsidR="00A83797" w:rsidRPr="007150F6" w:rsidRDefault="007150F6" w:rsidP="00A83797">
      <w:pPr>
        <w:rPr>
          <w:i/>
        </w:rPr>
      </w:pPr>
      <w:r w:rsidRPr="007150F6">
        <w:rPr>
          <w:i/>
        </w:rPr>
        <w:t>I</w:t>
      </w:r>
      <w:r w:rsidR="00A83797" w:rsidRPr="007150F6">
        <w:rPr>
          <w:i/>
        </w:rPr>
        <w:t>n Cell Culture</w:t>
      </w:r>
    </w:p>
    <w:p w14:paraId="764A3B11" w14:textId="77777777" w:rsidR="007150F6" w:rsidRDefault="007150F6" w:rsidP="007150F6">
      <w:r w:rsidRPr="006A794D">
        <w:rPr>
          <w:i/>
        </w:rPr>
        <w:t>Doravirine</w:t>
      </w:r>
      <w:r w:rsidRPr="00015255">
        <w:t>:</w:t>
      </w:r>
      <w:r>
        <w:t xml:space="preserve"> Doravirine-resistant strains were selected in cell culture starting from wild-type HIV-1 of different origins and subtypes, as well as NNRTI-resistant HIV-1. Observed emergent amino acid substitutions in RT included: V106A, V106M, V106I, V108I, F227L, F227C, F227V, H221Y, M230I, L234I, P236L, and Y318F.</w:t>
      </w:r>
    </w:p>
    <w:p w14:paraId="18C90366" w14:textId="77777777" w:rsidR="007150F6" w:rsidRDefault="007150F6" w:rsidP="007150F6">
      <w:r w:rsidRPr="006A794D">
        <w:rPr>
          <w:i/>
        </w:rPr>
        <w:t>Lamivudine</w:t>
      </w:r>
      <w:r w:rsidRPr="00015255">
        <w:t>:</w:t>
      </w:r>
      <w:r>
        <w:t xml:space="preserve"> Lamivudine-resistant variants of HIV-1 have been selected in cell culture and in subjects treated with lamivudine. Genotypic analysis showed that the resistance was due to a specific amino acid substitution in the HIV-1 reverse transcriptase at codon 184 changing the methionine to either isoleucine or valine (M184V/I).</w:t>
      </w:r>
    </w:p>
    <w:p w14:paraId="72941C12" w14:textId="76CEE524" w:rsidR="007150F6" w:rsidRDefault="007150F6" w:rsidP="007150F6">
      <w:r w:rsidRPr="006A794D">
        <w:rPr>
          <w:i/>
        </w:rPr>
        <w:t>Tenofovir DF</w:t>
      </w:r>
      <w:r w:rsidRPr="00015255">
        <w:t>:</w:t>
      </w:r>
      <w:r>
        <w:t xml:space="preserve"> HIV-1 isolates selected by tenofovir</w:t>
      </w:r>
      <w:r w:rsidR="008A362B">
        <w:t xml:space="preserve"> </w:t>
      </w:r>
      <w:r w:rsidR="008A362B">
        <w:rPr>
          <w:i/>
        </w:rPr>
        <w:t>in vitro</w:t>
      </w:r>
      <w:r>
        <w:t xml:space="preserve"> expressed a K65R substitution in HIV-1 RT and showed a </w:t>
      </w:r>
      <w:r w:rsidR="008A362B">
        <w:t>3</w:t>
      </w:r>
      <w:r>
        <w:t>–4- fold reduction in susceptibility to tenofovir. In addition, a K70E substitution in HIV-1 RT has been selected by tenofovir and results in low-level reduced susceptibility to tenofovir</w:t>
      </w:r>
      <w:r w:rsidR="008A362B">
        <w:t xml:space="preserve"> and reduced susceptibility to </w:t>
      </w:r>
      <w:proofErr w:type="spellStart"/>
      <w:r w:rsidR="008A362B">
        <w:t>abacavir</w:t>
      </w:r>
      <w:proofErr w:type="spellEnd"/>
      <w:r w:rsidR="008A362B">
        <w:t>, emtricitabine, and lamivudine</w:t>
      </w:r>
      <w:r>
        <w:t>.</w:t>
      </w:r>
    </w:p>
    <w:p w14:paraId="74567230" w14:textId="77777777" w:rsidR="007150F6" w:rsidRPr="00801726" w:rsidRDefault="007150F6" w:rsidP="007150F6">
      <w:pPr>
        <w:rPr>
          <w:i/>
        </w:rPr>
      </w:pPr>
      <w:r w:rsidRPr="00801726">
        <w:rPr>
          <w:i/>
        </w:rPr>
        <w:t>In Clinical Trials</w:t>
      </w:r>
    </w:p>
    <w:p w14:paraId="010D0224" w14:textId="77777777" w:rsidR="007150F6" w:rsidRDefault="007150F6" w:rsidP="007150F6">
      <w:r w:rsidRPr="006A794D">
        <w:rPr>
          <w:i/>
        </w:rPr>
        <w:t>Doravirine</w:t>
      </w:r>
      <w:r w:rsidRPr="00015255">
        <w:t>:</w:t>
      </w:r>
      <w:r>
        <w:t xml:space="preserve"> In the doravirine treatment arms of the treatment-naïve trials DRIVE-FORWARD and DRIVE-AHEAD (n=747), emergent doravirine-associated resistance substitutions were observed in 7 of 30 subjects in the resistance analysis subset (subjects with HIV-1 RNA greater than 400 copies per mL at </w:t>
      </w:r>
      <w:proofErr w:type="spellStart"/>
      <w:r>
        <w:t>virologic</w:t>
      </w:r>
      <w:proofErr w:type="spellEnd"/>
      <w:r>
        <w:t xml:space="preserve"> failure or at early study discontinuation and having resistance data). In the </w:t>
      </w:r>
      <w:proofErr w:type="spellStart"/>
      <w:r>
        <w:t>DRV+r</w:t>
      </w:r>
      <w:proofErr w:type="spellEnd"/>
      <w:r>
        <w:t xml:space="preserve"> treatment arm of the DRIVE-FORWARD trial (n=383), no emergent </w:t>
      </w:r>
      <w:proofErr w:type="spellStart"/>
      <w:r>
        <w:t>darunavir</w:t>
      </w:r>
      <w:proofErr w:type="spellEnd"/>
      <w:r>
        <w:t xml:space="preserve">-associated resistance substitutions were observed in the 11 subjects in the resistance analysis subset. In the EFV/FTC/TDF treatment arm of the DRIVE-AHEAD trial (n=364), emergent </w:t>
      </w:r>
      <w:proofErr w:type="spellStart"/>
      <w:r>
        <w:t>efavirenz</w:t>
      </w:r>
      <w:proofErr w:type="spellEnd"/>
      <w:r>
        <w:t>-associated resistance substitutions were observed in 12 out of 24 subjects in the resistance analysis subset.</w:t>
      </w:r>
    </w:p>
    <w:p w14:paraId="6B17C0CB" w14:textId="77777777" w:rsidR="007150F6" w:rsidRDefault="007150F6" w:rsidP="007150F6">
      <w:r>
        <w:t>Emergent doravirine associated resistance substitutions in RT included one or more of the following: A98G, V106I, V106A, V106M/T, Y188L, H221Y, P225H, F227C, F227C/R, and Y318Y/F.</w:t>
      </w:r>
    </w:p>
    <w:p w14:paraId="094C21EA" w14:textId="77777777" w:rsidR="007150F6" w:rsidRDefault="007150F6" w:rsidP="007150F6">
      <w:r w:rsidRPr="006A794D">
        <w:rPr>
          <w:i/>
        </w:rPr>
        <w:t>Lamivudine and Tenofovir DF</w:t>
      </w:r>
      <w:r>
        <w:t xml:space="preserve">: In a pooled analysis of antiretroviral-naïve subjects who received doravirine, lamivudine, and tenofovir DF, genotyping was performed on plasma HIV-1 isolates from all subjects with HIV-1 RNA greater than 400 copies per mL at confirmed </w:t>
      </w:r>
      <w:proofErr w:type="spellStart"/>
      <w:r>
        <w:t>virologic</w:t>
      </w:r>
      <w:proofErr w:type="spellEnd"/>
      <w:r>
        <w:t xml:space="preserve"> failure, at Week 48, or at time of early study drug discontinuation. Genotypic </w:t>
      </w:r>
      <w:r>
        <w:lastRenderedPageBreak/>
        <w:t>resistance developed in 7 evaluable subjects. The resistance–associated substitutions that emerged were RT M41L (n=1), K65R (n=2), and M184V/I (n=4).</w:t>
      </w:r>
    </w:p>
    <w:p w14:paraId="561E25FF" w14:textId="2A961D4E" w:rsidR="00A83797" w:rsidRDefault="007150F6" w:rsidP="00A83797">
      <w:pPr>
        <w:rPr>
          <w:u w:val="single"/>
        </w:rPr>
      </w:pPr>
      <w:r w:rsidRPr="003D2740">
        <w:rPr>
          <w:u w:val="single"/>
        </w:rPr>
        <w:t>Cross-</w:t>
      </w:r>
      <w:r w:rsidR="003D2740" w:rsidRPr="003D2740">
        <w:rPr>
          <w:u w:val="single"/>
        </w:rPr>
        <w:t>resistance</w:t>
      </w:r>
    </w:p>
    <w:p w14:paraId="30B0C17E" w14:textId="77777777" w:rsidR="003D2740" w:rsidRDefault="003D2740" w:rsidP="003D2740">
      <w:r>
        <w:t>No significant cross-resistance has been demonstrated between doravirine-resistant HIV-1 variants and lamivudine/emtricitabine or tenofovir or between lamivudine or tenofovir-resistant variants and doravirine.</w:t>
      </w:r>
    </w:p>
    <w:p w14:paraId="07FBD505" w14:textId="77777777" w:rsidR="003D2740" w:rsidRDefault="003D2740" w:rsidP="003D2740">
      <w:r w:rsidRPr="006A794D">
        <w:rPr>
          <w:i/>
        </w:rPr>
        <w:t>Doravirine</w:t>
      </w:r>
      <w:r w:rsidRPr="00015255">
        <w:t>:</w:t>
      </w:r>
      <w:r>
        <w:t xml:space="preserve"> Laboratory strains of HIV-1 harbouring the common NNRTI-associated mutations K103N, Y181C, or K103N/Y181C substitutions in RT exhibit less than a 3-fold decrease in susceptibility to doravirine compared to wild-type virus when evaluated in the presence of 100% NHS. Doravirine was able to suppress the following NNRTI-associated substitutions: K103N, Y181C, G190A, and E138K mutants under clinically relevant concentrations.</w:t>
      </w:r>
    </w:p>
    <w:p w14:paraId="6327D6EA" w14:textId="7A397D8D" w:rsidR="003D2740" w:rsidRDefault="003D2740" w:rsidP="003D2740">
      <w:r>
        <w:t>A panel of 96 diverse clinical isolates containing NNRTI-associated mutations was evaluated for susceptibility to doravirine in the presence of 10% foetal bovine serum. Clinical isolates containing the Y188L substitution</w:t>
      </w:r>
      <w:r w:rsidR="000D2CA7">
        <w:t xml:space="preserve"> alone or Y188L</w:t>
      </w:r>
      <w:r>
        <w:t xml:space="preserve"> or V106</w:t>
      </w:r>
      <w:r w:rsidR="000D2CA7">
        <w:t>A</w:t>
      </w:r>
      <w:r>
        <w:t xml:space="preserve"> substitutions in combination with </w:t>
      </w:r>
      <w:r w:rsidR="000D2CA7">
        <w:t xml:space="preserve">E138K, F227L, G190A, K103N and/or M230L </w:t>
      </w:r>
      <w:r>
        <w:t>showed a greater than 100-fold reduced susceptibility to doravirine.</w:t>
      </w:r>
    </w:p>
    <w:p w14:paraId="0A6CAE65" w14:textId="77777777" w:rsidR="003D2740" w:rsidRDefault="003D2740" w:rsidP="003D2740">
      <w:r>
        <w:t xml:space="preserve">Treatment emergent doravirine resistance associated substitutions may confer cross resistance to </w:t>
      </w:r>
      <w:proofErr w:type="spellStart"/>
      <w:r>
        <w:t>efavirenz</w:t>
      </w:r>
      <w:proofErr w:type="spellEnd"/>
      <w:r>
        <w:t xml:space="preserve">, </w:t>
      </w:r>
      <w:proofErr w:type="spellStart"/>
      <w:r>
        <w:t>rilpivirine</w:t>
      </w:r>
      <w:proofErr w:type="spellEnd"/>
      <w:r>
        <w:t xml:space="preserve">, </w:t>
      </w:r>
      <w:proofErr w:type="spellStart"/>
      <w:r>
        <w:t>nevirapine</w:t>
      </w:r>
      <w:proofErr w:type="spellEnd"/>
      <w:r>
        <w:t xml:space="preserve">, and </w:t>
      </w:r>
      <w:proofErr w:type="spellStart"/>
      <w:r>
        <w:t>etravirine</w:t>
      </w:r>
      <w:proofErr w:type="spellEnd"/>
      <w:r>
        <w:t xml:space="preserve">. Of the 7 subjects who developed doravirine resistance, 6 had phenotypic resistance to EFV and </w:t>
      </w:r>
      <w:proofErr w:type="spellStart"/>
      <w:r>
        <w:t>nevirapine</w:t>
      </w:r>
      <w:proofErr w:type="spellEnd"/>
      <w:r>
        <w:t xml:space="preserve">, 3 had phenotypic resistance to </w:t>
      </w:r>
      <w:proofErr w:type="spellStart"/>
      <w:r>
        <w:t>rilpivirine</w:t>
      </w:r>
      <w:proofErr w:type="spellEnd"/>
      <w:r>
        <w:t xml:space="preserve">, and 2 had partial resistance to </w:t>
      </w:r>
      <w:proofErr w:type="spellStart"/>
      <w:r>
        <w:t>etravirine</w:t>
      </w:r>
      <w:proofErr w:type="spellEnd"/>
      <w:r>
        <w:t xml:space="preserve"> based on the Monogram </w:t>
      </w:r>
      <w:proofErr w:type="spellStart"/>
      <w:r>
        <w:t>Phenosense</w:t>
      </w:r>
      <w:proofErr w:type="spellEnd"/>
      <w:r>
        <w:t xml:space="preserve"> assay.</w:t>
      </w:r>
    </w:p>
    <w:p w14:paraId="325C60DE" w14:textId="77777777" w:rsidR="003D2740" w:rsidRDefault="003D2740" w:rsidP="003D2740">
      <w:r w:rsidRPr="006A794D">
        <w:rPr>
          <w:i/>
        </w:rPr>
        <w:t>Lamivudine</w:t>
      </w:r>
      <w:r w:rsidRPr="00015255">
        <w:t>:</w:t>
      </w:r>
      <w:r>
        <w:t xml:space="preserve"> Cross-resistance has been observed among NRTIs. The M184I/V lamivudine resistance substitution confers resistance to emtricitabine. Lamivudine-resistant HIV-1 mutants were also cross-resistant to </w:t>
      </w:r>
      <w:proofErr w:type="spellStart"/>
      <w:r>
        <w:t>didanosine</w:t>
      </w:r>
      <w:proofErr w:type="spellEnd"/>
      <w:r>
        <w:t xml:space="preserve"> (</w:t>
      </w:r>
      <w:proofErr w:type="spellStart"/>
      <w:r>
        <w:t>ddI</w:t>
      </w:r>
      <w:proofErr w:type="spellEnd"/>
      <w:r>
        <w:t xml:space="preserve">). In some subjects treated with zidovudine plus </w:t>
      </w:r>
      <w:proofErr w:type="spellStart"/>
      <w:r>
        <w:t>didanosine</w:t>
      </w:r>
      <w:proofErr w:type="spellEnd"/>
      <w:r>
        <w:t>, isolates resistant to multiple reverse transcriptase inhibitors, including lamivudine, have emerged.</w:t>
      </w:r>
    </w:p>
    <w:p w14:paraId="1CFCFA85" w14:textId="77777777" w:rsidR="003D2740" w:rsidRDefault="003D2740" w:rsidP="003D2740">
      <w:r w:rsidRPr="006A794D">
        <w:rPr>
          <w:i/>
        </w:rPr>
        <w:t>Tenofovir DF</w:t>
      </w:r>
      <w:r w:rsidRPr="00015255">
        <w:t>:</w:t>
      </w:r>
      <w:r>
        <w:t xml:space="preserve"> Cross-resistance has been observed among NRTIs. The K65R substitution in HIV-1 RT selected by tenofovir is also selected in some HIV-1-infected patients treated with </w:t>
      </w:r>
      <w:proofErr w:type="spellStart"/>
      <w:r>
        <w:t>abacavir</w:t>
      </w:r>
      <w:proofErr w:type="spellEnd"/>
      <w:r>
        <w:t xml:space="preserve"> or </w:t>
      </w:r>
      <w:proofErr w:type="spellStart"/>
      <w:r>
        <w:t>didanosine</w:t>
      </w:r>
      <w:proofErr w:type="spellEnd"/>
      <w:r>
        <w:t xml:space="preserve">. HIV-1 isolates with the K65R substitution also showed reduced susceptibility to emtricitabine and lamivudine. Therefore, cross-resistance among these NRTIs may occur in patients whose virus harbors the K65R substitution. The K70E substitution selected clinically by tenofovir DF results in reduced susceptibility to </w:t>
      </w:r>
      <w:proofErr w:type="spellStart"/>
      <w:r>
        <w:t>abacavir</w:t>
      </w:r>
      <w:proofErr w:type="spellEnd"/>
      <w:r>
        <w:t xml:space="preserve">, </w:t>
      </w:r>
      <w:proofErr w:type="spellStart"/>
      <w:r>
        <w:t>didanosine</w:t>
      </w:r>
      <w:proofErr w:type="spellEnd"/>
      <w:r>
        <w:t>, emtricitabine, lamivudine, and tenofovir. HIV-1 isolates from patients (N=20) whose HIV-1 expressed a mean of 3 zidovudine associated RT amino acid substitutions (M41L, D67N, K70R, L210W, T215Y/F, or K219Q/E/N) showed a 3.1-fold decrease in the susceptibility to tenofovir. Subjects whose virus expressed an L74V RT substitution without zidovudine resistance-associated substitutions (N=8) had reduced response to tenofovir DF. Limited data are available for patients whose virus expressed a Y115F substitution (N=3), Q151M substitution (N=2), or T69 insertion (N=4) in HIV-1 RT, all of whom had a reduced response in clinical trials.</w:t>
      </w:r>
    </w:p>
    <w:p w14:paraId="5F8D05CB" w14:textId="77777777" w:rsidR="00935DC2" w:rsidRPr="008246E7" w:rsidRDefault="003D3FCB" w:rsidP="00271648">
      <w:pPr>
        <w:pStyle w:val="Heading3"/>
      </w:pPr>
      <w:r w:rsidRPr="008246E7">
        <w:t>Clinical trials</w:t>
      </w:r>
    </w:p>
    <w:p w14:paraId="6CF28262" w14:textId="77777777" w:rsidR="00A83797" w:rsidRPr="00A83797" w:rsidRDefault="00A83797" w:rsidP="00A83797">
      <w:pPr>
        <w:rPr>
          <w:u w:val="single"/>
        </w:rPr>
      </w:pPr>
      <w:r w:rsidRPr="00A83797">
        <w:rPr>
          <w:u w:val="single"/>
        </w:rPr>
        <w:t>Treatment-Naïve Adult Subjects</w:t>
      </w:r>
    </w:p>
    <w:p w14:paraId="346EEA61" w14:textId="2384CF57" w:rsidR="007C5479" w:rsidRDefault="007C5479" w:rsidP="007C5479">
      <w:pPr>
        <w:shd w:val="clear" w:color="auto" w:fill="FFFFFF"/>
        <w:spacing w:before="60"/>
        <w:rPr>
          <w:rFonts w:eastAsia="MS Gothic" w:cs="Arial"/>
          <w:sz w:val="20"/>
        </w:rPr>
      </w:pPr>
      <w:r>
        <w:rPr>
          <w:rFonts w:eastAsia="MS Gothic" w:cs="Arial"/>
        </w:rPr>
        <w:t xml:space="preserve">The efficacy of </w:t>
      </w:r>
      <w:r w:rsidR="00B836DC">
        <w:rPr>
          <w:rFonts w:eastAsia="MS Gothic" w:cs="Arial"/>
        </w:rPr>
        <w:t>DELSTRIGO</w:t>
      </w:r>
      <w:r>
        <w:rPr>
          <w:rFonts w:eastAsia="MS Gothic" w:cs="Arial"/>
        </w:rPr>
        <w:t xml:space="preserve"> is based on the analyses of 48-week data from two randomized, multicentre, double-blind, active controlled </w:t>
      </w:r>
      <w:r>
        <w:rPr>
          <w:rFonts w:eastAsia="MS Gothic" w:cs="Arial"/>
          <w:lang w:bidi="th-TH"/>
        </w:rPr>
        <w:t>Phase 3 trials, (DRIVE-FORWARD and DRIVE-AHEAD) in antiretroviral treatment-naïve, HIV-1 infected subjects (n=1494)</w:t>
      </w:r>
      <w:r>
        <w:rPr>
          <w:rFonts w:eastAsia="MS Gothic" w:cs="Arial"/>
        </w:rPr>
        <w:t>.</w:t>
      </w:r>
    </w:p>
    <w:p w14:paraId="1E225352" w14:textId="391310E7" w:rsidR="007C5479" w:rsidRDefault="007C5479" w:rsidP="007C5479">
      <w:pPr>
        <w:shd w:val="clear" w:color="auto" w:fill="FFFFFF"/>
        <w:rPr>
          <w:rFonts w:eastAsia="MS Gothic" w:cs="Arial"/>
          <w:color w:val="1A1A1A"/>
        </w:rPr>
      </w:pPr>
      <w:r>
        <w:rPr>
          <w:rFonts w:eastAsia="MS Gothic" w:cs="Arial"/>
          <w:color w:val="1A1A1A"/>
        </w:rPr>
        <w:lastRenderedPageBreak/>
        <w:t xml:space="preserve">In DRIVE-FORWARD, 766 subjects were randomized and received at least 1 dose of either </w:t>
      </w:r>
      <w:r>
        <w:rPr>
          <w:rFonts w:eastAsia="MS Gothic" w:cs="Arial"/>
          <w:color w:val="000000"/>
        </w:rPr>
        <w:t>doravirine-</w:t>
      </w:r>
      <w:r w:rsidR="00B836DC">
        <w:rPr>
          <w:rFonts w:eastAsia="MS Gothic" w:cs="Arial"/>
          <w:color w:val="1A1A1A"/>
        </w:rPr>
        <w:t>DELSTRIGO</w:t>
      </w:r>
      <w:r>
        <w:rPr>
          <w:rFonts w:eastAsia="MS Gothic" w:cs="Arial"/>
          <w:color w:val="1A1A1A"/>
        </w:rPr>
        <w:t xml:space="preserve"> once daily or </w:t>
      </w:r>
      <w:proofErr w:type="spellStart"/>
      <w:r>
        <w:rPr>
          <w:rFonts w:eastAsia="MS Gothic" w:cs="Arial"/>
          <w:color w:val="1A1A1A"/>
        </w:rPr>
        <w:t>DRV+r</w:t>
      </w:r>
      <w:proofErr w:type="spellEnd"/>
      <w:r>
        <w:rPr>
          <w:rFonts w:eastAsia="MS Gothic" w:cs="Arial"/>
          <w:color w:val="1A1A1A"/>
        </w:rPr>
        <w:t xml:space="preserve"> 800/100 mg once daily each in combination with emtricitabine/tenofovir DF (</w:t>
      </w:r>
      <w:r>
        <w:rPr>
          <w:rFonts w:eastAsia="MS Gothic" w:cs="Arial"/>
        </w:rPr>
        <w:t xml:space="preserve">FTC/TDF) </w:t>
      </w:r>
      <w:r>
        <w:rPr>
          <w:rFonts w:eastAsia="MS Gothic" w:cs="Arial"/>
          <w:color w:val="1A1A1A"/>
        </w:rPr>
        <w:t xml:space="preserve">or </w:t>
      </w:r>
      <w:proofErr w:type="spellStart"/>
      <w:r>
        <w:rPr>
          <w:rFonts w:eastAsia="MS Gothic" w:cs="Arial"/>
          <w:color w:val="1A1A1A"/>
        </w:rPr>
        <w:t>abacavir</w:t>
      </w:r>
      <w:proofErr w:type="spellEnd"/>
      <w:r>
        <w:rPr>
          <w:rFonts w:eastAsia="MS Gothic" w:cs="Arial"/>
          <w:color w:val="1A1A1A"/>
        </w:rPr>
        <w:t>/lamivudine (ABC/3TC) selected by the investigator. At baseline, the median age of subjects was 33 years, 16% were female, 27% were non-white, 4% had hepatitis B and/or C virus co-infection, 10% had a history of AIDS, 20% had HIV-1 RNA greater than 100,000 copies/mL, 86% had CD4+ T-cell count greater than 200 cells/mm</w:t>
      </w:r>
      <w:r>
        <w:rPr>
          <w:rFonts w:eastAsia="MS Gothic" w:cs="Arial"/>
          <w:color w:val="1A1A1A"/>
          <w:vertAlign w:val="superscript"/>
        </w:rPr>
        <w:t>3</w:t>
      </w:r>
      <w:r>
        <w:rPr>
          <w:rFonts w:eastAsia="MS Gothic" w:cs="Arial"/>
          <w:color w:val="1A1A1A"/>
        </w:rPr>
        <w:t>, 13% received ABC/3TC and 87% received FTC/TDF; these characteristics were similar between treatment groups.</w:t>
      </w:r>
    </w:p>
    <w:p w14:paraId="25E34097" w14:textId="2B7C2EA8" w:rsidR="007C5479" w:rsidRDefault="007C5479" w:rsidP="007C5479">
      <w:pPr>
        <w:rPr>
          <w:rFonts w:eastAsia="Times New Roman" w:cs="Arial"/>
          <w:color w:val="1A1A1A"/>
        </w:rPr>
      </w:pPr>
      <w:r>
        <w:rPr>
          <w:rFonts w:eastAsia="Times New Roman" w:cs="Arial"/>
          <w:color w:val="1A1A1A"/>
        </w:rPr>
        <w:t xml:space="preserve">In DRIVE-AHEAD, 728 subjects were randomised and received at least 1 dose of either </w:t>
      </w:r>
      <w:r w:rsidR="00B836DC">
        <w:rPr>
          <w:rFonts w:eastAsia="Times New Roman" w:cs="Arial"/>
          <w:color w:val="1A1A1A"/>
        </w:rPr>
        <w:t>DELSTRIGO</w:t>
      </w:r>
      <w:r>
        <w:rPr>
          <w:rFonts w:eastAsia="Times New Roman" w:cs="Arial"/>
          <w:color w:val="1A1A1A"/>
        </w:rPr>
        <w:t xml:space="preserve"> or EFV/FTC/TDF once daily. At baseline, the median age of subjects was 31 years, 15% were female, 52% were non-white, 3% had hepatitis B or C co-infection, 14% had a history of AIDS, 21% had HIV-1 RNA greater than 100,000 copies/mL, and 88% had CD4+ </w:t>
      </w:r>
      <w:r>
        <w:rPr>
          <w:rFonts w:eastAsia="MS Gothic" w:cs="Arial"/>
          <w:color w:val="1A1A1A"/>
        </w:rPr>
        <w:t>T-</w:t>
      </w:r>
      <w:r>
        <w:rPr>
          <w:rFonts w:eastAsia="Times New Roman" w:cs="Arial"/>
          <w:color w:val="1A1A1A"/>
        </w:rPr>
        <w:t>cell count greater than 200 cells/mm</w:t>
      </w:r>
      <w:r>
        <w:rPr>
          <w:rFonts w:eastAsia="Times New Roman" w:cs="Arial"/>
          <w:color w:val="1A1A1A"/>
          <w:vertAlign w:val="superscript"/>
        </w:rPr>
        <w:t>3</w:t>
      </w:r>
      <w:r>
        <w:rPr>
          <w:rFonts w:eastAsia="Times New Roman" w:cs="Arial"/>
          <w:color w:val="1A1A1A"/>
        </w:rPr>
        <w:t>; these characteristics were similar between treatment groups.</w:t>
      </w:r>
    </w:p>
    <w:p w14:paraId="1A31A57E" w14:textId="2F5244D4" w:rsidR="007C5479" w:rsidRDefault="007C5479" w:rsidP="007C5479">
      <w:pPr>
        <w:rPr>
          <w:rFonts w:eastAsia="Times New Roman" w:cs="Arial"/>
          <w:color w:val="1A1A1A"/>
        </w:rPr>
      </w:pPr>
      <w:r>
        <w:rPr>
          <w:rFonts w:eastAsia="Times New Roman" w:cs="Arial"/>
          <w:color w:val="000000"/>
        </w:rPr>
        <w:t xml:space="preserve">Week 48 outcomes for </w:t>
      </w:r>
      <w:r>
        <w:rPr>
          <w:rFonts w:eastAsia="Times New Roman" w:cs="Arial"/>
          <w:color w:val="1A1A1A"/>
        </w:rPr>
        <w:t>DRIVE-FORWARD</w:t>
      </w:r>
      <w:r>
        <w:rPr>
          <w:rFonts w:eastAsia="Times New Roman" w:cs="Arial"/>
          <w:color w:val="000000"/>
        </w:rPr>
        <w:t xml:space="preserve"> and </w:t>
      </w:r>
      <w:r>
        <w:rPr>
          <w:rFonts w:eastAsia="Times New Roman" w:cs="Arial"/>
          <w:color w:val="1A1A1A"/>
        </w:rPr>
        <w:t>DRIVE-AHEAD</w:t>
      </w:r>
      <w:r>
        <w:rPr>
          <w:rFonts w:eastAsia="Times New Roman" w:cs="Arial"/>
          <w:color w:val="000000"/>
        </w:rPr>
        <w:t xml:space="preserve"> are provided in </w:t>
      </w:r>
      <w:r w:rsidRPr="007A7039">
        <w:rPr>
          <w:rFonts w:eastAsia="Times New Roman" w:cs="Arial"/>
          <w:color w:val="000000"/>
        </w:rPr>
        <w:t xml:space="preserve">Table </w:t>
      </w:r>
      <w:r w:rsidR="002C24E2">
        <w:rPr>
          <w:rFonts w:eastAsia="Times New Roman" w:cs="Arial"/>
          <w:color w:val="000000"/>
        </w:rPr>
        <w:t>6</w:t>
      </w:r>
      <w:r>
        <w:rPr>
          <w:rFonts w:eastAsia="Times New Roman" w:cs="Arial"/>
          <w:color w:val="000000"/>
        </w:rPr>
        <w:t>. Side-by-side tabulation is to simplify presentation; direct comparisons across trials should not be made due to differing trial designs.</w:t>
      </w:r>
    </w:p>
    <w:p w14:paraId="7DA694EF" w14:textId="44E89D74" w:rsidR="007C5479" w:rsidRDefault="007C5479" w:rsidP="007C5479">
      <w:pPr>
        <w:shd w:val="clear" w:color="auto" w:fill="FFFFFF"/>
        <w:rPr>
          <w:rFonts w:eastAsia="MS Gothic" w:cs="Arial"/>
        </w:rPr>
      </w:pPr>
      <w:r>
        <w:rPr>
          <w:rFonts w:eastAsia="MS Gothic" w:cs="Arial"/>
          <w:color w:val="000000"/>
        </w:rPr>
        <w:t xml:space="preserve">In </w:t>
      </w:r>
      <w:r>
        <w:rPr>
          <w:rFonts w:eastAsia="MS Gothic" w:cs="Arial"/>
          <w:lang w:bidi="th-TH"/>
        </w:rPr>
        <w:t>DRIVE-FORWARD</w:t>
      </w:r>
      <w:r>
        <w:rPr>
          <w:rFonts w:eastAsia="MS Gothic" w:cs="Arial"/>
          <w:color w:val="000000"/>
        </w:rPr>
        <w:t>, doravirine-</w:t>
      </w:r>
      <w:r w:rsidR="00C54C73">
        <w:rPr>
          <w:rFonts w:eastAsia="MS Gothic" w:cs="Arial"/>
          <w:color w:val="000000"/>
        </w:rPr>
        <w:t>PIFELTRO</w:t>
      </w:r>
      <w:r>
        <w:rPr>
          <w:rFonts w:eastAsia="MS Gothic" w:cs="Arial"/>
          <w:color w:val="000000"/>
        </w:rPr>
        <w:t xml:space="preserve"> demonstrated consistent efficacy across demographic and baseline prognostic factors, including gender, race, ethnicity, NRTI background therapy, baseline HIV-1 RNA (≤100,000 or &gt;100,000 copies/mL), CD4+ T-cell count, </w:t>
      </w:r>
      <w:r>
        <w:rPr>
          <w:rFonts w:eastAsia="MS Gothic" w:cs="Arial"/>
        </w:rPr>
        <w:t>and viral subtypes</w:t>
      </w:r>
      <w:r>
        <w:rPr>
          <w:rFonts w:eastAsia="MS Gothic" w:cs="Arial"/>
          <w:color w:val="000000"/>
        </w:rPr>
        <w:t xml:space="preserve">. </w:t>
      </w:r>
      <w:r>
        <w:rPr>
          <w:rFonts w:eastAsia="MS Gothic" w:cs="Arial"/>
        </w:rPr>
        <w:t xml:space="preserve">Mean CD4+ T-cell counts in the </w:t>
      </w:r>
      <w:r>
        <w:rPr>
          <w:rFonts w:eastAsia="MS Gothic" w:cs="Arial"/>
          <w:color w:val="000000"/>
        </w:rPr>
        <w:t>doravirine-</w:t>
      </w:r>
      <w:r w:rsidR="00C54C73">
        <w:rPr>
          <w:rFonts w:eastAsia="MS Gothic" w:cs="Arial"/>
          <w:color w:val="000000"/>
        </w:rPr>
        <w:t>PIFELTRO</w:t>
      </w:r>
      <w:r>
        <w:rPr>
          <w:rFonts w:eastAsia="MS Gothic" w:cs="Arial"/>
        </w:rPr>
        <w:t xml:space="preserve"> and </w:t>
      </w:r>
      <w:proofErr w:type="spellStart"/>
      <w:r>
        <w:rPr>
          <w:rFonts w:eastAsia="MS Gothic" w:cs="Arial"/>
        </w:rPr>
        <w:t>DRV+r</w:t>
      </w:r>
      <w:proofErr w:type="spellEnd"/>
      <w:r>
        <w:rPr>
          <w:rFonts w:eastAsia="MS Gothic" w:cs="Arial"/>
        </w:rPr>
        <w:t xml:space="preserve"> groups increased from baseline by 193 and 186 cells/mm</w:t>
      </w:r>
      <w:r>
        <w:rPr>
          <w:rFonts w:eastAsia="MS Gothic" w:cs="Arial"/>
          <w:vertAlign w:val="superscript"/>
        </w:rPr>
        <w:t>3</w:t>
      </w:r>
      <w:r>
        <w:rPr>
          <w:rFonts w:eastAsia="MS Gothic" w:cs="Arial"/>
        </w:rPr>
        <w:t>, respectively.</w:t>
      </w:r>
    </w:p>
    <w:p w14:paraId="1BBB3966" w14:textId="68FDFF90" w:rsidR="00A83797" w:rsidRDefault="007C5479" w:rsidP="007C5479">
      <w:pPr>
        <w:rPr>
          <w:rFonts w:eastAsia="Times New Roman" w:cs="Arial"/>
        </w:rPr>
      </w:pPr>
      <w:r>
        <w:rPr>
          <w:rFonts w:eastAsia="Times New Roman" w:cs="Arial"/>
          <w:color w:val="000000"/>
        </w:rPr>
        <w:t xml:space="preserve">In </w:t>
      </w:r>
      <w:r>
        <w:rPr>
          <w:rFonts w:eastAsia="Times New Roman" w:cs="Arial"/>
          <w:lang w:bidi="th-TH"/>
        </w:rPr>
        <w:t>DRIVE-AHEAD</w:t>
      </w:r>
      <w:r>
        <w:rPr>
          <w:rFonts w:eastAsia="Times New Roman" w:cs="Arial"/>
          <w:color w:val="000000"/>
        </w:rPr>
        <w:t xml:space="preserve">, </w:t>
      </w:r>
      <w:r w:rsidR="00B836DC">
        <w:rPr>
          <w:rFonts w:eastAsia="Times New Roman" w:cs="Arial"/>
          <w:color w:val="000000"/>
        </w:rPr>
        <w:t>DELSTRIGO</w:t>
      </w:r>
      <w:r>
        <w:rPr>
          <w:rFonts w:eastAsia="Times New Roman" w:cs="Arial"/>
          <w:color w:val="000000"/>
        </w:rPr>
        <w:t xml:space="preserve"> demonstrated consistent efficacy across demographic and baseline prognostic factors, including gender, race, ethnicity, baseline HIV-1 RNA (≤100,000 or &gt;100,000 copies/mL), CD4+ T-cell count, </w:t>
      </w:r>
      <w:r>
        <w:rPr>
          <w:rFonts w:eastAsia="Times New Roman" w:cs="Arial"/>
        </w:rPr>
        <w:t>and viral subtypes</w:t>
      </w:r>
      <w:r>
        <w:rPr>
          <w:rFonts w:eastAsia="Times New Roman" w:cs="Arial"/>
          <w:color w:val="000000"/>
        </w:rPr>
        <w:t xml:space="preserve">. </w:t>
      </w:r>
      <w:r>
        <w:rPr>
          <w:rFonts w:eastAsia="Times New Roman" w:cs="Arial"/>
        </w:rPr>
        <w:t xml:space="preserve">Mean CD4+ T-cell counts in the </w:t>
      </w:r>
      <w:r w:rsidR="00B836DC">
        <w:rPr>
          <w:rFonts w:eastAsia="Times New Roman" w:cs="Arial"/>
        </w:rPr>
        <w:t>DELSTRIGO</w:t>
      </w:r>
      <w:r>
        <w:rPr>
          <w:rFonts w:eastAsia="Times New Roman" w:cs="Arial"/>
        </w:rPr>
        <w:t xml:space="preserve"> and EFV/FTC/TDF groups increased from baseline by 198 and 188 cells/mm</w:t>
      </w:r>
      <w:r>
        <w:rPr>
          <w:rFonts w:eastAsia="Times New Roman" w:cs="Arial"/>
          <w:vertAlign w:val="superscript"/>
        </w:rPr>
        <w:t>3</w:t>
      </w:r>
      <w:r>
        <w:rPr>
          <w:rFonts w:eastAsia="Times New Roman" w:cs="Arial"/>
        </w:rPr>
        <w:t>, respectively.</w:t>
      </w:r>
    </w:p>
    <w:p w14:paraId="6CC9348B" w14:textId="77777777" w:rsidR="00EF7790" w:rsidRDefault="00EF7790" w:rsidP="007C5479">
      <w:pPr>
        <w:jc w:val="center"/>
        <w:rPr>
          <w:b/>
        </w:rPr>
      </w:pPr>
    </w:p>
    <w:p w14:paraId="572EE1CE" w14:textId="333E016B" w:rsidR="007C5479" w:rsidRPr="007C5479" w:rsidRDefault="007C5479" w:rsidP="007C5479">
      <w:pPr>
        <w:jc w:val="center"/>
        <w:rPr>
          <w:b/>
        </w:rPr>
      </w:pPr>
      <w:r w:rsidRPr="007C5479">
        <w:rPr>
          <w:b/>
        </w:rPr>
        <w:t xml:space="preserve">Table </w:t>
      </w:r>
      <w:r w:rsidR="002C24E2">
        <w:rPr>
          <w:b/>
        </w:rPr>
        <w:t>6</w:t>
      </w:r>
      <w:r w:rsidRPr="007C5479">
        <w:rPr>
          <w:b/>
        </w:rPr>
        <w:t xml:space="preserve">: </w:t>
      </w:r>
      <w:r w:rsidRPr="007C5479">
        <w:rPr>
          <w:b/>
        </w:rPr>
        <w:fldChar w:fldCharType="begin" w:fldLock="1"/>
      </w:r>
      <w:r w:rsidRPr="007C5479">
        <w:rPr>
          <w:b/>
        </w:rPr>
        <w:instrText xml:space="preserve"> INCLUDETEXT "\\\\bardsar-prod\\mk1439a-hiv\\prot021-wk48-sdtm313\\outtable\\ef0vlout0w48.rtf" \c MSRTF  \* MERGEFORMAT </w:instrText>
      </w:r>
      <w:r w:rsidRPr="007C5479">
        <w:rPr>
          <w:b/>
        </w:rPr>
        <w:fldChar w:fldCharType="separate"/>
      </w:r>
      <w:proofErr w:type="spellStart"/>
      <w:r w:rsidRPr="007C5479">
        <w:rPr>
          <w:b/>
        </w:rPr>
        <w:t>Virologic</w:t>
      </w:r>
      <w:proofErr w:type="spellEnd"/>
      <w:r w:rsidRPr="007C5479">
        <w:rPr>
          <w:b/>
        </w:rPr>
        <w:t xml:space="preserve"> Outcome at Week 48 (FDA Snapshot Approach)</w:t>
      </w:r>
      <w:r w:rsidRPr="007C5479">
        <w:rPr>
          <w:b/>
        </w:rPr>
        <w:fldChar w:fldCharType="end"/>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1634"/>
        <w:gridCol w:w="1635"/>
        <w:gridCol w:w="1634"/>
        <w:gridCol w:w="1239"/>
      </w:tblGrid>
      <w:tr w:rsidR="007C5479" w:rsidRPr="007C5479" w14:paraId="01042CF9" w14:textId="77777777" w:rsidTr="000A76E7">
        <w:tc>
          <w:tcPr>
            <w:tcW w:w="2930" w:type="dxa"/>
            <w:vMerge w:val="restart"/>
            <w:tcBorders>
              <w:top w:val="single" w:sz="4" w:space="0" w:color="auto"/>
              <w:left w:val="single" w:sz="4" w:space="0" w:color="auto"/>
              <w:bottom w:val="single" w:sz="4" w:space="0" w:color="auto"/>
              <w:right w:val="single" w:sz="4" w:space="0" w:color="auto"/>
            </w:tcBorders>
            <w:vAlign w:val="bottom"/>
            <w:hideMark/>
          </w:tcPr>
          <w:p w14:paraId="2AD36B1F" w14:textId="77777777" w:rsidR="007C5479" w:rsidRPr="007C5479" w:rsidRDefault="007C5479" w:rsidP="007C5479">
            <w:pPr>
              <w:spacing w:before="60" w:after="60" w:line="276" w:lineRule="auto"/>
              <w:jc w:val="center"/>
              <w:rPr>
                <w:rFonts w:eastAsia="Calibri" w:cs="Arial"/>
                <w:b/>
                <w:sz w:val="16"/>
                <w:szCs w:val="16"/>
                <w:highlight w:val="green"/>
                <w:lang w:val="en-US"/>
              </w:rPr>
            </w:pPr>
            <w:r w:rsidRPr="007C5479">
              <w:rPr>
                <w:rFonts w:eastAsia="Calibri" w:cs="Arial"/>
                <w:b/>
                <w:sz w:val="16"/>
                <w:szCs w:val="16"/>
              </w:rPr>
              <w:t>Outcome</w:t>
            </w:r>
          </w:p>
        </w:tc>
        <w:tc>
          <w:tcPr>
            <w:tcW w:w="3269" w:type="dxa"/>
            <w:gridSpan w:val="2"/>
            <w:tcBorders>
              <w:top w:val="single" w:sz="4" w:space="0" w:color="auto"/>
              <w:left w:val="single" w:sz="4" w:space="0" w:color="auto"/>
              <w:bottom w:val="single" w:sz="4" w:space="0" w:color="auto"/>
              <w:right w:val="single" w:sz="12" w:space="0" w:color="auto"/>
            </w:tcBorders>
            <w:vAlign w:val="center"/>
            <w:hideMark/>
          </w:tcPr>
          <w:p w14:paraId="0BC1509E" w14:textId="77777777"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sz w:val="16"/>
                <w:szCs w:val="16"/>
                <w:lang w:bidi="th-TH"/>
              </w:rPr>
              <w:t>DRIVE-FORWARD</w:t>
            </w:r>
          </w:p>
        </w:tc>
        <w:tc>
          <w:tcPr>
            <w:tcW w:w="2873" w:type="dxa"/>
            <w:gridSpan w:val="2"/>
            <w:tcBorders>
              <w:top w:val="single" w:sz="4" w:space="0" w:color="auto"/>
              <w:left w:val="single" w:sz="12" w:space="0" w:color="auto"/>
              <w:bottom w:val="single" w:sz="4" w:space="0" w:color="auto"/>
              <w:right w:val="single" w:sz="4" w:space="0" w:color="auto"/>
            </w:tcBorders>
            <w:vAlign w:val="center"/>
            <w:hideMark/>
          </w:tcPr>
          <w:p w14:paraId="123E7466" w14:textId="77777777"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color w:val="1A1A1A"/>
                <w:sz w:val="16"/>
                <w:szCs w:val="16"/>
              </w:rPr>
              <w:t>DRIVE-AHEAD</w:t>
            </w:r>
          </w:p>
        </w:tc>
      </w:tr>
      <w:tr w:rsidR="007C5479" w:rsidRPr="007C5479" w14:paraId="092082C3" w14:textId="77777777" w:rsidTr="000A76E7">
        <w:tc>
          <w:tcPr>
            <w:tcW w:w="2930" w:type="dxa"/>
            <w:vMerge/>
            <w:tcBorders>
              <w:top w:val="single" w:sz="4" w:space="0" w:color="auto"/>
              <w:left w:val="single" w:sz="4" w:space="0" w:color="auto"/>
              <w:bottom w:val="single" w:sz="4" w:space="0" w:color="auto"/>
              <w:right w:val="single" w:sz="4" w:space="0" w:color="auto"/>
            </w:tcBorders>
            <w:vAlign w:val="center"/>
            <w:hideMark/>
          </w:tcPr>
          <w:p w14:paraId="183DFD9D" w14:textId="77777777" w:rsidR="007C5479" w:rsidRPr="007C5479" w:rsidRDefault="007C5479" w:rsidP="007C5479">
            <w:pPr>
              <w:spacing w:after="80" w:line="276" w:lineRule="auto"/>
              <w:jc w:val="center"/>
              <w:rPr>
                <w:rFonts w:eastAsia="Calibri" w:cs="Arial"/>
                <w:b/>
                <w:sz w:val="16"/>
                <w:szCs w:val="16"/>
                <w:highlight w:val="green"/>
                <w:lang w:val="en-US"/>
              </w:rPr>
            </w:pPr>
          </w:p>
        </w:tc>
        <w:tc>
          <w:tcPr>
            <w:tcW w:w="1634" w:type="dxa"/>
            <w:tcBorders>
              <w:top w:val="single" w:sz="4" w:space="0" w:color="auto"/>
              <w:left w:val="single" w:sz="4" w:space="0" w:color="auto"/>
              <w:bottom w:val="nil"/>
              <w:right w:val="single" w:sz="4" w:space="0" w:color="auto"/>
            </w:tcBorders>
            <w:vAlign w:val="center"/>
            <w:hideMark/>
          </w:tcPr>
          <w:p w14:paraId="1D372982" w14:textId="021BD1C9"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sz w:val="16"/>
                <w:szCs w:val="16"/>
              </w:rPr>
              <w:t>Doravirine-</w:t>
            </w:r>
            <w:r w:rsidR="00C54C73">
              <w:rPr>
                <w:rFonts w:eastAsia="Calibri" w:cs="Arial"/>
                <w:b/>
                <w:sz w:val="16"/>
                <w:szCs w:val="16"/>
              </w:rPr>
              <w:t>PIFELTRO</w:t>
            </w:r>
            <w:r w:rsidRPr="007C5479">
              <w:rPr>
                <w:rFonts w:eastAsia="Calibri" w:cs="Arial"/>
                <w:b/>
                <w:sz w:val="16"/>
                <w:szCs w:val="16"/>
              </w:rPr>
              <w:t xml:space="preserve"> +</w:t>
            </w:r>
          </w:p>
          <w:p w14:paraId="68402B6A" w14:textId="77777777" w:rsidR="007C5479" w:rsidRPr="007C5479" w:rsidRDefault="007C5479" w:rsidP="007C5479">
            <w:pPr>
              <w:spacing w:before="60" w:after="60" w:line="276" w:lineRule="auto"/>
              <w:jc w:val="center"/>
              <w:rPr>
                <w:rFonts w:eastAsia="Calibri" w:cs="Arial"/>
                <w:b/>
                <w:sz w:val="16"/>
                <w:szCs w:val="16"/>
              </w:rPr>
            </w:pPr>
            <w:r w:rsidRPr="007C5479">
              <w:rPr>
                <w:rFonts w:eastAsia="Calibri" w:cs="Arial"/>
                <w:b/>
                <w:sz w:val="16"/>
                <w:szCs w:val="16"/>
              </w:rPr>
              <w:t>2 NRTIs</w:t>
            </w:r>
          </w:p>
          <w:p w14:paraId="00CE7923" w14:textId="77777777"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sz w:val="16"/>
                <w:szCs w:val="16"/>
              </w:rPr>
              <w:t>Once Daily</w:t>
            </w:r>
          </w:p>
        </w:tc>
        <w:tc>
          <w:tcPr>
            <w:tcW w:w="1635" w:type="dxa"/>
            <w:tcBorders>
              <w:top w:val="single" w:sz="4" w:space="0" w:color="auto"/>
              <w:left w:val="single" w:sz="4" w:space="0" w:color="auto"/>
              <w:bottom w:val="nil"/>
              <w:right w:val="single" w:sz="12" w:space="0" w:color="auto"/>
            </w:tcBorders>
            <w:vAlign w:val="center"/>
          </w:tcPr>
          <w:p w14:paraId="0C09D3A3" w14:textId="77777777" w:rsidR="007C5479" w:rsidRPr="007C5479" w:rsidRDefault="007C5479" w:rsidP="007C5479">
            <w:pPr>
              <w:spacing w:before="60" w:after="60" w:line="276" w:lineRule="auto"/>
              <w:jc w:val="center"/>
              <w:rPr>
                <w:rFonts w:eastAsia="Calibri" w:cs="Arial"/>
                <w:b/>
                <w:color w:val="1A1A1A"/>
                <w:sz w:val="16"/>
                <w:szCs w:val="16"/>
                <w:highlight w:val="green"/>
                <w:lang w:val="en-US"/>
              </w:rPr>
            </w:pPr>
          </w:p>
          <w:p w14:paraId="7008D63A" w14:textId="77777777" w:rsidR="007C5479" w:rsidRPr="007C5479" w:rsidRDefault="007C5479" w:rsidP="007C5479">
            <w:pPr>
              <w:spacing w:before="60" w:after="60" w:line="276" w:lineRule="auto"/>
              <w:jc w:val="center"/>
              <w:rPr>
                <w:rFonts w:eastAsia="Calibri" w:cs="Arial"/>
                <w:b/>
                <w:color w:val="1A1A1A"/>
                <w:sz w:val="16"/>
                <w:szCs w:val="16"/>
              </w:rPr>
            </w:pPr>
            <w:proofErr w:type="spellStart"/>
            <w:r w:rsidRPr="007C5479">
              <w:rPr>
                <w:rFonts w:eastAsia="Calibri" w:cs="Arial"/>
                <w:b/>
                <w:color w:val="1A1A1A"/>
                <w:sz w:val="16"/>
                <w:szCs w:val="16"/>
              </w:rPr>
              <w:t>DRV+r</w:t>
            </w:r>
            <w:proofErr w:type="spellEnd"/>
            <w:r w:rsidRPr="007C5479">
              <w:rPr>
                <w:rFonts w:eastAsia="Calibri" w:cs="Arial"/>
                <w:b/>
                <w:color w:val="1A1A1A"/>
                <w:sz w:val="16"/>
                <w:szCs w:val="16"/>
              </w:rPr>
              <w:t xml:space="preserve"> </w:t>
            </w:r>
            <w:r w:rsidRPr="007C5479">
              <w:rPr>
                <w:rFonts w:eastAsia="Calibri" w:cs="Arial"/>
                <w:b/>
                <w:sz w:val="16"/>
                <w:szCs w:val="16"/>
              </w:rPr>
              <w:t>+</w:t>
            </w:r>
          </w:p>
          <w:p w14:paraId="1E0F5563" w14:textId="77777777" w:rsidR="007C5479" w:rsidRPr="007C5479" w:rsidRDefault="007C5479" w:rsidP="007C5479">
            <w:pPr>
              <w:spacing w:before="60" w:after="60" w:line="276" w:lineRule="auto"/>
              <w:jc w:val="center"/>
              <w:rPr>
                <w:rFonts w:eastAsia="Calibri" w:cs="Arial"/>
                <w:b/>
                <w:sz w:val="16"/>
                <w:szCs w:val="16"/>
              </w:rPr>
            </w:pPr>
            <w:r w:rsidRPr="007C5479">
              <w:rPr>
                <w:rFonts w:eastAsia="Calibri" w:cs="Arial"/>
                <w:b/>
                <w:sz w:val="16"/>
                <w:szCs w:val="16"/>
              </w:rPr>
              <w:t>2 NRTIs</w:t>
            </w:r>
          </w:p>
          <w:p w14:paraId="4D4B7ED2" w14:textId="77777777" w:rsidR="007C5479" w:rsidRPr="007C5479" w:rsidRDefault="007C5479" w:rsidP="007C5479">
            <w:pPr>
              <w:spacing w:before="60" w:after="60" w:line="276" w:lineRule="auto"/>
              <w:jc w:val="center"/>
              <w:rPr>
                <w:rFonts w:eastAsia="Calibri" w:cs="Arial"/>
                <w:b/>
                <w:sz w:val="16"/>
                <w:szCs w:val="16"/>
                <w:highlight w:val="green"/>
                <w:lang w:val="en-US"/>
              </w:rPr>
            </w:pPr>
            <w:r w:rsidRPr="007C5479">
              <w:rPr>
                <w:rFonts w:eastAsia="Calibri" w:cs="Arial"/>
                <w:b/>
                <w:sz w:val="16"/>
                <w:szCs w:val="16"/>
              </w:rPr>
              <w:t>Once Daily</w:t>
            </w:r>
          </w:p>
        </w:tc>
        <w:tc>
          <w:tcPr>
            <w:tcW w:w="1634" w:type="dxa"/>
            <w:tcBorders>
              <w:top w:val="single" w:sz="4" w:space="0" w:color="auto"/>
              <w:left w:val="single" w:sz="12" w:space="0" w:color="auto"/>
              <w:bottom w:val="nil"/>
              <w:right w:val="single" w:sz="4" w:space="0" w:color="auto"/>
            </w:tcBorders>
            <w:vAlign w:val="center"/>
          </w:tcPr>
          <w:p w14:paraId="644D1F8B" w14:textId="77777777" w:rsidR="007C5479" w:rsidRPr="007C5479" w:rsidRDefault="007C5479" w:rsidP="007C5479">
            <w:pPr>
              <w:spacing w:before="60" w:after="60" w:line="276" w:lineRule="auto"/>
              <w:jc w:val="center"/>
              <w:rPr>
                <w:rFonts w:eastAsia="Calibri" w:cs="Arial"/>
                <w:b/>
                <w:sz w:val="16"/>
                <w:szCs w:val="16"/>
                <w:lang w:val="en-US"/>
              </w:rPr>
            </w:pPr>
          </w:p>
          <w:p w14:paraId="7DC00EDA" w14:textId="77777777" w:rsidR="007C5479" w:rsidRPr="007C5479" w:rsidRDefault="007C5479" w:rsidP="007C5479">
            <w:pPr>
              <w:spacing w:before="60" w:after="60" w:line="276" w:lineRule="auto"/>
              <w:jc w:val="center"/>
              <w:rPr>
                <w:rFonts w:eastAsia="Calibri" w:cs="Arial"/>
                <w:b/>
                <w:sz w:val="16"/>
                <w:szCs w:val="16"/>
              </w:rPr>
            </w:pPr>
          </w:p>
          <w:p w14:paraId="4C06CEF6" w14:textId="004BC6D8" w:rsidR="007C5479" w:rsidRPr="007C5479" w:rsidRDefault="00B836DC" w:rsidP="007C5479">
            <w:pPr>
              <w:spacing w:before="60" w:after="60" w:line="276" w:lineRule="auto"/>
              <w:jc w:val="center"/>
              <w:rPr>
                <w:rFonts w:eastAsia="Calibri" w:cs="Arial"/>
                <w:b/>
                <w:sz w:val="16"/>
                <w:szCs w:val="16"/>
                <w:lang w:val="en-US"/>
              </w:rPr>
            </w:pPr>
            <w:r>
              <w:rPr>
                <w:rFonts w:eastAsia="Calibri" w:cs="Arial"/>
                <w:b/>
                <w:sz w:val="16"/>
                <w:szCs w:val="16"/>
              </w:rPr>
              <w:t>DELSTRIGO</w:t>
            </w:r>
            <w:r w:rsidR="007C5479" w:rsidRPr="007C5479">
              <w:rPr>
                <w:rFonts w:eastAsia="Calibri" w:cs="Arial"/>
                <w:b/>
                <w:sz w:val="16"/>
                <w:szCs w:val="16"/>
              </w:rPr>
              <w:t xml:space="preserve"> Once Daily</w:t>
            </w:r>
          </w:p>
        </w:tc>
        <w:tc>
          <w:tcPr>
            <w:tcW w:w="1239" w:type="dxa"/>
            <w:tcBorders>
              <w:top w:val="single" w:sz="4" w:space="0" w:color="auto"/>
              <w:left w:val="single" w:sz="4" w:space="0" w:color="auto"/>
              <w:bottom w:val="nil"/>
              <w:right w:val="single" w:sz="4" w:space="0" w:color="auto"/>
            </w:tcBorders>
            <w:vAlign w:val="center"/>
          </w:tcPr>
          <w:p w14:paraId="3C3E8052" w14:textId="77777777" w:rsidR="007C5479" w:rsidRPr="007C5479" w:rsidRDefault="007C5479" w:rsidP="007C5479">
            <w:pPr>
              <w:spacing w:before="60" w:after="60" w:line="276" w:lineRule="auto"/>
              <w:jc w:val="center"/>
              <w:rPr>
                <w:rFonts w:eastAsia="Calibri" w:cs="Arial"/>
                <w:b/>
                <w:color w:val="1A1A1A"/>
                <w:sz w:val="16"/>
                <w:szCs w:val="16"/>
                <w:lang w:val="en-US"/>
              </w:rPr>
            </w:pPr>
          </w:p>
          <w:p w14:paraId="44CD922B" w14:textId="77777777" w:rsidR="007C5479" w:rsidRPr="007C5479" w:rsidRDefault="007C5479" w:rsidP="007C5479">
            <w:pPr>
              <w:spacing w:before="60" w:after="60" w:line="276" w:lineRule="auto"/>
              <w:jc w:val="center"/>
              <w:rPr>
                <w:rFonts w:eastAsia="Calibri" w:cs="Arial"/>
                <w:b/>
                <w:color w:val="1A1A1A"/>
                <w:sz w:val="16"/>
                <w:szCs w:val="16"/>
              </w:rPr>
            </w:pPr>
          </w:p>
          <w:p w14:paraId="1D6D674C" w14:textId="77777777"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color w:val="1A1A1A"/>
                <w:sz w:val="16"/>
                <w:szCs w:val="16"/>
              </w:rPr>
              <w:t xml:space="preserve">EFV/FTC/TDF </w:t>
            </w:r>
            <w:r w:rsidRPr="007C5479">
              <w:rPr>
                <w:rFonts w:eastAsia="Calibri" w:cs="Arial"/>
                <w:b/>
                <w:sz w:val="16"/>
                <w:szCs w:val="16"/>
              </w:rPr>
              <w:t>Once Daily</w:t>
            </w:r>
          </w:p>
        </w:tc>
      </w:tr>
      <w:tr w:rsidR="007C5479" w:rsidRPr="007C5479" w14:paraId="6ADA5DC8" w14:textId="77777777" w:rsidTr="000A76E7">
        <w:tc>
          <w:tcPr>
            <w:tcW w:w="2930" w:type="dxa"/>
            <w:vMerge/>
            <w:tcBorders>
              <w:top w:val="single" w:sz="4" w:space="0" w:color="auto"/>
              <w:left w:val="single" w:sz="4" w:space="0" w:color="auto"/>
              <w:bottom w:val="single" w:sz="4" w:space="0" w:color="auto"/>
              <w:right w:val="single" w:sz="4" w:space="0" w:color="auto"/>
            </w:tcBorders>
            <w:vAlign w:val="center"/>
            <w:hideMark/>
          </w:tcPr>
          <w:p w14:paraId="3F453680" w14:textId="77777777" w:rsidR="007C5479" w:rsidRPr="007C5479" w:rsidRDefault="007C5479" w:rsidP="007C5479">
            <w:pPr>
              <w:spacing w:after="80" w:line="276" w:lineRule="auto"/>
              <w:jc w:val="center"/>
              <w:rPr>
                <w:rFonts w:eastAsia="Calibri" w:cs="Arial"/>
                <w:b/>
                <w:sz w:val="16"/>
                <w:szCs w:val="16"/>
                <w:highlight w:val="green"/>
                <w:lang w:val="en-US"/>
              </w:rPr>
            </w:pPr>
          </w:p>
        </w:tc>
        <w:tc>
          <w:tcPr>
            <w:tcW w:w="1634" w:type="dxa"/>
            <w:tcBorders>
              <w:top w:val="nil"/>
              <w:left w:val="single" w:sz="4" w:space="0" w:color="auto"/>
              <w:bottom w:val="single" w:sz="4" w:space="0" w:color="auto"/>
              <w:right w:val="single" w:sz="4" w:space="0" w:color="auto"/>
            </w:tcBorders>
            <w:vAlign w:val="center"/>
          </w:tcPr>
          <w:p w14:paraId="5D48A729" w14:textId="77777777" w:rsidR="007C5479" w:rsidRPr="007C5479" w:rsidRDefault="007C5479" w:rsidP="007C5479">
            <w:pPr>
              <w:spacing w:after="80" w:line="276" w:lineRule="auto"/>
              <w:rPr>
                <w:rFonts w:eastAsia="Calibri" w:cs="Arial"/>
                <w:b/>
                <w:sz w:val="16"/>
                <w:szCs w:val="16"/>
                <w:lang w:val="en-US"/>
              </w:rPr>
            </w:pPr>
          </w:p>
        </w:tc>
        <w:tc>
          <w:tcPr>
            <w:tcW w:w="1635" w:type="dxa"/>
            <w:tcBorders>
              <w:top w:val="nil"/>
              <w:left w:val="single" w:sz="4" w:space="0" w:color="auto"/>
              <w:bottom w:val="single" w:sz="4" w:space="0" w:color="auto"/>
              <w:right w:val="single" w:sz="12" w:space="0" w:color="auto"/>
            </w:tcBorders>
            <w:vAlign w:val="center"/>
          </w:tcPr>
          <w:p w14:paraId="4741C7DB" w14:textId="77777777" w:rsidR="007C5479" w:rsidRPr="007C5479" w:rsidRDefault="007C5479" w:rsidP="007C5479">
            <w:pPr>
              <w:spacing w:after="80" w:line="276" w:lineRule="auto"/>
              <w:jc w:val="center"/>
              <w:rPr>
                <w:rFonts w:eastAsia="Calibri" w:cs="Arial"/>
                <w:b/>
                <w:sz w:val="16"/>
                <w:szCs w:val="16"/>
                <w:highlight w:val="green"/>
                <w:lang w:val="en-US"/>
              </w:rPr>
            </w:pPr>
          </w:p>
        </w:tc>
        <w:tc>
          <w:tcPr>
            <w:tcW w:w="1634" w:type="dxa"/>
            <w:tcBorders>
              <w:top w:val="nil"/>
              <w:left w:val="single" w:sz="12" w:space="0" w:color="auto"/>
              <w:bottom w:val="single" w:sz="4" w:space="0" w:color="auto"/>
              <w:right w:val="single" w:sz="4" w:space="0" w:color="auto"/>
            </w:tcBorders>
            <w:vAlign w:val="center"/>
          </w:tcPr>
          <w:p w14:paraId="419CEEFB" w14:textId="77777777" w:rsidR="007C5479" w:rsidRPr="007C5479" w:rsidRDefault="007C5479" w:rsidP="007C5479">
            <w:pPr>
              <w:spacing w:after="80" w:line="276" w:lineRule="auto"/>
              <w:jc w:val="center"/>
              <w:rPr>
                <w:rFonts w:eastAsia="Calibri" w:cs="Arial"/>
                <w:b/>
                <w:sz w:val="16"/>
                <w:szCs w:val="16"/>
                <w:highlight w:val="green"/>
                <w:lang w:val="en-US"/>
              </w:rPr>
            </w:pPr>
          </w:p>
        </w:tc>
        <w:tc>
          <w:tcPr>
            <w:tcW w:w="1239" w:type="dxa"/>
            <w:tcBorders>
              <w:top w:val="nil"/>
              <w:left w:val="single" w:sz="4" w:space="0" w:color="auto"/>
              <w:bottom w:val="single" w:sz="4" w:space="0" w:color="auto"/>
              <w:right w:val="single" w:sz="4" w:space="0" w:color="auto"/>
            </w:tcBorders>
            <w:vAlign w:val="center"/>
          </w:tcPr>
          <w:p w14:paraId="3C88E588" w14:textId="77777777" w:rsidR="007C5479" w:rsidRPr="007C5479" w:rsidRDefault="007C5479" w:rsidP="007C5479">
            <w:pPr>
              <w:spacing w:after="80" w:line="276" w:lineRule="auto"/>
              <w:jc w:val="center"/>
              <w:rPr>
                <w:rFonts w:eastAsia="Calibri" w:cs="Arial"/>
                <w:b/>
                <w:sz w:val="16"/>
                <w:szCs w:val="16"/>
                <w:highlight w:val="green"/>
                <w:lang w:val="en-US"/>
              </w:rPr>
            </w:pPr>
          </w:p>
        </w:tc>
      </w:tr>
      <w:tr w:rsidR="007C5479" w:rsidRPr="007C5479" w14:paraId="3FD1C3F5" w14:textId="77777777" w:rsidTr="000A76E7">
        <w:tc>
          <w:tcPr>
            <w:tcW w:w="2930" w:type="dxa"/>
            <w:tcBorders>
              <w:top w:val="single" w:sz="4" w:space="0" w:color="auto"/>
              <w:left w:val="single" w:sz="4" w:space="0" w:color="auto"/>
              <w:bottom w:val="single" w:sz="4" w:space="0" w:color="auto"/>
              <w:right w:val="single" w:sz="4" w:space="0" w:color="auto"/>
            </w:tcBorders>
          </w:tcPr>
          <w:p w14:paraId="564CB784" w14:textId="77777777" w:rsidR="007C5479" w:rsidRPr="007C5479" w:rsidRDefault="007C5479" w:rsidP="007C5479">
            <w:pPr>
              <w:spacing w:after="80" w:line="276" w:lineRule="auto"/>
              <w:rPr>
                <w:rFonts w:eastAsia="Calibri" w:cs="Arial"/>
                <w:sz w:val="16"/>
                <w:szCs w:val="16"/>
                <w:highlight w:val="green"/>
                <w:lang w:val="en-US"/>
              </w:rPr>
            </w:pPr>
          </w:p>
        </w:tc>
        <w:tc>
          <w:tcPr>
            <w:tcW w:w="1634" w:type="dxa"/>
            <w:tcBorders>
              <w:top w:val="nil"/>
              <w:left w:val="single" w:sz="4" w:space="0" w:color="auto"/>
              <w:bottom w:val="single" w:sz="4" w:space="0" w:color="auto"/>
              <w:right w:val="single" w:sz="4" w:space="0" w:color="auto"/>
            </w:tcBorders>
            <w:vAlign w:val="center"/>
            <w:hideMark/>
          </w:tcPr>
          <w:p w14:paraId="58293884" w14:textId="77777777"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sz w:val="16"/>
                <w:szCs w:val="16"/>
              </w:rPr>
              <w:t>N=383</w:t>
            </w:r>
          </w:p>
        </w:tc>
        <w:tc>
          <w:tcPr>
            <w:tcW w:w="1635" w:type="dxa"/>
            <w:tcBorders>
              <w:top w:val="nil"/>
              <w:left w:val="single" w:sz="4" w:space="0" w:color="auto"/>
              <w:bottom w:val="single" w:sz="4" w:space="0" w:color="auto"/>
              <w:right w:val="single" w:sz="12" w:space="0" w:color="auto"/>
            </w:tcBorders>
            <w:vAlign w:val="center"/>
            <w:hideMark/>
          </w:tcPr>
          <w:p w14:paraId="4069F991" w14:textId="77777777"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sz w:val="16"/>
                <w:szCs w:val="16"/>
              </w:rPr>
              <w:t>N=383</w:t>
            </w:r>
          </w:p>
        </w:tc>
        <w:tc>
          <w:tcPr>
            <w:tcW w:w="1634" w:type="dxa"/>
            <w:tcBorders>
              <w:top w:val="nil"/>
              <w:left w:val="single" w:sz="12" w:space="0" w:color="auto"/>
              <w:bottom w:val="single" w:sz="4" w:space="0" w:color="auto"/>
              <w:right w:val="single" w:sz="4" w:space="0" w:color="auto"/>
            </w:tcBorders>
            <w:vAlign w:val="center"/>
            <w:hideMark/>
          </w:tcPr>
          <w:p w14:paraId="3C9812CE" w14:textId="77777777"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sz w:val="16"/>
                <w:szCs w:val="16"/>
              </w:rPr>
              <w:t>N=364</w:t>
            </w:r>
          </w:p>
        </w:tc>
        <w:tc>
          <w:tcPr>
            <w:tcW w:w="1239" w:type="dxa"/>
            <w:tcBorders>
              <w:top w:val="nil"/>
              <w:left w:val="single" w:sz="4" w:space="0" w:color="auto"/>
              <w:bottom w:val="single" w:sz="4" w:space="0" w:color="auto"/>
              <w:right w:val="single" w:sz="4" w:space="0" w:color="auto"/>
            </w:tcBorders>
            <w:vAlign w:val="center"/>
            <w:hideMark/>
          </w:tcPr>
          <w:p w14:paraId="31164E97" w14:textId="77777777" w:rsidR="007C5479" w:rsidRPr="007C5479" w:rsidRDefault="007C5479" w:rsidP="007C5479">
            <w:pPr>
              <w:spacing w:before="60" w:after="60" w:line="276" w:lineRule="auto"/>
              <w:jc w:val="center"/>
              <w:rPr>
                <w:rFonts w:eastAsia="Calibri" w:cs="Arial"/>
                <w:b/>
                <w:sz w:val="16"/>
                <w:szCs w:val="16"/>
                <w:lang w:val="en-US"/>
              </w:rPr>
            </w:pPr>
            <w:r w:rsidRPr="007C5479">
              <w:rPr>
                <w:rFonts w:eastAsia="Calibri" w:cs="Arial"/>
                <w:b/>
                <w:sz w:val="16"/>
                <w:szCs w:val="16"/>
              </w:rPr>
              <w:t>N=364</w:t>
            </w:r>
          </w:p>
        </w:tc>
      </w:tr>
      <w:tr w:rsidR="007C5479" w:rsidRPr="007C5479" w14:paraId="6CDFBF92" w14:textId="77777777" w:rsidTr="000A76E7">
        <w:tc>
          <w:tcPr>
            <w:tcW w:w="2930" w:type="dxa"/>
            <w:tcBorders>
              <w:top w:val="single" w:sz="4" w:space="0" w:color="auto"/>
              <w:left w:val="single" w:sz="4" w:space="0" w:color="auto"/>
              <w:bottom w:val="single" w:sz="4" w:space="0" w:color="auto"/>
              <w:right w:val="single" w:sz="4" w:space="0" w:color="auto"/>
            </w:tcBorders>
            <w:vAlign w:val="center"/>
            <w:hideMark/>
          </w:tcPr>
          <w:p w14:paraId="6D576452" w14:textId="77777777" w:rsidR="007C5479" w:rsidRPr="007C5479" w:rsidRDefault="007C5479" w:rsidP="007C5479">
            <w:pPr>
              <w:spacing w:before="60" w:after="60" w:line="276" w:lineRule="auto"/>
              <w:jc w:val="left"/>
              <w:rPr>
                <w:rFonts w:eastAsia="Calibri" w:cs="Arial"/>
                <w:b/>
                <w:sz w:val="16"/>
                <w:szCs w:val="16"/>
                <w:lang w:val="en-US"/>
              </w:rPr>
            </w:pPr>
            <w:r w:rsidRPr="007C5479">
              <w:rPr>
                <w:rFonts w:eastAsia="Calibri" w:cs="Arial"/>
                <w:b/>
                <w:sz w:val="16"/>
                <w:szCs w:val="16"/>
              </w:rPr>
              <w:t>HIV-1 RNA &lt;50 copies/mL</w:t>
            </w:r>
          </w:p>
        </w:tc>
        <w:tc>
          <w:tcPr>
            <w:tcW w:w="1634" w:type="dxa"/>
            <w:tcBorders>
              <w:top w:val="single" w:sz="4" w:space="0" w:color="auto"/>
              <w:left w:val="single" w:sz="4" w:space="0" w:color="auto"/>
              <w:bottom w:val="single" w:sz="4" w:space="0" w:color="auto"/>
              <w:right w:val="single" w:sz="4" w:space="0" w:color="auto"/>
            </w:tcBorders>
            <w:hideMark/>
          </w:tcPr>
          <w:p w14:paraId="4CB08138"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635" w:type="dxa"/>
            <w:tcBorders>
              <w:top w:val="single" w:sz="4" w:space="0" w:color="auto"/>
              <w:left w:val="single" w:sz="4" w:space="0" w:color="auto"/>
              <w:bottom w:val="single" w:sz="4" w:space="0" w:color="auto"/>
              <w:right w:val="single" w:sz="12" w:space="0" w:color="auto"/>
            </w:tcBorders>
            <w:hideMark/>
          </w:tcPr>
          <w:p w14:paraId="2A5A1CAF"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80%</w:t>
            </w:r>
          </w:p>
        </w:tc>
        <w:tc>
          <w:tcPr>
            <w:tcW w:w="1634" w:type="dxa"/>
            <w:tcBorders>
              <w:top w:val="single" w:sz="4" w:space="0" w:color="auto"/>
              <w:left w:val="single" w:sz="12" w:space="0" w:color="auto"/>
              <w:bottom w:val="single" w:sz="4" w:space="0" w:color="auto"/>
              <w:right w:val="single" w:sz="4" w:space="0" w:color="auto"/>
            </w:tcBorders>
            <w:hideMark/>
          </w:tcPr>
          <w:p w14:paraId="5E0B2928"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239" w:type="dxa"/>
            <w:tcBorders>
              <w:top w:val="single" w:sz="4" w:space="0" w:color="auto"/>
              <w:left w:val="single" w:sz="4" w:space="0" w:color="auto"/>
              <w:bottom w:val="single" w:sz="4" w:space="0" w:color="auto"/>
              <w:right w:val="single" w:sz="4" w:space="0" w:color="auto"/>
            </w:tcBorders>
            <w:hideMark/>
          </w:tcPr>
          <w:p w14:paraId="6D36DD96"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81%</w:t>
            </w:r>
          </w:p>
        </w:tc>
      </w:tr>
      <w:tr w:rsidR="007C5479" w:rsidRPr="007C5479" w14:paraId="0BB7D59E" w14:textId="77777777" w:rsidTr="000A76E7">
        <w:tc>
          <w:tcPr>
            <w:tcW w:w="2930" w:type="dxa"/>
            <w:tcBorders>
              <w:top w:val="single" w:sz="4" w:space="0" w:color="auto"/>
              <w:left w:val="single" w:sz="4" w:space="0" w:color="auto"/>
              <w:bottom w:val="single" w:sz="4" w:space="0" w:color="auto"/>
              <w:right w:val="single" w:sz="4" w:space="0" w:color="auto"/>
            </w:tcBorders>
            <w:vAlign w:val="center"/>
            <w:hideMark/>
          </w:tcPr>
          <w:p w14:paraId="5EC53C73" w14:textId="77777777" w:rsidR="007C5479" w:rsidRPr="007C5479" w:rsidRDefault="007C5479" w:rsidP="007C5479">
            <w:pPr>
              <w:spacing w:before="60" w:after="60" w:line="276" w:lineRule="auto"/>
              <w:ind w:left="162"/>
              <w:jc w:val="left"/>
              <w:rPr>
                <w:rFonts w:eastAsia="Calibri" w:cs="Arial"/>
                <w:sz w:val="16"/>
                <w:szCs w:val="16"/>
                <w:lang w:val="en-US"/>
              </w:rPr>
            </w:pPr>
            <w:r w:rsidRPr="007C5479">
              <w:rPr>
                <w:rFonts w:eastAsia="Calibri" w:cs="Arial"/>
                <w:sz w:val="16"/>
                <w:szCs w:val="16"/>
              </w:rPr>
              <w:t>Treatment Differences (95% CI)*</w:t>
            </w:r>
          </w:p>
        </w:tc>
        <w:tc>
          <w:tcPr>
            <w:tcW w:w="3269" w:type="dxa"/>
            <w:gridSpan w:val="2"/>
            <w:tcBorders>
              <w:top w:val="single" w:sz="4" w:space="0" w:color="auto"/>
              <w:left w:val="single" w:sz="4" w:space="0" w:color="auto"/>
              <w:bottom w:val="single" w:sz="4" w:space="0" w:color="auto"/>
              <w:right w:val="single" w:sz="12" w:space="0" w:color="auto"/>
            </w:tcBorders>
            <w:hideMark/>
          </w:tcPr>
          <w:p w14:paraId="4FACDDB8"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3.9% (-1.6%, 9.4%)</w:t>
            </w:r>
          </w:p>
        </w:tc>
        <w:tc>
          <w:tcPr>
            <w:tcW w:w="2873" w:type="dxa"/>
            <w:gridSpan w:val="2"/>
            <w:tcBorders>
              <w:top w:val="single" w:sz="4" w:space="0" w:color="auto"/>
              <w:left w:val="single" w:sz="12" w:space="0" w:color="auto"/>
              <w:bottom w:val="single" w:sz="4" w:space="0" w:color="auto"/>
              <w:right w:val="single" w:sz="4" w:space="0" w:color="auto"/>
            </w:tcBorders>
            <w:hideMark/>
          </w:tcPr>
          <w:p w14:paraId="35C2C2CC"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3.5% (-2.0%, 9.0%)</w:t>
            </w:r>
          </w:p>
        </w:tc>
      </w:tr>
      <w:tr w:rsidR="007C5479" w:rsidRPr="007C5479" w14:paraId="07314B4F" w14:textId="77777777" w:rsidTr="000A76E7">
        <w:tc>
          <w:tcPr>
            <w:tcW w:w="2930" w:type="dxa"/>
            <w:tcBorders>
              <w:top w:val="single" w:sz="4" w:space="0" w:color="auto"/>
              <w:left w:val="single" w:sz="4" w:space="0" w:color="auto"/>
              <w:bottom w:val="single" w:sz="4" w:space="0" w:color="auto"/>
              <w:right w:val="single" w:sz="4" w:space="0" w:color="auto"/>
            </w:tcBorders>
            <w:vAlign w:val="center"/>
            <w:hideMark/>
          </w:tcPr>
          <w:p w14:paraId="268AC925" w14:textId="77777777" w:rsidR="007C5479" w:rsidRPr="007C5479" w:rsidRDefault="007C5479" w:rsidP="007C5479">
            <w:pPr>
              <w:spacing w:before="60" w:after="60" w:line="276" w:lineRule="auto"/>
              <w:jc w:val="left"/>
              <w:rPr>
                <w:rFonts w:eastAsia="Calibri" w:cs="Arial"/>
                <w:b/>
                <w:sz w:val="16"/>
                <w:szCs w:val="16"/>
                <w:lang w:val="en-US"/>
              </w:rPr>
            </w:pPr>
            <w:r w:rsidRPr="007C5479">
              <w:rPr>
                <w:rFonts w:eastAsia="Calibri" w:cs="Arial"/>
                <w:b/>
                <w:sz w:val="16"/>
                <w:szCs w:val="16"/>
              </w:rPr>
              <w:t>HIV-1 RNA ≥ 50 copies/mL</w:t>
            </w:r>
            <w:r w:rsidRPr="007C5479">
              <w:rPr>
                <w:rFonts w:eastAsia="Calibri" w:cs="Arial"/>
                <w:sz w:val="16"/>
                <w:szCs w:val="16"/>
                <w:vertAlign w:val="superscript"/>
              </w:rPr>
              <w:t>†</w:t>
            </w:r>
          </w:p>
        </w:tc>
        <w:tc>
          <w:tcPr>
            <w:tcW w:w="1634" w:type="dxa"/>
            <w:tcBorders>
              <w:top w:val="single" w:sz="4" w:space="0" w:color="auto"/>
              <w:left w:val="single" w:sz="4" w:space="0" w:color="auto"/>
              <w:bottom w:val="single" w:sz="4" w:space="0" w:color="auto"/>
              <w:right w:val="single" w:sz="4" w:space="0" w:color="auto"/>
            </w:tcBorders>
            <w:hideMark/>
          </w:tcPr>
          <w:p w14:paraId="35535381"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11%</w:t>
            </w:r>
          </w:p>
        </w:tc>
        <w:tc>
          <w:tcPr>
            <w:tcW w:w="1635" w:type="dxa"/>
            <w:tcBorders>
              <w:top w:val="single" w:sz="4" w:space="0" w:color="auto"/>
              <w:left w:val="single" w:sz="4" w:space="0" w:color="auto"/>
              <w:bottom w:val="single" w:sz="4" w:space="0" w:color="auto"/>
              <w:right w:val="single" w:sz="12" w:space="0" w:color="auto"/>
            </w:tcBorders>
            <w:hideMark/>
          </w:tcPr>
          <w:p w14:paraId="58B74524"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13%</w:t>
            </w:r>
          </w:p>
        </w:tc>
        <w:tc>
          <w:tcPr>
            <w:tcW w:w="1634" w:type="dxa"/>
            <w:tcBorders>
              <w:top w:val="single" w:sz="4" w:space="0" w:color="auto"/>
              <w:left w:val="single" w:sz="12" w:space="0" w:color="auto"/>
              <w:bottom w:val="single" w:sz="4" w:space="0" w:color="auto"/>
              <w:right w:val="single" w:sz="4" w:space="0" w:color="auto"/>
            </w:tcBorders>
            <w:hideMark/>
          </w:tcPr>
          <w:p w14:paraId="09E468A6"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11%</w:t>
            </w:r>
          </w:p>
        </w:tc>
        <w:tc>
          <w:tcPr>
            <w:tcW w:w="1239" w:type="dxa"/>
            <w:tcBorders>
              <w:top w:val="single" w:sz="4" w:space="0" w:color="auto"/>
              <w:left w:val="single" w:sz="4" w:space="0" w:color="auto"/>
              <w:bottom w:val="single" w:sz="4" w:space="0" w:color="auto"/>
              <w:right w:val="single" w:sz="4" w:space="0" w:color="auto"/>
            </w:tcBorders>
            <w:hideMark/>
          </w:tcPr>
          <w:p w14:paraId="1A8F515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10%</w:t>
            </w:r>
          </w:p>
        </w:tc>
      </w:tr>
      <w:tr w:rsidR="007C5479" w:rsidRPr="007C5479" w14:paraId="6F829400" w14:textId="77777777" w:rsidTr="000A76E7">
        <w:tc>
          <w:tcPr>
            <w:tcW w:w="2930" w:type="dxa"/>
            <w:tcBorders>
              <w:top w:val="single" w:sz="4" w:space="0" w:color="auto"/>
              <w:left w:val="single" w:sz="4" w:space="0" w:color="auto"/>
              <w:bottom w:val="nil"/>
              <w:right w:val="single" w:sz="4" w:space="0" w:color="auto"/>
            </w:tcBorders>
            <w:vAlign w:val="center"/>
            <w:hideMark/>
          </w:tcPr>
          <w:p w14:paraId="0922C61B" w14:textId="77777777" w:rsidR="007C5479" w:rsidRPr="007C5479" w:rsidRDefault="007C5479" w:rsidP="007C5479">
            <w:pPr>
              <w:spacing w:before="60" w:after="60" w:line="276" w:lineRule="auto"/>
              <w:jc w:val="left"/>
              <w:rPr>
                <w:rFonts w:eastAsia="Calibri" w:cs="Arial"/>
                <w:b/>
                <w:sz w:val="16"/>
                <w:szCs w:val="16"/>
                <w:lang w:val="en-US"/>
              </w:rPr>
            </w:pPr>
            <w:r w:rsidRPr="007C5479">
              <w:rPr>
                <w:rFonts w:eastAsia="Calibri" w:cs="Arial"/>
                <w:b/>
                <w:sz w:val="16"/>
                <w:szCs w:val="16"/>
              </w:rPr>
              <w:t xml:space="preserve">No </w:t>
            </w:r>
            <w:proofErr w:type="spellStart"/>
            <w:r w:rsidRPr="007C5479">
              <w:rPr>
                <w:rFonts w:eastAsia="Calibri" w:cs="Arial"/>
                <w:b/>
                <w:sz w:val="16"/>
                <w:szCs w:val="16"/>
              </w:rPr>
              <w:t>Virologic</w:t>
            </w:r>
            <w:proofErr w:type="spellEnd"/>
            <w:r w:rsidRPr="007C5479">
              <w:rPr>
                <w:rFonts w:eastAsia="Calibri" w:cs="Arial"/>
                <w:b/>
                <w:sz w:val="16"/>
                <w:szCs w:val="16"/>
              </w:rPr>
              <w:t xml:space="preserve"> Data at Week 48 Window        </w:t>
            </w:r>
          </w:p>
        </w:tc>
        <w:tc>
          <w:tcPr>
            <w:tcW w:w="1634" w:type="dxa"/>
            <w:tcBorders>
              <w:top w:val="single" w:sz="4" w:space="0" w:color="auto"/>
              <w:left w:val="single" w:sz="4" w:space="0" w:color="auto"/>
              <w:bottom w:val="nil"/>
              <w:right w:val="single" w:sz="4" w:space="0" w:color="auto"/>
            </w:tcBorders>
            <w:hideMark/>
          </w:tcPr>
          <w:p w14:paraId="1616BA53"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5%</w:t>
            </w:r>
          </w:p>
        </w:tc>
        <w:tc>
          <w:tcPr>
            <w:tcW w:w="1635" w:type="dxa"/>
            <w:tcBorders>
              <w:top w:val="single" w:sz="4" w:space="0" w:color="auto"/>
              <w:left w:val="single" w:sz="4" w:space="0" w:color="auto"/>
              <w:bottom w:val="nil"/>
              <w:right w:val="single" w:sz="12" w:space="0" w:color="auto"/>
            </w:tcBorders>
            <w:hideMark/>
          </w:tcPr>
          <w:p w14:paraId="00F6C4B1"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w:t>
            </w:r>
          </w:p>
        </w:tc>
        <w:tc>
          <w:tcPr>
            <w:tcW w:w="1634" w:type="dxa"/>
            <w:tcBorders>
              <w:top w:val="single" w:sz="4" w:space="0" w:color="auto"/>
              <w:left w:val="single" w:sz="12" w:space="0" w:color="auto"/>
              <w:bottom w:val="nil"/>
              <w:right w:val="single" w:sz="4" w:space="0" w:color="auto"/>
            </w:tcBorders>
            <w:hideMark/>
          </w:tcPr>
          <w:p w14:paraId="15E4792B"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5%</w:t>
            </w:r>
          </w:p>
        </w:tc>
        <w:tc>
          <w:tcPr>
            <w:tcW w:w="1239" w:type="dxa"/>
            <w:tcBorders>
              <w:top w:val="single" w:sz="4" w:space="0" w:color="auto"/>
              <w:left w:val="single" w:sz="4" w:space="0" w:color="auto"/>
              <w:bottom w:val="nil"/>
              <w:right w:val="single" w:sz="4" w:space="0" w:color="auto"/>
            </w:tcBorders>
            <w:hideMark/>
          </w:tcPr>
          <w:p w14:paraId="7909294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9%</w:t>
            </w:r>
          </w:p>
        </w:tc>
      </w:tr>
      <w:tr w:rsidR="007C5479" w:rsidRPr="007C5479" w14:paraId="5C5665AC" w14:textId="77777777" w:rsidTr="000A76E7">
        <w:tc>
          <w:tcPr>
            <w:tcW w:w="2930" w:type="dxa"/>
            <w:tcBorders>
              <w:top w:val="nil"/>
              <w:left w:val="single" w:sz="4" w:space="0" w:color="auto"/>
              <w:bottom w:val="nil"/>
              <w:right w:val="single" w:sz="4" w:space="0" w:color="auto"/>
            </w:tcBorders>
            <w:vAlign w:val="center"/>
            <w:hideMark/>
          </w:tcPr>
          <w:p w14:paraId="7F74B36A" w14:textId="77777777" w:rsidR="007C5479" w:rsidRPr="007C5479" w:rsidRDefault="007C5479" w:rsidP="007C5479">
            <w:pPr>
              <w:spacing w:before="60" w:after="60" w:line="276" w:lineRule="auto"/>
              <w:jc w:val="left"/>
              <w:rPr>
                <w:rFonts w:eastAsia="Calibri" w:cs="Arial"/>
                <w:sz w:val="16"/>
                <w:szCs w:val="16"/>
                <w:lang w:val="en-US"/>
              </w:rPr>
            </w:pPr>
            <w:r w:rsidRPr="007C5479">
              <w:rPr>
                <w:rFonts w:eastAsia="Calibri" w:cs="Arial"/>
                <w:sz w:val="16"/>
                <w:szCs w:val="16"/>
              </w:rPr>
              <w:t>Reasons</w:t>
            </w:r>
          </w:p>
        </w:tc>
        <w:tc>
          <w:tcPr>
            <w:tcW w:w="1634" w:type="dxa"/>
            <w:tcBorders>
              <w:top w:val="nil"/>
              <w:left w:val="single" w:sz="4" w:space="0" w:color="auto"/>
              <w:bottom w:val="nil"/>
              <w:right w:val="single" w:sz="4" w:space="0" w:color="auto"/>
            </w:tcBorders>
          </w:tcPr>
          <w:p w14:paraId="3B13ED9B" w14:textId="77777777" w:rsidR="007C5479" w:rsidRPr="007C5479" w:rsidRDefault="007C5479" w:rsidP="007C5479">
            <w:pPr>
              <w:spacing w:before="60" w:after="60" w:line="276" w:lineRule="auto"/>
              <w:jc w:val="center"/>
              <w:rPr>
                <w:rFonts w:eastAsia="Calibri" w:cs="Arial"/>
                <w:sz w:val="16"/>
                <w:szCs w:val="16"/>
                <w:lang w:val="en-US"/>
              </w:rPr>
            </w:pPr>
          </w:p>
        </w:tc>
        <w:tc>
          <w:tcPr>
            <w:tcW w:w="1635" w:type="dxa"/>
            <w:tcBorders>
              <w:top w:val="nil"/>
              <w:left w:val="single" w:sz="4" w:space="0" w:color="auto"/>
              <w:bottom w:val="nil"/>
              <w:right w:val="single" w:sz="12" w:space="0" w:color="auto"/>
            </w:tcBorders>
          </w:tcPr>
          <w:p w14:paraId="068F3625" w14:textId="77777777" w:rsidR="007C5479" w:rsidRPr="007C5479" w:rsidRDefault="007C5479" w:rsidP="007C5479">
            <w:pPr>
              <w:spacing w:before="60" w:after="60" w:line="276" w:lineRule="auto"/>
              <w:jc w:val="center"/>
              <w:rPr>
                <w:rFonts w:eastAsia="Calibri" w:cs="Arial"/>
                <w:sz w:val="16"/>
                <w:szCs w:val="16"/>
                <w:lang w:val="en-US"/>
              </w:rPr>
            </w:pPr>
          </w:p>
        </w:tc>
        <w:tc>
          <w:tcPr>
            <w:tcW w:w="1634" w:type="dxa"/>
            <w:tcBorders>
              <w:top w:val="nil"/>
              <w:left w:val="single" w:sz="12" w:space="0" w:color="auto"/>
              <w:bottom w:val="nil"/>
              <w:right w:val="single" w:sz="4" w:space="0" w:color="auto"/>
            </w:tcBorders>
          </w:tcPr>
          <w:p w14:paraId="3F1CCCF5" w14:textId="77777777" w:rsidR="007C5479" w:rsidRPr="007C5479" w:rsidRDefault="007C5479" w:rsidP="007C5479">
            <w:pPr>
              <w:spacing w:before="60" w:after="60" w:line="276" w:lineRule="auto"/>
              <w:jc w:val="center"/>
              <w:rPr>
                <w:rFonts w:eastAsia="Calibri" w:cs="Arial"/>
                <w:sz w:val="16"/>
                <w:szCs w:val="16"/>
                <w:lang w:val="en-US"/>
              </w:rPr>
            </w:pPr>
          </w:p>
        </w:tc>
        <w:tc>
          <w:tcPr>
            <w:tcW w:w="1239" w:type="dxa"/>
            <w:tcBorders>
              <w:top w:val="nil"/>
              <w:left w:val="single" w:sz="4" w:space="0" w:color="auto"/>
              <w:bottom w:val="nil"/>
              <w:right w:val="single" w:sz="4" w:space="0" w:color="auto"/>
            </w:tcBorders>
          </w:tcPr>
          <w:p w14:paraId="4EEFB097" w14:textId="77777777" w:rsidR="007C5479" w:rsidRPr="007C5479" w:rsidRDefault="007C5479" w:rsidP="007C5479">
            <w:pPr>
              <w:spacing w:before="60" w:after="60" w:line="276" w:lineRule="auto"/>
              <w:jc w:val="center"/>
              <w:rPr>
                <w:rFonts w:eastAsia="Calibri" w:cs="Arial"/>
                <w:sz w:val="16"/>
                <w:szCs w:val="16"/>
                <w:lang w:val="en-US"/>
              </w:rPr>
            </w:pPr>
          </w:p>
        </w:tc>
      </w:tr>
      <w:tr w:rsidR="007C5479" w:rsidRPr="007C5479" w14:paraId="76FFC95A" w14:textId="77777777" w:rsidTr="000A76E7">
        <w:tc>
          <w:tcPr>
            <w:tcW w:w="2930" w:type="dxa"/>
            <w:tcBorders>
              <w:top w:val="nil"/>
              <w:left w:val="single" w:sz="4" w:space="0" w:color="auto"/>
              <w:bottom w:val="nil"/>
              <w:right w:val="single" w:sz="4" w:space="0" w:color="auto"/>
            </w:tcBorders>
            <w:vAlign w:val="center"/>
            <w:hideMark/>
          </w:tcPr>
          <w:p w14:paraId="798768FF"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Discontinued study due to AE or Death</w:t>
            </w:r>
            <w:r w:rsidRPr="007C5479">
              <w:rPr>
                <w:rFonts w:eastAsia="Calibri" w:cs="Arial"/>
                <w:sz w:val="16"/>
                <w:szCs w:val="16"/>
                <w:vertAlign w:val="superscript"/>
              </w:rPr>
              <w:t>‡</w:t>
            </w:r>
            <w:r w:rsidRPr="007C5479">
              <w:rPr>
                <w:rFonts w:eastAsia="Calibri" w:cs="Arial"/>
                <w:sz w:val="16"/>
                <w:szCs w:val="16"/>
              </w:rPr>
              <w:t xml:space="preserve">                                                                                                                                                   </w:t>
            </w:r>
          </w:p>
        </w:tc>
        <w:tc>
          <w:tcPr>
            <w:tcW w:w="1634" w:type="dxa"/>
            <w:tcBorders>
              <w:top w:val="nil"/>
              <w:left w:val="single" w:sz="4" w:space="0" w:color="auto"/>
              <w:bottom w:val="nil"/>
              <w:right w:val="single" w:sz="4" w:space="0" w:color="auto"/>
            </w:tcBorders>
            <w:hideMark/>
          </w:tcPr>
          <w:p w14:paraId="5AD405F5"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1%</w:t>
            </w:r>
          </w:p>
        </w:tc>
        <w:tc>
          <w:tcPr>
            <w:tcW w:w="1635" w:type="dxa"/>
            <w:tcBorders>
              <w:top w:val="nil"/>
              <w:left w:val="single" w:sz="4" w:space="0" w:color="auto"/>
              <w:bottom w:val="nil"/>
              <w:right w:val="single" w:sz="12" w:space="0" w:color="auto"/>
            </w:tcBorders>
            <w:hideMark/>
          </w:tcPr>
          <w:p w14:paraId="12F5637F"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3%</w:t>
            </w:r>
          </w:p>
        </w:tc>
        <w:tc>
          <w:tcPr>
            <w:tcW w:w="1634" w:type="dxa"/>
            <w:tcBorders>
              <w:top w:val="nil"/>
              <w:left w:val="single" w:sz="12" w:space="0" w:color="auto"/>
              <w:bottom w:val="nil"/>
              <w:right w:val="single" w:sz="4" w:space="0" w:color="auto"/>
            </w:tcBorders>
            <w:hideMark/>
          </w:tcPr>
          <w:p w14:paraId="6AF6AA4B"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2%</w:t>
            </w:r>
          </w:p>
        </w:tc>
        <w:tc>
          <w:tcPr>
            <w:tcW w:w="1239" w:type="dxa"/>
            <w:tcBorders>
              <w:top w:val="nil"/>
              <w:left w:val="single" w:sz="4" w:space="0" w:color="auto"/>
              <w:bottom w:val="nil"/>
              <w:right w:val="single" w:sz="4" w:space="0" w:color="auto"/>
            </w:tcBorders>
            <w:hideMark/>
          </w:tcPr>
          <w:p w14:paraId="13EFF111"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w:t>
            </w:r>
          </w:p>
        </w:tc>
      </w:tr>
      <w:tr w:rsidR="007C5479" w:rsidRPr="007C5479" w14:paraId="604A8DA1" w14:textId="77777777" w:rsidTr="000A76E7">
        <w:tc>
          <w:tcPr>
            <w:tcW w:w="2930" w:type="dxa"/>
            <w:tcBorders>
              <w:top w:val="nil"/>
              <w:left w:val="single" w:sz="4" w:space="0" w:color="auto"/>
              <w:bottom w:val="nil"/>
              <w:right w:val="single" w:sz="4" w:space="0" w:color="auto"/>
            </w:tcBorders>
            <w:vAlign w:val="center"/>
            <w:hideMark/>
          </w:tcPr>
          <w:p w14:paraId="4DDC7A08"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lastRenderedPageBreak/>
              <w:t>Discontinued study for Other Reasons</w:t>
            </w:r>
            <w:r w:rsidRPr="007C5479">
              <w:rPr>
                <w:rFonts w:eastAsia="Calibri" w:cs="Arial"/>
                <w:sz w:val="16"/>
                <w:szCs w:val="16"/>
                <w:vertAlign w:val="superscript"/>
              </w:rPr>
              <w:t>§</w:t>
            </w:r>
            <w:r w:rsidRPr="007C5479">
              <w:rPr>
                <w:rFonts w:eastAsia="Calibri" w:cs="Arial"/>
                <w:sz w:val="16"/>
                <w:szCs w:val="16"/>
              </w:rPr>
              <w:t xml:space="preserve">                                                                                                                                                    </w:t>
            </w:r>
          </w:p>
        </w:tc>
        <w:tc>
          <w:tcPr>
            <w:tcW w:w="1634" w:type="dxa"/>
            <w:tcBorders>
              <w:top w:val="nil"/>
              <w:left w:val="single" w:sz="4" w:space="0" w:color="auto"/>
              <w:bottom w:val="nil"/>
              <w:right w:val="single" w:sz="4" w:space="0" w:color="auto"/>
            </w:tcBorders>
            <w:hideMark/>
          </w:tcPr>
          <w:p w14:paraId="1E4253CF"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3%</w:t>
            </w:r>
          </w:p>
        </w:tc>
        <w:tc>
          <w:tcPr>
            <w:tcW w:w="1635" w:type="dxa"/>
            <w:tcBorders>
              <w:top w:val="nil"/>
              <w:left w:val="single" w:sz="4" w:space="0" w:color="auto"/>
              <w:bottom w:val="nil"/>
              <w:right w:val="single" w:sz="12" w:space="0" w:color="auto"/>
            </w:tcBorders>
            <w:hideMark/>
          </w:tcPr>
          <w:p w14:paraId="7195E9F0"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4%</w:t>
            </w:r>
          </w:p>
        </w:tc>
        <w:tc>
          <w:tcPr>
            <w:tcW w:w="1634" w:type="dxa"/>
            <w:tcBorders>
              <w:top w:val="nil"/>
              <w:left w:val="single" w:sz="12" w:space="0" w:color="auto"/>
              <w:bottom w:val="nil"/>
              <w:right w:val="single" w:sz="4" w:space="0" w:color="auto"/>
            </w:tcBorders>
            <w:hideMark/>
          </w:tcPr>
          <w:p w14:paraId="1F3C8FC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2%</w:t>
            </w:r>
          </w:p>
        </w:tc>
        <w:tc>
          <w:tcPr>
            <w:tcW w:w="1239" w:type="dxa"/>
            <w:tcBorders>
              <w:top w:val="nil"/>
              <w:left w:val="single" w:sz="4" w:space="0" w:color="auto"/>
              <w:bottom w:val="nil"/>
              <w:right w:val="single" w:sz="4" w:space="0" w:color="auto"/>
            </w:tcBorders>
            <w:hideMark/>
          </w:tcPr>
          <w:p w14:paraId="71658FCD"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2%</w:t>
            </w:r>
          </w:p>
        </w:tc>
      </w:tr>
      <w:tr w:rsidR="007C5479" w:rsidRPr="007C5479" w14:paraId="7FFA5E33" w14:textId="77777777" w:rsidTr="000A76E7">
        <w:tc>
          <w:tcPr>
            <w:tcW w:w="2930" w:type="dxa"/>
            <w:tcBorders>
              <w:top w:val="nil"/>
              <w:left w:val="single" w:sz="4" w:space="0" w:color="auto"/>
              <w:bottom w:val="single" w:sz="4" w:space="0" w:color="auto"/>
              <w:right w:val="single" w:sz="4" w:space="0" w:color="auto"/>
            </w:tcBorders>
            <w:vAlign w:val="center"/>
            <w:hideMark/>
          </w:tcPr>
          <w:p w14:paraId="27283162"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 xml:space="preserve">On study but missing data in window                                                                                                                                                              </w:t>
            </w:r>
          </w:p>
        </w:tc>
        <w:tc>
          <w:tcPr>
            <w:tcW w:w="1634" w:type="dxa"/>
            <w:tcBorders>
              <w:top w:val="nil"/>
              <w:left w:val="single" w:sz="4" w:space="0" w:color="auto"/>
              <w:bottom w:val="single" w:sz="4" w:space="0" w:color="auto"/>
              <w:right w:val="single" w:sz="4" w:space="0" w:color="auto"/>
            </w:tcBorders>
            <w:hideMark/>
          </w:tcPr>
          <w:p w14:paraId="4BFB328D"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&lt;1%</w:t>
            </w:r>
          </w:p>
        </w:tc>
        <w:tc>
          <w:tcPr>
            <w:tcW w:w="1635" w:type="dxa"/>
            <w:tcBorders>
              <w:top w:val="nil"/>
              <w:left w:val="single" w:sz="4" w:space="0" w:color="auto"/>
              <w:bottom w:val="single" w:sz="4" w:space="0" w:color="auto"/>
              <w:right w:val="single" w:sz="12" w:space="0" w:color="auto"/>
            </w:tcBorders>
            <w:hideMark/>
          </w:tcPr>
          <w:p w14:paraId="7ECF1CAB"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&lt;1%</w:t>
            </w:r>
          </w:p>
        </w:tc>
        <w:tc>
          <w:tcPr>
            <w:tcW w:w="1634" w:type="dxa"/>
            <w:tcBorders>
              <w:top w:val="nil"/>
              <w:left w:val="single" w:sz="12" w:space="0" w:color="auto"/>
              <w:bottom w:val="single" w:sz="4" w:space="0" w:color="auto"/>
              <w:right w:val="single" w:sz="4" w:space="0" w:color="auto"/>
            </w:tcBorders>
            <w:hideMark/>
          </w:tcPr>
          <w:p w14:paraId="6A8BB6F7"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0</w:t>
            </w:r>
          </w:p>
        </w:tc>
        <w:tc>
          <w:tcPr>
            <w:tcW w:w="1239" w:type="dxa"/>
            <w:tcBorders>
              <w:top w:val="nil"/>
              <w:left w:val="single" w:sz="4" w:space="0" w:color="auto"/>
              <w:bottom w:val="single" w:sz="4" w:space="0" w:color="auto"/>
              <w:right w:val="single" w:sz="4" w:space="0" w:color="auto"/>
            </w:tcBorders>
            <w:hideMark/>
          </w:tcPr>
          <w:p w14:paraId="0CF722AF"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&lt;1%</w:t>
            </w:r>
          </w:p>
        </w:tc>
      </w:tr>
      <w:tr w:rsidR="007C5479" w:rsidRPr="007C5479" w14:paraId="767BBF5E" w14:textId="77777777" w:rsidTr="000A76E7">
        <w:tc>
          <w:tcPr>
            <w:tcW w:w="9072" w:type="dxa"/>
            <w:gridSpan w:val="5"/>
            <w:tcBorders>
              <w:top w:val="single" w:sz="4" w:space="0" w:color="auto"/>
              <w:left w:val="single" w:sz="4" w:space="0" w:color="auto"/>
              <w:bottom w:val="single" w:sz="4" w:space="0" w:color="auto"/>
              <w:right w:val="single" w:sz="4" w:space="0" w:color="auto"/>
            </w:tcBorders>
            <w:vAlign w:val="center"/>
            <w:hideMark/>
          </w:tcPr>
          <w:p w14:paraId="42FCC76F" w14:textId="77777777" w:rsidR="007C5479" w:rsidRPr="007C5479" w:rsidRDefault="007C5479" w:rsidP="007C5479">
            <w:pPr>
              <w:spacing w:before="60" w:after="60" w:line="276" w:lineRule="auto"/>
              <w:jc w:val="left"/>
              <w:rPr>
                <w:rFonts w:eastAsia="Calibri" w:cs="Arial"/>
                <w:b/>
                <w:sz w:val="16"/>
                <w:szCs w:val="16"/>
                <w:lang w:val="en-US"/>
              </w:rPr>
            </w:pPr>
            <w:r w:rsidRPr="007C5479">
              <w:rPr>
                <w:rFonts w:eastAsia="Calibri" w:cs="Arial"/>
                <w:b/>
                <w:sz w:val="16"/>
                <w:szCs w:val="16"/>
              </w:rPr>
              <w:t>Proportion (%) of Subjects With HIV-1 RNA &lt;50 copies/mL at Week 48 by Baseline and Demographic Category</w:t>
            </w:r>
          </w:p>
        </w:tc>
      </w:tr>
      <w:tr w:rsidR="007C5479" w:rsidRPr="007C5479" w14:paraId="401F8B49" w14:textId="77777777" w:rsidTr="000A76E7">
        <w:tc>
          <w:tcPr>
            <w:tcW w:w="2930" w:type="dxa"/>
            <w:tcBorders>
              <w:top w:val="single" w:sz="4" w:space="0" w:color="auto"/>
              <w:left w:val="single" w:sz="4" w:space="0" w:color="auto"/>
              <w:bottom w:val="nil"/>
              <w:right w:val="single" w:sz="4" w:space="0" w:color="auto"/>
            </w:tcBorders>
            <w:vAlign w:val="center"/>
            <w:hideMark/>
          </w:tcPr>
          <w:p w14:paraId="04697562" w14:textId="77777777" w:rsidR="007C5479" w:rsidRPr="007C5479" w:rsidRDefault="007C5479" w:rsidP="007C5479">
            <w:pPr>
              <w:widowControl w:val="0"/>
              <w:autoSpaceDE w:val="0"/>
              <w:autoSpaceDN w:val="0"/>
              <w:adjustRightInd w:val="0"/>
              <w:spacing w:before="60" w:after="60" w:line="276" w:lineRule="auto"/>
              <w:ind w:left="160" w:right="1" w:hanging="160"/>
              <w:jc w:val="left"/>
              <w:rPr>
                <w:rFonts w:eastAsia="Calibri" w:cs="Arial"/>
                <w:b/>
                <w:sz w:val="16"/>
                <w:szCs w:val="16"/>
                <w:lang w:val="en-US"/>
              </w:rPr>
            </w:pPr>
            <w:r w:rsidRPr="007C5479">
              <w:rPr>
                <w:rFonts w:eastAsia="Calibri" w:cs="Arial"/>
                <w:b/>
                <w:sz w:val="16"/>
                <w:szCs w:val="16"/>
              </w:rPr>
              <w:t>Gender</w:t>
            </w:r>
          </w:p>
        </w:tc>
        <w:tc>
          <w:tcPr>
            <w:tcW w:w="1634" w:type="dxa"/>
            <w:tcBorders>
              <w:top w:val="single" w:sz="4" w:space="0" w:color="auto"/>
              <w:left w:val="single" w:sz="4" w:space="0" w:color="auto"/>
              <w:bottom w:val="nil"/>
              <w:right w:val="single" w:sz="4" w:space="0" w:color="auto"/>
            </w:tcBorders>
          </w:tcPr>
          <w:p w14:paraId="5CC8EA38" w14:textId="77777777" w:rsidR="007C5479" w:rsidRPr="007C5479" w:rsidRDefault="007C5479" w:rsidP="007C5479">
            <w:pPr>
              <w:spacing w:before="60" w:after="60" w:line="276" w:lineRule="auto"/>
              <w:jc w:val="center"/>
              <w:rPr>
                <w:rFonts w:eastAsia="Calibri" w:cs="Arial"/>
                <w:sz w:val="16"/>
                <w:szCs w:val="16"/>
                <w:lang w:val="en-US"/>
              </w:rPr>
            </w:pPr>
          </w:p>
        </w:tc>
        <w:tc>
          <w:tcPr>
            <w:tcW w:w="1635" w:type="dxa"/>
            <w:tcBorders>
              <w:top w:val="single" w:sz="4" w:space="0" w:color="auto"/>
              <w:left w:val="single" w:sz="4" w:space="0" w:color="auto"/>
              <w:bottom w:val="nil"/>
              <w:right w:val="single" w:sz="12" w:space="0" w:color="auto"/>
            </w:tcBorders>
          </w:tcPr>
          <w:p w14:paraId="22CE5A56" w14:textId="77777777" w:rsidR="007C5479" w:rsidRPr="007C5479" w:rsidRDefault="007C5479" w:rsidP="007C5479">
            <w:pPr>
              <w:spacing w:before="60" w:after="60" w:line="276" w:lineRule="auto"/>
              <w:jc w:val="center"/>
              <w:rPr>
                <w:rFonts w:eastAsia="Calibri" w:cs="Arial"/>
                <w:sz w:val="16"/>
                <w:szCs w:val="16"/>
                <w:lang w:val="en-US"/>
              </w:rPr>
            </w:pPr>
          </w:p>
        </w:tc>
        <w:tc>
          <w:tcPr>
            <w:tcW w:w="1634" w:type="dxa"/>
            <w:tcBorders>
              <w:top w:val="single" w:sz="4" w:space="0" w:color="auto"/>
              <w:left w:val="single" w:sz="12" w:space="0" w:color="auto"/>
              <w:bottom w:val="nil"/>
              <w:right w:val="single" w:sz="4" w:space="0" w:color="auto"/>
            </w:tcBorders>
          </w:tcPr>
          <w:p w14:paraId="616C4F9C" w14:textId="77777777" w:rsidR="007C5479" w:rsidRPr="007C5479" w:rsidRDefault="007C5479" w:rsidP="007C5479">
            <w:pPr>
              <w:spacing w:before="60" w:after="60" w:line="276" w:lineRule="auto"/>
              <w:jc w:val="center"/>
              <w:rPr>
                <w:rFonts w:eastAsia="Calibri" w:cs="Arial"/>
                <w:sz w:val="16"/>
                <w:szCs w:val="16"/>
                <w:lang w:val="en-US"/>
              </w:rPr>
            </w:pPr>
          </w:p>
        </w:tc>
        <w:tc>
          <w:tcPr>
            <w:tcW w:w="1239" w:type="dxa"/>
            <w:tcBorders>
              <w:top w:val="single" w:sz="4" w:space="0" w:color="auto"/>
              <w:left w:val="single" w:sz="4" w:space="0" w:color="auto"/>
              <w:bottom w:val="nil"/>
              <w:right w:val="single" w:sz="4" w:space="0" w:color="auto"/>
            </w:tcBorders>
          </w:tcPr>
          <w:p w14:paraId="1337009F" w14:textId="77777777" w:rsidR="007C5479" w:rsidRPr="007C5479" w:rsidRDefault="007C5479" w:rsidP="007C5479">
            <w:pPr>
              <w:spacing w:before="60" w:after="60" w:line="276" w:lineRule="auto"/>
              <w:jc w:val="center"/>
              <w:rPr>
                <w:rFonts w:eastAsia="Calibri" w:cs="Arial"/>
                <w:sz w:val="16"/>
                <w:szCs w:val="16"/>
                <w:lang w:val="en-US"/>
              </w:rPr>
            </w:pPr>
          </w:p>
        </w:tc>
      </w:tr>
      <w:tr w:rsidR="007C5479" w:rsidRPr="007C5479" w14:paraId="61DA558B" w14:textId="77777777" w:rsidTr="000A76E7">
        <w:tc>
          <w:tcPr>
            <w:tcW w:w="2930" w:type="dxa"/>
            <w:tcBorders>
              <w:top w:val="nil"/>
              <w:left w:val="single" w:sz="4" w:space="0" w:color="auto"/>
              <w:bottom w:val="nil"/>
              <w:right w:val="single" w:sz="4" w:space="0" w:color="auto"/>
            </w:tcBorders>
            <w:vAlign w:val="center"/>
            <w:hideMark/>
          </w:tcPr>
          <w:p w14:paraId="152F39DA"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Male</w:t>
            </w:r>
          </w:p>
        </w:tc>
        <w:tc>
          <w:tcPr>
            <w:tcW w:w="1634" w:type="dxa"/>
            <w:tcBorders>
              <w:top w:val="nil"/>
              <w:left w:val="single" w:sz="4" w:space="0" w:color="auto"/>
              <w:bottom w:val="nil"/>
              <w:right w:val="single" w:sz="4" w:space="0" w:color="auto"/>
            </w:tcBorders>
            <w:hideMark/>
          </w:tcPr>
          <w:p w14:paraId="4FCB1ADD"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635" w:type="dxa"/>
            <w:tcBorders>
              <w:top w:val="nil"/>
              <w:left w:val="single" w:sz="4" w:space="0" w:color="auto"/>
              <w:bottom w:val="nil"/>
              <w:right w:val="single" w:sz="12" w:space="0" w:color="auto"/>
            </w:tcBorders>
            <w:hideMark/>
          </w:tcPr>
          <w:p w14:paraId="3DD272B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82%</w:t>
            </w:r>
          </w:p>
        </w:tc>
        <w:tc>
          <w:tcPr>
            <w:tcW w:w="1634" w:type="dxa"/>
            <w:tcBorders>
              <w:top w:val="nil"/>
              <w:left w:val="single" w:sz="12" w:space="0" w:color="auto"/>
              <w:bottom w:val="nil"/>
              <w:right w:val="single" w:sz="4" w:space="0" w:color="auto"/>
            </w:tcBorders>
            <w:hideMark/>
          </w:tcPr>
          <w:p w14:paraId="4D88B06D"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239" w:type="dxa"/>
            <w:tcBorders>
              <w:top w:val="nil"/>
              <w:left w:val="single" w:sz="4" w:space="0" w:color="auto"/>
              <w:bottom w:val="nil"/>
              <w:right w:val="single" w:sz="4" w:space="0" w:color="auto"/>
            </w:tcBorders>
            <w:hideMark/>
          </w:tcPr>
          <w:p w14:paraId="0FE5116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80%</w:t>
            </w:r>
          </w:p>
        </w:tc>
      </w:tr>
      <w:tr w:rsidR="007C5479" w:rsidRPr="007C5479" w14:paraId="2FFC00F9" w14:textId="77777777" w:rsidTr="000A76E7">
        <w:tc>
          <w:tcPr>
            <w:tcW w:w="2930" w:type="dxa"/>
            <w:tcBorders>
              <w:top w:val="nil"/>
              <w:left w:val="single" w:sz="4" w:space="0" w:color="auto"/>
              <w:bottom w:val="single" w:sz="4" w:space="0" w:color="auto"/>
              <w:right w:val="single" w:sz="4" w:space="0" w:color="auto"/>
            </w:tcBorders>
            <w:vAlign w:val="center"/>
            <w:hideMark/>
          </w:tcPr>
          <w:p w14:paraId="10109243"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Female</w:t>
            </w:r>
          </w:p>
        </w:tc>
        <w:tc>
          <w:tcPr>
            <w:tcW w:w="1634" w:type="dxa"/>
            <w:tcBorders>
              <w:top w:val="nil"/>
              <w:left w:val="single" w:sz="4" w:space="0" w:color="auto"/>
              <w:bottom w:val="single" w:sz="4" w:space="0" w:color="auto"/>
              <w:right w:val="single" w:sz="4" w:space="0" w:color="auto"/>
            </w:tcBorders>
            <w:hideMark/>
          </w:tcPr>
          <w:p w14:paraId="66C7C2D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81%</w:t>
            </w:r>
          </w:p>
        </w:tc>
        <w:tc>
          <w:tcPr>
            <w:tcW w:w="1635" w:type="dxa"/>
            <w:tcBorders>
              <w:top w:val="nil"/>
              <w:left w:val="single" w:sz="4" w:space="0" w:color="auto"/>
              <w:bottom w:val="single" w:sz="4" w:space="0" w:color="auto"/>
              <w:right w:val="single" w:sz="12" w:space="0" w:color="auto"/>
            </w:tcBorders>
            <w:hideMark/>
          </w:tcPr>
          <w:p w14:paraId="188BB723"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67%</w:t>
            </w:r>
          </w:p>
        </w:tc>
        <w:tc>
          <w:tcPr>
            <w:tcW w:w="1634" w:type="dxa"/>
            <w:tcBorders>
              <w:top w:val="nil"/>
              <w:left w:val="single" w:sz="12" w:space="0" w:color="auto"/>
              <w:bottom w:val="single" w:sz="4" w:space="0" w:color="auto"/>
              <w:right w:val="single" w:sz="4" w:space="0" w:color="auto"/>
            </w:tcBorders>
            <w:hideMark/>
          </w:tcPr>
          <w:p w14:paraId="42FD7030"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85%</w:t>
            </w:r>
          </w:p>
        </w:tc>
        <w:tc>
          <w:tcPr>
            <w:tcW w:w="1239" w:type="dxa"/>
            <w:tcBorders>
              <w:top w:val="nil"/>
              <w:left w:val="single" w:sz="4" w:space="0" w:color="auto"/>
              <w:bottom w:val="single" w:sz="4" w:space="0" w:color="auto"/>
              <w:right w:val="single" w:sz="4" w:space="0" w:color="auto"/>
            </w:tcBorders>
            <w:hideMark/>
          </w:tcPr>
          <w:p w14:paraId="0FC5BD4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83%</w:t>
            </w:r>
          </w:p>
        </w:tc>
      </w:tr>
      <w:tr w:rsidR="007C5479" w:rsidRPr="007C5479" w14:paraId="1A67005C" w14:textId="77777777" w:rsidTr="000A76E7">
        <w:tc>
          <w:tcPr>
            <w:tcW w:w="2930" w:type="dxa"/>
            <w:tcBorders>
              <w:top w:val="single" w:sz="4" w:space="0" w:color="auto"/>
              <w:left w:val="single" w:sz="4" w:space="0" w:color="auto"/>
              <w:bottom w:val="nil"/>
              <w:right w:val="single" w:sz="4" w:space="0" w:color="auto"/>
            </w:tcBorders>
            <w:vAlign w:val="center"/>
            <w:hideMark/>
          </w:tcPr>
          <w:p w14:paraId="71BE2DAA" w14:textId="77777777" w:rsidR="007C5479" w:rsidRPr="007C5479" w:rsidRDefault="007C5479" w:rsidP="007C5479">
            <w:pPr>
              <w:spacing w:before="60" w:after="60" w:line="276" w:lineRule="auto"/>
              <w:jc w:val="left"/>
              <w:rPr>
                <w:rFonts w:eastAsia="Calibri" w:cs="Arial"/>
                <w:b/>
                <w:sz w:val="16"/>
                <w:szCs w:val="16"/>
                <w:lang w:val="en-US"/>
              </w:rPr>
            </w:pPr>
            <w:r w:rsidRPr="007C5479">
              <w:rPr>
                <w:rFonts w:eastAsia="Calibri" w:cs="Arial"/>
                <w:b/>
                <w:sz w:val="16"/>
                <w:szCs w:val="16"/>
              </w:rPr>
              <w:t>Race</w:t>
            </w:r>
          </w:p>
        </w:tc>
        <w:tc>
          <w:tcPr>
            <w:tcW w:w="1634" w:type="dxa"/>
            <w:tcBorders>
              <w:top w:val="single" w:sz="4" w:space="0" w:color="auto"/>
              <w:left w:val="single" w:sz="4" w:space="0" w:color="auto"/>
              <w:bottom w:val="nil"/>
              <w:right w:val="single" w:sz="4" w:space="0" w:color="auto"/>
            </w:tcBorders>
          </w:tcPr>
          <w:p w14:paraId="27EAD177" w14:textId="77777777" w:rsidR="007C5479" w:rsidRPr="007C5479" w:rsidRDefault="007C5479" w:rsidP="007C5479">
            <w:pPr>
              <w:spacing w:before="60" w:after="60" w:line="276" w:lineRule="auto"/>
              <w:jc w:val="center"/>
              <w:rPr>
                <w:rFonts w:eastAsia="Calibri" w:cs="Arial"/>
                <w:sz w:val="16"/>
                <w:szCs w:val="16"/>
                <w:lang w:val="en-US"/>
              </w:rPr>
            </w:pPr>
          </w:p>
        </w:tc>
        <w:tc>
          <w:tcPr>
            <w:tcW w:w="1635" w:type="dxa"/>
            <w:tcBorders>
              <w:top w:val="single" w:sz="4" w:space="0" w:color="auto"/>
              <w:left w:val="single" w:sz="4" w:space="0" w:color="auto"/>
              <w:bottom w:val="nil"/>
              <w:right w:val="single" w:sz="12" w:space="0" w:color="auto"/>
            </w:tcBorders>
          </w:tcPr>
          <w:p w14:paraId="76727BB3" w14:textId="77777777" w:rsidR="007C5479" w:rsidRPr="007C5479" w:rsidRDefault="007C5479" w:rsidP="007C5479">
            <w:pPr>
              <w:spacing w:before="60" w:after="60" w:line="276" w:lineRule="auto"/>
              <w:jc w:val="center"/>
              <w:rPr>
                <w:rFonts w:eastAsia="Calibri" w:cs="Arial"/>
                <w:sz w:val="16"/>
                <w:szCs w:val="16"/>
                <w:lang w:val="en-US"/>
              </w:rPr>
            </w:pPr>
          </w:p>
        </w:tc>
        <w:tc>
          <w:tcPr>
            <w:tcW w:w="1634" w:type="dxa"/>
            <w:tcBorders>
              <w:top w:val="single" w:sz="4" w:space="0" w:color="auto"/>
              <w:left w:val="single" w:sz="12" w:space="0" w:color="auto"/>
              <w:bottom w:val="nil"/>
              <w:right w:val="single" w:sz="4" w:space="0" w:color="auto"/>
            </w:tcBorders>
          </w:tcPr>
          <w:p w14:paraId="21006815" w14:textId="77777777" w:rsidR="007C5479" w:rsidRPr="007C5479" w:rsidRDefault="007C5479" w:rsidP="007C5479">
            <w:pPr>
              <w:spacing w:before="60" w:after="60" w:line="276" w:lineRule="auto"/>
              <w:jc w:val="center"/>
              <w:rPr>
                <w:rFonts w:eastAsia="Calibri" w:cs="Arial"/>
                <w:sz w:val="16"/>
                <w:szCs w:val="16"/>
                <w:lang w:val="en-US"/>
              </w:rPr>
            </w:pPr>
          </w:p>
        </w:tc>
        <w:tc>
          <w:tcPr>
            <w:tcW w:w="1239" w:type="dxa"/>
            <w:tcBorders>
              <w:top w:val="single" w:sz="4" w:space="0" w:color="auto"/>
              <w:left w:val="single" w:sz="4" w:space="0" w:color="auto"/>
              <w:bottom w:val="nil"/>
              <w:right w:val="single" w:sz="4" w:space="0" w:color="auto"/>
            </w:tcBorders>
          </w:tcPr>
          <w:p w14:paraId="27A5B03E" w14:textId="77777777" w:rsidR="007C5479" w:rsidRPr="007C5479" w:rsidRDefault="007C5479" w:rsidP="007C5479">
            <w:pPr>
              <w:spacing w:before="60" w:after="60" w:line="276" w:lineRule="auto"/>
              <w:jc w:val="center"/>
              <w:rPr>
                <w:rFonts w:eastAsia="Calibri" w:cs="Arial"/>
                <w:sz w:val="16"/>
                <w:szCs w:val="16"/>
                <w:lang w:val="en-US"/>
              </w:rPr>
            </w:pPr>
          </w:p>
        </w:tc>
      </w:tr>
      <w:tr w:rsidR="007C5479" w:rsidRPr="007C5479" w14:paraId="521C2C16" w14:textId="77777777" w:rsidTr="000A76E7">
        <w:tc>
          <w:tcPr>
            <w:tcW w:w="2930" w:type="dxa"/>
            <w:tcBorders>
              <w:top w:val="nil"/>
              <w:left w:val="single" w:sz="4" w:space="0" w:color="auto"/>
              <w:bottom w:val="nil"/>
              <w:right w:val="single" w:sz="4" w:space="0" w:color="auto"/>
            </w:tcBorders>
            <w:vAlign w:val="center"/>
            <w:hideMark/>
          </w:tcPr>
          <w:p w14:paraId="7C8587FC" w14:textId="77777777" w:rsidR="007C5479" w:rsidRPr="007C5479" w:rsidRDefault="007C5479" w:rsidP="007C5479">
            <w:pPr>
              <w:spacing w:before="60" w:after="60" w:line="276" w:lineRule="auto"/>
              <w:ind w:left="162"/>
              <w:jc w:val="left"/>
              <w:rPr>
                <w:rFonts w:eastAsia="Calibri" w:cs="Arial"/>
                <w:sz w:val="16"/>
                <w:szCs w:val="16"/>
                <w:lang w:val="en-US"/>
              </w:rPr>
            </w:pPr>
            <w:r w:rsidRPr="007C5479">
              <w:rPr>
                <w:rFonts w:eastAsia="Calibri" w:cs="Arial"/>
                <w:sz w:val="16"/>
                <w:szCs w:val="16"/>
              </w:rPr>
              <w:t>White</w:t>
            </w:r>
          </w:p>
        </w:tc>
        <w:tc>
          <w:tcPr>
            <w:tcW w:w="1634" w:type="dxa"/>
            <w:tcBorders>
              <w:top w:val="nil"/>
              <w:left w:val="single" w:sz="4" w:space="0" w:color="auto"/>
              <w:bottom w:val="nil"/>
              <w:right w:val="single" w:sz="4" w:space="0" w:color="auto"/>
            </w:tcBorders>
            <w:hideMark/>
          </w:tcPr>
          <w:p w14:paraId="29BEC217"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87%</w:t>
            </w:r>
          </w:p>
        </w:tc>
        <w:tc>
          <w:tcPr>
            <w:tcW w:w="1635" w:type="dxa"/>
            <w:tcBorders>
              <w:top w:val="nil"/>
              <w:left w:val="single" w:sz="4" w:space="0" w:color="auto"/>
              <w:bottom w:val="nil"/>
              <w:right w:val="single" w:sz="12" w:space="0" w:color="auto"/>
            </w:tcBorders>
            <w:hideMark/>
          </w:tcPr>
          <w:p w14:paraId="1628A348"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83%</w:t>
            </w:r>
          </w:p>
        </w:tc>
        <w:tc>
          <w:tcPr>
            <w:tcW w:w="1634" w:type="dxa"/>
            <w:tcBorders>
              <w:top w:val="nil"/>
              <w:left w:val="single" w:sz="12" w:space="0" w:color="auto"/>
              <w:bottom w:val="nil"/>
              <w:right w:val="single" w:sz="4" w:space="0" w:color="auto"/>
            </w:tcBorders>
            <w:hideMark/>
          </w:tcPr>
          <w:p w14:paraId="300CBA1A"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239" w:type="dxa"/>
            <w:tcBorders>
              <w:top w:val="nil"/>
              <w:left w:val="single" w:sz="4" w:space="0" w:color="auto"/>
              <w:bottom w:val="nil"/>
              <w:right w:val="single" w:sz="4" w:space="0" w:color="auto"/>
            </w:tcBorders>
            <w:hideMark/>
          </w:tcPr>
          <w:p w14:paraId="734C5314"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81%</w:t>
            </w:r>
          </w:p>
        </w:tc>
      </w:tr>
      <w:tr w:rsidR="007C5479" w:rsidRPr="007C5479" w14:paraId="2986FF71" w14:textId="77777777" w:rsidTr="000A76E7">
        <w:tc>
          <w:tcPr>
            <w:tcW w:w="2930" w:type="dxa"/>
            <w:tcBorders>
              <w:top w:val="nil"/>
              <w:left w:val="single" w:sz="4" w:space="0" w:color="auto"/>
              <w:bottom w:val="single" w:sz="4" w:space="0" w:color="auto"/>
              <w:right w:val="single" w:sz="4" w:space="0" w:color="auto"/>
            </w:tcBorders>
            <w:vAlign w:val="center"/>
            <w:hideMark/>
          </w:tcPr>
          <w:p w14:paraId="1DD43192" w14:textId="77777777" w:rsidR="007C5479" w:rsidRPr="007C5479" w:rsidRDefault="007C5479" w:rsidP="007C5479">
            <w:pPr>
              <w:spacing w:before="60" w:after="60" w:line="276" w:lineRule="auto"/>
              <w:ind w:left="162"/>
              <w:jc w:val="left"/>
              <w:rPr>
                <w:rFonts w:eastAsia="Calibri" w:cs="Arial"/>
                <w:sz w:val="16"/>
                <w:szCs w:val="16"/>
                <w:lang w:val="en-US"/>
              </w:rPr>
            </w:pPr>
            <w:r w:rsidRPr="007C5479">
              <w:rPr>
                <w:rFonts w:eastAsia="Calibri" w:cs="Arial"/>
                <w:sz w:val="16"/>
                <w:szCs w:val="16"/>
              </w:rPr>
              <w:t xml:space="preserve">Non-White </w:t>
            </w:r>
          </w:p>
        </w:tc>
        <w:tc>
          <w:tcPr>
            <w:tcW w:w="1634" w:type="dxa"/>
            <w:tcBorders>
              <w:top w:val="nil"/>
              <w:left w:val="single" w:sz="4" w:space="0" w:color="auto"/>
              <w:bottom w:val="single" w:sz="4" w:space="0" w:color="auto"/>
              <w:right w:val="single" w:sz="4" w:space="0" w:color="auto"/>
            </w:tcBorders>
            <w:hideMark/>
          </w:tcPr>
          <w:p w14:paraId="707E5EE4"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75%</w:t>
            </w:r>
          </w:p>
        </w:tc>
        <w:tc>
          <w:tcPr>
            <w:tcW w:w="1635" w:type="dxa"/>
            <w:tcBorders>
              <w:top w:val="nil"/>
              <w:left w:val="single" w:sz="4" w:space="0" w:color="auto"/>
              <w:bottom w:val="single" w:sz="4" w:space="0" w:color="auto"/>
              <w:right w:val="single" w:sz="12" w:space="0" w:color="auto"/>
            </w:tcBorders>
            <w:hideMark/>
          </w:tcPr>
          <w:p w14:paraId="3B0B3B27"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73%</w:t>
            </w:r>
          </w:p>
        </w:tc>
        <w:tc>
          <w:tcPr>
            <w:tcW w:w="1634" w:type="dxa"/>
            <w:tcBorders>
              <w:top w:val="nil"/>
              <w:left w:val="single" w:sz="12" w:space="0" w:color="auto"/>
              <w:bottom w:val="single" w:sz="4" w:space="0" w:color="auto"/>
              <w:right w:val="single" w:sz="4" w:space="0" w:color="auto"/>
            </w:tcBorders>
            <w:hideMark/>
          </w:tcPr>
          <w:p w14:paraId="38E9176B"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239" w:type="dxa"/>
            <w:tcBorders>
              <w:top w:val="nil"/>
              <w:left w:val="single" w:sz="4" w:space="0" w:color="auto"/>
              <w:bottom w:val="single" w:sz="4" w:space="0" w:color="auto"/>
              <w:right w:val="single" w:sz="4" w:space="0" w:color="auto"/>
            </w:tcBorders>
            <w:hideMark/>
          </w:tcPr>
          <w:p w14:paraId="61342BF3"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80%</w:t>
            </w:r>
          </w:p>
        </w:tc>
      </w:tr>
      <w:tr w:rsidR="007C5479" w:rsidRPr="007C5479" w14:paraId="75C4306E" w14:textId="77777777" w:rsidTr="000A76E7">
        <w:tc>
          <w:tcPr>
            <w:tcW w:w="2930" w:type="dxa"/>
            <w:tcBorders>
              <w:top w:val="single" w:sz="4" w:space="0" w:color="auto"/>
              <w:left w:val="single" w:sz="4" w:space="0" w:color="auto"/>
              <w:bottom w:val="nil"/>
              <w:right w:val="single" w:sz="4" w:space="0" w:color="auto"/>
            </w:tcBorders>
            <w:vAlign w:val="center"/>
            <w:hideMark/>
          </w:tcPr>
          <w:p w14:paraId="3B0256B0" w14:textId="77777777" w:rsidR="007C5479" w:rsidRPr="007C5479" w:rsidRDefault="007C5479" w:rsidP="007C5479">
            <w:pPr>
              <w:spacing w:before="60" w:after="60" w:line="276" w:lineRule="auto"/>
              <w:jc w:val="left"/>
              <w:rPr>
                <w:rFonts w:eastAsia="Calibri" w:cs="Arial"/>
                <w:b/>
                <w:sz w:val="16"/>
                <w:szCs w:val="16"/>
                <w:lang w:val="en-US"/>
              </w:rPr>
            </w:pPr>
            <w:r w:rsidRPr="007C5479">
              <w:rPr>
                <w:rFonts w:eastAsia="Calibri" w:cs="Arial"/>
                <w:b/>
                <w:sz w:val="16"/>
                <w:szCs w:val="16"/>
              </w:rPr>
              <w:t>Ethnicity</w:t>
            </w:r>
          </w:p>
        </w:tc>
        <w:tc>
          <w:tcPr>
            <w:tcW w:w="1634" w:type="dxa"/>
            <w:tcBorders>
              <w:top w:val="single" w:sz="4" w:space="0" w:color="auto"/>
              <w:left w:val="single" w:sz="4" w:space="0" w:color="auto"/>
              <w:bottom w:val="nil"/>
              <w:right w:val="single" w:sz="4" w:space="0" w:color="auto"/>
            </w:tcBorders>
          </w:tcPr>
          <w:p w14:paraId="63C46019" w14:textId="77777777" w:rsidR="007C5479" w:rsidRPr="007C5479" w:rsidRDefault="007C5479" w:rsidP="007C5479">
            <w:pPr>
              <w:spacing w:before="60" w:after="60" w:line="276" w:lineRule="auto"/>
              <w:jc w:val="center"/>
              <w:rPr>
                <w:rFonts w:eastAsia="Calibri" w:cs="Arial"/>
                <w:sz w:val="16"/>
                <w:szCs w:val="16"/>
                <w:lang w:val="en-US"/>
              </w:rPr>
            </w:pPr>
          </w:p>
        </w:tc>
        <w:tc>
          <w:tcPr>
            <w:tcW w:w="1635" w:type="dxa"/>
            <w:tcBorders>
              <w:top w:val="single" w:sz="4" w:space="0" w:color="auto"/>
              <w:left w:val="single" w:sz="4" w:space="0" w:color="auto"/>
              <w:bottom w:val="nil"/>
              <w:right w:val="single" w:sz="12" w:space="0" w:color="auto"/>
            </w:tcBorders>
          </w:tcPr>
          <w:p w14:paraId="7FA787D4" w14:textId="77777777" w:rsidR="007C5479" w:rsidRPr="007C5479" w:rsidRDefault="007C5479" w:rsidP="007C5479">
            <w:pPr>
              <w:spacing w:before="60" w:after="60" w:line="276" w:lineRule="auto"/>
              <w:jc w:val="center"/>
              <w:rPr>
                <w:rFonts w:eastAsia="Calibri" w:cs="Arial"/>
                <w:sz w:val="16"/>
                <w:szCs w:val="16"/>
                <w:lang w:val="en-US"/>
              </w:rPr>
            </w:pPr>
          </w:p>
        </w:tc>
        <w:tc>
          <w:tcPr>
            <w:tcW w:w="1634" w:type="dxa"/>
            <w:tcBorders>
              <w:top w:val="single" w:sz="4" w:space="0" w:color="auto"/>
              <w:left w:val="single" w:sz="12" w:space="0" w:color="auto"/>
              <w:bottom w:val="nil"/>
              <w:right w:val="single" w:sz="4" w:space="0" w:color="auto"/>
            </w:tcBorders>
          </w:tcPr>
          <w:p w14:paraId="5912CDAB" w14:textId="77777777" w:rsidR="007C5479" w:rsidRPr="007C5479" w:rsidRDefault="007C5479" w:rsidP="007C5479">
            <w:pPr>
              <w:spacing w:before="60" w:after="60" w:line="276" w:lineRule="auto"/>
              <w:jc w:val="center"/>
              <w:rPr>
                <w:rFonts w:eastAsia="Calibri" w:cs="Arial"/>
                <w:sz w:val="16"/>
                <w:szCs w:val="16"/>
                <w:lang w:val="en-US"/>
              </w:rPr>
            </w:pPr>
          </w:p>
        </w:tc>
        <w:tc>
          <w:tcPr>
            <w:tcW w:w="1239" w:type="dxa"/>
            <w:tcBorders>
              <w:top w:val="single" w:sz="4" w:space="0" w:color="auto"/>
              <w:left w:val="single" w:sz="4" w:space="0" w:color="auto"/>
              <w:bottom w:val="nil"/>
              <w:right w:val="single" w:sz="4" w:space="0" w:color="auto"/>
            </w:tcBorders>
          </w:tcPr>
          <w:p w14:paraId="41690A7D" w14:textId="77777777" w:rsidR="007C5479" w:rsidRPr="007C5479" w:rsidRDefault="007C5479" w:rsidP="007C5479">
            <w:pPr>
              <w:spacing w:before="60" w:after="60" w:line="276" w:lineRule="auto"/>
              <w:jc w:val="center"/>
              <w:rPr>
                <w:rFonts w:eastAsia="Calibri" w:cs="Arial"/>
                <w:sz w:val="16"/>
                <w:szCs w:val="16"/>
                <w:lang w:val="en-US"/>
              </w:rPr>
            </w:pPr>
          </w:p>
        </w:tc>
      </w:tr>
      <w:tr w:rsidR="007C5479" w:rsidRPr="007C5479" w14:paraId="638B895A" w14:textId="77777777" w:rsidTr="000A76E7">
        <w:tc>
          <w:tcPr>
            <w:tcW w:w="2930" w:type="dxa"/>
            <w:tcBorders>
              <w:top w:val="nil"/>
              <w:left w:val="single" w:sz="4" w:space="0" w:color="auto"/>
              <w:bottom w:val="nil"/>
              <w:right w:val="single" w:sz="4" w:space="0" w:color="auto"/>
            </w:tcBorders>
            <w:vAlign w:val="center"/>
            <w:hideMark/>
          </w:tcPr>
          <w:p w14:paraId="0282CFB2" w14:textId="77777777" w:rsidR="007C5479" w:rsidRPr="007C5479" w:rsidRDefault="007C5479" w:rsidP="007C5479">
            <w:pPr>
              <w:spacing w:before="60" w:after="60" w:line="276" w:lineRule="auto"/>
              <w:ind w:left="162"/>
              <w:jc w:val="left"/>
              <w:rPr>
                <w:rFonts w:eastAsia="Calibri" w:cs="Arial"/>
                <w:sz w:val="16"/>
                <w:szCs w:val="16"/>
                <w:lang w:val="en-US"/>
              </w:rPr>
            </w:pPr>
            <w:r w:rsidRPr="007C5479">
              <w:rPr>
                <w:rFonts w:eastAsia="Calibri" w:cs="Arial"/>
                <w:sz w:val="16"/>
                <w:szCs w:val="16"/>
              </w:rPr>
              <w:t>Hispanic or Latino</w:t>
            </w:r>
          </w:p>
        </w:tc>
        <w:tc>
          <w:tcPr>
            <w:tcW w:w="1634" w:type="dxa"/>
            <w:tcBorders>
              <w:top w:val="nil"/>
              <w:left w:val="single" w:sz="4" w:space="0" w:color="auto"/>
              <w:bottom w:val="nil"/>
              <w:right w:val="single" w:sz="4" w:space="0" w:color="auto"/>
            </w:tcBorders>
            <w:hideMark/>
          </w:tcPr>
          <w:p w14:paraId="6F668A25"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88%</w:t>
            </w:r>
          </w:p>
        </w:tc>
        <w:tc>
          <w:tcPr>
            <w:tcW w:w="1635" w:type="dxa"/>
            <w:tcBorders>
              <w:top w:val="nil"/>
              <w:left w:val="single" w:sz="4" w:space="0" w:color="auto"/>
              <w:bottom w:val="nil"/>
              <w:right w:val="single" w:sz="12" w:space="0" w:color="auto"/>
            </w:tcBorders>
            <w:hideMark/>
          </w:tcPr>
          <w:p w14:paraId="4BCEAD45"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81%</w:t>
            </w:r>
          </w:p>
        </w:tc>
        <w:tc>
          <w:tcPr>
            <w:tcW w:w="1634" w:type="dxa"/>
            <w:tcBorders>
              <w:top w:val="nil"/>
              <w:left w:val="single" w:sz="12" w:space="0" w:color="auto"/>
              <w:bottom w:val="nil"/>
              <w:right w:val="single" w:sz="4" w:space="0" w:color="auto"/>
            </w:tcBorders>
            <w:hideMark/>
          </w:tcPr>
          <w:p w14:paraId="52DA1C30"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83%</w:t>
            </w:r>
          </w:p>
        </w:tc>
        <w:tc>
          <w:tcPr>
            <w:tcW w:w="1239" w:type="dxa"/>
            <w:tcBorders>
              <w:top w:val="nil"/>
              <w:left w:val="single" w:sz="4" w:space="0" w:color="auto"/>
              <w:bottom w:val="nil"/>
              <w:right w:val="single" w:sz="4" w:space="0" w:color="auto"/>
            </w:tcBorders>
            <w:hideMark/>
          </w:tcPr>
          <w:p w14:paraId="14783B67"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r>
      <w:tr w:rsidR="007C5479" w:rsidRPr="007C5479" w14:paraId="47061634" w14:textId="77777777" w:rsidTr="000A76E7">
        <w:tc>
          <w:tcPr>
            <w:tcW w:w="2930" w:type="dxa"/>
            <w:tcBorders>
              <w:top w:val="nil"/>
              <w:left w:val="single" w:sz="4" w:space="0" w:color="auto"/>
              <w:bottom w:val="single" w:sz="4" w:space="0" w:color="auto"/>
              <w:right w:val="single" w:sz="4" w:space="0" w:color="auto"/>
            </w:tcBorders>
            <w:vAlign w:val="center"/>
            <w:hideMark/>
          </w:tcPr>
          <w:p w14:paraId="7B211E9A" w14:textId="77777777" w:rsidR="007C5479" w:rsidRPr="007C5479" w:rsidRDefault="007C5479" w:rsidP="007C5479">
            <w:pPr>
              <w:spacing w:before="60" w:after="60" w:line="276" w:lineRule="auto"/>
              <w:ind w:left="162"/>
              <w:jc w:val="left"/>
              <w:rPr>
                <w:rFonts w:eastAsia="Calibri" w:cs="Arial"/>
                <w:sz w:val="16"/>
                <w:szCs w:val="16"/>
                <w:lang w:val="en-US"/>
              </w:rPr>
            </w:pPr>
            <w:r w:rsidRPr="007C5479">
              <w:rPr>
                <w:rFonts w:eastAsia="Calibri" w:cs="Arial"/>
                <w:sz w:val="16"/>
                <w:szCs w:val="16"/>
              </w:rPr>
              <w:t>Not Hispanic or Latino</w:t>
            </w:r>
          </w:p>
        </w:tc>
        <w:tc>
          <w:tcPr>
            <w:tcW w:w="1634" w:type="dxa"/>
            <w:tcBorders>
              <w:top w:val="nil"/>
              <w:left w:val="single" w:sz="4" w:space="0" w:color="auto"/>
              <w:bottom w:val="single" w:sz="4" w:space="0" w:color="auto"/>
              <w:right w:val="single" w:sz="4" w:space="0" w:color="auto"/>
            </w:tcBorders>
            <w:hideMark/>
          </w:tcPr>
          <w:p w14:paraId="40A00324"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82%</w:t>
            </w:r>
          </w:p>
        </w:tc>
        <w:tc>
          <w:tcPr>
            <w:tcW w:w="1635" w:type="dxa"/>
            <w:tcBorders>
              <w:top w:val="nil"/>
              <w:left w:val="single" w:sz="4" w:space="0" w:color="auto"/>
              <w:bottom w:val="single" w:sz="4" w:space="0" w:color="auto"/>
              <w:right w:val="single" w:sz="12" w:space="0" w:color="auto"/>
            </w:tcBorders>
            <w:hideMark/>
          </w:tcPr>
          <w:p w14:paraId="55A54608"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79%</w:t>
            </w:r>
          </w:p>
        </w:tc>
        <w:tc>
          <w:tcPr>
            <w:tcW w:w="1634" w:type="dxa"/>
            <w:tcBorders>
              <w:top w:val="nil"/>
              <w:left w:val="single" w:sz="12" w:space="0" w:color="auto"/>
              <w:bottom w:val="single" w:sz="4" w:space="0" w:color="auto"/>
              <w:right w:val="single" w:sz="4" w:space="0" w:color="auto"/>
            </w:tcBorders>
            <w:hideMark/>
          </w:tcPr>
          <w:p w14:paraId="407C8576"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85%</w:t>
            </w:r>
          </w:p>
        </w:tc>
        <w:tc>
          <w:tcPr>
            <w:tcW w:w="1239" w:type="dxa"/>
            <w:tcBorders>
              <w:top w:val="nil"/>
              <w:left w:val="single" w:sz="4" w:space="0" w:color="auto"/>
              <w:bottom w:val="single" w:sz="4" w:space="0" w:color="auto"/>
              <w:right w:val="single" w:sz="4" w:space="0" w:color="auto"/>
            </w:tcBorders>
            <w:hideMark/>
          </w:tcPr>
          <w:p w14:paraId="0418D092"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79%</w:t>
            </w:r>
          </w:p>
        </w:tc>
      </w:tr>
      <w:tr w:rsidR="007C5479" w:rsidRPr="007C5479" w14:paraId="6D307BA2" w14:textId="77777777" w:rsidTr="000A76E7">
        <w:tc>
          <w:tcPr>
            <w:tcW w:w="2930" w:type="dxa"/>
            <w:tcBorders>
              <w:top w:val="single" w:sz="4" w:space="0" w:color="auto"/>
              <w:left w:val="single" w:sz="4" w:space="0" w:color="auto"/>
              <w:bottom w:val="nil"/>
              <w:right w:val="single" w:sz="4" w:space="0" w:color="auto"/>
            </w:tcBorders>
            <w:vAlign w:val="center"/>
            <w:hideMark/>
          </w:tcPr>
          <w:p w14:paraId="4F8EA653" w14:textId="77777777" w:rsidR="007C5479" w:rsidRPr="007C5479" w:rsidRDefault="007C5479" w:rsidP="007C5479">
            <w:pPr>
              <w:widowControl w:val="0"/>
              <w:autoSpaceDE w:val="0"/>
              <w:autoSpaceDN w:val="0"/>
              <w:adjustRightInd w:val="0"/>
              <w:spacing w:before="60" w:after="60" w:line="276" w:lineRule="auto"/>
              <w:ind w:left="160" w:right="1" w:hanging="160"/>
              <w:jc w:val="left"/>
              <w:rPr>
                <w:rFonts w:eastAsia="Calibri" w:cs="Arial"/>
                <w:b/>
                <w:sz w:val="16"/>
                <w:szCs w:val="16"/>
                <w:lang w:val="en-US"/>
              </w:rPr>
            </w:pPr>
            <w:r w:rsidRPr="007C5479">
              <w:rPr>
                <w:rFonts w:eastAsia="Calibri" w:cs="Arial"/>
                <w:b/>
                <w:sz w:val="16"/>
                <w:szCs w:val="16"/>
              </w:rPr>
              <w:t>NRTI Background Therapy</w:t>
            </w:r>
          </w:p>
        </w:tc>
        <w:tc>
          <w:tcPr>
            <w:tcW w:w="1634" w:type="dxa"/>
            <w:tcBorders>
              <w:top w:val="single" w:sz="4" w:space="0" w:color="auto"/>
              <w:left w:val="single" w:sz="4" w:space="0" w:color="auto"/>
              <w:bottom w:val="nil"/>
              <w:right w:val="single" w:sz="4" w:space="0" w:color="auto"/>
            </w:tcBorders>
          </w:tcPr>
          <w:p w14:paraId="2E8FAB66" w14:textId="77777777" w:rsidR="007C5479" w:rsidRPr="007C5479" w:rsidRDefault="007C5479" w:rsidP="007C5479">
            <w:pPr>
              <w:spacing w:before="60" w:after="60" w:line="276" w:lineRule="auto"/>
              <w:jc w:val="center"/>
              <w:rPr>
                <w:rFonts w:eastAsia="Calibri" w:cs="Arial"/>
                <w:sz w:val="16"/>
                <w:szCs w:val="16"/>
                <w:lang w:val="en-US"/>
              </w:rPr>
            </w:pPr>
          </w:p>
        </w:tc>
        <w:tc>
          <w:tcPr>
            <w:tcW w:w="1635" w:type="dxa"/>
            <w:tcBorders>
              <w:top w:val="single" w:sz="4" w:space="0" w:color="auto"/>
              <w:left w:val="single" w:sz="4" w:space="0" w:color="auto"/>
              <w:bottom w:val="nil"/>
              <w:right w:val="single" w:sz="12" w:space="0" w:color="auto"/>
            </w:tcBorders>
          </w:tcPr>
          <w:p w14:paraId="58AF3B73" w14:textId="77777777" w:rsidR="007C5479" w:rsidRPr="007C5479" w:rsidRDefault="007C5479" w:rsidP="007C5479">
            <w:pPr>
              <w:spacing w:before="60" w:after="60" w:line="276" w:lineRule="auto"/>
              <w:jc w:val="center"/>
              <w:rPr>
                <w:rFonts w:eastAsia="Calibri" w:cs="Arial"/>
                <w:sz w:val="16"/>
                <w:szCs w:val="16"/>
                <w:lang w:val="en-US"/>
              </w:rPr>
            </w:pPr>
          </w:p>
        </w:tc>
        <w:tc>
          <w:tcPr>
            <w:tcW w:w="1634" w:type="dxa"/>
            <w:tcBorders>
              <w:top w:val="single" w:sz="4" w:space="0" w:color="auto"/>
              <w:left w:val="single" w:sz="12" w:space="0" w:color="auto"/>
              <w:bottom w:val="nil"/>
              <w:right w:val="single" w:sz="4" w:space="0" w:color="auto"/>
            </w:tcBorders>
          </w:tcPr>
          <w:p w14:paraId="55888AFC" w14:textId="77777777" w:rsidR="007C5479" w:rsidRPr="007C5479" w:rsidRDefault="007C5479" w:rsidP="007C5479">
            <w:pPr>
              <w:spacing w:before="60" w:after="60" w:line="276" w:lineRule="auto"/>
              <w:jc w:val="center"/>
              <w:rPr>
                <w:rFonts w:eastAsia="Calibri" w:cs="Arial"/>
                <w:sz w:val="16"/>
                <w:szCs w:val="16"/>
                <w:lang w:val="en-US"/>
              </w:rPr>
            </w:pPr>
          </w:p>
        </w:tc>
        <w:tc>
          <w:tcPr>
            <w:tcW w:w="1239" w:type="dxa"/>
            <w:tcBorders>
              <w:top w:val="single" w:sz="4" w:space="0" w:color="auto"/>
              <w:left w:val="single" w:sz="4" w:space="0" w:color="auto"/>
              <w:bottom w:val="nil"/>
              <w:right w:val="single" w:sz="4" w:space="0" w:color="auto"/>
            </w:tcBorders>
          </w:tcPr>
          <w:p w14:paraId="7248C813" w14:textId="77777777" w:rsidR="007C5479" w:rsidRPr="007C5479" w:rsidRDefault="007C5479" w:rsidP="007C5479">
            <w:pPr>
              <w:spacing w:before="60" w:after="60" w:line="276" w:lineRule="auto"/>
              <w:jc w:val="center"/>
              <w:rPr>
                <w:rFonts w:eastAsia="Calibri" w:cs="Arial"/>
                <w:sz w:val="16"/>
                <w:szCs w:val="16"/>
                <w:lang w:val="en-US"/>
              </w:rPr>
            </w:pPr>
          </w:p>
        </w:tc>
      </w:tr>
      <w:tr w:rsidR="007C5479" w:rsidRPr="007C5479" w14:paraId="467EF02E" w14:textId="77777777" w:rsidTr="000A76E7">
        <w:tc>
          <w:tcPr>
            <w:tcW w:w="2930" w:type="dxa"/>
            <w:tcBorders>
              <w:top w:val="nil"/>
              <w:left w:val="single" w:sz="4" w:space="0" w:color="auto"/>
              <w:bottom w:val="nil"/>
              <w:right w:val="single" w:sz="4" w:space="0" w:color="auto"/>
            </w:tcBorders>
            <w:vAlign w:val="center"/>
            <w:hideMark/>
          </w:tcPr>
          <w:p w14:paraId="7803E3EB"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FTC/TDF</w:t>
            </w:r>
          </w:p>
        </w:tc>
        <w:tc>
          <w:tcPr>
            <w:tcW w:w="1634" w:type="dxa"/>
            <w:tcBorders>
              <w:top w:val="nil"/>
              <w:left w:val="single" w:sz="4" w:space="0" w:color="auto"/>
              <w:bottom w:val="nil"/>
              <w:right w:val="single" w:sz="4" w:space="0" w:color="auto"/>
            </w:tcBorders>
            <w:hideMark/>
          </w:tcPr>
          <w:p w14:paraId="484BA821"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83%</w:t>
            </w:r>
          </w:p>
        </w:tc>
        <w:tc>
          <w:tcPr>
            <w:tcW w:w="1635" w:type="dxa"/>
            <w:tcBorders>
              <w:top w:val="nil"/>
              <w:left w:val="single" w:sz="4" w:space="0" w:color="auto"/>
              <w:bottom w:val="nil"/>
              <w:right w:val="single" w:sz="12" w:space="0" w:color="auto"/>
            </w:tcBorders>
            <w:hideMark/>
          </w:tcPr>
          <w:p w14:paraId="197DDA46"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81%</w:t>
            </w:r>
          </w:p>
        </w:tc>
        <w:tc>
          <w:tcPr>
            <w:tcW w:w="1634" w:type="dxa"/>
            <w:tcBorders>
              <w:top w:val="nil"/>
              <w:left w:val="single" w:sz="12" w:space="0" w:color="auto"/>
              <w:bottom w:val="nil"/>
              <w:right w:val="single" w:sz="4" w:space="0" w:color="auto"/>
            </w:tcBorders>
            <w:hideMark/>
          </w:tcPr>
          <w:p w14:paraId="0C2B7292"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w:t>
            </w:r>
          </w:p>
        </w:tc>
        <w:tc>
          <w:tcPr>
            <w:tcW w:w="1239" w:type="dxa"/>
            <w:tcBorders>
              <w:top w:val="nil"/>
              <w:left w:val="single" w:sz="4" w:space="0" w:color="auto"/>
              <w:bottom w:val="nil"/>
              <w:right w:val="single" w:sz="4" w:space="0" w:color="auto"/>
            </w:tcBorders>
            <w:hideMark/>
          </w:tcPr>
          <w:p w14:paraId="79D6F4EC"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w:t>
            </w:r>
          </w:p>
        </w:tc>
      </w:tr>
      <w:tr w:rsidR="007C5479" w:rsidRPr="007C5479" w14:paraId="7D8DBDF7" w14:textId="77777777" w:rsidTr="000A76E7">
        <w:tc>
          <w:tcPr>
            <w:tcW w:w="2930" w:type="dxa"/>
            <w:tcBorders>
              <w:top w:val="nil"/>
              <w:left w:val="single" w:sz="4" w:space="0" w:color="auto"/>
              <w:bottom w:val="single" w:sz="4" w:space="0" w:color="auto"/>
              <w:right w:val="single" w:sz="4" w:space="0" w:color="auto"/>
            </w:tcBorders>
            <w:vAlign w:val="center"/>
            <w:hideMark/>
          </w:tcPr>
          <w:p w14:paraId="0ED0E483"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ABC/3TC</w:t>
            </w:r>
          </w:p>
        </w:tc>
        <w:tc>
          <w:tcPr>
            <w:tcW w:w="1634" w:type="dxa"/>
            <w:tcBorders>
              <w:top w:val="nil"/>
              <w:left w:val="single" w:sz="4" w:space="0" w:color="auto"/>
              <w:bottom w:val="single" w:sz="4" w:space="0" w:color="auto"/>
              <w:right w:val="single" w:sz="4" w:space="0" w:color="auto"/>
            </w:tcBorders>
            <w:hideMark/>
          </w:tcPr>
          <w:p w14:paraId="7EDB3A38"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86%</w:t>
            </w:r>
          </w:p>
        </w:tc>
        <w:tc>
          <w:tcPr>
            <w:tcW w:w="1635" w:type="dxa"/>
            <w:tcBorders>
              <w:top w:val="nil"/>
              <w:left w:val="single" w:sz="4" w:space="0" w:color="auto"/>
              <w:bottom w:val="single" w:sz="4" w:space="0" w:color="auto"/>
              <w:right w:val="single" w:sz="12" w:space="0" w:color="auto"/>
            </w:tcBorders>
            <w:hideMark/>
          </w:tcPr>
          <w:p w14:paraId="3B55853C"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75%</w:t>
            </w:r>
          </w:p>
        </w:tc>
        <w:tc>
          <w:tcPr>
            <w:tcW w:w="1634" w:type="dxa"/>
            <w:tcBorders>
              <w:top w:val="nil"/>
              <w:left w:val="single" w:sz="12" w:space="0" w:color="auto"/>
              <w:bottom w:val="single" w:sz="4" w:space="0" w:color="auto"/>
              <w:right w:val="single" w:sz="4" w:space="0" w:color="auto"/>
            </w:tcBorders>
            <w:hideMark/>
          </w:tcPr>
          <w:p w14:paraId="5AE51142"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w:t>
            </w:r>
          </w:p>
        </w:tc>
        <w:tc>
          <w:tcPr>
            <w:tcW w:w="1239" w:type="dxa"/>
            <w:tcBorders>
              <w:top w:val="nil"/>
              <w:left w:val="single" w:sz="4" w:space="0" w:color="auto"/>
              <w:bottom w:val="single" w:sz="4" w:space="0" w:color="auto"/>
              <w:right w:val="single" w:sz="4" w:space="0" w:color="auto"/>
            </w:tcBorders>
            <w:hideMark/>
          </w:tcPr>
          <w:p w14:paraId="20D3EF3D"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w:t>
            </w:r>
          </w:p>
        </w:tc>
      </w:tr>
      <w:tr w:rsidR="007C5479" w:rsidRPr="007C5479" w14:paraId="1EE5CA04" w14:textId="77777777" w:rsidTr="000A76E7">
        <w:tc>
          <w:tcPr>
            <w:tcW w:w="2930" w:type="dxa"/>
            <w:tcBorders>
              <w:top w:val="single" w:sz="4" w:space="0" w:color="auto"/>
              <w:left w:val="single" w:sz="4" w:space="0" w:color="auto"/>
              <w:bottom w:val="nil"/>
              <w:right w:val="single" w:sz="4" w:space="0" w:color="auto"/>
            </w:tcBorders>
            <w:vAlign w:val="center"/>
            <w:hideMark/>
          </w:tcPr>
          <w:p w14:paraId="41BD9F85" w14:textId="77777777" w:rsidR="007C5479" w:rsidRPr="007C5479" w:rsidRDefault="007C5479" w:rsidP="007C5479">
            <w:pPr>
              <w:widowControl w:val="0"/>
              <w:autoSpaceDE w:val="0"/>
              <w:autoSpaceDN w:val="0"/>
              <w:adjustRightInd w:val="0"/>
              <w:spacing w:before="60" w:after="60" w:line="276" w:lineRule="auto"/>
              <w:ind w:left="160" w:right="1" w:hanging="160"/>
              <w:jc w:val="left"/>
              <w:rPr>
                <w:rFonts w:eastAsia="Calibri" w:cs="Arial"/>
                <w:b/>
                <w:sz w:val="16"/>
                <w:szCs w:val="16"/>
                <w:lang w:val="en-US"/>
              </w:rPr>
            </w:pPr>
            <w:r w:rsidRPr="007C5479">
              <w:rPr>
                <w:rFonts w:eastAsia="Calibri" w:cs="Arial"/>
                <w:b/>
                <w:sz w:val="16"/>
                <w:szCs w:val="16"/>
              </w:rPr>
              <w:t>Baseline HIV-1 RNA (copies/mL)</w:t>
            </w:r>
          </w:p>
        </w:tc>
        <w:tc>
          <w:tcPr>
            <w:tcW w:w="1634" w:type="dxa"/>
            <w:tcBorders>
              <w:top w:val="single" w:sz="4" w:space="0" w:color="auto"/>
              <w:left w:val="single" w:sz="4" w:space="0" w:color="auto"/>
              <w:bottom w:val="nil"/>
              <w:right w:val="single" w:sz="4" w:space="0" w:color="auto"/>
            </w:tcBorders>
          </w:tcPr>
          <w:p w14:paraId="229D95A6" w14:textId="77777777" w:rsidR="007C5479" w:rsidRPr="007C5479" w:rsidRDefault="007C5479" w:rsidP="007C5479">
            <w:pPr>
              <w:spacing w:before="60" w:after="60" w:line="276" w:lineRule="auto"/>
              <w:jc w:val="center"/>
              <w:rPr>
                <w:rFonts w:eastAsia="Calibri" w:cs="Arial"/>
                <w:sz w:val="16"/>
                <w:szCs w:val="16"/>
                <w:lang w:val="en-US"/>
              </w:rPr>
            </w:pPr>
          </w:p>
        </w:tc>
        <w:tc>
          <w:tcPr>
            <w:tcW w:w="1635" w:type="dxa"/>
            <w:tcBorders>
              <w:top w:val="single" w:sz="4" w:space="0" w:color="auto"/>
              <w:left w:val="single" w:sz="4" w:space="0" w:color="auto"/>
              <w:bottom w:val="nil"/>
              <w:right w:val="single" w:sz="12" w:space="0" w:color="auto"/>
            </w:tcBorders>
          </w:tcPr>
          <w:p w14:paraId="1282BD1A" w14:textId="77777777" w:rsidR="007C5479" w:rsidRPr="007C5479" w:rsidRDefault="007C5479" w:rsidP="007C5479">
            <w:pPr>
              <w:spacing w:before="60" w:after="60" w:line="276" w:lineRule="auto"/>
              <w:jc w:val="center"/>
              <w:rPr>
                <w:rFonts w:eastAsia="Calibri" w:cs="Arial"/>
                <w:sz w:val="16"/>
                <w:szCs w:val="16"/>
                <w:lang w:val="en-US"/>
              </w:rPr>
            </w:pPr>
          </w:p>
        </w:tc>
        <w:tc>
          <w:tcPr>
            <w:tcW w:w="1634" w:type="dxa"/>
            <w:tcBorders>
              <w:top w:val="single" w:sz="4" w:space="0" w:color="auto"/>
              <w:left w:val="single" w:sz="12" w:space="0" w:color="auto"/>
              <w:bottom w:val="nil"/>
              <w:right w:val="single" w:sz="4" w:space="0" w:color="auto"/>
            </w:tcBorders>
          </w:tcPr>
          <w:p w14:paraId="3C9D3FF9" w14:textId="77777777" w:rsidR="007C5479" w:rsidRPr="007C5479" w:rsidRDefault="007C5479" w:rsidP="007C5479">
            <w:pPr>
              <w:spacing w:before="60" w:after="60" w:line="276" w:lineRule="auto"/>
              <w:jc w:val="center"/>
              <w:rPr>
                <w:rFonts w:eastAsia="Calibri" w:cs="Arial"/>
                <w:sz w:val="16"/>
                <w:szCs w:val="16"/>
                <w:lang w:val="en-US"/>
              </w:rPr>
            </w:pPr>
          </w:p>
        </w:tc>
        <w:tc>
          <w:tcPr>
            <w:tcW w:w="1239" w:type="dxa"/>
            <w:tcBorders>
              <w:top w:val="single" w:sz="4" w:space="0" w:color="auto"/>
              <w:left w:val="single" w:sz="4" w:space="0" w:color="auto"/>
              <w:bottom w:val="nil"/>
              <w:right w:val="single" w:sz="4" w:space="0" w:color="auto"/>
            </w:tcBorders>
          </w:tcPr>
          <w:p w14:paraId="77AC0FC4" w14:textId="77777777" w:rsidR="007C5479" w:rsidRPr="007C5479" w:rsidRDefault="007C5479" w:rsidP="007C5479">
            <w:pPr>
              <w:spacing w:before="60" w:after="60" w:line="276" w:lineRule="auto"/>
              <w:jc w:val="center"/>
              <w:rPr>
                <w:rFonts w:eastAsia="Calibri" w:cs="Arial"/>
                <w:sz w:val="16"/>
                <w:szCs w:val="16"/>
                <w:lang w:val="en-US"/>
              </w:rPr>
            </w:pPr>
          </w:p>
        </w:tc>
      </w:tr>
      <w:tr w:rsidR="007C5479" w:rsidRPr="007C5479" w14:paraId="0A934603" w14:textId="77777777" w:rsidTr="000A76E7">
        <w:tc>
          <w:tcPr>
            <w:tcW w:w="2930" w:type="dxa"/>
            <w:tcBorders>
              <w:top w:val="nil"/>
              <w:left w:val="single" w:sz="4" w:space="0" w:color="auto"/>
              <w:bottom w:val="nil"/>
              <w:right w:val="single" w:sz="4" w:space="0" w:color="auto"/>
            </w:tcBorders>
            <w:vAlign w:val="center"/>
            <w:hideMark/>
          </w:tcPr>
          <w:p w14:paraId="7083C003"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≤100,000 copies/mL</w:t>
            </w:r>
          </w:p>
        </w:tc>
        <w:tc>
          <w:tcPr>
            <w:tcW w:w="1634" w:type="dxa"/>
            <w:tcBorders>
              <w:top w:val="nil"/>
              <w:left w:val="single" w:sz="4" w:space="0" w:color="auto"/>
              <w:bottom w:val="nil"/>
              <w:right w:val="single" w:sz="4" w:space="0" w:color="auto"/>
            </w:tcBorders>
            <w:hideMark/>
          </w:tcPr>
          <w:p w14:paraId="096A14A6"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86%</w:t>
            </w:r>
          </w:p>
        </w:tc>
        <w:tc>
          <w:tcPr>
            <w:tcW w:w="1635" w:type="dxa"/>
            <w:tcBorders>
              <w:top w:val="nil"/>
              <w:left w:val="single" w:sz="4" w:space="0" w:color="auto"/>
              <w:bottom w:val="nil"/>
              <w:right w:val="single" w:sz="12" w:space="0" w:color="auto"/>
            </w:tcBorders>
            <w:hideMark/>
          </w:tcPr>
          <w:p w14:paraId="45A6EAD0"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81%</w:t>
            </w:r>
          </w:p>
        </w:tc>
        <w:tc>
          <w:tcPr>
            <w:tcW w:w="1634" w:type="dxa"/>
            <w:tcBorders>
              <w:top w:val="nil"/>
              <w:left w:val="single" w:sz="12" w:space="0" w:color="auto"/>
              <w:bottom w:val="nil"/>
              <w:right w:val="single" w:sz="4" w:space="0" w:color="auto"/>
            </w:tcBorders>
            <w:hideMark/>
          </w:tcPr>
          <w:p w14:paraId="2F8B047B"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86%</w:t>
            </w:r>
          </w:p>
        </w:tc>
        <w:tc>
          <w:tcPr>
            <w:tcW w:w="1239" w:type="dxa"/>
            <w:tcBorders>
              <w:top w:val="nil"/>
              <w:left w:val="single" w:sz="4" w:space="0" w:color="auto"/>
              <w:bottom w:val="nil"/>
              <w:right w:val="single" w:sz="4" w:space="0" w:color="auto"/>
            </w:tcBorders>
            <w:hideMark/>
          </w:tcPr>
          <w:p w14:paraId="0337B123"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83%</w:t>
            </w:r>
          </w:p>
        </w:tc>
      </w:tr>
      <w:tr w:rsidR="007C5479" w:rsidRPr="007C5479" w14:paraId="1932DF60" w14:textId="77777777" w:rsidTr="000A76E7">
        <w:tc>
          <w:tcPr>
            <w:tcW w:w="2930" w:type="dxa"/>
            <w:tcBorders>
              <w:top w:val="nil"/>
              <w:left w:val="single" w:sz="4" w:space="0" w:color="auto"/>
              <w:bottom w:val="single" w:sz="4" w:space="0" w:color="auto"/>
              <w:right w:val="single" w:sz="4" w:space="0" w:color="auto"/>
            </w:tcBorders>
            <w:vAlign w:val="center"/>
            <w:hideMark/>
          </w:tcPr>
          <w:p w14:paraId="4EF1A0B5"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&gt;100,000 copies/mL</w:t>
            </w:r>
          </w:p>
        </w:tc>
        <w:tc>
          <w:tcPr>
            <w:tcW w:w="1634" w:type="dxa"/>
            <w:tcBorders>
              <w:top w:val="nil"/>
              <w:left w:val="single" w:sz="4" w:space="0" w:color="auto"/>
              <w:bottom w:val="single" w:sz="4" w:space="0" w:color="auto"/>
              <w:right w:val="single" w:sz="4" w:space="0" w:color="auto"/>
            </w:tcBorders>
            <w:hideMark/>
          </w:tcPr>
          <w:p w14:paraId="26AF1264"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77%</w:t>
            </w:r>
          </w:p>
        </w:tc>
        <w:tc>
          <w:tcPr>
            <w:tcW w:w="1635" w:type="dxa"/>
            <w:tcBorders>
              <w:top w:val="nil"/>
              <w:left w:val="single" w:sz="4" w:space="0" w:color="auto"/>
              <w:bottom w:val="single" w:sz="4" w:space="0" w:color="auto"/>
              <w:right w:val="single" w:sz="12" w:space="0" w:color="auto"/>
            </w:tcBorders>
            <w:hideMark/>
          </w:tcPr>
          <w:p w14:paraId="25615E4C"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74%</w:t>
            </w:r>
          </w:p>
        </w:tc>
        <w:tc>
          <w:tcPr>
            <w:tcW w:w="1634" w:type="dxa"/>
            <w:tcBorders>
              <w:top w:val="nil"/>
              <w:left w:val="single" w:sz="12" w:space="0" w:color="auto"/>
              <w:bottom w:val="single" w:sz="4" w:space="0" w:color="auto"/>
              <w:right w:val="single" w:sz="4" w:space="0" w:color="auto"/>
            </w:tcBorders>
            <w:hideMark/>
          </w:tcPr>
          <w:p w14:paraId="236B4687"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77%</w:t>
            </w:r>
          </w:p>
        </w:tc>
        <w:tc>
          <w:tcPr>
            <w:tcW w:w="1239" w:type="dxa"/>
            <w:tcBorders>
              <w:top w:val="nil"/>
              <w:left w:val="single" w:sz="4" w:space="0" w:color="auto"/>
              <w:bottom w:val="single" w:sz="4" w:space="0" w:color="auto"/>
              <w:right w:val="single" w:sz="4" w:space="0" w:color="auto"/>
            </w:tcBorders>
            <w:hideMark/>
          </w:tcPr>
          <w:p w14:paraId="657D765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72%</w:t>
            </w:r>
          </w:p>
        </w:tc>
      </w:tr>
      <w:tr w:rsidR="007C5479" w:rsidRPr="007C5479" w14:paraId="1465D9CA" w14:textId="77777777" w:rsidTr="000A76E7">
        <w:tc>
          <w:tcPr>
            <w:tcW w:w="2930" w:type="dxa"/>
            <w:tcBorders>
              <w:top w:val="single" w:sz="4" w:space="0" w:color="auto"/>
              <w:left w:val="single" w:sz="4" w:space="0" w:color="auto"/>
              <w:bottom w:val="nil"/>
              <w:right w:val="single" w:sz="4" w:space="0" w:color="auto"/>
            </w:tcBorders>
            <w:vAlign w:val="center"/>
            <w:hideMark/>
          </w:tcPr>
          <w:p w14:paraId="4FB01694" w14:textId="77777777" w:rsidR="007C5479" w:rsidRPr="007C5479" w:rsidRDefault="007C5479" w:rsidP="007C5479">
            <w:pPr>
              <w:widowControl w:val="0"/>
              <w:autoSpaceDE w:val="0"/>
              <w:autoSpaceDN w:val="0"/>
              <w:adjustRightInd w:val="0"/>
              <w:spacing w:before="60" w:after="60" w:line="276" w:lineRule="auto"/>
              <w:ind w:left="160" w:right="1" w:hanging="160"/>
              <w:jc w:val="left"/>
              <w:rPr>
                <w:rFonts w:eastAsia="Calibri" w:cs="Arial"/>
                <w:b/>
                <w:sz w:val="16"/>
                <w:szCs w:val="16"/>
                <w:lang w:val="en-US"/>
              </w:rPr>
            </w:pPr>
            <w:r w:rsidRPr="007C5479">
              <w:rPr>
                <w:rFonts w:eastAsia="Calibri" w:cs="Arial"/>
                <w:b/>
                <w:sz w:val="16"/>
                <w:szCs w:val="16"/>
              </w:rPr>
              <w:t>CD4+ T-cell Count (cells/mm</w:t>
            </w:r>
            <w:r w:rsidRPr="007C5479">
              <w:rPr>
                <w:rFonts w:eastAsia="Calibri" w:cs="Arial"/>
                <w:b/>
                <w:sz w:val="16"/>
                <w:szCs w:val="16"/>
                <w:vertAlign w:val="superscript"/>
              </w:rPr>
              <w:t>3</w:t>
            </w:r>
            <w:r w:rsidRPr="007C5479">
              <w:rPr>
                <w:rFonts w:eastAsia="Calibri" w:cs="Arial"/>
                <w:b/>
                <w:sz w:val="16"/>
                <w:szCs w:val="16"/>
              </w:rPr>
              <w:t>)</w:t>
            </w:r>
          </w:p>
        </w:tc>
        <w:tc>
          <w:tcPr>
            <w:tcW w:w="1634" w:type="dxa"/>
            <w:tcBorders>
              <w:top w:val="single" w:sz="4" w:space="0" w:color="auto"/>
              <w:left w:val="single" w:sz="4" w:space="0" w:color="auto"/>
              <w:bottom w:val="nil"/>
              <w:right w:val="single" w:sz="4" w:space="0" w:color="auto"/>
            </w:tcBorders>
          </w:tcPr>
          <w:p w14:paraId="315F0827" w14:textId="77777777" w:rsidR="007C5479" w:rsidRPr="007C5479" w:rsidRDefault="007C5479" w:rsidP="007C5479">
            <w:pPr>
              <w:spacing w:before="60" w:after="60" w:line="276" w:lineRule="auto"/>
              <w:jc w:val="center"/>
              <w:rPr>
                <w:rFonts w:eastAsia="Calibri" w:cs="Arial"/>
                <w:sz w:val="16"/>
                <w:szCs w:val="16"/>
                <w:lang w:val="en-US"/>
              </w:rPr>
            </w:pPr>
          </w:p>
        </w:tc>
        <w:tc>
          <w:tcPr>
            <w:tcW w:w="1635" w:type="dxa"/>
            <w:tcBorders>
              <w:top w:val="single" w:sz="4" w:space="0" w:color="auto"/>
              <w:left w:val="single" w:sz="4" w:space="0" w:color="auto"/>
              <w:bottom w:val="nil"/>
              <w:right w:val="single" w:sz="12" w:space="0" w:color="auto"/>
            </w:tcBorders>
          </w:tcPr>
          <w:p w14:paraId="25C89896" w14:textId="77777777" w:rsidR="007C5479" w:rsidRPr="007C5479" w:rsidRDefault="007C5479" w:rsidP="007C5479">
            <w:pPr>
              <w:spacing w:before="60" w:after="60" w:line="276" w:lineRule="auto"/>
              <w:jc w:val="center"/>
              <w:rPr>
                <w:rFonts w:eastAsia="Calibri" w:cs="Arial"/>
                <w:sz w:val="16"/>
                <w:szCs w:val="16"/>
                <w:lang w:val="en-US"/>
              </w:rPr>
            </w:pPr>
          </w:p>
        </w:tc>
        <w:tc>
          <w:tcPr>
            <w:tcW w:w="1634" w:type="dxa"/>
            <w:tcBorders>
              <w:top w:val="single" w:sz="4" w:space="0" w:color="auto"/>
              <w:left w:val="single" w:sz="12" w:space="0" w:color="auto"/>
              <w:bottom w:val="nil"/>
              <w:right w:val="single" w:sz="4" w:space="0" w:color="auto"/>
            </w:tcBorders>
          </w:tcPr>
          <w:p w14:paraId="1B9272DC" w14:textId="77777777" w:rsidR="007C5479" w:rsidRPr="007C5479" w:rsidRDefault="007C5479" w:rsidP="007C5479">
            <w:pPr>
              <w:spacing w:before="60" w:after="60" w:line="276" w:lineRule="auto"/>
              <w:jc w:val="center"/>
              <w:rPr>
                <w:rFonts w:eastAsia="Calibri" w:cs="Arial"/>
                <w:sz w:val="16"/>
                <w:szCs w:val="16"/>
                <w:lang w:val="en-US"/>
              </w:rPr>
            </w:pPr>
          </w:p>
        </w:tc>
        <w:tc>
          <w:tcPr>
            <w:tcW w:w="1239" w:type="dxa"/>
            <w:tcBorders>
              <w:top w:val="single" w:sz="4" w:space="0" w:color="auto"/>
              <w:left w:val="single" w:sz="4" w:space="0" w:color="auto"/>
              <w:bottom w:val="nil"/>
              <w:right w:val="single" w:sz="4" w:space="0" w:color="auto"/>
            </w:tcBorders>
          </w:tcPr>
          <w:p w14:paraId="5C4D1685" w14:textId="77777777" w:rsidR="007C5479" w:rsidRPr="007C5479" w:rsidRDefault="007C5479" w:rsidP="007C5479">
            <w:pPr>
              <w:spacing w:before="60" w:after="60" w:line="276" w:lineRule="auto"/>
              <w:jc w:val="center"/>
              <w:rPr>
                <w:rFonts w:eastAsia="Calibri" w:cs="Arial"/>
                <w:sz w:val="16"/>
                <w:szCs w:val="16"/>
                <w:lang w:val="en-US"/>
              </w:rPr>
            </w:pPr>
          </w:p>
        </w:tc>
      </w:tr>
      <w:tr w:rsidR="007C5479" w:rsidRPr="007C5479" w14:paraId="24C88A9F" w14:textId="77777777" w:rsidTr="000A76E7">
        <w:tc>
          <w:tcPr>
            <w:tcW w:w="2930" w:type="dxa"/>
            <w:tcBorders>
              <w:top w:val="nil"/>
              <w:left w:val="single" w:sz="4" w:space="0" w:color="auto"/>
              <w:bottom w:val="nil"/>
              <w:right w:val="single" w:sz="4" w:space="0" w:color="auto"/>
            </w:tcBorders>
            <w:vAlign w:val="center"/>
            <w:hideMark/>
          </w:tcPr>
          <w:p w14:paraId="2260DC52"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≤200 cells/mm3</w:t>
            </w:r>
          </w:p>
        </w:tc>
        <w:tc>
          <w:tcPr>
            <w:tcW w:w="1634" w:type="dxa"/>
            <w:tcBorders>
              <w:top w:val="nil"/>
              <w:left w:val="single" w:sz="4" w:space="0" w:color="auto"/>
              <w:bottom w:val="nil"/>
              <w:right w:val="single" w:sz="4" w:space="0" w:color="auto"/>
            </w:tcBorders>
            <w:hideMark/>
          </w:tcPr>
          <w:p w14:paraId="78F109A1"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81%</w:t>
            </w:r>
          </w:p>
        </w:tc>
        <w:tc>
          <w:tcPr>
            <w:tcW w:w="1635" w:type="dxa"/>
            <w:tcBorders>
              <w:top w:val="nil"/>
              <w:left w:val="single" w:sz="4" w:space="0" w:color="auto"/>
              <w:bottom w:val="nil"/>
              <w:right w:val="single" w:sz="12" w:space="0" w:color="auto"/>
            </w:tcBorders>
            <w:hideMark/>
          </w:tcPr>
          <w:p w14:paraId="520B6F81"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66%</w:t>
            </w:r>
          </w:p>
        </w:tc>
        <w:tc>
          <w:tcPr>
            <w:tcW w:w="1634" w:type="dxa"/>
            <w:tcBorders>
              <w:top w:val="nil"/>
              <w:left w:val="single" w:sz="12" w:space="0" w:color="auto"/>
              <w:bottom w:val="nil"/>
              <w:right w:val="single" w:sz="4" w:space="0" w:color="auto"/>
            </w:tcBorders>
            <w:hideMark/>
          </w:tcPr>
          <w:p w14:paraId="1BC19809"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66%</w:t>
            </w:r>
          </w:p>
        </w:tc>
        <w:tc>
          <w:tcPr>
            <w:tcW w:w="1239" w:type="dxa"/>
            <w:tcBorders>
              <w:top w:val="nil"/>
              <w:left w:val="single" w:sz="4" w:space="0" w:color="auto"/>
              <w:bottom w:val="nil"/>
              <w:right w:val="single" w:sz="4" w:space="0" w:color="auto"/>
            </w:tcBorders>
            <w:hideMark/>
          </w:tcPr>
          <w:p w14:paraId="6CF24185"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78%</w:t>
            </w:r>
          </w:p>
        </w:tc>
      </w:tr>
      <w:tr w:rsidR="007C5479" w:rsidRPr="007C5479" w14:paraId="304AF94A" w14:textId="77777777" w:rsidTr="000A76E7">
        <w:tc>
          <w:tcPr>
            <w:tcW w:w="2930" w:type="dxa"/>
            <w:tcBorders>
              <w:top w:val="nil"/>
              <w:left w:val="single" w:sz="4" w:space="0" w:color="auto"/>
              <w:bottom w:val="single" w:sz="4" w:space="0" w:color="auto"/>
              <w:right w:val="single" w:sz="4" w:space="0" w:color="auto"/>
            </w:tcBorders>
            <w:vAlign w:val="center"/>
            <w:hideMark/>
          </w:tcPr>
          <w:p w14:paraId="3C7AC09E"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&gt;200 cells/mm3</w:t>
            </w:r>
          </w:p>
        </w:tc>
        <w:tc>
          <w:tcPr>
            <w:tcW w:w="1634" w:type="dxa"/>
            <w:tcBorders>
              <w:top w:val="nil"/>
              <w:left w:val="single" w:sz="4" w:space="0" w:color="auto"/>
              <w:bottom w:val="single" w:sz="4" w:space="0" w:color="auto"/>
              <w:right w:val="single" w:sz="4" w:space="0" w:color="auto"/>
            </w:tcBorders>
            <w:hideMark/>
          </w:tcPr>
          <w:p w14:paraId="4C3C327B"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635" w:type="dxa"/>
            <w:tcBorders>
              <w:top w:val="nil"/>
              <w:left w:val="single" w:sz="4" w:space="0" w:color="auto"/>
              <w:bottom w:val="single" w:sz="4" w:space="0" w:color="auto"/>
              <w:right w:val="single" w:sz="12" w:space="0" w:color="auto"/>
            </w:tcBorders>
            <w:hideMark/>
          </w:tcPr>
          <w:p w14:paraId="3C6984A8"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83%</w:t>
            </w:r>
          </w:p>
        </w:tc>
        <w:tc>
          <w:tcPr>
            <w:tcW w:w="1634" w:type="dxa"/>
            <w:tcBorders>
              <w:top w:val="nil"/>
              <w:left w:val="single" w:sz="12" w:space="0" w:color="auto"/>
              <w:bottom w:val="single" w:sz="4" w:space="0" w:color="auto"/>
              <w:right w:val="single" w:sz="4" w:space="0" w:color="auto"/>
            </w:tcBorders>
            <w:hideMark/>
          </w:tcPr>
          <w:p w14:paraId="3712F10E"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87%</w:t>
            </w:r>
          </w:p>
        </w:tc>
        <w:tc>
          <w:tcPr>
            <w:tcW w:w="1239" w:type="dxa"/>
            <w:tcBorders>
              <w:top w:val="nil"/>
              <w:left w:val="single" w:sz="4" w:space="0" w:color="auto"/>
              <w:bottom w:val="single" w:sz="4" w:space="0" w:color="auto"/>
              <w:right w:val="single" w:sz="4" w:space="0" w:color="auto"/>
            </w:tcBorders>
            <w:hideMark/>
          </w:tcPr>
          <w:p w14:paraId="6CB67F9F"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81%</w:t>
            </w:r>
          </w:p>
        </w:tc>
      </w:tr>
      <w:tr w:rsidR="007C5479" w:rsidRPr="007C5479" w14:paraId="55A41B27" w14:textId="77777777" w:rsidTr="000A76E7">
        <w:tc>
          <w:tcPr>
            <w:tcW w:w="2930" w:type="dxa"/>
            <w:tcBorders>
              <w:top w:val="single" w:sz="4" w:space="0" w:color="auto"/>
              <w:left w:val="single" w:sz="4" w:space="0" w:color="auto"/>
              <w:bottom w:val="nil"/>
              <w:right w:val="single" w:sz="4" w:space="0" w:color="auto"/>
            </w:tcBorders>
            <w:vAlign w:val="center"/>
            <w:hideMark/>
          </w:tcPr>
          <w:p w14:paraId="474A4F65" w14:textId="77777777" w:rsidR="007C5479" w:rsidRPr="007C5479" w:rsidRDefault="007C5479" w:rsidP="007C5479">
            <w:pPr>
              <w:widowControl w:val="0"/>
              <w:autoSpaceDE w:val="0"/>
              <w:autoSpaceDN w:val="0"/>
              <w:adjustRightInd w:val="0"/>
              <w:spacing w:before="60" w:after="60" w:line="276" w:lineRule="auto"/>
              <w:ind w:left="160" w:right="1" w:hanging="160"/>
              <w:jc w:val="left"/>
              <w:rPr>
                <w:rFonts w:eastAsia="Calibri" w:cs="Arial"/>
                <w:b/>
                <w:sz w:val="16"/>
                <w:szCs w:val="16"/>
                <w:lang w:val="en-US"/>
              </w:rPr>
            </w:pPr>
            <w:r w:rsidRPr="007C5479">
              <w:rPr>
                <w:rFonts w:eastAsia="Calibri" w:cs="Arial"/>
                <w:b/>
                <w:sz w:val="16"/>
                <w:szCs w:val="16"/>
              </w:rPr>
              <w:t>Viral Subtype</w:t>
            </w:r>
          </w:p>
        </w:tc>
        <w:tc>
          <w:tcPr>
            <w:tcW w:w="1634" w:type="dxa"/>
            <w:tcBorders>
              <w:top w:val="single" w:sz="4" w:space="0" w:color="auto"/>
              <w:left w:val="single" w:sz="4" w:space="0" w:color="auto"/>
              <w:bottom w:val="nil"/>
              <w:right w:val="single" w:sz="4" w:space="0" w:color="auto"/>
            </w:tcBorders>
          </w:tcPr>
          <w:p w14:paraId="08D4A26C" w14:textId="77777777" w:rsidR="007C5479" w:rsidRPr="007C5479" w:rsidRDefault="007C5479" w:rsidP="007C5479">
            <w:pPr>
              <w:spacing w:before="60" w:after="60" w:line="276" w:lineRule="auto"/>
              <w:jc w:val="center"/>
              <w:rPr>
                <w:rFonts w:eastAsia="Calibri" w:cs="Arial"/>
                <w:sz w:val="16"/>
                <w:szCs w:val="16"/>
                <w:lang w:val="en-US"/>
              </w:rPr>
            </w:pPr>
          </w:p>
        </w:tc>
        <w:tc>
          <w:tcPr>
            <w:tcW w:w="1635" w:type="dxa"/>
            <w:tcBorders>
              <w:top w:val="single" w:sz="4" w:space="0" w:color="auto"/>
              <w:left w:val="single" w:sz="4" w:space="0" w:color="auto"/>
              <w:bottom w:val="nil"/>
              <w:right w:val="single" w:sz="12" w:space="0" w:color="auto"/>
            </w:tcBorders>
          </w:tcPr>
          <w:p w14:paraId="6067BCB5" w14:textId="77777777" w:rsidR="007C5479" w:rsidRPr="007C5479" w:rsidRDefault="007C5479" w:rsidP="007C5479">
            <w:pPr>
              <w:spacing w:before="60" w:after="60" w:line="276" w:lineRule="auto"/>
              <w:jc w:val="center"/>
              <w:rPr>
                <w:rFonts w:eastAsia="Calibri" w:cs="Arial"/>
                <w:sz w:val="16"/>
                <w:szCs w:val="16"/>
                <w:lang w:val="en-US"/>
              </w:rPr>
            </w:pPr>
          </w:p>
        </w:tc>
        <w:tc>
          <w:tcPr>
            <w:tcW w:w="1634" w:type="dxa"/>
            <w:tcBorders>
              <w:top w:val="single" w:sz="4" w:space="0" w:color="auto"/>
              <w:left w:val="single" w:sz="12" w:space="0" w:color="auto"/>
              <w:bottom w:val="nil"/>
              <w:right w:val="single" w:sz="4" w:space="0" w:color="auto"/>
            </w:tcBorders>
          </w:tcPr>
          <w:p w14:paraId="06BF63CB" w14:textId="77777777" w:rsidR="007C5479" w:rsidRPr="007C5479" w:rsidRDefault="007C5479" w:rsidP="007C5479">
            <w:pPr>
              <w:spacing w:before="60" w:after="60" w:line="276" w:lineRule="auto"/>
              <w:jc w:val="center"/>
              <w:rPr>
                <w:rFonts w:eastAsia="Calibri" w:cs="Arial"/>
                <w:sz w:val="16"/>
                <w:szCs w:val="16"/>
                <w:lang w:val="en-US"/>
              </w:rPr>
            </w:pPr>
          </w:p>
        </w:tc>
        <w:tc>
          <w:tcPr>
            <w:tcW w:w="1239" w:type="dxa"/>
            <w:tcBorders>
              <w:top w:val="single" w:sz="4" w:space="0" w:color="auto"/>
              <w:left w:val="single" w:sz="4" w:space="0" w:color="auto"/>
              <w:bottom w:val="nil"/>
              <w:right w:val="single" w:sz="4" w:space="0" w:color="auto"/>
            </w:tcBorders>
          </w:tcPr>
          <w:p w14:paraId="776415C5" w14:textId="77777777" w:rsidR="007C5479" w:rsidRPr="007C5479" w:rsidRDefault="007C5479" w:rsidP="007C5479">
            <w:pPr>
              <w:spacing w:before="60" w:after="60" w:line="276" w:lineRule="auto"/>
              <w:jc w:val="center"/>
              <w:rPr>
                <w:rFonts w:eastAsia="Calibri" w:cs="Arial"/>
                <w:sz w:val="16"/>
                <w:szCs w:val="16"/>
                <w:lang w:val="en-US"/>
              </w:rPr>
            </w:pPr>
          </w:p>
        </w:tc>
      </w:tr>
      <w:tr w:rsidR="007C5479" w:rsidRPr="007C5479" w14:paraId="0323898C" w14:textId="77777777" w:rsidTr="000A76E7">
        <w:tc>
          <w:tcPr>
            <w:tcW w:w="2930" w:type="dxa"/>
            <w:tcBorders>
              <w:top w:val="nil"/>
              <w:left w:val="single" w:sz="4" w:space="0" w:color="auto"/>
              <w:bottom w:val="nil"/>
              <w:right w:val="single" w:sz="4" w:space="0" w:color="auto"/>
            </w:tcBorders>
            <w:vAlign w:val="center"/>
            <w:hideMark/>
          </w:tcPr>
          <w:p w14:paraId="13B29949"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Subtype B</w:t>
            </w:r>
          </w:p>
        </w:tc>
        <w:tc>
          <w:tcPr>
            <w:tcW w:w="1634" w:type="dxa"/>
            <w:tcBorders>
              <w:top w:val="nil"/>
              <w:left w:val="single" w:sz="4" w:space="0" w:color="auto"/>
              <w:bottom w:val="nil"/>
              <w:right w:val="single" w:sz="4" w:space="0" w:color="auto"/>
            </w:tcBorders>
            <w:hideMark/>
          </w:tcPr>
          <w:p w14:paraId="45AF517F"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635" w:type="dxa"/>
            <w:tcBorders>
              <w:top w:val="nil"/>
              <w:left w:val="single" w:sz="4" w:space="0" w:color="auto"/>
              <w:bottom w:val="nil"/>
              <w:right w:val="single" w:sz="12" w:space="0" w:color="auto"/>
            </w:tcBorders>
            <w:hideMark/>
          </w:tcPr>
          <w:p w14:paraId="71D65604"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82%</w:t>
            </w:r>
          </w:p>
        </w:tc>
        <w:tc>
          <w:tcPr>
            <w:tcW w:w="1634" w:type="dxa"/>
            <w:tcBorders>
              <w:top w:val="nil"/>
              <w:left w:val="single" w:sz="12" w:space="0" w:color="auto"/>
              <w:bottom w:val="nil"/>
              <w:right w:val="single" w:sz="4" w:space="0" w:color="auto"/>
            </w:tcBorders>
            <w:hideMark/>
          </w:tcPr>
          <w:p w14:paraId="46AED256"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84%</w:t>
            </w:r>
          </w:p>
        </w:tc>
        <w:tc>
          <w:tcPr>
            <w:tcW w:w="1239" w:type="dxa"/>
            <w:tcBorders>
              <w:top w:val="nil"/>
              <w:left w:val="single" w:sz="4" w:space="0" w:color="auto"/>
              <w:bottom w:val="nil"/>
              <w:right w:val="single" w:sz="4" w:space="0" w:color="auto"/>
            </w:tcBorders>
            <w:hideMark/>
          </w:tcPr>
          <w:p w14:paraId="3BC802E3"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80%</w:t>
            </w:r>
          </w:p>
        </w:tc>
      </w:tr>
      <w:tr w:rsidR="007C5479" w:rsidRPr="007C5479" w14:paraId="6F3C9ED0" w14:textId="77777777" w:rsidTr="000A76E7">
        <w:tc>
          <w:tcPr>
            <w:tcW w:w="2930" w:type="dxa"/>
            <w:tcBorders>
              <w:top w:val="nil"/>
              <w:left w:val="single" w:sz="4" w:space="0" w:color="auto"/>
              <w:bottom w:val="single" w:sz="4" w:space="0" w:color="auto"/>
              <w:right w:val="single" w:sz="4" w:space="0" w:color="auto"/>
            </w:tcBorders>
            <w:vAlign w:val="center"/>
            <w:hideMark/>
          </w:tcPr>
          <w:p w14:paraId="0560737D" w14:textId="77777777" w:rsidR="007C5479" w:rsidRPr="007C5479" w:rsidRDefault="007C5479" w:rsidP="007C5479">
            <w:pPr>
              <w:widowControl w:val="0"/>
              <w:autoSpaceDE w:val="0"/>
              <w:autoSpaceDN w:val="0"/>
              <w:adjustRightInd w:val="0"/>
              <w:spacing w:before="60" w:after="60" w:line="276" w:lineRule="auto"/>
              <w:ind w:left="160" w:right="1" w:firstLine="2"/>
              <w:jc w:val="left"/>
              <w:rPr>
                <w:rFonts w:eastAsia="Calibri" w:cs="Arial"/>
                <w:sz w:val="16"/>
                <w:szCs w:val="16"/>
                <w:lang w:val="en-US"/>
              </w:rPr>
            </w:pPr>
            <w:r w:rsidRPr="007C5479">
              <w:rPr>
                <w:rFonts w:eastAsia="Calibri" w:cs="Arial"/>
                <w:sz w:val="16"/>
                <w:szCs w:val="16"/>
              </w:rPr>
              <w:t>Subtype Non-B</w:t>
            </w:r>
          </w:p>
        </w:tc>
        <w:tc>
          <w:tcPr>
            <w:tcW w:w="1634" w:type="dxa"/>
            <w:tcBorders>
              <w:top w:val="nil"/>
              <w:left w:val="single" w:sz="4" w:space="0" w:color="auto"/>
              <w:bottom w:val="single" w:sz="4" w:space="0" w:color="auto"/>
              <w:right w:val="single" w:sz="4" w:space="0" w:color="auto"/>
            </w:tcBorders>
            <w:hideMark/>
          </w:tcPr>
          <w:p w14:paraId="603B3BA8"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83%</w:t>
            </w:r>
          </w:p>
        </w:tc>
        <w:tc>
          <w:tcPr>
            <w:tcW w:w="1635" w:type="dxa"/>
            <w:tcBorders>
              <w:top w:val="nil"/>
              <w:left w:val="single" w:sz="4" w:space="0" w:color="auto"/>
              <w:bottom w:val="single" w:sz="4" w:space="0" w:color="auto"/>
              <w:right w:val="single" w:sz="12" w:space="0" w:color="auto"/>
            </w:tcBorders>
            <w:hideMark/>
          </w:tcPr>
          <w:p w14:paraId="5B6C842D"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76%</w:t>
            </w:r>
          </w:p>
        </w:tc>
        <w:tc>
          <w:tcPr>
            <w:tcW w:w="1634" w:type="dxa"/>
            <w:tcBorders>
              <w:top w:val="nil"/>
              <w:left w:val="single" w:sz="12" w:space="0" w:color="auto"/>
              <w:bottom w:val="single" w:sz="4" w:space="0" w:color="auto"/>
              <w:right w:val="single" w:sz="4" w:space="0" w:color="auto"/>
            </w:tcBorders>
            <w:hideMark/>
          </w:tcPr>
          <w:p w14:paraId="6D1796F9"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85%</w:t>
            </w:r>
          </w:p>
        </w:tc>
        <w:tc>
          <w:tcPr>
            <w:tcW w:w="1239" w:type="dxa"/>
            <w:tcBorders>
              <w:top w:val="nil"/>
              <w:left w:val="single" w:sz="4" w:space="0" w:color="auto"/>
              <w:bottom w:val="single" w:sz="4" w:space="0" w:color="auto"/>
              <w:right w:val="single" w:sz="4" w:space="0" w:color="auto"/>
            </w:tcBorders>
            <w:hideMark/>
          </w:tcPr>
          <w:p w14:paraId="3D07CC7D" w14:textId="77777777" w:rsidR="007C5479" w:rsidRPr="007C5479" w:rsidRDefault="007C5479" w:rsidP="007C5479">
            <w:pPr>
              <w:spacing w:before="60" w:after="60" w:line="276" w:lineRule="auto"/>
              <w:jc w:val="center"/>
              <w:rPr>
                <w:rFonts w:eastAsia="Calibri" w:cs="Arial"/>
                <w:sz w:val="16"/>
                <w:szCs w:val="16"/>
                <w:lang w:val="en-US"/>
              </w:rPr>
            </w:pPr>
            <w:r w:rsidRPr="007C5479">
              <w:rPr>
                <w:rFonts w:eastAsia="Calibri" w:cs="Arial"/>
                <w:sz w:val="16"/>
                <w:szCs w:val="16"/>
              </w:rPr>
              <w:t>83%</w:t>
            </w:r>
          </w:p>
        </w:tc>
      </w:tr>
      <w:tr w:rsidR="007C5479" w:rsidRPr="007C5479" w14:paraId="2C8629CC" w14:textId="77777777" w:rsidTr="000A76E7">
        <w:tc>
          <w:tcPr>
            <w:tcW w:w="9072" w:type="dxa"/>
            <w:gridSpan w:val="5"/>
            <w:tcBorders>
              <w:top w:val="single" w:sz="4" w:space="0" w:color="auto"/>
              <w:left w:val="single" w:sz="4" w:space="0" w:color="auto"/>
              <w:bottom w:val="single" w:sz="4" w:space="0" w:color="auto"/>
              <w:right w:val="single" w:sz="4" w:space="0" w:color="auto"/>
            </w:tcBorders>
            <w:vAlign w:val="center"/>
            <w:hideMark/>
          </w:tcPr>
          <w:p w14:paraId="03A595BD" w14:textId="77777777" w:rsidR="007C5479" w:rsidRPr="007C5479" w:rsidRDefault="007C5479" w:rsidP="007C5479">
            <w:pPr>
              <w:widowControl w:val="0"/>
              <w:autoSpaceDE w:val="0"/>
              <w:autoSpaceDN w:val="0"/>
              <w:adjustRightInd w:val="0"/>
              <w:spacing w:before="30" w:after="30" w:line="276" w:lineRule="auto"/>
              <w:ind w:left="-18" w:right="1"/>
              <w:jc w:val="left"/>
              <w:rPr>
                <w:rFonts w:eastAsia="Calibri" w:cs="Arial"/>
                <w:sz w:val="16"/>
                <w:szCs w:val="16"/>
                <w:lang w:val="en-US"/>
              </w:rPr>
            </w:pPr>
            <w:r w:rsidRPr="007C5479">
              <w:rPr>
                <w:rFonts w:eastAsia="Calibri" w:cs="Arial"/>
                <w:sz w:val="16"/>
                <w:szCs w:val="16"/>
              </w:rPr>
              <w:t>*The 95% CIs for the treatment differences were calculated using stratum-adjusted Mantel-</w:t>
            </w:r>
            <w:proofErr w:type="spellStart"/>
            <w:r w:rsidRPr="007C5479">
              <w:rPr>
                <w:rFonts w:eastAsia="Calibri" w:cs="Arial"/>
                <w:sz w:val="16"/>
                <w:szCs w:val="16"/>
              </w:rPr>
              <w:t>Haenszel</w:t>
            </w:r>
            <w:proofErr w:type="spellEnd"/>
            <w:r w:rsidRPr="007C5479">
              <w:rPr>
                <w:rFonts w:eastAsia="Calibri" w:cs="Arial"/>
                <w:sz w:val="16"/>
                <w:szCs w:val="16"/>
              </w:rPr>
              <w:t xml:space="preserve"> method.</w:t>
            </w:r>
          </w:p>
          <w:p w14:paraId="026E3706" w14:textId="77777777" w:rsidR="007C5479" w:rsidRPr="007C5479" w:rsidRDefault="007C5479" w:rsidP="007C5479">
            <w:pPr>
              <w:widowControl w:val="0"/>
              <w:autoSpaceDE w:val="0"/>
              <w:autoSpaceDN w:val="0"/>
              <w:adjustRightInd w:val="0"/>
              <w:spacing w:before="30" w:after="30" w:line="276" w:lineRule="auto"/>
              <w:ind w:right="1" w:hanging="18"/>
              <w:jc w:val="left"/>
              <w:rPr>
                <w:rFonts w:eastAsia="Calibri" w:cs="Arial"/>
                <w:sz w:val="16"/>
                <w:szCs w:val="16"/>
              </w:rPr>
            </w:pPr>
            <w:r w:rsidRPr="007C5479">
              <w:rPr>
                <w:rFonts w:eastAsia="Calibri" w:cs="Arial"/>
                <w:sz w:val="16"/>
                <w:szCs w:val="16"/>
                <w:vertAlign w:val="superscript"/>
              </w:rPr>
              <w:t>†</w:t>
            </w:r>
            <w:r w:rsidRPr="007C5479">
              <w:rPr>
                <w:rFonts w:eastAsia="Calibri" w:cs="Arial"/>
                <w:sz w:val="16"/>
                <w:szCs w:val="16"/>
              </w:rPr>
              <w:t>Includes subjects who discontinued study drug or study before Week 48 for lack or loss of efficacy and subjects with HIV-1 RNA equal to or above 50 copies/mL in the Week 48 window (relative day 295-378).</w:t>
            </w:r>
          </w:p>
          <w:p w14:paraId="59419FF8" w14:textId="77777777" w:rsidR="007C5479" w:rsidRPr="007C5479" w:rsidRDefault="007C5479" w:rsidP="007C5479">
            <w:pPr>
              <w:widowControl w:val="0"/>
              <w:autoSpaceDE w:val="0"/>
              <w:autoSpaceDN w:val="0"/>
              <w:adjustRightInd w:val="0"/>
              <w:spacing w:before="30" w:after="30" w:line="276" w:lineRule="auto"/>
              <w:ind w:right="1" w:hanging="18"/>
              <w:jc w:val="left"/>
              <w:rPr>
                <w:rFonts w:eastAsia="Calibri" w:cs="Arial"/>
                <w:sz w:val="16"/>
                <w:szCs w:val="16"/>
              </w:rPr>
            </w:pPr>
            <w:r w:rsidRPr="007C5479">
              <w:rPr>
                <w:rFonts w:eastAsia="Calibri" w:cs="Arial"/>
                <w:sz w:val="16"/>
                <w:szCs w:val="16"/>
                <w:vertAlign w:val="superscript"/>
              </w:rPr>
              <w:t>‡</w:t>
            </w:r>
            <w:r w:rsidRPr="007C5479">
              <w:rPr>
                <w:rFonts w:eastAsia="Calibri" w:cs="Arial"/>
                <w:sz w:val="16"/>
                <w:szCs w:val="16"/>
              </w:rPr>
              <w:t xml:space="preserve">Includes subjects who discontinued because of adverse event (AE) or death if this resulted in no </w:t>
            </w:r>
            <w:proofErr w:type="spellStart"/>
            <w:r w:rsidRPr="007C5479">
              <w:rPr>
                <w:rFonts w:eastAsia="Calibri" w:cs="Arial"/>
                <w:sz w:val="16"/>
                <w:szCs w:val="16"/>
              </w:rPr>
              <w:t>virologic</w:t>
            </w:r>
            <w:proofErr w:type="spellEnd"/>
            <w:r w:rsidRPr="007C5479">
              <w:rPr>
                <w:rFonts w:eastAsia="Calibri" w:cs="Arial"/>
                <w:sz w:val="16"/>
                <w:szCs w:val="16"/>
              </w:rPr>
              <w:t xml:space="preserve"> data in the Week 48 window.</w:t>
            </w:r>
          </w:p>
          <w:p w14:paraId="45A2CF2D" w14:textId="77777777" w:rsidR="007C5479" w:rsidRPr="007C5479" w:rsidRDefault="007C5479" w:rsidP="007C5479">
            <w:pPr>
              <w:widowControl w:val="0"/>
              <w:autoSpaceDE w:val="0"/>
              <w:autoSpaceDN w:val="0"/>
              <w:adjustRightInd w:val="0"/>
              <w:spacing w:before="30" w:after="30" w:line="276" w:lineRule="auto"/>
              <w:ind w:right="1" w:hanging="18"/>
              <w:jc w:val="left"/>
              <w:rPr>
                <w:rFonts w:eastAsia="Calibri" w:cs="Arial"/>
                <w:sz w:val="16"/>
                <w:szCs w:val="16"/>
              </w:rPr>
            </w:pPr>
            <w:r w:rsidRPr="007C5479">
              <w:rPr>
                <w:rFonts w:eastAsia="Calibri" w:cs="Arial"/>
                <w:sz w:val="16"/>
                <w:szCs w:val="16"/>
                <w:vertAlign w:val="superscript"/>
              </w:rPr>
              <w:t>§</w:t>
            </w:r>
            <w:r w:rsidRPr="007C5479">
              <w:rPr>
                <w:rFonts w:eastAsia="Calibri" w:cs="Arial"/>
                <w:sz w:val="16"/>
                <w:szCs w:val="16"/>
              </w:rPr>
              <w:t>Other Reasons include: lost to follow-up, non-compliance with study drug, physician decision, pregnancy, protocol deviation, screen failure, withdrawal by subject.</w:t>
            </w:r>
          </w:p>
          <w:p w14:paraId="11F2D947" w14:textId="77777777" w:rsidR="007C5479" w:rsidRPr="007C5479" w:rsidRDefault="007C5479" w:rsidP="007C5479">
            <w:pPr>
              <w:spacing w:before="60" w:after="60" w:line="276" w:lineRule="auto"/>
              <w:ind w:hanging="18"/>
              <w:jc w:val="left"/>
              <w:rPr>
                <w:rFonts w:eastAsia="Calibri" w:cs="Arial"/>
                <w:sz w:val="16"/>
                <w:szCs w:val="16"/>
                <w:lang w:val="en-US"/>
              </w:rPr>
            </w:pPr>
            <w:r w:rsidRPr="007C5479">
              <w:rPr>
                <w:rFonts w:eastAsia="Calibri" w:cs="Arial"/>
                <w:sz w:val="16"/>
                <w:szCs w:val="16"/>
              </w:rPr>
              <w:t>Note: NRTIs = FTC/3TC or ABC/3TC.</w:t>
            </w:r>
          </w:p>
        </w:tc>
      </w:tr>
    </w:tbl>
    <w:p w14:paraId="465A47B2" w14:textId="77777777" w:rsidR="007C5479" w:rsidRDefault="007C5479" w:rsidP="007C5479"/>
    <w:p w14:paraId="3E1272DB" w14:textId="4C1B5D8E" w:rsidR="007C5479" w:rsidRDefault="007C5479" w:rsidP="007C5479">
      <w:r>
        <w:t>P007 was a Phase 2b trial in antiretroviral treatment-naïve HIV-1 infected adult subjects (n=340). In Part I, subjects were randomized to receive one of 4 doses of doravirine-</w:t>
      </w:r>
      <w:r w:rsidR="00C54C73">
        <w:t>PIFELTRO</w:t>
      </w:r>
      <w:r>
        <w:t xml:space="preserve"> or EFV, each in combination with FTC/TDF. After Week 24, all subjects randomized to receive doravirine-</w:t>
      </w:r>
      <w:r w:rsidR="00C54C73">
        <w:t>PIFELTRO</w:t>
      </w:r>
      <w:r>
        <w:t xml:space="preserve"> were switched to (or maintained on) doravirine-</w:t>
      </w:r>
      <w:r w:rsidR="00DC5192">
        <w:t>PIFELTRO</w:t>
      </w:r>
      <w:r>
        <w:t xml:space="preserve"> 100 mg. Additional subjects were randomized in Part II to receive either doravirine-</w:t>
      </w:r>
      <w:r w:rsidR="00DC5192">
        <w:t>PIFELTRO</w:t>
      </w:r>
      <w:r>
        <w:t xml:space="preserve"> 100 mg or EFV, each in combination with FTC/TDF. In both parts of the trial, doravirine-</w:t>
      </w:r>
      <w:r w:rsidR="00DC5192">
        <w:t>PIFELTRO</w:t>
      </w:r>
      <w:r>
        <w:t xml:space="preserve"> and EFV were administered as blinded-therapy and FTC/TDF was administered open-label.</w:t>
      </w:r>
    </w:p>
    <w:p w14:paraId="31FE4902" w14:textId="637DC918" w:rsidR="007C5479" w:rsidRPr="007C5479" w:rsidRDefault="007C5479" w:rsidP="007C5479">
      <w:pPr>
        <w:rPr>
          <w:rFonts w:eastAsia="MS Mincho" w:cs="Times New Roman"/>
          <w:lang w:eastAsia="ja-JP"/>
        </w:rPr>
      </w:pPr>
      <w:r>
        <w:lastRenderedPageBreak/>
        <w:t>At Week 48, the proportion of subjects with HIV-1 RNA less than 50 copies/mL was 79% (85/108) and 82% (89/108) for doravirine-</w:t>
      </w:r>
      <w:r w:rsidR="00DC5192">
        <w:t>PIFELTRO</w:t>
      </w:r>
      <w:r>
        <w:t xml:space="preserve"> 100 mg and EFV, respectively (FDA Snapshot Approach). At Week 96, the proportion of subjects with HIV-1 RNA less than 50 copies/mL was 76% (82/108) and 76% (82/108) for doravirine-</w:t>
      </w:r>
      <w:r w:rsidR="00DC5192">
        <w:t>PIFELTRO</w:t>
      </w:r>
      <w:r>
        <w:t xml:space="preserve"> 100 mg and EFV, respectively. At Week 48, mean CD4+ T-cell counts in the doravirine-</w:t>
      </w:r>
      <w:r w:rsidR="00DC5192">
        <w:t>PIFELTRO</w:t>
      </w:r>
      <w:r>
        <w:t xml:space="preserve"> 100 mg and EFV groups increased from baseline by 192 and 195 cells/mm</w:t>
      </w:r>
      <w:r>
        <w:rPr>
          <w:vertAlign w:val="superscript"/>
        </w:rPr>
        <w:t>3</w:t>
      </w:r>
      <w:r>
        <w:t>, respectively. At Week 96, mean CD4+ T-cell counts in the doravirine-</w:t>
      </w:r>
      <w:r w:rsidR="00DC5192">
        <w:t>PIFELTRO</w:t>
      </w:r>
      <w:r>
        <w:t xml:space="preserve"> 100 mg and EFV groups increased from baseline by 259 and 264 cells/mm</w:t>
      </w:r>
      <w:r>
        <w:rPr>
          <w:vertAlign w:val="superscript"/>
        </w:rPr>
        <w:t>3</w:t>
      </w:r>
      <w:r>
        <w:t xml:space="preserve">, respectively. </w:t>
      </w:r>
    </w:p>
    <w:p w14:paraId="66A2610E" w14:textId="77777777" w:rsidR="00935DC2" w:rsidRPr="008246E7" w:rsidRDefault="003D3FCB" w:rsidP="00261C3B">
      <w:pPr>
        <w:pStyle w:val="Heading2"/>
        <w:rPr>
          <w:lang w:val="en-US"/>
        </w:rPr>
      </w:pPr>
      <w:r w:rsidRPr="008246E7">
        <w:t>Pharmacokinetic</w:t>
      </w:r>
      <w:r w:rsidRPr="008246E7">
        <w:rPr>
          <w:lang w:val="en-US"/>
        </w:rPr>
        <w:t xml:space="preserve"> properties </w:t>
      </w:r>
    </w:p>
    <w:p w14:paraId="2E8B4359" w14:textId="6B989A66" w:rsidR="006F760B" w:rsidRDefault="006F760B" w:rsidP="006F760B">
      <w:r>
        <w:t xml:space="preserve">Single-dose administration of one </w:t>
      </w:r>
      <w:r w:rsidR="00B836DC">
        <w:t>DELSTRIGO</w:t>
      </w:r>
      <w:r>
        <w:t xml:space="preserve"> tablet to healthy subjects (N=24) under fasted conditions provided comparable exposures of doravirine, lamivudine, and tenofovir to administration of doravirine tablets (100 mg) plus lamivudine tablets (300 mg) plus tenofovir DF tablets (300 mg).</w:t>
      </w:r>
    </w:p>
    <w:p w14:paraId="2FA38094" w14:textId="77777777" w:rsidR="006F760B" w:rsidRDefault="006F760B" w:rsidP="006F760B">
      <w:r w:rsidRPr="006A794D">
        <w:rPr>
          <w:i/>
        </w:rPr>
        <w:t>Doravirine</w:t>
      </w:r>
      <w:r w:rsidRPr="00015255">
        <w:t>:</w:t>
      </w:r>
      <w:r>
        <w:t xml:space="preserve"> The pharmacokinetics of doravirine were studied in healthy subjects and HIV-1-infected subjects. Doravirine pharmacokinetics are similar in healthy subjects and HIV-1-infected subjects. Steady state is generally achieved by Day 2 of once daily dosing, with accumulation ratios of 1.2 to 1.4 for AUC</w:t>
      </w:r>
      <w:r w:rsidRPr="00283FB6">
        <w:rPr>
          <w:vertAlign w:val="subscript"/>
        </w:rPr>
        <w:t>0-24</w:t>
      </w:r>
      <w:r>
        <w:t xml:space="preserve">, </w:t>
      </w:r>
      <w:proofErr w:type="spellStart"/>
      <w:r>
        <w:t>C</w:t>
      </w:r>
      <w:r w:rsidRPr="00283FB6">
        <w:rPr>
          <w:vertAlign w:val="subscript"/>
        </w:rPr>
        <w:t>max</w:t>
      </w:r>
      <w:proofErr w:type="spellEnd"/>
      <w:r>
        <w:t>, and C</w:t>
      </w:r>
      <w:r w:rsidRPr="00283FB6">
        <w:rPr>
          <w:vertAlign w:val="subscript"/>
        </w:rPr>
        <w:t>24</w:t>
      </w:r>
      <w:r>
        <w:t>. Doravirine steady state pharmacokinetics following administration of 100 mg once daily to HIV-1 infected subjects, based on a population pharmacokinetic analysis, are provided below.</w:t>
      </w:r>
    </w:p>
    <w:tbl>
      <w:tblPr>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18"/>
        <w:gridCol w:w="1939"/>
        <w:gridCol w:w="1640"/>
        <w:gridCol w:w="1491"/>
      </w:tblGrid>
      <w:tr w:rsidR="006F760B" w14:paraId="318F2B53" w14:textId="77777777" w:rsidTr="000A76E7">
        <w:trPr>
          <w:trHeight w:val="539"/>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2E88800A" w14:textId="77777777" w:rsidR="006F760B" w:rsidRPr="006063A0" w:rsidRDefault="006F760B" w:rsidP="000A76E7">
            <w:pPr>
              <w:pStyle w:val="BodyText1"/>
              <w:spacing w:before="0"/>
              <w:ind w:hanging="2"/>
              <w:rPr>
                <w:rFonts w:ascii="Arial" w:hAnsi="Arial" w:cs="Arial"/>
                <w:b/>
                <w:sz w:val="18"/>
                <w:szCs w:val="16"/>
              </w:rPr>
            </w:pPr>
            <w:r w:rsidRPr="006063A0">
              <w:rPr>
                <w:rFonts w:ascii="Arial" w:hAnsi="Arial" w:cs="Arial"/>
                <w:b/>
                <w:sz w:val="18"/>
                <w:szCs w:val="16"/>
              </w:rPr>
              <w:t>Parameter</w:t>
            </w:r>
          </w:p>
          <w:p w14:paraId="45A4C40B" w14:textId="77777777" w:rsidR="006F760B" w:rsidRPr="006063A0" w:rsidRDefault="006F760B" w:rsidP="000A76E7">
            <w:pPr>
              <w:pStyle w:val="BodyText1"/>
              <w:spacing w:before="0"/>
              <w:ind w:hanging="2"/>
              <w:rPr>
                <w:rFonts w:ascii="Arial" w:hAnsi="Arial" w:cs="Arial"/>
                <w:b/>
                <w:sz w:val="18"/>
                <w:szCs w:val="16"/>
              </w:rPr>
            </w:pPr>
            <w:r w:rsidRPr="006063A0">
              <w:rPr>
                <w:rFonts w:ascii="Arial" w:hAnsi="Arial" w:cs="Arial"/>
                <w:b/>
                <w:sz w:val="18"/>
                <w:szCs w:val="16"/>
              </w:rPr>
              <w:t>GM (%CV)</w:t>
            </w:r>
          </w:p>
        </w:tc>
        <w:tc>
          <w:tcPr>
            <w:tcW w:w="19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D01AD9D" w14:textId="77777777" w:rsidR="006F760B" w:rsidRPr="006063A0" w:rsidRDefault="006F760B" w:rsidP="000A76E7">
            <w:pPr>
              <w:pStyle w:val="BodyText1"/>
              <w:spacing w:before="0"/>
              <w:rPr>
                <w:rFonts w:ascii="Arial" w:hAnsi="Arial" w:cs="Arial"/>
                <w:b/>
                <w:sz w:val="18"/>
                <w:szCs w:val="16"/>
              </w:rPr>
            </w:pPr>
            <w:r w:rsidRPr="006063A0">
              <w:rPr>
                <w:rFonts w:ascii="Arial" w:hAnsi="Arial" w:cs="Arial"/>
                <w:b/>
                <w:sz w:val="18"/>
                <w:szCs w:val="16"/>
              </w:rPr>
              <w:t>AUC</w:t>
            </w:r>
            <w:r w:rsidRPr="006063A0">
              <w:rPr>
                <w:rFonts w:ascii="Arial" w:hAnsi="Arial" w:cs="Arial"/>
                <w:b/>
                <w:sz w:val="18"/>
                <w:szCs w:val="16"/>
                <w:vertAlign w:val="subscript"/>
              </w:rPr>
              <w:t xml:space="preserve">0-24 </w:t>
            </w:r>
          </w:p>
          <w:p w14:paraId="246E5526" w14:textId="77777777" w:rsidR="006F760B" w:rsidRPr="006063A0" w:rsidRDefault="006F760B" w:rsidP="000A76E7">
            <w:pPr>
              <w:pStyle w:val="BodyText1"/>
              <w:spacing w:before="0"/>
              <w:rPr>
                <w:rFonts w:ascii="Arial" w:hAnsi="Arial" w:cs="Arial"/>
                <w:b/>
                <w:sz w:val="18"/>
                <w:szCs w:val="16"/>
              </w:rPr>
            </w:pPr>
            <w:proofErr w:type="spellStart"/>
            <w:r w:rsidRPr="006063A0">
              <w:rPr>
                <w:rFonts w:ascii="Arial" w:hAnsi="Arial" w:cs="Arial"/>
                <w:b/>
                <w:sz w:val="18"/>
                <w:szCs w:val="16"/>
              </w:rPr>
              <w:t>μM</w:t>
            </w:r>
            <w:proofErr w:type="spellEnd"/>
            <w:r w:rsidRPr="006063A0">
              <w:rPr>
                <w:rFonts w:ascii="Arial" w:hAnsi="Arial" w:cs="Arial"/>
                <w:b/>
                <w:sz w:val="18"/>
                <w:szCs w:val="16"/>
              </w:rPr>
              <w:t xml:space="preserve"> </w:t>
            </w:r>
            <w:proofErr w:type="spellStart"/>
            <w:r w:rsidRPr="006063A0">
              <w:rPr>
                <w:rFonts w:ascii="Arial" w:hAnsi="Arial" w:cs="Arial"/>
                <w:b/>
                <w:sz w:val="18"/>
                <w:szCs w:val="16"/>
              </w:rPr>
              <w:t>hr</w:t>
            </w:r>
            <w:proofErr w:type="spellEnd"/>
          </w:p>
        </w:tc>
        <w:tc>
          <w:tcPr>
            <w:tcW w:w="16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C568F9" w14:textId="77777777" w:rsidR="006F760B" w:rsidRPr="006063A0" w:rsidRDefault="006F760B" w:rsidP="000A76E7">
            <w:pPr>
              <w:pStyle w:val="BodyText1"/>
              <w:spacing w:before="0"/>
              <w:rPr>
                <w:rFonts w:ascii="Arial" w:hAnsi="Arial" w:cs="Arial"/>
                <w:b/>
                <w:sz w:val="18"/>
                <w:szCs w:val="16"/>
              </w:rPr>
            </w:pPr>
            <w:proofErr w:type="spellStart"/>
            <w:r w:rsidRPr="006063A0">
              <w:rPr>
                <w:rFonts w:ascii="Arial" w:hAnsi="Arial" w:cs="Arial"/>
                <w:b/>
                <w:sz w:val="18"/>
                <w:szCs w:val="16"/>
              </w:rPr>
              <w:t>C</w:t>
            </w:r>
            <w:r w:rsidRPr="006063A0">
              <w:rPr>
                <w:rFonts w:ascii="Arial" w:hAnsi="Arial" w:cs="Arial"/>
                <w:b/>
                <w:sz w:val="18"/>
                <w:szCs w:val="16"/>
                <w:vertAlign w:val="subscript"/>
              </w:rPr>
              <w:t>max</w:t>
            </w:r>
            <w:proofErr w:type="spellEnd"/>
          </w:p>
          <w:p w14:paraId="2B58EDF4" w14:textId="77777777" w:rsidR="006F760B" w:rsidRPr="006063A0" w:rsidRDefault="006F760B" w:rsidP="000A76E7">
            <w:pPr>
              <w:pStyle w:val="BodyText1"/>
              <w:spacing w:before="0"/>
              <w:rPr>
                <w:rFonts w:ascii="Arial" w:hAnsi="Arial" w:cs="Arial"/>
                <w:b/>
                <w:sz w:val="18"/>
                <w:szCs w:val="16"/>
              </w:rPr>
            </w:pPr>
            <w:proofErr w:type="spellStart"/>
            <w:r w:rsidRPr="006063A0">
              <w:rPr>
                <w:rFonts w:ascii="Arial" w:hAnsi="Arial" w:cs="Arial"/>
                <w:b/>
                <w:sz w:val="18"/>
                <w:szCs w:val="16"/>
              </w:rPr>
              <w:t>μM</w:t>
            </w:r>
            <w:proofErr w:type="spellEnd"/>
          </w:p>
        </w:tc>
        <w:tc>
          <w:tcPr>
            <w:tcW w:w="149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AD66C9" w14:textId="77777777" w:rsidR="006F760B" w:rsidRPr="006063A0" w:rsidRDefault="006F760B" w:rsidP="000A76E7">
            <w:pPr>
              <w:pStyle w:val="BodyText1"/>
              <w:spacing w:before="0"/>
              <w:rPr>
                <w:rFonts w:ascii="Arial" w:hAnsi="Arial" w:cs="Arial"/>
                <w:b/>
                <w:sz w:val="18"/>
                <w:szCs w:val="16"/>
                <w:vertAlign w:val="subscript"/>
              </w:rPr>
            </w:pPr>
            <w:r w:rsidRPr="006063A0">
              <w:rPr>
                <w:rFonts w:ascii="Arial" w:hAnsi="Arial" w:cs="Arial"/>
                <w:b/>
                <w:sz w:val="18"/>
                <w:szCs w:val="16"/>
              </w:rPr>
              <w:t>C</w:t>
            </w:r>
            <w:r w:rsidRPr="006063A0">
              <w:rPr>
                <w:rFonts w:ascii="Arial" w:hAnsi="Arial" w:cs="Arial"/>
                <w:b/>
                <w:sz w:val="18"/>
                <w:szCs w:val="16"/>
                <w:vertAlign w:val="subscript"/>
              </w:rPr>
              <w:t>24</w:t>
            </w:r>
          </w:p>
          <w:p w14:paraId="504CE8E3" w14:textId="77777777" w:rsidR="006F760B" w:rsidRPr="006063A0" w:rsidRDefault="006F760B" w:rsidP="000A76E7">
            <w:pPr>
              <w:pStyle w:val="BodyText1"/>
              <w:spacing w:before="0"/>
              <w:rPr>
                <w:rFonts w:ascii="Arial" w:hAnsi="Arial" w:cs="Arial"/>
                <w:b/>
                <w:sz w:val="18"/>
                <w:szCs w:val="16"/>
              </w:rPr>
            </w:pPr>
            <w:proofErr w:type="spellStart"/>
            <w:r w:rsidRPr="006063A0">
              <w:rPr>
                <w:rFonts w:ascii="Arial" w:hAnsi="Arial" w:cs="Arial"/>
                <w:b/>
                <w:sz w:val="18"/>
                <w:szCs w:val="16"/>
              </w:rPr>
              <w:t>nM</w:t>
            </w:r>
            <w:proofErr w:type="spellEnd"/>
          </w:p>
        </w:tc>
      </w:tr>
      <w:tr w:rsidR="006F760B" w14:paraId="619AA5A7" w14:textId="77777777" w:rsidTr="000A76E7">
        <w:trPr>
          <w:trHeight w:val="539"/>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5C7DE757" w14:textId="77777777" w:rsidR="006F760B" w:rsidRPr="006063A0" w:rsidRDefault="006F760B" w:rsidP="000A76E7">
            <w:pPr>
              <w:pStyle w:val="BodyText1"/>
              <w:spacing w:before="0"/>
              <w:ind w:hanging="2"/>
              <w:rPr>
                <w:rFonts w:ascii="Arial" w:hAnsi="Arial" w:cs="Arial"/>
                <w:sz w:val="18"/>
                <w:szCs w:val="16"/>
              </w:rPr>
            </w:pPr>
            <w:r w:rsidRPr="006063A0">
              <w:rPr>
                <w:rFonts w:ascii="Arial" w:hAnsi="Arial" w:cs="Arial"/>
                <w:sz w:val="18"/>
                <w:szCs w:val="16"/>
              </w:rPr>
              <w:t xml:space="preserve">Doravirine </w:t>
            </w:r>
          </w:p>
          <w:p w14:paraId="6520ECCA" w14:textId="77777777" w:rsidR="006F760B" w:rsidRPr="006063A0" w:rsidRDefault="006F760B" w:rsidP="000A76E7">
            <w:pPr>
              <w:pStyle w:val="BodyText1"/>
              <w:spacing w:before="0"/>
              <w:ind w:hanging="2"/>
              <w:rPr>
                <w:rFonts w:ascii="Arial" w:hAnsi="Arial" w:cs="Arial"/>
                <w:sz w:val="18"/>
                <w:szCs w:val="16"/>
              </w:rPr>
            </w:pPr>
            <w:r w:rsidRPr="006063A0">
              <w:rPr>
                <w:rFonts w:ascii="Arial" w:hAnsi="Arial" w:cs="Arial"/>
                <w:sz w:val="18"/>
                <w:szCs w:val="16"/>
              </w:rPr>
              <w:t xml:space="preserve">100 mg </w:t>
            </w:r>
          </w:p>
          <w:p w14:paraId="3B28E8B6" w14:textId="77777777" w:rsidR="006F760B" w:rsidRPr="006063A0" w:rsidRDefault="006F760B" w:rsidP="000A76E7">
            <w:pPr>
              <w:pStyle w:val="BodyText1"/>
              <w:spacing w:before="0"/>
              <w:ind w:hanging="2"/>
              <w:rPr>
                <w:rFonts w:ascii="Arial" w:hAnsi="Arial" w:cs="Arial"/>
                <w:sz w:val="18"/>
                <w:szCs w:val="16"/>
              </w:rPr>
            </w:pPr>
            <w:r w:rsidRPr="006063A0">
              <w:rPr>
                <w:rFonts w:ascii="Arial" w:hAnsi="Arial" w:cs="Arial"/>
                <w:sz w:val="18"/>
                <w:szCs w:val="16"/>
              </w:rPr>
              <w:t>once daily</w:t>
            </w:r>
          </w:p>
        </w:tc>
        <w:tc>
          <w:tcPr>
            <w:tcW w:w="193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74541A" w14:textId="77777777" w:rsidR="006F760B" w:rsidRPr="006063A0" w:rsidRDefault="006F760B" w:rsidP="000A76E7">
            <w:pPr>
              <w:pStyle w:val="BodyText1"/>
              <w:spacing w:before="0"/>
              <w:rPr>
                <w:rFonts w:ascii="Arial" w:hAnsi="Arial" w:cs="Arial"/>
                <w:sz w:val="18"/>
                <w:szCs w:val="16"/>
              </w:rPr>
            </w:pPr>
            <w:r w:rsidRPr="006063A0">
              <w:rPr>
                <w:rFonts w:ascii="Arial" w:hAnsi="Arial" w:cs="Arial"/>
                <w:sz w:val="18"/>
                <w:szCs w:val="16"/>
              </w:rPr>
              <w:t>37.8 (29)</w:t>
            </w:r>
          </w:p>
        </w:tc>
        <w:tc>
          <w:tcPr>
            <w:tcW w:w="16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CB35F3" w14:textId="77777777" w:rsidR="006F760B" w:rsidRPr="006063A0" w:rsidRDefault="006F760B" w:rsidP="000A76E7">
            <w:pPr>
              <w:pStyle w:val="BodyText1"/>
              <w:spacing w:before="0"/>
              <w:rPr>
                <w:rFonts w:ascii="Arial" w:hAnsi="Arial" w:cs="Arial"/>
                <w:sz w:val="18"/>
                <w:szCs w:val="16"/>
              </w:rPr>
            </w:pPr>
            <w:r w:rsidRPr="006063A0">
              <w:rPr>
                <w:rFonts w:ascii="Arial" w:hAnsi="Arial" w:cs="Arial"/>
                <w:sz w:val="18"/>
                <w:szCs w:val="16"/>
              </w:rPr>
              <w:t>2.26 (19)</w:t>
            </w:r>
          </w:p>
        </w:tc>
        <w:tc>
          <w:tcPr>
            <w:tcW w:w="1491"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E17037" w14:textId="77777777" w:rsidR="006F760B" w:rsidRPr="006063A0" w:rsidRDefault="006F760B" w:rsidP="000A76E7">
            <w:pPr>
              <w:pStyle w:val="BodyText1"/>
              <w:spacing w:before="0"/>
              <w:rPr>
                <w:rFonts w:ascii="Arial" w:hAnsi="Arial" w:cs="Arial"/>
                <w:sz w:val="18"/>
                <w:szCs w:val="16"/>
              </w:rPr>
            </w:pPr>
            <w:r w:rsidRPr="006063A0">
              <w:rPr>
                <w:rFonts w:ascii="Arial" w:hAnsi="Arial" w:cs="Arial"/>
                <w:sz w:val="18"/>
                <w:szCs w:val="16"/>
              </w:rPr>
              <w:t>930 (63)</w:t>
            </w:r>
          </w:p>
        </w:tc>
      </w:tr>
      <w:tr w:rsidR="006F760B" w14:paraId="0022DC9E" w14:textId="77777777" w:rsidTr="000A76E7">
        <w:trPr>
          <w:trHeight w:val="54"/>
          <w:jc w:val="center"/>
        </w:trPr>
        <w:tc>
          <w:tcPr>
            <w:tcW w:w="6588" w:type="dxa"/>
            <w:gridSpan w:val="4"/>
            <w:tcBorders>
              <w:top w:val="single" w:sz="4" w:space="0" w:color="auto"/>
              <w:left w:val="single" w:sz="4" w:space="0" w:color="auto"/>
              <w:bottom w:val="single" w:sz="4" w:space="0" w:color="auto"/>
              <w:right w:val="single" w:sz="4" w:space="0" w:color="auto"/>
            </w:tcBorders>
            <w:vAlign w:val="center"/>
            <w:hideMark/>
          </w:tcPr>
          <w:p w14:paraId="04D1CFF0" w14:textId="77777777" w:rsidR="006F760B" w:rsidRDefault="006F760B" w:rsidP="000A76E7">
            <w:pPr>
              <w:pStyle w:val="BodyText1"/>
              <w:spacing w:before="0"/>
              <w:ind w:hanging="2"/>
              <w:rPr>
                <w:rFonts w:ascii="Arial" w:hAnsi="Arial" w:cs="Arial"/>
                <w:sz w:val="20"/>
                <w:szCs w:val="20"/>
              </w:rPr>
            </w:pPr>
            <w:r>
              <w:rPr>
                <w:rFonts w:ascii="Arial" w:hAnsi="Arial" w:cs="Arial"/>
                <w:sz w:val="20"/>
                <w:szCs w:val="20"/>
              </w:rPr>
              <w:t>GM: geometric mean, %CV: Geometric coefficient of variation</w:t>
            </w:r>
          </w:p>
        </w:tc>
      </w:tr>
    </w:tbl>
    <w:p w14:paraId="5476563D" w14:textId="77777777" w:rsidR="006F760B" w:rsidRDefault="006F760B" w:rsidP="006F760B"/>
    <w:p w14:paraId="7E723B9C" w14:textId="389FC816" w:rsidR="00935DC2" w:rsidRDefault="003D3FCB" w:rsidP="00271648">
      <w:pPr>
        <w:pStyle w:val="Heading3"/>
      </w:pPr>
      <w:r w:rsidRPr="00A13398">
        <w:t>Absorption</w:t>
      </w:r>
    </w:p>
    <w:p w14:paraId="22EB2BD4" w14:textId="2B2FC5B5" w:rsidR="00AE527C" w:rsidRPr="00A13398" w:rsidRDefault="006F760B" w:rsidP="00AE527C">
      <w:r>
        <w:t>Following oral dosing, peak plasma concentrations are achieved 2 hours after dosing. Doravirine has an absolute bioavailability of approximately 64% for the 100 mg tablet.</w:t>
      </w:r>
    </w:p>
    <w:p w14:paraId="0099AE0E" w14:textId="77777777" w:rsidR="00935DC2" w:rsidRDefault="003D3FCB" w:rsidP="00271648">
      <w:pPr>
        <w:pStyle w:val="Heading3"/>
      </w:pPr>
      <w:r w:rsidRPr="00A13398">
        <w:t>Distribution</w:t>
      </w:r>
    </w:p>
    <w:p w14:paraId="0253EF0E" w14:textId="6C1A6FAE" w:rsidR="00A83797" w:rsidRDefault="006F760B" w:rsidP="00A83797">
      <w:r>
        <w:t xml:space="preserve">Based on administration of an IV </w:t>
      </w:r>
      <w:proofErr w:type="spellStart"/>
      <w:r>
        <w:t>microdose</w:t>
      </w:r>
      <w:proofErr w:type="spellEnd"/>
      <w:r>
        <w:t>, the volume of distribution of doravirine is 60.5 L. Doravirine is approximately 76% bound to plasma proteins.</w:t>
      </w:r>
    </w:p>
    <w:p w14:paraId="5F88BB67" w14:textId="77777777" w:rsidR="00935DC2" w:rsidRDefault="003D3FCB" w:rsidP="00271648">
      <w:pPr>
        <w:pStyle w:val="Heading3"/>
      </w:pPr>
      <w:r w:rsidRPr="00A13398">
        <w:t>Metabolism</w:t>
      </w:r>
    </w:p>
    <w:p w14:paraId="36915F5F" w14:textId="1D2EB660" w:rsidR="00AE527C" w:rsidRPr="00A13398" w:rsidRDefault="006F760B" w:rsidP="00AE527C">
      <w:r>
        <w:t xml:space="preserve">Based on </w:t>
      </w:r>
      <w:r w:rsidRPr="00273403">
        <w:rPr>
          <w:i/>
        </w:rPr>
        <w:t>in vitro</w:t>
      </w:r>
      <w:r>
        <w:t xml:space="preserve"> data, doravirine is primarily metabolised by CYP3A.</w:t>
      </w:r>
    </w:p>
    <w:p w14:paraId="20F7999D" w14:textId="77777777" w:rsidR="00935DC2" w:rsidRDefault="003D3FCB" w:rsidP="00271648">
      <w:pPr>
        <w:pStyle w:val="Heading3"/>
      </w:pPr>
      <w:r w:rsidRPr="00A13398">
        <w:t>Excretion</w:t>
      </w:r>
    </w:p>
    <w:p w14:paraId="5ABDBDF2" w14:textId="650F7C17" w:rsidR="006F760B" w:rsidRDefault="006F760B" w:rsidP="006F760B">
      <w:r w:rsidRPr="006F760B">
        <w:rPr>
          <w:i/>
        </w:rPr>
        <w:t>Doravirine:</w:t>
      </w:r>
      <w:r>
        <w:t xml:space="preserve"> Doravirine has a terminal half-life (t</w:t>
      </w:r>
      <w:r w:rsidRPr="00283FB6">
        <w:rPr>
          <w:vertAlign w:val="subscript"/>
        </w:rPr>
        <w:t>1/2</w:t>
      </w:r>
      <w:r>
        <w:t>) of approximately 15 hours. Doravirine is primarily eliminated via oxidative metabolism. Excretion of unchanged drug via urinary excretion is minor. Biliary excretion of unchanged drug is not expected to be significant.</w:t>
      </w:r>
    </w:p>
    <w:p w14:paraId="3C2CE134" w14:textId="77777777" w:rsidR="006F760B" w:rsidRDefault="006F760B" w:rsidP="006F760B">
      <w:r w:rsidRPr="006A794D">
        <w:rPr>
          <w:i/>
        </w:rPr>
        <w:t>Lamivudine</w:t>
      </w:r>
      <w:r w:rsidRPr="00015255">
        <w:t>:</w:t>
      </w:r>
      <w:r>
        <w:t xml:space="preserve"> Following oral administration, lamivudine is rapidly absorbed and extensively distributed. After multiple-dose oral administration of lamivudine 300 mg once daily for 7 days to 60 healthy subjects, steady-state </w:t>
      </w:r>
      <w:proofErr w:type="spellStart"/>
      <w:r>
        <w:t>C</w:t>
      </w:r>
      <w:r w:rsidRPr="00283FB6">
        <w:rPr>
          <w:vertAlign w:val="subscript"/>
        </w:rPr>
        <w:t>max</w:t>
      </w:r>
      <w:proofErr w:type="spellEnd"/>
      <w:r>
        <w:t xml:space="preserve"> (</w:t>
      </w:r>
      <w:proofErr w:type="spellStart"/>
      <w:r>
        <w:t>C</w:t>
      </w:r>
      <w:r w:rsidRPr="00283FB6">
        <w:rPr>
          <w:vertAlign w:val="subscript"/>
        </w:rPr>
        <w:t>max,ss</w:t>
      </w:r>
      <w:proofErr w:type="spellEnd"/>
      <w:r>
        <w:t>) was 2.04 ± 0.54 mcg per mL (mean ± SD) and the 24-hour steady-state AUC (AUC</w:t>
      </w:r>
      <w:r w:rsidRPr="00283FB6">
        <w:rPr>
          <w:vertAlign w:val="subscript"/>
        </w:rPr>
        <w:t>24,ss</w:t>
      </w:r>
      <w:r>
        <w:t xml:space="preserve">) was 8.87 ± 1.83 </w:t>
      </w:r>
      <w:proofErr w:type="spellStart"/>
      <w:r>
        <w:t>mcg•hour</w:t>
      </w:r>
      <w:proofErr w:type="spellEnd"/>
      <w:r>
        <w:t xml:space="preserve"> per </w:t>
      </w:r>
      <w:proofErr w:type="spellStart"/>
      <w:r>
        <w:t>mL.</w:t>
      </w:r>
      <w:proofErr w:type="spellEnd"/>
      <w:r>
        <w:t xml:space="preserve"> Binding to plasma protein is low. Approximately 70% of an intravenous dose of lamivudine is recovered as unchanged drug in the urine. Metabolism of lamivudine is a minor route of elimination. In humans, the only known metabolite is the trans-sulfoxide metabolite </w:t>
      </w:r>
      <w:r>
        <w:lastRenderedPageBreak/>
        <w:t>(approximately 5% of an oral dose after 12 hours). In most single-dose trials in HIV-1–infected subjects, HBV-infected subjects, or healthy subjects with serum sampling for 24 hours after dosing, the observed mean elimination half-life (t</w:t>
      </w:r>
      <w:r w:rsidRPr="00283FB6">
        <w:rPr>
          <w:vertAlign w:val="subscript"/>
        </w:rPr>
        <w:t>½</w:t>
      </w:r>
      <w:r>
        <w:t>) ranged from 5 to 7 hours. In HIV-1–infected subjects, total clearance was 398.5 ± 69.1 mL per min (mean ± SD).</w:t>
      </w:r>
    </w:p>
    <w:p w14:paraId="02049502" w14:textId="41D01AD0" w:rsidR="00AE527C" w:rsidRPr="00A13398" w:rsidRDefault="006F760B" w:rsidP="00AE527C">
      <w:r w:rsidRPr="006A794D">
        <w:rPr>
          <w:i/>
        </w:rPr>
        <w:t>Tenofovir DF</w:t>
      </w:r>
      <w:r w:rsidRPr="00015255">
        <w:t>:</w:t>
      </w:r>
      <w:r>
        <w:t xml:space="preserve"> Following oral administration of a single 300 mg dose of tenofovir DF to HIV-1-infected subjects in the fasted state, </w:t>
      </w:r>
      <w:proofErr w:type="spellStart"/>
      <w:r>
        <w:t>C</w:t>
      </w:r>
      <w:r w:rsidRPr="00283FB6">
        <w:rPr>
          <w:vertAlign w:val="subscript"/>
        </w:rPr>
        <w:t>max</w:t>
      </w:r>
      <w:proofErr w:type="spellEnd"/>
      <w:r>
        <w:t xml:space="preserve"> was achieved in one hour. </w:t>
      </w:r>
      <w:proofErr w:type="spellStart"/>
      <w:r>
        <w:t>C</w:t>
      </w:r>
      <w:r w:rsidRPr="00283FB6">
        <w:rPr>
          <w:vertAlign w:val="subscript"/>
        </w:rPr>
        <w:t>max</w:t>
      </w:r>
      <w:proofErr w:type="spellEnd"/>
      <w:r>
        <w:t xml:space="preserve"> and AUC values were 0.30 ± 0.09 µg per mL and 2.29 ± 0.69 µ</w:t>
      </w:r>
      <w:proofErr w:type="spellStart"/>
      <w:r>
        <w:t>g•hr</w:t>
      </w:r>
      <w:proofErr w:type="spellEnd"/>
      <w:r>
        <w:t xml:space="preserve"> per mL, respectively. The oral bioavailability of tenofovir from tenofovir DF in fasted subjects is approximately 25%. Less than 0.7% of tenofovir binds to human plasma proteins </w:t>
      </w:r>
      <w:r w:rsidRPr="00273403">
        <w:rPr>
          <w:i/>
        </w:rPr>
        <w:t>in vitro</w:t>
      </w:r>
      <w:r>
        <w:t xml:space="preserve"> over the range of 0.01 to 25 µg per </w:t>
      </w:r>
      <w:proofErr w:type="spellStart"/>
      <w:r>
        <w:t>mL.</w:t>
      </w:r>
      <w:proofErr w:type="spellEnd"/>
      <w:r>
        <w:t xml:space="preserve"> Approximately 70-80% of the intravenous dose of tenofovir is recovered as unchanged drug in the urine within 72 hours of dosing. Tenofovir is eliminated by a combination of glomerular filtration and active tubular secretion with a renal clearance in adults with creatinine clearance greater than 80 mL per minute of 243.5 ± 33.3 mL per minute (mean ± SD). Following a single oral dose, the terminal elimination half-life of tenofovir is approximately 17 hours.</w:t>
      </w:r>
    </w:p>
    <w:p w14:paraId="6C5E5E47" w14:textId="77777777" w:rsidR="00E17D05" w:rsidRDefault="00E17D05" w:rsidP="00E17D05">
      <w:pPr>
        <w:pStyle w:val="Heading3"/>
      </w:pPr>
      <w:r>
        <w:t>Effect of Food on Oral Absorption</w:t>
      </w:r>
    </w:p>
    <w:p w14:paraId="14B289EF" w14:textId="58681E7C" w:rsidR="00E17D05" w:rsidRDefault="006F760B" w:rsidP="00E17D05">
      <w:r w:rsidRPr="00920F90">
        <w:t xml:space="preserve">The administration of a single </w:t>
      </w:r>
      <w:r w:rsidR="00B836DC">
        <w:t>DELSTRIGO</w:t>
      </w:r>
      <w:r w:rsidRPr="00920F90">
        <w:t xml:space="preserve"> tablet with a high-fat meal to healthy subjects resulted in a 26% increase in doravirine C</w:t>
      </w:r>
      <w:r w:rsidRPr="00085BFB">
        <w:rPr>
          <w:vertAlign w:val="subscript"/>
        </w:rPr>
        <w:t>24</w:t>
      </w:r>
      <w:r w:rsidRPr="00920F90">
        <w:t xml:space="preserve">, while AUC and </w:t>
      </w:r>
      <w:proofErr w:type="spellStart"/>
      <w:r w:rsidRPr="00920F90">
        <w:t>C</w:t>
      </w:r>
      <w:r w:rsidRPr="00085BFB">
        <w:rPr>
          <w:vertAlign w:val="subscript"/>
        </w:rPr>
        <w:t>max</w:t>
      </w:r>
      <w:proofErr w:type="spellEnd"/>
      <w:r w:rsidRPr="00920F90">
        <w:t xml:space="preserve"> were not significantly affected. Lamivudine </w:t>
      </w:r>
      <w:proofErr w:type="spellStart"/>
      <w:r w:rsidRPr="00920F90">
        <w:t>C</w:t>
      </w:r>
      <w:r w:rsidRPr="00F57E8B">
        <w:rPr>
          <w:vertAlign w:val="subscript"/>
        </w:rPr>
        <w:t>max</w:t>
      </w:r>
      <w:proofErr w:type="spellEnd"/>
      <w:r w:rsidRPr="00920F90">
        <w:t xml:space="preserve"> decreased by 19% with a high fat meal, while AUC was not significantly affected. Tenofovir </w:t>
      </w:r>
      <w:proofErr w:type="spellStart"/>
      <w:r w:rsidRPr="00920F90">
        <w:t>C</w:t>
      </w:r>
      <w:r w:rsidRPr="00085BFB">
        <w:rPr>
          <w:vertAlign w:val="subscript"/>
        </w:rPr>
        <w:t>max</w:t>
      </w:r>
      <w:proofErr w:type="spellEnd"/>
      <w:r w:rsidRPr="00920F90">
        <w:t xml:space="preserve"> decreased by 12% and AUC increased by 27% with a high fat </w:t>
      </w:r>
      <w:r w:rsidR="009E597C" w:rsidRPr="00920F90">
        <w:t>meal. These</w:t>
      </w:r>
      <w:r w:rsidRPr="00920F90">
        <w:t xml:space="preserve"> differences in pharmacokineti</w:t>
      </w:r>
      <w:r>
        <w:t>cs are not clinically relevant.</w:t>
      </w:r>
    </w:p>
    <w:p w14:paraId="3140F839" w14:textId="71C7D73B" w:rsidR="00935DC2" w:rsidRDefault="003D3FCB" w:rsidP="009D48FB">
      <w:pPr>
        <w:pStyle w:val="Heading3"/>
      </w:pPr>
      <w:r w:rsidRPr="00051C97">
        <w:t>Speci</w:t>
      </w:r>
      <w:r w:rsidR="000767BF">
        <w:t>al</w:t>
      </w:r>
      <w:r w:rsidRPr="00051C97">
        <w:t xml:space="preserve"> populations</w:t>
      </w:r>
    </w:p>
    <w:p w14:paraId="2457E4EA" w14:textId="77777777" w:rsidR="00E17D05" w:rsidRPr="00E17D05" w:rsidRDefault="00E17D05" w:rsidP="00E17D05">
      <w:pPr>
        <w:rPr>
          <w:u w:val="single"/>
        </w:rPr>
      </w:pPr>
      <w:r w:rsidRPr="00E17D05">
        <w:rPr>
          <w:u w:val="single"/>
        </w:rPr>
        <w:t>Renal Impairment</w:t>
      </w:r>
    </w:p>
    <w:p w14:paraId="45E14BB7" w14:textId="68AA4953" w:rsidR="006F760B" w:rsidRPr="00920F90" w:rsidRDefault="006F760B" w:rsidP="006F760B">
      <w:r w:rsidRPr="006A794D">
        <w:rPr>
          <w:i/>
        </w:rPr>
        <w:t>Doravirine</w:t>
      </w:r>
      <w:r w:rsidRPr="00015255">
        <w:t>:</w:t>
      </w:r>
      <w:r w:rsidRPr="00920F90">
        <w:t xml:space="preserve"> Renal excretion of doravirine is minor: approximately 6% of the administered dose is excreted unchanged in urine. In a study comparing 8 subjects with severe</w:t>
      </w:r>
      <w:r w:rsidR="00D11664">
        <w:t xml:space="preserve"> </w:t>
      </w:r>
      <w:r w:rsidR="00BE3F80">
        <w:t>(</w:t>
      </w:r>
      <w:proofErr w:type="spellStart"/>
      <w:r w:rsidR="00BE3F80">
        <w:t>eGFR</w:t>
      </w:r>
      <w:proofErr w:type="spellEnd"/>
      <w:r w:rsidR="00BE3F80">
        <w:t xml:space="preserve"> </w:t>
      </w:r>
      <w:r w:rsidR="00D11664">
        <w:t>15</w:t>
      </w:r>
      <w:r w:rsidR="007C5814">
        <w:t>-&lt;30</w:t>
      </w:r>
      <w:r w:rsidR="00D11664">
        <w:t xml:space="preserve"> mL/min/1.73 m</w:t>
      </w:r>
      <w:r w:rsidR="00D11664">
        <w:rPr>
          <w:vertAlign w:val="superscript"/>
        </w:rPr>
        <w:t>2</w:t>
      </w:r>
      <w:r w:rsidR="000249E4">
        <w:t>)</w:t>
      </w:r>
      <w:r w:rsidR="00BE3F80">
        <w:t xml:space="preserve"> renal</w:t>
      </w:r>
      <w:r w:rsidRPr="00920F90">
        <w:t xml:space="preserve"> impairment to 8 subjects without renal impairment, the single dose exposure of doravirine was 43% higher in subjects with severe renal impairment. In a population pharmacokinetic analysis, renal function did not have a clinically relevant effect on doravirine pharmacokinetics. No dose adjustment is required in patients with mild, moderate or severe</w:t>
      </w:r>
      <w:r w:rsidR="00D11664">
        <w:t xml:space="preserve"> (</w:t>
      </w:r>
      <w:proofErr w:type="spellStart"/>
      <w:r w:rsidR="00D11664">
        <w:t>eGFR</w:t>
      </w:r>
      <w:proofErr w:type="spellEnd"/>
      <w:r w:rsidR="00D11664">
        <w:t xml:space="preserve"> 15</w:t>
      </w:r>
      <w:r w:rsidR="00BE3F80">
        <w:t>-</w:t>
      </w:r>
      <w:r w:rsidR="007C5814">
        <w:t>&lt;30</w:t>
      </w:r>
      <w:r w:rsidR="00D11664">
        <w:t xml:space="preserve"> mL/min/1.73 m</w:t>
      </w:r>
      <w:r w:rsidR="00D11664">
        <w:rPr>
          <w:vertAlign w:val="superscript"/>
        </w:rPr>
        <w:t>2</w:t>
      </w:r>
      <w:r w:rsidR="00D11664">
        <w:t xml:space="preserve">) </w:t>
      </w:r>
      <w:r w:rsidRPr="00920F90">
        <w:t xml:space="preserve">renal impairment. Doravirine has not been studied in patients with end-stage renal disease or in patients undergoing dialysis </w:t>
      </w:r>
      <w:r w:rsidRPr="00C74D32">
        <w:t xml:space="preserve">(see </w:t>
      </w:r>
      <w:r w:rsidR="009C24D8">
        <w:t>section 4.4</w:t>
      </w:r>
      <w:r w:rsidRPr="00C74D32">
        <w:t>)</w:t>
      </w:r>
      <w:r w:rsidRPr="00BE7FAA">
        <w:t>.</w:t>
      </w:r>
    </w:p>
    <w:p w14:paraId="6F22895D" w14:textId="3446D246" w:rsidR="006F760B" w:rsidRPr="00920F90" w:rsidRDefault="006F760B" w:rsidP="006F760B">
      <w:r w:rsidRPr="006A794D">
        <w:rPr>
          <w:i/>
        </w:rPr>
        <w:t>Lamivudine</w:t>
      </w:r>
      <w:r w:rsidRPr="00015255">
        <w:t>:</w:t>
      </w:r>
      <w:r w:rsidRPr="00920F90">
        <w:t xml:space="preserve"> The pharmacokinetic properties of lamivudine have been determined in a small group of HIV-1–infected adults with impaired renal function </w:t>
      </w:r>
      <w:r w:rsidRPr="00D95463">
        <w:t xml:space="preserve">(Table </w:t>
      </w:r>
      <w:r w:rsidR="002C24E2">
        <w:t>7</w:t>
      </w:r>
      <w:r w:rsidRPr="00D95463">
        <w:t>).</w:t>
      </w:r>
    </w:p>
    <w:p w14:paraId="69651A5A" w14:textId="1BFD9642" w:rsidR="006F760B" w:rsidRPr="006F760B" w:rsidRDefault="006F760B" w:rsidP="006F760B">
      <w:pPr>
        <w:jc w:val="center"/>
        <w:rPr>
          <w:b/>
          <w:u w:val="single"/>
        </w:rPr>
      </w:pPr>
      <w:r w:rsidRPr="006F760B">
        <w:rPr>
          <w:b/>
        </w:rPr>
        <w:t xml:space="preserve">Table </w:t>
      </w:r>
      <w:r w:rsidR="002C24E2">
        <w:rPr>
          <w:b/>
        </w:rPr>
        <w:t>7</w:t>
      </w:r>
      <w:r w:rsidRPr="006F760B">
        <w:rPr>
          <w:b/>
        </w:rPr>
        <w:t>: Pharmacokinetic Parameters (Mean ± SD) After a Single 300-mg Oral Dose of Lamivudine in 3 Groups of Adults with Varying Degrees of Renal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660"/>
        <w:gridCol w:w="2307"/>
        <w:gridCol w:w="2245"/>
      </w:tblGrid>
      <w:tr w:rsidR="006F760B" w:rsidRPr="006F760B" w14:paraId="7943F85C" w14:textId="77777777" w:rsidTr="000A76E7">
        <w:tc>
          <w:tcPr>
            <w:tcW w:w="2860" w:type="dxa"/>
            <w:tcBorders>
              <w:top w:val="single" w:sz="4" w:space="0" w:color="auto"/>
              <w:left w:val="single" w:sz="4" w:space="0" w:color="auto"/>
              <w:bottom w:val="single" w:sz="4" w:space="0" w:color="auto"/>
              <w:right w:val="single" w:sz="4" w:space="0" w:color="auto"/>
            </w:tcBorders>
          </w:tcPr>
          <w:p w14:paraId="48A0FA94" w14:textId="77777777" w:rsidR="006F760B" w:rsidRPr="006F760B" w:rsidRDefault="006F760B" w:rsidP="006F760B">
            <w:pPr>
              <w:spacing w:after="0"/>
              <w:rPr>
                <w:rFonts w:eastAsia="Times New Roman" w:cs="Arial"/>
                <w:sz w:val="20"/>
                <w:szCs w:val="20"/>
                <w:u w:val="single"/>
                <w:lang w:val="en-US"/>
              </w:rPr>
            </w:pPr>
          </w:p>
        </w:tc>
        <w:tc>
          <w:tcPr>
            <w:tcW w:w="6212" w:type="dxa"/>
            <w:gridSpan w:val="3"/>
            <w:tcBorders>
              <w:top w:val="single" w:sz="4" w:space="0" w:color="auto"/>
              <w:left w:val="single" w:sz="4" w:space="0" w:color="auto"/>
              <w:bottom w:val="single" w:sz="4" w:space="0" w:color="auto"/>
              <w:right w:val="single" w:sz="4" w:space="0" w:color="auto"/>
            </w:tcBorders>
            <w:hideMark/>
          </w:tcPr>
          <w:p w14:paraId="62B9CC0A" w14:textId="77777777" w:rsidR="006F760B" w:rsidRPr="006F760B" w:rsidRDefault="006F760B" w:rsidP="006F760B">
            <w:pPr>
              <w:spacing w:after="0"/>
              <w:jc w:val="center"/>
              <w:rPr>
                <w:rFonts w:eastAsia="Times New Roman" w:cs="Arial"/>
                <w:b/>
                <w:sz w:val="16"/>
                <w:szCs w:val="16"/>
                <w:lang w:val="en-US"/>
              </w:rPr>
            </w:pPr>
            <w:proofErr w:type="spellStart"/>
            <w:r w:rsidRPr="006F760B">
              <w:rPr>
                <w:rFonts w:eastAsia="Times New Roman" w:cs="Arial"/>
                <w:b/>
                <w:sz w:val="16"/>
                <w:szCs w:val="16"/>
                <w:lang w:val="en-US"/>
              </w:rPr>
              <w:t>Creatine</w:t>
            </w:r>
            <w:proofErr w:type="spellEnd"/>
            <w:r w:rsidRPr="006F760B">
              <w:rPr>
                <w:rFonts w:eastAsia="Times New Roman" w:cs="Arial"/>
                <w:b/>
                <w:sz w:val="16"/>
                <w:szCs w:val="16"/>
                <w:lang w:val="en-US"/>
              </w:rPr>
              <w:t xml:space="preserve"> Clearance Criterion</w:t>
            </w:r>
          </w:p>
          <w:p w14:paraId="0CD59864" w14:textId="77777777" w:rsidR="006F760B" w:rsidRPr="006F760B" w:rsidRDefault="006F760B" w:rsidP="006F760B">
            <w:pPr>
              <w:spacing w:after="0"/>
              <w:jc w:val="center"/>
              <w:rPr>
                <w:rFonts w:eastAsia="Times New Roman" w:cs="Arial"/>
                <w:sz w:val="20"/>
                <w:szCs w:val="20"/>
                <w:u w:val="single"/>
                <w:lang w:val="en-US"/>
              </w:rPr>
            </w:pPr>
            <w:r w:rsidRPr="006F760B">
              <w:rPr>
                <w:rFonts w:eastAsia="Times New Roman" w:cs="Arial"/>
                <w:b/>
                <w:sz w:val="16"/>
                <w:szCs w:val="16"/>
                <w:lang w:val="en-US"/>
              </w:rPr>
              <w:t>(Number of Subjects)</w:t>
            </w:r>
          </w:p>
        </w:tc>
      </w:tr>
      <w:tr w:rsidR="006F760B" w:rsidRPr="006F760B" w14:paraId="3DF23910" w14:textId="77777777" w:rsidTr="000A76E7">
        <w:tc>
          <w:tcPr>
            <w:tcW w:w="2860" w:type="dxa"/>
            <w:tcBorders>
              <w:top w:val="single" w:sz="4" w:space="0" w:color="auto"/>
              <w:left w:val="single" w:sz="4" w:space="0" w:color="auto"/>
              <w:bottom w:val="single" w:sz="4" w:space="0" w:color="auto"/>
              <w:right w:val="single" w:sz="4" w:space="0" w:color="auto"/>
            </w:tcBorders>
          </w:tcPr>
          <w:p w14:paraId="3F9BDEED" w14:textId="77777777" w:rsidR="006F760B" w:rsidRPr="006F760B" w:rsidRDefault="006F760B" w:rsidP="006F760B">
            <w:pPr>
              <w:spacing w:after="0"/>
              <w:rPr>
                <w:rFonts w:eastAsia="Times New Roman" w:cs="Arial"/>
                <w:b/>
                <w:sz w:val="16"/>
                <w:szCs w:val="16"/>
                <w:lang w:val="en-US"/>
              </w:rPr>
            </w:pPr>
          </w:p>
          <w:p w14:paraId="59C40D87" w14:textId="77777777" w:rsidR="006F760B" w:rsidRPr="006F760B" w:rsidRDefault="006F760B" w:rsidP="006F760B">
            <w:pPr>
              <w:spacing w:after="0"/>
              <w:rPr>
                <w:rFonts w:eastAsia="Times New Roman" w:cs="Arial"/>
                <w:b/>
                <w:sz w:val="16"/>
                <w:szCs w:val="16"/>
                <w:lang w:val="en-US"/>
              </w:rPr>
            </w:pPr>
            <w:r w:rsidRPr="006F760B">
              <w:rPr>
                <w:rFonts w:eastAsia="Times New Roman" w:cs="Arial"/>
                <w:b/>
                <w:sz w:val="16"/>
                <w:szCs w:val="16"/>
                <w:lang w:val="en-US"/>
              </w:rPr>
              <w:t>Parameter</w:t>
            </w:r>
          </w:p>
        </w:tc>
        <w:tc>
          <w:tcPr>
            <w:tcW w:w="1660" w:type="dxa"/>
            <w:tcBorders>
              <w:top w:val="single" w:sz="4" w:space="0" w:color="auto"/>
              <w:left w:val="single" w:sz="4" w:space="0" w:color="auto"/>
              <w:bottom w:val="single" w:sz="4" w:space="0" w:color="auto"/>
              <w:right w:val="single" w:sz="4" w:space="0" w:color="auto"/>
            </w:tcBorders>
          </w:tcPr>
          <w:p w14:paraId="5147CF4E" w14:textId="77777777" w:rsidR="006F760B" w:rsidRPr="006F760B" w:rsidRDefault="006F760B" w:rsidP="006F760B">
            <w:pPr>
              <w:spacing w:after="0"/>
              <w:jc w:val="center"/>
              <w:rPr>
                <w:rFonts w:eastAsia="Times New Roman" w:cs="Arial"/>
                <w:b/>
                <w:bCs/>
                <w:sz w:val="16"/>
                <w:szCs w:val="16"/>
                <w:lang w:val="en-US"/>
              </w:rPr>
            </w:pPr>
          </w:p>
          <w:p w14:paraId="4AE8C651" w14:textId="77777777" w:rsidR="006F760B" w:rsidRPr="006F760B" w:rsidRDefault="006F760B" w:rsidP="006F760B">
            <w:pPr>
              <w:spacing w:after="0"/>
              <w:jc w:val="center"/>
              <w:rPr>
                <w:rFonts w:eastAsia="Times New Roman" w:cs="Arial"/>
                <w:b/>
                <w:bCs/>
                <w:sz w:val="16"/>
                <w:szCs w:val="16"/>
                <w:lang w:val="en-US"/>
              </w:rPr>
            </w:pPr>
            <w:r w:rsidRPr="006F760B">
              <w:rPr>
                <w:rFonts w:eastAsia="Times New Roman" w:cs="Arial"/>
                <w:b/>
                <w:bCs/>
                <w:sz w:val="16"/>
                <w:szCs w:val="16"/>
                <w:lang w:val="en-US"/>
              </w:rPr>
              <w:t xml:space="preserve">&gt;60 mL/min </w:t>
            </w:r>
          </w:p>
          <w:p w14:paraId="5F0CE93D" w14:textId="77777777" w:rsidR="006F760B" w:rsidRPr="006F760B" w:rsidRDefault="006F760B" w:rsidP="006F760B">
            <w:pPr>
              <w:spacing w:after="0"/>
              <w:jc w:val="center"/>
              <w:rPr>
                <w:rFonts w:eastAsia="Times New Roman" w:cs="Arial"/>
                <w:sz w:val="16"/>
                <w:szCs w:val="16"/>
                <w:lang w:val="en-US"/>
              </w:rPr>
            </w:pPr>
          </w:p>
        </w:tc>
        <w:tc>
          <w:tcPr>
            <w:tcW w:w="2307" w:type="dxa"/>
            <w:tcBorders>
              <w:top w:val="single" w:sz="4" w:space="0" w:color="auto"/>
              <w:left w:val="single" w:sz="4" w:space="0" w:color="auto"/>
              <w:bottom w:val="single" w:sz="4" w:space="0" w:color="auto"/>
              <w:right w:val="single" w:sz="4" w:space="0" w:color="auto"/>
            </w:tcBorders>
            <w:vAlign w:val="center"/>
          </w:tcPr>
          <w:p w14:paraId="0D5CC4DF" w14:textId="77777777" w:rsidR="006F760B" w:rsidRPr="006F760B" w:rsidRDefault="006F760B" w:rsidP="006F760B">
            <w:pPr>
              <w:spacing w:after="0"/>
              <w:jc w:val="center"/>
              <w:rPr>
                <w:rFonts w:eastAsia="Times New Roman" w:cs="Arial"/>
                <w:b/>
                <w:bCs/>
                <w:sz w:val="16"/>
                <w:szCs w:val="16"/>
                <w:lang w:val="en-US"/>
              </w:rPr>
            </w:pPr>
          </w:p>
          <w:p w14:paraId="3AF94E38" w14:textId="77777777" w:rsidR="006F760B" w:rsidRPr="006F760B" w:rsidRDefault="006F760B" w:rsidP="006F760B">
            <w:pPr>
              <w:spacing w:after="0"/>
              <w:jc w:val="center"/>
              <w:rPr>
                <w:rFonts w:eastAsia="Times New Roman" w:cs="Arial"/>
                <w:b/>
                <w:bCs/>
                <w:sz w:val="16"/>
                <w:szCs w:val="16"/>
                <w:lang w:val="en-US"/>
              </w:rPr>
            </w:pPr>
            <w:r w:rsidRPr="006F760B">
              <w:rPr>
                <w:rFonts w:eastAsia="Times New Roman" w:cs="Arial"/>
                <w:b/>
                <w:bCs/>
                <w:sz w:val="16"/>
                <w:szCs w:val="16"/>
                <w:lang w:val="en-US"/>
              </w:rPr>
              <w:t>10-30 mL/min</w:t>
            </w:r>
          </w:p>
          <w:p w14:paraId="093A7E75" w14:textId="77777777" w:rsidR="006F760B" w:rsidRPr="006F760B" w:rsidRDefault="006F760B" w:rsidP="006F760B">
            <w:pPr>
              <w:spacing w:after="0"/>
              <w:jc w:val="center"/>
              <w:rPr>
                <w:rFonts w:eastAsia="Times New Roman" w:cs="Arial"/>
                <w:sz w:val="16"/>
                <w:szCs w:val="16"/>
                <w:lang w:val="en-US"/>
              </w:rPr>
            </w:pPr>
          </w:p>
        </w:tc>
        <w:tc>
          <w:tcPr>
            <w:tcW w:w="2245" w:type="dxa"/>
            <w:tcBorders>
              <w:top w:val="single" w:sz="4" w:space="0" w:color="auto"/>
              <w:left w:val="single" w:sz="4" w:space="0" w:color="auto"/>
              <w:bottom w:val="single" w:sz="4" w:space="0" w:color="auto"/>
              <w:right w:val="single" w:sz="4" w:space="0" w:color="auto"/>
            </w:tcBorders>
          </w:tcPr>
          <w:p w14:paraId="24120641" w14:textId="77777777" w:rsidR="006F760B" w:rsidRPr="006F760B" w:rsidRDefault="006F760B" w:rsidP="006F760B">
            <w:pPr>
              <w:spacing w:after="0"/>
              <w:jc w:val="center"/>
              <w:rPr>
                <w:rFonts w:eastAsia="Times New Roman" w:cs="Arial"/>
                <w:b/>
                <w:bCs/>
                <w:sz w:val="16"/>
                <w:szCs w:val="16"/>
                <w:lang w:val="en-US"/>
              </w:rPr>
            </w:pPr>
          </w:p>
          <w:p w14:paraId="6286A47B" w14:textId="77777777" w:rsidR="006F760B" w:rsidRPr="006F760B" w:rsidRDefault="006F760B" w:rsidP="006F760B">
            <w:pPr>
              <w:spacing w:after="0"/>
              <w:jc w:val="center"/>
              <w:rPr>
                <w:rFonts w:eastAsia="Times New Roman" w:cs="Arial"/>
                <w:b/>
                <w:bCs/>
                <w:sz w:val="16"/>
                <w:szCs w:val="16"/>
                <w:lang w:val="en-US"/>
              </w:rPr>
            </w:pPr>
            <w:r w:rsidRPr="006F760B">
              <w:rPr>
                <w:rFonts w:eastAsia="Times New Roman" w:cs="Arial"/>
                <w:b/>
                <w:bCs/>
                <w:sz w:val="16"/>
                <w:szCs w:val="16"/>
                <w:lang w:val="en-US"/>
              </w:rPr>
              <w:t>&lt;10 mL/min</w:t>
            </w:r>
          </w:p>
          <w:p w14:paraId="6260FDB7" w14:textId="77777777" w:rsidR="006F760B" w:rsidRPr="006F760B" w:rsidRDefault="006F760B" w:rsidP="006F760B">
            <w:pPr>
              <w:spacing w:after="0"/>
              <w:jc w:val="center"/>
              <w:rPr>
                <w:rFonts w:eastAsia="Times New Roman" w:cs="Arial"/>
                <w:sz w:val="16"/>
                <w:szCs w:val="16"/>
                <w:lang w:val="en-US"/>
              </w:rPr>
            </w:pPr>
          </w:p>
        </w:tc>
      </w:tr>
      <w:tr w:rsidR="006F760B" w:rsidRPr="006F760B" w14:paraId="50FBF5C1" w14:textId="77777777" w:rsidTr="000A76E7">
        <w:tc>
          <w:tcPr>
            <w:tcW w:w="2860" w:type="dxa"/>
            <w:tcBorders>
              <w:top w:val="single" w:sz="4" w:space="0" w:color="auto"/>
              <w:left w:val="single" w:sz="4" w:space="0" w:color="auto"/>
              <w:bottom w:val="single" w:sz="4" w:space="0" w:color="auto"/>
              <w:right w:val="single" w:sz="4" w:space="0" w:color="auto"/>
            </w:tcBorders>
          </w:tcPr>
          <w:p w14:paraId="1083DDA7" w14:textId="77777777" w:rsidR="006F760B" w:rsidRPr="006F760B" w:rsidRDefault="006F760B" w:rsidP="006F760B">
            <w:pPr>
              <w:spacing w:after="0"/>
              <w:rPr>
                <w:rFonts w:eastAsia="Times New Roman" w:cs="Arial"/>
                <w:sz w:val="16"/>
                <w:szCs w:val="16"/>
                <w:u w:val="single"/>
                <w:lang w:val="en-US"/>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2DDB040B" w14:textId="77777777" w:rsidR="006F760B" w:rsidRPr="006F760B" w:rsidRDefault="006F760B" w:rsidP="006F760B">
            <w:pPr>
              <w:spacing w:after="0"/>
              <w:jc w:val="center"/>
              <w:rPr>
                <w:rFonts w:eastAsia="Times New Roman" w:cs="Arial"/>
                <w:sz w:val="16"/>
                <w:szCs w:val="16"/>
                <w:u w:val="single"/>
                <w:lang w:val="en-US"/>
              </w:rPr>
            </w:pPr>
            <w:r w:rsidRPr="006F760B">
              <w:rPr>
                <w:rFonts w:eastAsia="Times New Roman" w:cs="Arial"/>
                <w:b/>
                <w:bCs/>
                <w:sz w:val="16"/>
                <w:szCs w:val="16"/>
                <w:lang w:val="en-US"/>
              </w:rPr>
              <w:t>N=6</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636F290" w14:textId="77777777" w:rsidR="006F760B" w:rsidRPr="006F760B" w:rsidRDefault="006F760B" w:rsidP="006F760B">
            <w:pPr>
              <w:spacing w:after="0"/>
              <w:jc w:val="center"/>
              <w:rPr>
                <w:rFonts w:eastAsia="Times New Roman" w:cs="Arial"/>
                <w:sz w:val="16"/>
                <w:szCs w:val="16"/>
                <w:u w:val="single"/>
                <w:lang w:val="en-US"/>
              </w:rPr>
            </w:pPr>
            <w:r w:rsidRPr="006F760B">
              <w:rPr>
                <w:rFonts w:eastAsia="Times New Roman" w:cs="Arial"/>
                <w:b/>
                <w:bCs/>
                <w:sz w:val="16"/>
                <w:szCs w:val="16"/>
                <w:lang w:val="en-US"/>
              </w:rPr>
              <w:t>N=4</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5044C9D" w14:textId="77777777" w:rsidR="006F760B" w:rsidRPr="006F760B" w:rsidRDefault="006F760B" w:rsidP="006F760B">
            <w:pPr>
              <w:spacing w:after="0"/>
              <w:jc w:val="center"/>
              <w:rPr>
                <w:rFonts w:eastAsia="Times New Roman" w:cs="Arial"/>
                <w:sz w:val="16"/>
                <w:szCs w:val="16"/>
                <w:u w:val="single"/>
                <w:lang w:val="en-US"/>
              </w:rPr>
            </w:pPr>
            <w:r w:rsidRPr="006F760B">
              <w:rPr>
                <w:rFonts w:eastAsia="Times New Roman" w:cs="Arial"/>
                <w:b/>
                <w:bCs/>
                <w:sz w:val="16"/>
                <w:szCs w:val="16"/>
                <w:lang w:val="en-US"/>
              </w:rPr>
              <w:t>N=6</w:t>
            </w:r>
          </w:p>
        </w:tc>
      </w:tr>
      <w:tr w:rsidR="006F760B" w:rsidRPr="006F760B" w14:paraId="46A6BC45" w14:textId="77777777" w:rsidTr="000A76E7">
        <w:tc>
          <w:tcPr>
            <w:tcW w:w="2860" w:type="dxa"/>
            <w:tcBorders>
              <w:top w:val="single" w:sz="4" w:space="0" w:color="auto"/>
              <w:left w:val="single" w:sz="4" w:space="0" w:color="auto"/>
              <w:bottom w:val="single" w:sz="4" w:space="0" w:color="auto"/>
              <w:right w:val="single" w:sz="4" w:space="0" w:color="auto"/>
            </w:tcBorders>
            <w:hideMark/>
          </w:tcPr>
          <w:p w14:paraId="6D0FDB55" w14:textId="77777777" w:rsidR="006F760B" w:rsidRPr="006F760B" w:rsidRDefault="006F760B" w:rsidP="006F760B">
            <w:pPr>
              <w:spacing w:after="0"/>
              <w:rPr>
                <w:rFonts w:eastAsia="Times New Roman" w:cs="Arial"/>
                <w:sz w:val="16"/>
                <w:szCs w:val="16"/>
                <w:lang w:val="en-US"/>
              </w:rPr>
            </w:pPr>
            <w:r w:rsidRPr="006F760B">
              <w:rPr>
                <w:rFonts w:eastAsia="Times New Roman" w:cs="Arial"/>
                <w:sz w:val="16"/>
                <w:szCs w:val="16"/>
                <w:lang w:val="en-US"/>
              </w:rPr>
              <w:t>Creatinine clearance (mL/min)</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45E2D24"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111 ± 14</w:t>
            </w:r>
          </w:p>
        </w:tc>
        <w:tc>
          <w:tcPr>
            <w:tcW w:w="2307" w:type="dxa"/>
            <w:tcBorders>
              <w:top w:val="single" w:sz="4" w:space="0" w:color="auto"/>
              <w:left w:val="single" w:sz="4" w:space="0" w:color="auto"/>
              <w:bottom w:val="single" w:sz="4" w:space="0" w:color="auto"/>
              <w:right w:val="single" w:sz="4" w:space="0" w:color="auto"/>
            </w:tcBorders>
            <w:vAlign w:val="center"/>
            <w:hideMark/>
          </w:tcPr>
          <w:p w14:paraId="7BF668B6"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28 ± 8</w:t>
            </w:r>
          </w:p>
        </w:tc>
        <w:tc>
          <w:tcPr>
            <w:tcW w:w="2245" w:type="dxa"/>
            <w:tcBorders>
              <w:top w:val="single" w:sz="4" w:space="0" w:color="auto"/>
              <w:left w:val="single" w:sz="4" w:space="0" w:color="auto"/>
              <w:bottom w:val="single" w:sz="4" w:space="0" w:color="auto"/>
              <w:right w:val="single" w:sz="4" w:space="0" w:color="auto"/>
            </w:tcBorders>
            <w:vAlign w:val="center"/>
            <w:hideMark/>
          </w:tcPr>
          <w:p w14:paraId="371BF585"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6 ± 2</w:t>
            </w:r>
          </w:p>
        </w:tc>
      </w:tr>
      <w:tr w:rsidR="006F760B" w:rsidRPr="006F760B" w14:paraId="7DF89B33" w14:textId="77777777" w:rsidTr="000A76E7">
        <w:tc>
          <w:tcPr>
            <w:tcW w:w="2860" w:type="dxa"/>
            <w:tcBorders>
              <w:top w:val="single" w:sz="4" w:space="0" w:color="auto"/>
              <w:left w:val="single" w:sz="4" w:space="0" w:color="auto"/>
              <w:bottom w:val="single" w:sz="4" w:space="0" w:color="auto"/>
              <w:right w:val="single" w:sz="4" w:space="0" w:color="auto"/>
            </w:tcBorders>
            <w:hideMark/>
          </w:tcPr>
          <w:p w14:paraId="05916B73" w14:textId="77777777" w:rsidR="006F760B" w:rsidRPr="006F760B" w:rsidRDefault="006F760B" w:rsidP="006F760B">
            <w:pPr>
              <w:spacing w:after="0"/>
              <w:rPr>
                <w:rFonts w:eastAsia="Times New Roman" w:cs="Arial"/>
                <w:sz w:val="16"/>
                <w:szCs w:val="16"/>
                <w:lang w:val="en-US"/>
              </w:rPr>
            </w:pPr>
            <w:proofErr w:type="spellStart"/>
            <w:r w:rsidRPr="006F760B">
              <w:rPr>
                <w:rFonts w:eastAsia="Times New Roman" w:cs="Arial"/>
                <w:sz w:val="16"/>
                <w:szCs w:val="16"/>
                <w:lang w:val="en-US"/>
              </w:rPr>
              <w:t>C</w:t>
            </w:r>
            <w:r w:rsidRPr="006F760B">
              <w:rPr>
                <w:rFonts w:eastAsia="Times New Roman" w:cs="Arial"/>
                <w:sz w:val="16"/>
                <w:szCs w:val="16"/>
                <w:vertAlign w:val="subscript"/>
                <w:lang w:val="en-US"/>
              </w:rPr>
              <w:t>max</w:t>
            </w:r>
            <w:proofErr w:type="spellEnd"/>
            <w:r w:rsidRPr="006F760B">
              <w:rPr>
                <w:rFonts w:eastAsia="Times New Roman" w:cs="Arial"/>
                <w:sz w:val="16"/>
                <w:szCs w:val="16"/>
                <w:lang w:val="en-US"/>
              </w:rPr>
              <w:t xml:space="preserve"> (mcg/mL)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6D3E016"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2.6 ± 0.5</w:t>
            </w:r>
          </w:p>
        </w:tc>
        <w:tc>
          <w:tcPr>
            <w:tcW w:w="2307" w:type="dxa"/>
            <w:tcBorders>
              <w:top w:val="single" w:sz="4" w:space="0" w:color="auto"/>
              <w:left w:val="single" w:sz="4" w:space="0" w:color="auto"/>
              <w:bottom w:val="single" w:sz="4" w:space="0" w:color="auto"/>
              <w:right w:val="single" w:sz="4" w:space="0" w:color="auto"/>
            </w:tcBorders>
            <w:vAlign w:val="center"/>
            <w:hideMark/>
          </w:tcPr>
          <w:p w14:paraId="79488681"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3.6 ± 0.8</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E5CECE2"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5.8 ± 1.2</w:t>
            </w:r>
          </w:p>
        </w:tc>
      </w:tr>
      <w:tr w:rsidR="006F760B" w:rsidRPr="006F760B" w14:paraId="2B9061BE" w14:textId="77777777" w:rsidTr="000A76E7">
        <w:tc>
          <w:tcPr>
            <w:tcW w:w="2860" w:type="dxa"/>
            <w:tcBorders>
              <w:top w:val="single" w:sz="4" w:space="0" w:color="auto"/>
              <w:left w:val="single" w:sz="4" w:space="0" w:color="auto"/>
              <w:bottom w:val="single" w:sz="4" w:space="0" w:color="auto"/>
              <w:right w:val="single" w:sz="4" w:space="0" w:color="auto"/>
            </w:tcBorders>
            <w:hideMark/>
          </w:tcPr>
          <w:p w14:paraId="4566F288" w14:textId="77777777" w:rsidR="006F760B" w:rsidRPr="006F760B" w:rsidRDefault="006F760B" w:rsidP="006F760B">
            <w:pPr>
              <w:spacing w:after="0"/>
              <w:rPr>
                <w:rFonts w:eastAsia="Times New Roman" w:cs="Arial"/>
                <w:sz w:val="16"/>
                <w:szCs w:val="16"/>
                <w:lang w:val="en-US"/>
              </w:rPr>
            </w:pPr>
            <w:r w:rsidRPr="006F760B">
              <w:rPr>
                <w:rFonts w:eastAsia="Times New Roman" w:cs="Arial"/>
                <w:sz w:val="16"/>
                <w:szCs w:val="16"/>
                <w:lang w:val="en-US"/>
              </w:rPr>
              <w:t>AUC∞ (</w:t>
            </w:r>
            <w:proofErr w:type="spellStart"/>
            <w:r w:rsidRPr="006F760B">
              <w:rPr>
                <w:rFonts w:eastAsia="Times New Roman" w:cs="Arial"/>
                <w:sz w:val="16"/>
                <w:szCs w:val="16"/>
                <w:lang w:val="en-US"/>
              </w:rPr>
              <w:t>mcg•h</w:t>
            </w:r>
            <w:proofErr w:type="spellEnd"/>
            <w:r w:rsidRPr="006F760B">
              <w:rPr>
                <w:rFonts w:eastAsia="Times New Roman" w:cs="Arial"/>
                <w:sz w:val="16"/>
                <w:szCs w:val="16"/>
                <w:lang w:val="en-US"/>
              </w:rPr>
              <w:t xml:space="preserve">/mL)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97320C1"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11.0 ± 1.7</w:t>
            </w:r>
          </w:p>
        </w:tc>
        <w:tc>
          <w:tcPr>
            <w:tcW w:w="2307" w:type="dxa"/>
            <w:tcBorders>
              <w:top w:val="single" w:sz="4" w:space="0" w:color="auto"/>
              <w:left w:val="single" w:sz="4" w:space="0" w:color="auto"/>
              <w:bottom w:val="single" w:sz="4" w:space="0" w:color="auto"/>
              <w:right w:val="single" w:sz="4" w:space="0" w:color="auto"/>
            </w:tcBorders>
            <w:vAlign w:val="center"/>
            <w:hideMark/>
          </w:tcPr>
          <w:p w14:paraId="70BC3B51"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48.0 ± 19</w:t>
            </w:r>
          </w:p>
        </w:tc>
        <w:tc>
          <w:tcPr>
            <w:tcW w:w="2245" w:type="dxa"/>
            <w:tcBorders>
              <w:top w:val="single" w:sz="4" w:space="0" w:color="auto"/>
              <w:left w:val="single" w:sz="4" w:space="0" w:color="auto"/>
              <w:bottom w:val="single" w:sz="4" w:space="0" w:color="auto"/>
              <w:right w:val="single" w:sz="4" w:space="0" w:color="auto"/>
            </w:tcBorders>
            <w:vAlign w:val="center"/>
            <w:hideMark/>
          </w:tcPr>
          <w:p w14:paraId="003C7CE7"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157 ± 74</w:t>
            </w:r>
          </w:p>
        </w:tc>
      </w:tr>
      <w:tr w:rsidR="006F760B" w:rsidRPr="006F760B" w14:paraId="36A5E717" w14:textId="77777777" w:rsidTr="000A76E7">
        <w:tc>
          <w:tcPr>
            <w:tcW w:w="2860" w:type="dxa"/>
            <w:tcBorders>
              <w:top w:val="single" w:sz="4" w:space="0" w:color="auto"/>
              <w:left w:val="single" w:sz="4" w:space="0" w:color="auto"/>
              <w:bottom w:val="single" w:sz="4" w:space="0" w:color="auto"/>
              <w:right w:val="single" w:sz="4" w:space="0" w:color="auto"/>
            </w:tcBorders>
            <w:hideMark/>
          </w:tcPr>
          <w:p w14:paraId="5D0275DD" w14:textId="77777777" w:rsidR="006F760B" w:rsidRPr="006F760B" w:rsidRDefault="006F760B" w:rsidP="006F760B">
            <w:pPr>
              <w:spacing w:after="0"/>
              <w:rPr>
                <w:rFonts w:eastAsia="Times New Roman" w:cs="Arial"/>
                <w:sz w:val="16"/>
                <w:szCs w:val="16"/>
                <w:lang w:val="en-US"/>
              </w:rPr>
            </w:pPr>
            <w:r w:rsidRPr="006F760B">
              <w:rPr>
                <w:rFonts w:eastAsia="Times New Roman" w:cs="Arial"/>
                <w:sz w:val="16"/>
                <w:szCs w:val="16"/>
                <w:lang w:val="en-US"/>
              </w:rPr>
              <w:t xml:space="preserve">Cl/F (mL/min)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2707E38"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464 ± 76</w:t>
            </w:r>
          </w:p>
        </w:tc>
        <w:tc>
          <w:tcPr>
            <w:tcW w:w="2307" w:type="dxa"/>
            <w:tcBorders>
              <w:top w:val="single" w:sz="4" w:space="0" w:color="auto"/>
              <w:left w:val="single" w:sz="4" w:space="0" w:color="auto"/>
              <w:bottom w:val="single" w:sz="4" w:space="0" w:color="auto"/>
              <w:right w:val="single" w:sz="4" w:space="0" w:color="auto"/>
            </w:tcBorders>
            <w:vAlign w:val="center"/>
            <w:hideMark/>
          </w:tcPr>
          <w:p w14:paraId="70A70980"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114 ± 34</w:t>
            </w:r>
          </w:p>
        </w:tc>
        <w:tc>
          <w:tcPr>
            <w:tcW w:w="2245" w:type="dxa"/>
            <w:tcBorders>
              <w:top w:val="single" w:sz="4" w:space="0" w:color="auto"/>
              <w:left w:val="single" w:sz="4" w:space="0" w:color="auto"/>
              <w:bottom w:val="single" w:sz="4" w:space="0" w:color="auto"/>
              <w:right w:val="single" w:sz="4" w:space="0" w:color="auto"/>
            </w:tcBorders>
            <w:vAlign w:val="center"/>
            <w:hideMark/>
          </w:tcPr>
          <w:p w14:paraId="53246790" w14:textId="77777777" w:rsidR="006F760B" w:rsidRPr="006F760B" w:rsidRDefault="006F760B" w:rsidP="006F760B">
            <w:pPr>
              <w:spacing w:after="0"/>
              <w:jc w:val="center"/>
              <w:rPr>
                <w:rFonts w:eastAsia="Times New Roman" w:cs="Arial"/>
                <w:sz w:val="16"/>
                <w:szCs w:val="16"/>
                <w:lang w:val="en-US"/>
              </w:rPr>
            </w:pPr>
            <w:r w:rsidRPr="006F760B">
              <w:rPr>
                <w:rFonts w:eastAsia="Times New Roman" w:cs="Arial"/>
                <w:sz w:val="16"/>
                <w:szCs w:val="16"/>
                <w:lang w:val="en-US"/>
              </w:rPr>
              <w:t>36 ± 11</w:t>
            </w:r>
          </w:p>
        </w:tc>
      </w:tr>
    </w:tbl>
    <w:p w14:paraId="5AF598DB" w14:textId="624934E1" w:rsidR="00E17D05" w:rsidRDefault="00E17D05" w:rsidP="00E17D05"/>
    <w:p w14:paraId="2DA83714" w14:textId="6A7A18BF" w:rsidR="006F760B" w:rsidRPr="00085BFB" w:rsidRDefault="006F760B" w:rsidP="006F760B">
      <w:r w:rsidRPr="006A794D">
        <w:rPr>
          <w:i/>
        </w:rPr>
        <w:lastRenderedPageBreak/>
        <w:t>Tenofovir DF</w:t>
      </w:r>
      <w:r w:rsidRPr="00015255">
        <w:t>:</w:t>
      </w:r>
      <w:r w:rsidRPr="00085BFB">
        <w:t xml:space="preserve"> The pharmacokinetics of tenofovir </w:t>
      </w:r>
      <w:r>
        <w:t>are</w:t>
      </w:r>
      <w:r w:rsidRPr="00085BFB">
        <w:t xml:space="preserve"> altered in subjects with renal impairment. In subjects with creatinine clearance below 50 mL per minute or with end stage renal disease requiring dialysis, </w:t>
      </w:r>
      <w:proofErr w:type="spellStart"/>
      <w:r w:rsidRPr="00085BFB">
        <w:t>C</w:t>
      </w:r>
      <w:r w:rsidRPr="00085BFB">
        <w:rPr>
          <w:vertAlign w:val="subscript"/>
        </w:rPr>
        <w:t>max</w:t>
      </w:r>
      <w:proofErr w:type="spellEnd"/>
      <w:r w:rsidRPr="00085BFB">
        <w:t xml:space="preserve"> and AUC of tenofovir were increased</w:t>
      </w:r>
      <w:r>
        <w:t xml:space="preserve"> </w:t>
      </w:r>
      <w:r w:rsidRPr="00C74D32">
        <w:t xml:space="preserve">(see </w:t>
      </w:r>
      <w:r w:rsidR="009C24D8">
        <w:t>section 4.4</w:t>
      </w:r>
      <w:r w:rsidRPr="00C74D32">
        <w:t>)</w:t>
      </w:r>
      <w:r w:rsidRPr="00BD2422">
        <w:t>.</w:t>
      </w:r>
    </w:p>
    <w:p w14:paraId="1AF5FE13" w14:textId="77777777" w:rsidR="00E17D05" w:rsidRDefault="00E17D05" w:rsidP="00E17D05">
      <w:pPr>
        <w:rPr>
          <w:u w:val="single"/>
        </w:rPr>
      </w:pPr>
      <w:r w:rsidRPr="00E17D05">
        <w:rPr>
          <w:u w:val="single"/>
        </w:rPr>
        <w:t>Hepatic Impairment</w:t>
      </w:r>
    </w:p>
    <w:p w14:paraId="269F345A" w14:textId="69144F1F" w:rsidR="006F760B" w:rsidRPr="00A10E17" w:rsidRDefault="006F760B" w:rsidP="006F760B">
      <w:r w:rsidRPr="006A794D">
        <w:rPr>
          <w:i/>
        </w:rPr>
        <w:t>Doravirine</w:t>
      </w:r>
      <w:r w:rsidRPr="00015255">
        <w:t>:</w:t>
      </w:r>
      <w:r w:rsidRPr="00085BFB">
        <w:t xml:space="preserve"> Doravirine is primarily metaboli</w:t>
      </w:r>
      <w:r>
        <w:t>s</w:t>
      </w:r>
      <w:r w:rsidRPr="00085BFB">
        <w:t>ed and eliminated by the liver. There was no clinically relevant difference in the pharmacokinetics of doravirine in a study comparing 8 subjects with moderate hepatic impairment (Child-Pugh score B) to 8 subjects without hepatic impairment. No dose adjustment is required in patients with mild or moderate hepatic impairment. Doravirine has not been studied in subjects with severe hepatic impairment (Child-Pugh score C)</w:t>
      </w:r>
      <w:r w:rsidRPr="00BD2422">
        <w:rPr>
          <w:i/>
        </w:rPr>
        <w:t xml:space="preserve"> </w:t>
      </w:r>
      <w:r w:rsidRPr="00C74D32">
        <w:t xml:space="preserve">(see </w:t>
      </w:r>
      <w:r w:rsidR="009C24D8">
        <w:t>section 4.4</w:t>
      </w:r>
      <w:r w:rsidRPr="00C74D32">
        <w:t>)</w:t>
      </w:r>
      <w:r w:rsidRPr="00A10E17">
        <w:t>.</w:t>
      </w:r>
    </w:p>
    <w:p w14:paraId="44A81525" w14:textId="77777777" w:rsidR="006F760B" w:rsidRPr="00085BFB" w:rsidRDefault="006F760B" w:rsidP="006F760B">
      <w:r w:rsidRPr="006A794D">
        <w:rPr>
          <w:i/>
          <w:iCs/>
        </w:rPr>
        <w:t>Lamivudine</w:t>
      </w:r>
      <w:r w:rsidRPr="00015255">
        <w:rPr>
          <w:i/>
          <w:iCs/>
        </w:rPr>
        <w:t>:</w:t>
      </w:r>
      <w:r w:rsidRPr="00085BFB">
        <w:rPr>
          <w:i/>
          <w:iCs/>
        </w:rPr>
        <w:t xml:space="preserve"> </w:t>
      </w:r>
      <w:r w:rsidRPr="00085BFB">
        <w:t>The pharmacokinetic properties of lamivudine have been determined in adults with impaired hepatic function. Pharmacokinetic parameters were not altered by diminishing hepatic function. Safety and efficacy of lamivudine have not been established in the presence of decompensated liver disease.</w:t>
      </w:r>
    </w:p>
    <w:p w14:paraId="7F400BF9" w14:textId="77777777" w:rsidR="006F760B" w:rsidRPr="00085BFB" w:rsidRDefault="006F760B" w:rsidP="006F760B">
      <w:r w:rsidRPr="006A794D">
        <w:rPr>
          <w:i/>
          <w:iCs/>
        </w:rPr>
        <w:t>Tenofovir DF</w:t>
      </w:r>
      <w:r w:rsidRPr="00015255">
        <w:rPr>
          <w:i/>
          <w:iCs/>
        </w:rPr>
        <w:t>:</w:t>
      </w:r>
      <w:r w:rsidRPr="00085BFB">
        <w:rPr>
          <w:iCs/>
        </w:rPr>
        <w:t xml:space="preserve"> </w:t>
      </w:r>
      <w:r w:rsidRPr="00085BFB">
        <w:rPr>
          <w:color w:val="000000"/>
        </w:rPr>
        <w:t xml:space="preserve">The pharmacokinetics of tenofovir following a 300 mg dose of </w:t>
      </w:r>
      <w:r w:rsidRPr="00085BFB">
        <w:t>tenofovir DF</w:t>
      </w:r>
      <w:r w:rsidRPr="00085BFB">
        <w:rPr>
          <w:color w:val="000000"/>
        </w:rPr>
        <w:t xml:space="preserve"> have been studied in healthy subjects with moderate to severe hepatic impairment. No clinically relevant differences in tenofovir pharmacokinetics were observed between subjects with hepatic impairment and healthy subjects.</w:t>
      </w:r>
    </w:p>
    <w:p w14:paraId="0ACBA70A" w14:textId="77777777" w:rsidR="00E17D05" w:rsidRPr="00E17D05" w:rsidRDefault="00E17D05" w:rsidP="00E17D05">
      <w:pPr>
        <w:rPr>
          <w:u w:val="single"/>
        </w:rPr>
      </w:pPr>
      <w:r w:rsidRPr="00E17D05">
        <w:rPr>
          <w:u w:val="single"/>
        </w:rPr>
        <w:t>Paediatric</w:t>
      </w:r>
    </w:p>
    <w:p w14:paraId="585C1318" w14:textId="2D665663" w:rsidR="006F760B" w:rsidRPr="00085BFB" w:rsidRDefault="006F760B" w:rsidP="006F760B">
      <w:r w:rsidRPr="00085BFB">
        <w:t xml:space="preserve">The pharmacokinetics and dosing recommendations of </w:t>
      </w:r>
      <w:r w:rsidR="00B836DC">
        <w:t>DELSTRIGO</w:t>
      </w:r>
      <w:r w:rsidRPr="00085BFB">
        <w:t xml:space="preserve"> in patients younger than 18 years of age have not been established</w:t>
      </w:r>
      <w:r>
        <w:t xml:space="preserve"> </w:t>
      </w:r>
      <w:r w:rsidRPr="00C74D32">
        <w:t xml:space="preserve">(see </w:t>
      </w:r>
      <w:r w:rsidR="009C24D8">
        <w:t>section 4.4</w:t>
      </w:r>
      <w:r w:rsidRPr="00C74D32">
        <w:t>)</w:t>
      </w:r>
      <w:r>
        <w:t>.</w:t>
      </w:r>
    </w:p>
    <w:p w14:paraId="78FC7E55" w14:textId="77777777" w:rsidR="00E17D05" w:rsidRPr="00E17D05" w:rsidRDefault="00E17D05" w:rsidP="00E17D05">
      <w:pPr>
        <w:rPr>
          <w:u w:val="single"/>
        </w:rPr>
      </w:pPr>
      <w:r w:rsidRPr="00E17D05">
        <w:rPr>
          <w:u w:val="single"/>
        </w:rPr>
        <w:t>Elderly</w:t>
      </w:r>
    </w:p>
    <w:p w14:paraId="6F39CAD9" w14:textId="12DBAF83" w:rsidR="00EB4556" w:rsidRDefault="00153296" w:rsidP="00EB4556">
      <w:r w:rsidRPr="00085BFB">
        <w:t>No clinically relevant differences in the pharmacokinetics of doravirine have been identified in subjects at least 65 years of age compared to subjects less than 65 years of age in a Phase 1 trial or in a population pharmacokinetic analysis. The pharmacokinetics of lamivudine and tenofovir have not been studied in subjects older than 65 years</w:t>
      </w:r>
      <w:r w:rsidR="00554190">
        <w:t>. T</w:t>
      </w:r>
      <w:r w:rsidR="00EB4556">
        <w:t>he pharma</w:t>
      </w:r>
      <w:r w:rsidR="00554190">
        <w:t>cokinetics of doravirine have</w:t>
      </w:r>
      <w:r w:rsidR="00EB4556">
        <w:t xml:space="preserve"> been studied in</w:t>
      </w:r>
      <w:r w:rsidR="00554190">
        <w:t xml:space="preserve"> a limited number of</w:t>
      </w:r>
      <w:r w:rsidR="00EB4556">
        <w:t xml:space="preserve"> subjects</w:t>
      </w:r>
      <w:r w:rsidR="004C788A">
        <w:t xml:space="preserve"> (n=4)</w:t>
      </w:r>
      <w:r w:rsidR="00EB4556">
        <w:t xml:space="preserve"> over 75 years or age</w:t>
      </w:r>
      <w:r>
        <w:t xml:space="preserve"> </w:t>
      </w:r>
      <w:r w:rsidRPr="00C74D32">
        <w:t xml:space="preserve">(see </w:t>
      </w:r>
      <w:r w:rsidR="009C24D8">
        <w:t>section 4.4</w:t>
      </w:r>
      <w:r w:rsidRPr="00C74D32">
        <w:t>)</w:t>
      </w:r>
      <w:r w:rsidRPr="00A10E17">
        <w:t>.</w:t>
      </w:r>
      <w:r w:rsidR="00EB4556">
        <w:t xml:space="preserve"> </w:t>
      </w:r>
    </w:p>
    <w:p w14:paraId="1AFE0CBE" w14:textId="28ADDBCF" w:rsidR="00153296" w:rsidRPr="00A10E17" w:rsidRDefault="00153296" w:rsidP="00153296"/>
    <w:p w14:paraId="2B725432" w14:textId="77777777" w:rsidR="00E17D05" w:rsidRPr="00E17D05" w:rsidRDefault="00E17D05" w:rsidP="00E17D05">
      <w:pPr>
        <w:rPr>
          <w:u w:val="single"/>
        </w:rPr>
      </w:pPr>
      <w:r w:rsidRPr="00E17D05">
        <w:rPr>
          <w:u w:val="single"/>
        </w:rPr>
        <w:t>Race</w:t>
      </w:r>
    </w:p>
    <w:p w14:paraId="62B104E2" w14:textId="1041CBFA" w:rsidR="00153296" w:rsidRPr="00085BFB" w:rsidRDefault="00153296" w:rsidP="00153296">
      <w:r w:rsidRPr="006A794D">
        <w:rPr>
          <w:i/>
        </w:rPr>
        <w:t>Doravirine</w:t>
      </w:r>
      <w:r w:rsidRPr="00015255">
        <w:rPr>
          <w:i/>
        </w:rPr>
        <w:t>:</w:t>
      </w:r>
      <w:r w:rsidRPr="00085BFB">
        <w:t xml:space="preserve"> No clinically relevant racial differences in the pharmacokinetics of doravirine have been identified based on a population pharmacokinetic analysis of doravirine in healthy and HIV-1-infected subjects.</w:t>
      </w:r>
    </w:p>
    <w:p w14:paraId="3C1532FC" w14:textId="77777777" w:rsidR="00153296" w:rsidRPr="00085BFB" w:rsidRDefault="00153296" w:rsidP="00153296">
      <w:pPr>
        <w:rPr>
          <w:iCs/>
        </w:rPr>
      </w:pPr>
      <w:r w:rsidRPr="006A794D">
        <w:rPr>
          <w:i/>
          <w:iCs/>
        </w:rPr>
        <w:t>Lamivudine</w:t>
      </w:r>
      <w:r w:rsidRPr="00015255">
        <w:rPr>
          <w:i/>
          <w:iCs/>
        </w:rPr>
        <w:t>:</w:t>
      </w:r>
      <w:r w:rsidRPr="00085BFB">
        <w:rPr>
          <w:i/>
          <w:iCs/>
        </w:rPr>
        <w:t xml:space="preserve"> </w:t>
      </w:r>
      <w:r w:rsidRPr="00085BFB">
        <w:rPr>
          <w:iCs/>
        </w:rPr>
        <w:t>There are no significant or clinically relevant racial differences in pharmacokinetics of lamivudine.</w:t>
      </w:r>
    </w:p>
    <w:p w14:paraId="5C14C765" w14:textId="1F8EDBD2" w:rsidR="00E17D05" w:rsidRPr="00153296" w:rsidRDefault="00153296" w:rsidP="00E17D05">
      <w:pPr>
        <w:rPr>
          <w:u w:val="single"/>
        </w:rPr>
      </w:pPr>
      <w:r w:rsidRPr="006A794D">
        <w:rPr>
          <w:i/>
          <w:iCs/>
        </w:rPr>
        <w:t>Tenofovir DF</w:t>
      </w:r>
      <w:r w:rsidRPr="00015255">
        <w:rPr>
          <w:i/>
          <w:iCs/>
        </w:rPr>
        <w:t>:</w:t>
      </w:r>
      <w:r w:rsidRPr="00085BFB">
        <w:rPr>
          <w:i/>
          <w:iCs/>
        </w:rPr>
        <w:t xml:space="preserve"> </w:t>
      </w:r>
      <w:r w:rsidRPr="00085BFB">
        <w:t>There were insufficient numbers from racial and ethnic groups other than Caucasian to adequately determine potential pharmacokinetic differences among these populations following the administration of tenofovir DF.</w:t>
      </w:r>
    </w:p>
    <w:p w14:paraId="2432679A" w14:textId="77777777" w:rsidR="00E17D05" w:rsidRPr="00E17D05" w:rsidRDefault="00E17D05" w:rsidP="00E17D05">
      <w:pPr>
        <w:rPr>
          <w:u w:val="single"/>
        </w:rPr>
      </w:pPr>
      <w:r w:rsidRPr="00E17D05">
        <w:rPr>
          <w:u w:val="single"/>
        </w:rPr>
        <w:t>Gender</w:t>
      </w:r>
    </w:p>
    <w:p w14:paraId="2FFA3A23" w14:textId="3CA15CED" w:rsidR="00153296" w:rsidRDefault="00153296" w:rsidP="00153296">
      <w:r w:rsidRPr="00085BFB">
        <w:t>No clinically relevant pharmacokinetic differences have been identified between men and women for doravirine, lamivudine, and tenofovir.</w:t>
      </w:r>
    </w:p>
    <w:p w14:paraId="0F60B2BE" w14:textId="77777777" w:rsidR="00415EAE" w:rsidRDefault="00415EAE" w:rsidP="000E1B2E">
      <w:pPr>
        <w:pStyle w:val="Heading3"/>
      </w:pPr>
      <w:r w:rsidRPr="00415EAE">
        <w:lastRenderedPageBreak/>
        <w:t>Drug Interaction Studies</w:t>
      </w:r>
    </w:p>
    <w:p w14:paraId="7C541FFC" w14:textId="7DED16F8" w:rsidR="00153296" w:rsidRDefault="00B836DC" w:rsidP="00153296">
      <w:r>
        <w:t>DELSTRIGO</w:t>
      </w:r>
      <w:r w:rsidR="00153296">
        <w:t xml:space="preserve"> is a complete regimen for the treatment of HIV-1 infection; therefore, </w:t>
      </w:r>
      <w:r>
        <w:t>DELSTRIGO</w:t>
      </w:r>
      <w:r w:rsidR="00153296">
        <w:t xml:space="preserve"> should not be administered with other HIV-1 antiretroviral medications. Information regarding potential drug-drug interactions with other antiretroviral medications is not provided.</w:t>
      </w:r>
    </w:p>
    <w:p w14:paraId="425BF61E" w14:textId="5CFDA235" w:rsidR="00153296" w:rsidRDefault="00153296" w:rsidP="00153296">
      <w:r>
        <w:t>The drug interaction trials described were conducted with doravirine, lamivudine and/or tenofovir DF, as single entities; no drug interaction trials have been conducted using the combination of doravirine lamivudine and tenofovir DF. No clinically relevant drug interactions were observed between doravirine, lamivudine and tenofovir DF128.</w:t>
      </w:r>
    </w:p>
    <w:p w14:paraId="18E0C544" w14:textId="5F6483F0" w:rsidR="00153296" w:rsidRPr="00153296" w:rsidRDefault="00153296" w:rsidP="00153296">
      <w:pPr>
        <w:rPr>
          <w:u w:val="single"/>
        </w:rPr>
      </w:pPr>
      <w:r w:rsidRPr="00153296">
        <w:rPr>
          <w:u w:val="single"/>
        </w:rPr>
        <w:t>Doravi</w:t>
      </w:r>
      <w:r>
        <w:rPr>
          <w:u w:val="single"/>
        </w:rPr>
        <w:t>rine</w:t>
      </w:r>
      <w:r w:rsidRPr="00153296">
        <w:rPr>
          <w:u w:val="single"/>
        </w:rPr>
        <w:t xml:space="preserve"> </w:t>
      </w:r>
    </w:p>
    <w:p w14:paraId="7EB64E7A" w14:textId="3B1820BA" w:rsidR="002777F1" w:rsidRDefault="00153296" w:rsidP="00153296">
      <w:r>
        <w:t>Doravirine is primarily metabolised by CYP3A, and drugs that induce or inhibit CYP3A may affect the clearance of doravirine. Co-administration of doravirine and drugs that induce CYP3A may result in decreased plasma concentrations of doravirine. Co-administration of doravirine and drugs that inhibit CYP3A may result in increased plasma concentrations of doravirine</w:t>
      </w:r>
      <w:r w:rsidR="007C5814">
        <w:t>.</w:t>
      </w:r>
    </w:p>
    <w:p w14:paraId="350EC662" w14:textId="6EB2C42D" w:rsidR="00153296" w:rsidRDefault="00153296" w:rsidP="00153296">
      <w:pPr>
        <w:rPr>
          <w:i/>
        </w:rPr>
      </w:pPr>
      <w:r>
        <w:t xml:space="preserve">Doravirine is not likely to have a clinically relevant effect on the exposure of medicinal products metabolised by CYP enzymes. Drug interaction studies were performed with doravirine and other drugs likely to be co-administered or commonly used as probes for pharmacokinetic interactions. The effects of co-administration of other drugs on the </w:t>
      </w:r>
      <w:proofErr w:type="spellStart"/>
      <w:r>
        <w:t>C</w:t>
      </w:r>
      <w:r>
        <w:rPr>
          <w:vertAlign w:val="subscript"/>
        </w:rPr>
        <w:t>max</w:t>
      </w:r>
      <w:proofErr w:type="spellEnd"/>
      <w:r>
        <w:t>, AUC, and C</w:t>
      </w:r>
      <w:r>
        <w:rPr>
          <w:vertAlign w:val="subscript"/>
        </w:rPr>
        <w:t>24</w:t>
      </w:r>
      <w:r>
        <w:t xml:space="preserve"> values of doravirine are summarised in </w:t>
      </w:r>
      <w:r w:rsidRPr="00226201">
        <w:t xml:space="preserve">Table </w:t>
      </w:r>
      <w:r w:rsidR="002C24E2">
        <w:t>8</w:t>
      </w:r>
      <w:r>
        <w:t xml:space="preserve">. The effects of co-administration of doravirine on the </w:t>
      </w:r>
      <w:proofErr w:type="spellStart"/>
      <w:r>
        <w:t>C</w:t>
      </w:r>
      <w:r>
        <w:rPr>
          <w:vertAlign w:val="subscript"/>
        </w:rPr>
        <w:t>max</w:t>
      </w:r>
      <w:proofErr w:type="spellEnd"/>
      <w:r>
        <w:t xml:space="preserve"> and AUC values of other drugs are summarised in </w:t>
      </w:r>
      <w:r w:rsidRPr="00226201">
        <w:t xml:space="preserve">Table </w:t>
      </w:r>
      <w:r w:rsidR="002C24E2">
        <w:t>9</w:t>
      </w:r>
      <w:r>
        <w:t xml:space="preserve"> (see </w:t>
      </w:r>
      <w:r w:rsidR="009C24D8">
        <w:t>section 4.5</w:t>
      </w:r>
      <w:r>
        <w:t>).</w:t>
      </w:r>
      <w:r w:rsidDel="00ED5550">
        <w:t xml:space="preserve"> </w:t>
      </w:r>
    </w:p>
    <w:p w14:paraId="5314148D" w14:textId="5B1CE06A" w:rsidR="00153296" w:rsidRPr="00153296" w:rsidRDefault="00153296" w:rsidP="00153296">
      <w:pPr>
        <w:jc w:val="center"/>
        <w:rPr>
          <w:rFonts w:ascii="Helvetica" w:hAnsi="Helvetica"/>
          <w:b/>
          <w:szCs w:val="20"/>
        </w:rPr>
      </w:pPr>
      <w:r w:rsidRPr="00153296">
        <w:rPr>
          <w:b/>
        </w:rPr>
        <w:t xml:space="preserve">Table </w:t>
      </w:r>
      <w:r w:rsidR="002C24E2">
        <w:rPr>
          <w:b/>
        </w:rPr>
        <w:t>8</w:t>
      </w:r>
      <w:r w:rsidRPr="00153296">
        <w:rPr>
          <w:b/>
        </w:rPr>
        <w:t>: Drug Interactions: Changes in Pharmacokinetic Parameter Values of Doravirine in the Presence of Co-administered Drug</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894"/>
        <w:gridCol w:w="1157"/>
        <w:gridCol w:w="822"/>
        <w:gridCol w:w="1411"/>
        <w:gridCol w:w="30"/>
        <w:gridCol w:w="1409"/>
        <w:gridCol w:w="864"/>
      </w:tblGrid>
      <w:tr w:rsidR="00153296" w:rsidRPr="00153296" w14:paraId="5798D885" w14:textId="77777777" w:rsidTr="000A76E7">
        <w:trPr>
          <w:trHeight w:val="474"/>
          <w:tblHeader/>
        </w:trPr>
        <w:tc>
          <w:tcPr>
            <w:tcW w:w="1344" w:type="dxa"/>
            <w:vMerge w:val="restart"/>
            <w:tcBorders>
              <w:top w:val="single" w:sz="4" w:space="0" w:color="auto"/>
              <w:left w:val="single" w:sz="4" w:space="0" w:color="auto"/>
              <w:bottom w:val="single" w:sz="4" w:space="0" w:color="auto"/>
              <w:right w:val="single" w:sz="4" w:space="0" w:color="auto"/>
            </w:tcBorders>
            <w:vAlign w:val="center"/>
            <w:hideMark/>
          </w:tcPr>
          <w:p w14:paraId="587319E8"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b/>
                <w:sz w:val="16"/>
                <w:szCs w:val="16"/>
                <w:lang w:eastAsia="en-AU"/>
              </w:rPr>
              <w:t>Co-administered Drug</w:t>
            </w:r>
          </w:p>
        </w:tc>
        <w:tc>
          <w:tcPr>
            <w:tcW w:w="1894" w:type="dxa"/>
            <w:vMerge w:val="restart"/>
            <w:tcBorders>
              <w:top w:val="single" w:sz="4" w:space="0" w:color="auto"/>
              <w:left w:val="single" w:sz="4" w:space="0" w:color="auto"/>
              <w:bottom w:val="single" w:sz="4" w:space="0" w:color="auto"/>
              <w:right w:val="single" w:sz="4" w:space="0" w:color="auto"/>
            </w:tcBorders>
            <w:vAlign w:val="center"/>
            <w:hideMark/>
          </w:tcPr>
          <w:p w14:paraId="52B5ACAE"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Regimen of Co-administered Drug</w:t>
            </w:r>
          </w:p>
        </w:tc>
        <w:tc>
          <w:tcPr>
            <w:tcW w:w="1157" w:type="dxa"/>
            <w:vMerge w:val="restart"/>
            <w:tcBorders>
              <w:top w:val="single" w:sz="4" w:space="0" w:color="auto"/>
              <w:left w:val="single" w:sz="4" w:space="0" w:color="auto"/>
              <w:bottom w:val="single" w:sz="4" w:space="0" w:color="auto"/>
              <w:right w:val="single" w:sz="4" w:space="0" w:color="auto"/>
            </w:tcBorders>
            <w:vAlign w:val="center"/>
            <w:hideMark/>
          </w:tcPr>
          <w:p w14:paraId="1EAE6010"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Regimen of Doravirine</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22A7F8EA"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N</w:t>
            </w:r>
          </w:p>
        </w:tc>
        <w:tc>
          <w:tcPr>
            <w:tcW w:w="3714" w:type="dxa"/>
            <w:gridSpan w:val="4"/>
            <w:tcBorders>
              <w:top w:val="single" w:sz="4" w:space="0" w:color="auto"/>
              <w:left w:val="single" w:sz="4" w:space="0" w:color="auto"/>
              <w:bottom w:val="single" w:sz="4" w:space="0" w:color="auto"/>
              <w:right w:val="single" w:sz="4" w:space="0" w:color="auto"/>
            </w:tcBorders>
            <w:vAlign w:val="center"/>
            <w:hideMark/>
          </w:tcPr>
          <w:p w14:paraId="2104FE34"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Geometric Mean Ratio (90% CI) of Doravirine Pharmacokinetics with/without Co-administered Drug (No Effect=1.00)</w:t>
            </w:r>
          </w:p>
        </w:tc>
      </w:tr>
      <w:tr w:rsidR="00153296" w:rsidRPr="00153296" w14:paraId="2B190B29" w14:textId="77777777" w:rsidTr="000A76E7">
        <w:trPr>
          <w:trHeight w:val="159"/>
          <w:tblHeader/>
        </w:trPr>
        <w:tc>
          <w:tcPr>
            <w:tcW w:w="1344" w:type="dxa"/>
            <w:vMerge/>
            <w:tcBorders>
              <w:top w:val="single" w:sz="4" w:space="0" w:color="auto"/>
              <w:left w:val="single" w:sz="4" w:space="0" w:color="auto"/>
              <w:bottom w:val="single" w:sz="4" w:space="0" w:color="auto"/>
              <w:right w:val="single" w:sz="4" w:space="0" w:color="auto"/>
            </w:tcBorders>
            <w:vAlign w:val="center"/>
            <w:hideMark/>
          </w:tcPr>
          <w:p w14:paraId="1DB75909" w14:textId="77777777" w:rsidR="00153296" w:rsidRPr="00153296" w:rsidRDefault="00153296" w:rsidP="00153296">
            <w:pPr>
              <w:spacing w:after="0" w:line="276" w:lineRule="auto"/>
              <w:rPr>
                <w:rFonts w:eastAsia="MS Gothic" w:cs="Arial"/>
                <w:sz w:val="16"/>
                <w:szCs w:val="16"/>
                <w:lang w:val="en-US" w:eastAsia="ja-JP"/>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14:paraId="1DDF6545" w14:textId="77777777" w:rsidR="00153296" w:rsidRPr="00153296" w:rsidRDefault="00153296" w:rsidP="00153296">
            <w:pPr>
              <w:spacing w:after="0" w:line="276" w:lineRule="auto"/>
              <w:rPr>
                <w:rFonts w:eastAsia="MS Gothic" w:cs="Arial"/>
                <w:b/>
                <w:sz w:val="16"/>
                <w:szCs w:val="16"/>
                <w:lang w:val="en-US" w:eastAsia="ja-JP"/>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14:paraId="1E3CC7FC" w14:textId="77777777" w:rsidR="00153296" w:rsidRPr="00153296" w:rsidRDefault="00153296" w:rsidP="00153296">
            <w:pPr>
              <w:spacing w:after="0" w:line="276" w:lineRule="auto"/>
              <w:rPr>
                <w:rFonts w:eastAsia="MS Gothic" w:cs="Arial"/>
                <w:b/>
                <w:sz w:val="16"/>
                <w:szCs w:val="16"/>
                <w:lang w:val="en-US" w:eastAsia="ja-JP"/>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1CD0BFB4" w14:textId="77777777" w:rsidR="00153296" w:rsidRPr="00153296" w:rsidRDefault="00153296" w:rsidP="00153296">
            <w:pPr>
              <w:spacing w:after="0" w:line="276" w:lineRule="auto"/>
              <w:rPr>
                <w:rFonts w:eastAsia="MS Gothic" w:cs="Arial"/>
                <w:b/>
                <w:sz w:val="16"/>
                <w:szCs w:val="16"/>
                <w:lang w:val="en-US" w:eastAsia="ja-JP"/>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0F5715DD" w14:textId="77777777" w:rsidR="00153296" w:rsidRPr="00153296" w:rsidRDefault="00153296" w:rsidP="00153296">
            <w:pPr>
              <w:spacing w:after="0" w:line="276" w:lineRule="auto"/>
              <w:jc w:val="center"/>
              <w:rPr>
                <w:rFonts w:eastAsia="MS Gothic" w:cs="Arial"/>
                <w:b/>
                <w:sz w:val="16"/>
                <w:szCs w:val="16"/>
                <w:highlight w:val="green"/>
                <w:lang w:val="en-US" w:eastAsia="ja-JP"/>
              </w:rPr>
            </w:pPr>
            <w:r w:rsidRPr="00153296">
              <w:rPr>
                <w:rFonts w:eastAsia="MS Gothic" w:cs="Arial"/>
                <w:b/>
                <w:sz w:val="16"/>
                <w:szCs w:val="16"/>
                <w:lang w:eastAsia="en-AU"/>
              </w:rPr>
              <w:t>AUC</w:t>
            </w:r>
            <w:r w:rsidRPr="00153296">
              <w:rPr>
                <w:rFonts w:eastAsia="Calibri" w:cs="Arial"/>
                <w:szCs w:val="16"/>
                <w:lang w:eastAsia="en-AU"/>
              </w:rPr>
              <w:t>*</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1AEE7EFA" w14:textId="77777777" w:rsidR="00153296" w:rsidRPr="00153296" w:rsidRDefault="00153296" w:rsidP="00153296">
            <w:pPr>
              <w:spacing w:after="0" w:line="276" w:lineRule="auto"/>
              <w:jc w:val="center"/>
              <w:rPr>
                <w:rFonts w:eastAsia="MS Gothic" w:cs="Arial"/>
                <w:b/>
                <w:sz w:val="16"/>
                <w:szCs w:val="16"/>
                <w:lang w:val="en-US" w:eastAsia="ja-JP"/>
              </w:rPr>
            </w:pPr>
            <w:proofErr w:type="spellStart"/>
            <w:r w:rsidRPr="00153296">
              <w:rPr>
                <w:rFonts w:eastAsia="MS Gothic" w:cs="Arial"/>
                <w:b/>
                <w:sz w:val="16"/>
                <w:szCs w:val="16"/>
                <w:lang w:eastAsia="en-AU"/>
              </w:rPr>
              <w:t>C</w:t>
            </w:r>
            <w:r w:rsidRPr="00153296">
              <w:rPr>
                <w:rFonts w:eastAsia="MS Gothic" w:cs="Arial"/>
                <w:b/>
                <w:sz w:val="16"/>
                <w:szCs w:val="16"/>
                <w:vertAlign w:val="subscript"/>
                <w:lang w:eastAsia="en-AU"/>
              </w:rPr>
              <w:t>max</w:t>
            </w:r>
            <w:proofErr w:type="spellEnd"/>
          </w:p>
        </w:tc>
        <w:tc>
          <w:tcPr>
            <w:tcW w:w="864" w:type="dxa"/>
            <w:tcBorders>
              <w:top w:val="single" w:sz="4" w:space="0" w:color="auto"/>
              <w:left w:val="single" w:sz="4" w:space="0" w:color="auto"/>
              <w:bottom w:val="single" w:sz="4" w:space="0" w:color="auto"/>
              <w:right w:val="single" w:sz="4" w:space="0" w:color="auto"/>
            </w:tcBorders>
            <w:vAlign w:val="center"/>
            <w:hideMark/>
          </w:tcPr>
          <w:p w14:paraId="4A89FF6E"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C</w:t>
            </w:r>
            <w:r w:rsidRPr="00153296">
              <w:rPr>
                <w:rFonts w:eastAsia="MS Gothic" w:cs="Arial"/>
                <w:b/>
                <w:sz w:val="16"/>
                <w:szCs w:val="16"/>
                <w:vertAlign w:val="subscript"/>
                <w:lang w:eastAsia="en-AU"/>
              </w:rPr>
              <w:t>24</w:t>
            </w:r>
          </w:p>
        </w:tc>
      </w:tr>
      <w:tr w:rsidR="00153296" w:rsidRPr="00153296" w14:paraId="4775960B" w14:textId="77777777" w:rsidTr="000A76E7">
        <w:trPr>
          <w:trHeight w:val="332"/>
        </w:trPr>
        <w:tc>
          <w:tcPr>
            <w:tcW w:w="8931" w:type="dxa"/>
            <w:gridSpan w:val="8"/>
            <w:tcBorders>
              <w:top w:val="single" w:sz="4" w:space="0" w:color="auto"/>
              <w:left w:val="single" w:sz="4" w:space="0" w:color="auto"/>
              <w:bottom w:val="single" w:sz="4" w:space="0" w:color="auto"/>
              <w:right w:val="single" w:sz="4" w:space="0" w:color="auto"/>
            </w:tcBorders>
            <w:vAlign w:val="center"/>
            <w:hideMark/>
          </w:tcPr>
          <w:p w14:paraId="7ACDE275"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Azole Antifungal Agents</w:t>
            </w:r>
          </w:p>
        </w:tc>
      </w:tr>
      <w:tr w:rsidR="00153296" w:rsidRPr="00153296" w14:paraId="0D88F3CC" w14:textId="77777777" w:rsidTr="000A76E7">
        <w:trPr>
          <w:trHeight w:val="341"/>
        </w:trPr>
        <w:tc>
          <w:tcPr>
            <w:tcW w:w="1344" w:type="dxa"/>
            <w:tcBorders>
              <w:top w:val="single" w:sz="4" w:space="0" w:color="auto"/>
              <w:left w:val="single" w:sz="4" w:space="0" w:color="auto"/>
              <w:bottom w:val="single" w:sz="4" w:space="0" w:color="auto"/>
              <w:right w:val="single" w:sz="4" w:space="0" w:color="auto"/>
            </w:tcBorders>
            <w:vAlign w:val="center"/>
            <w:hideMark/>
          </w:tcPr>
          <w:p w14:paraId="050A0149"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ketoconazole</w:t>
            </w:r>
          </w:p>
        </w:tc>
        <w:tc>
          <w:tcPr>
            <w:tcW w:w="1894" w:type="dxa"/>
            <w:tcBorders>
              <w:top w:val="single" w:sz="4" w:space="0" w:color="auto"/>
              <w:left w:val="single" w:sz="4" w:space="0" w:color="auto"/>
              <w:bottom w:val="single" w:sz="4" w:space="0" w:color="auto"/>
              <w:right w:val="single" w:sz="4" w:space="0" w:color="auto"/>
            </w:tcBorders>
            <w:vAlign w:val="center"/>
            <w:hideMark/>
          </w:tcPr>
          <w:p w14:paraId="6BE00676"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400 mg QD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C64DEDF"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14C6CA2F"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9473741"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3.06 (2.85, 3.29)</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2C1F8BB6"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1.25 (1.05, 1.49)</w:t>
            </w:r>
          </w:p>
        </w:tc>
        <w:tc>
          <w:tcPr>
            <w:tcW w:w="864" w:type="dxa"/>
            <w:tcBorders>
              <w:top w:val="single" w:sz="4" w:space="0" w:color="auto"/>
              <w:left w:val="single" w:sz="4" w:space="0" w:color="auto"/>
              <w:bottom w:val="single" w:sz="4" w:space="0" w:color="auto"/>
              <w:right w:val="single" w:sz="4" w:space="0" w:color="auto"/>
            </w:tcBorders>
            <w:vAlign w:val="center"/>
            <w:hideMark/>
          </w:tcPr>
          <w:p w14:paraId="513F8973"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2.75 (2.54, 2.98)</w:t>
            </w:r>
          </w:p>
        </w:tc>
      </w:tr>
      <w:tr w:rsidR="00153296" w:rsidRPr="00153296" w14:paraId="6DFBD430" w14:textId="77777777" w:rsidTr="000A76E7">
        <w:trPr>
          <w:trHeight w:val="314"/>
        </w:trPr>
        <w:tc>
          <w:tcPr>
            <w:tcW w:w="8931" w:type="dxa"/>
            <w:gridSpan w:val="8"/>
            <w:tcBorders>
              <w:top w:val="single" w:sz="4" w:space="0" w:color="auto"/>
              <w:left w:val="single" w:sz="4" w:space="0" w:color="auto"/>
              <w:bottom w:val="single" w:sz="4" w:space="0" w:color="auto"/>
              <w:right w:val="single" w:sz="4" w:space="0" w:color="auto"/>
            </w:tcBorders>
            <w:vAlign w:val="center"/>
            <w:hideMark/>
          </w:tcPr>
          <w:p w14:paraId="59FD859E" w14:textId="77777777" w:rsidR="00153296" w:rsidRPr="00153296" w:rsidRDefault="00153296" w:rsidP="00153296">
            <w:pPr>
              <w:spacing w:after="0" w:line="276" w:lineRule="auto"/>
              <w:jc w:val="center"/>
              <w:rPr>
                <w:rFonts w:eastAsia="MS Gothic" w:cs="Arial"/>
                <w:b/>
                <w:sz w:val="16"/>
                <w:szCs w:val="16"/>
                <w:lang w:val="en-US" w:eastAsia="ja-JP"/>
              </w:rPr>
            </w:pPr>
            <w:proofErr w:type="spellStart"/>
            <w:r w:rsidRPr="00153296">
              <w:rPr>
                <w:rFonts w:eastAsia="MS Gothic" w:cs="Arial"/>
                <w:b/>
                <w:sz w:val="16"/>
                <w:szCs w:val="16"/>
                <w:lang w:eastAsia="en-AU"/>
              </w:rPr>
              <w:t>Antimycobacterials</w:t>
            </w:r>
            <w:proofErr w:type="spellEnd"/>
          </w:p>
        </w:tc>
      </w:tr>
      <w:tr w:rsidR="00153296" w:rsidRPr="00153296" w14:paraId="4CE4049C" w14:textId="77777777" w:rsidTr="000A76E7">
        <w:trPr>
          <w:trHeight w:val="368"/>
        </w:trPr>
        <w:tc>
          <w:tcPr>
            <w:tcW w:w="1344" w:type="dxa"/>
            <w:vMerge w:val="restart"/>
            <w:tcBorders>
              <w:top w:val="single" w:sz="4" w:space="0" w:color="auto"/>
              <w:left w:val="single" w:sz="4" w:space="0" w:color="auto"/>
              <w:bottom w:val="single" w:sz="4" w:space="0" w:color="auto"/>
              <w:right w:val="single" w:sz="4" w:space="0" w:color="auto"/>
            </w:tcBorders>
            <w:vAlign w:val="center"/>
            <w:hideMark/>
          </w:tcPr>
          <w:p w14:paraId="710834D0" w14:textId="77777777" w:rsidR="00153296" w:rsidRPr="00153296" w:rsidRDefault="00153296" w:rsidP="00153296">
            <w:pPr>
              <w:spacing w:after="0" w:line="276" w:lineRule="auto"/>
              <w:jc w:val="center"/>
              <w:rPr>
                <w:rFonts w:eastAsia="MS Gothic" w:cs="Arial"/>
                <w:sz w:val="16"/>
                <w:szCs w:val="16"/>
                <w:lang w:val="en-US" w:eastAsia="ja-JP"/>
              </w:rPr>
            </w:pPr>
            <w:proofErr w:type="spellStart"/>
            <w:r w:rsidRPr="00153296">
              <w:rPr>
                <w:rFonts w:eastAsia="MS Gothic" w:cs="Arial"/>
                <w:sz w:val="16"/>
                <w:szCs w:val="16"/>
                <w:lang w:eastAsia="en-AU"/>
              </w:rPr>
              <w:t>rifampin</w:t>
            </w:r>
            <w:proofErr w:type="spellEnd"/>
          </w:p>
        </w:tc>
        <w:tc>
          <w:tcPr>
            <w:tcW w:w="1894" w:type="dxa"/>
            <w:tcBorders>
              <w:top w:val="single" w:sz="4" w:space="0" w:color="auto"/>
              <w:left w:val="single" w:sz="4" w:space="0" w:color="auto"/>
              <w:bottom w:val="single" w:sz="4" w:space="0" w:color="auto"/>
              <w:right w:val="single" w:sz="4" w:space="0" w:color="auto"/>
            </w:tcBorders>
            <w:vAlign w:val="center"/>
            <w:hideMark/>
          </w:tcPr>
          <w:p w14:paraId="62DF07AC"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600 mg SD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13631EB"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25D572"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11</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7A3E6C"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0.91 (0.78, 1.06)</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09B97E11"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1.40 (1.21, 1.63)</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261AEF"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0.90 (0.80, 1.01)</w:t>
            </w:r>
          </w:p>
        </w:tc>
      </w:tr>
      <w:tr w:rsidR="00153296" w:rsidRPr="00153296" w14:paraId="00C1F28B" w14:textId="77777777" w:rsidTr="000A76E7">
        <w:trPr>
          <w:trHeight w:val="368"/>
        </w:trPr>
        <w:tc>
          <w:tcPr>
            <w:tcW w:w="1344" w:type="dxa"/>
            <w:vMerge/>
            <w:tcBorders>
              <w:top w:val="single" w:sz="4" w:space="0" w:color="auto"/>
              <w:left w:val="single" w:sz="4" w:space="0" w:color="auto"/>
              <w:bottom w:val="single" w:sz="4" w:space="0" w:color="auto"/>
              <w:right w:val="single" w:sz="4" w:space="0" w:color="auto"/>
            </w:tcBorders>
            <w:vAlign w:val="center"/>
            <w:hideMark/>
          </w:tcPr>
          <w:p w14:paraId="6291C0F1" w14:textId="77777777" w:rsidR="00153296" w:rsidRPr="00153296" w:rsidRDefault="00153296" w:rsidP="00153296">
            <w:pPr>
              <w:spacing w:after="0" w:line="276" w:lineRule="auto"/>
              <w:rPr>
                <w:rFonts w:eastAsia="MS Gothic" w:cs="Arial"/>
                <w:sz w:val="16"/>
                <w:szCs w:val="16"/>
                <w:lang w:val="en-US" w:eastAsia="ja-JP"/>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0CA3C973"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600 mg QD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27409D6"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38AA0E0A"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EE9716B"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0.12 (0.10, 0.15)</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0CB11A46"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0.43 (0.35, 0.52)</w:t>
            </w:r>
          </w:p>
        </w:tc>
        <w:tc>
          <w:tcPr>
            <w:tcW w:w="864" w:type="dxa"/>
            <w:tcBorders>
              <w:top w:val="single" w:sz="4" w:space="0" w:color="auto"/>
              <w:left w:val="single" w:sz="4" w:space="0" w:color="auto"/>
              <w:bottom w:val="single" w:sz="4" w:space="0" w:color="auto"/>
              <w:right w:val="single" w:sz="4" w:space="0" w:color="auto"/>
            </w:tcBorders>
            <w:vAlign w:val="center"/>
            <w:hideMark/>
          </w:tcPr>
          <w:p w14:paraId="0149A169"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0.03 (0.02, 0.04)</w:t>
            </w:r>
          </w:p>
        </w:tc>
      </w:tr>
      <w:tr w:rsidR="00153296" w:rsidRPr="00153296" w14:paraId="0E381912" w14:textId="77777777" w:rsidTr="000A76E7">
        <w:trPr>
          <w:trHeight w:val="350"/>
        </w:trPr>
        <w:tc>
          <w:tcPr>
            <w:tcW w:w="1344" w:type="dxa"/>
            <w:tcBorders>
              <w:top w:val="single" w:sz="4" w:space="0" w:color="auto"/>
              <w:left w:val="single" w:sz="4" w:space="0" w:color="auto"/>
              <w:bottom w:val="single" w:sz="4" w:space="0" w:color="auto"/>
              <w:right w:val="single" w:sz="4" w:space="0" w:color="auto"/>
            </w:tcBorders>
            <w:vAlign w:val="center"/>
            <w:hideMark/>
          </w:tcPr>
          <w:p w14:paraId="2B827738" w14:textId="77777777" w:rsidR="00153296" w:rsidRPr="00153296" w:rsidRDefault="00153296" w:rsidP="00153296">
            <w:pPr>
              <w:spacing w:after="0" w:line="276" w:lineRule="auto"/>
              <w:jc w:val="center"/>
              <w:rPr>
                <w:rFonts w:eastAsia="MS Gothic" w:cs="Arial"/>
                <w:sz w:val="16"/>
                <w:szCs w:val="16"/>
                <w:lang w:val="en-US" w:eastAsia="ja-JP"/>
              </w:rPr>
            </w:pPr>
            <w:proofErr w:type="spellStart"/>
            <w:r w:rsidRPr="00153296">
              <w:rPr>
                <w:rFonts w:eastAsia="MS Gothic" w:cs="Arial"/>
                <w:sz w:val="16"/>
                <w:szCs w:val="16"/>
                <w:lang w:eastAsia="en-AU"/>
              </w:rPr>
              <w:t>rifabutin</w:t>
            </w:r>
            <w:proofErr w:type="spellEnd"/>
          </w:p>
        </w:tc>
        <w:tc>
          <w:tcPr>
            <w:tcW w:w="1894" w:type="dxa"/>
            <w:tcBorders>
              <w:top w:val="single" w:sz="4" w:space="0" w:color="auto"/>
              <w:left w:val="single" w:sz="4" w:space="0" w:color="auto"/>
              <w:bottom w:val="single" w:sz="4" w:space="0" w:color="auto"/>
              <w:right w:val="single" w:sz="4" w:space="0" w:color="auto"/>
            </w:tcBorders>
            <w:vAlign w:val="center"/>
            <w:hideMark/>
          </w:tcPr>
          <w:p w14:paraId="47247193"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300 mg QD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C25F7DE"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A2F19D"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11BF871"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0.50 (0.45, 0.55)</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2916C9D0"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0.99 (0.85, 1.15)</w:t>
            </w:r>
          </w:p>
        </w:tc>
        <w:tc>
          <w:tcPr>
            <w:tcW w:w="864" w:type="dxa"/>
            <w:tcBorders>
              <w:top w:val="single" w:sz="4" w:space="0" w:color="auto"/>
              <w:left w:val="single" w:sz="4" w:space="0" w:color="auto"/>
              <w:bottom w:val="single" w:sz="4" w:space="0" w:color="auto"/>
              <w:right w:val="single" w:sz="4" w:space="0" w:color="auto"/>
            </w:tcBorders>
            <w:vAlign w:val="center"/>
            <w:hideMark/>
          </w:tcPr>
          <w:p w14:paraId="6A49045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0.32 (0.28, 0.35)</w:t>
            </w:r>
          </w:p>
        </w:tc>
      </w:tr>
      <w:tr w:rsidR="00153296" w:rsidRPr="00153296" w14:paraId="74B47556" w14:textId="77777777" w:rsidTr="000A76E7">
        <w:trPr>
          <w:trHeight w:val="314"/>
        </w:trPr>
        <w:tc>
          <w:tcPr>
            <w:tcW w:w="8931" w:type="dxa"/>
            <w:gridSpan w:val="8"/>
            <w:tcBorders>
              <w:top w:val="single" w:sz="4" w:space="0" w:color="auto"/>
              <w:left w:val="single" w:sz="4" w:space="0" w:color="auto"/>
              <w:bottom w:val="single" w:sz="4" w:space="0" w:color="auto"/>
              <w:right w:val="single" w:sz="4" w:space="0" w:color="auto"/>
            </w:tcBorders>
            <w:vAlign w:val="center"/>
            <w:hideMark/>
          </w:tcPr>
          <w:p w14:paraId="19267DCA"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bCs/>
                <w:sz w:val="16"/>
                <w:szCs w:val="16"/>
                <w:lang w:eastAsia="en-AU"/>
              </w:rPr>
              <w:t>HIV Antiviral Agents</w:t>
            </w:r>
          </w:p>
        </w:tc>
      </w:tr>
      <w:tr w:rsidR="00153296" w:rsidRPr="00153296" w14:paraId="6DE35337" w14:textId="77777777" w:rsidTr="000A76E7">
        <w:trPr>
          <w:trHeight w:val="354"/>
        </w:trPr>
        <w:tc>
          <w:tcPr>
            <w:tcW w:w="1344" w:type="dxa"/>
            <w:tcBorders>
              <w:top w:val="single" w:sz="4" w:space="0" w:color="auto"/>
              <w:left w:val="single" w:sz="4" w:space="0" w:color="auto"/>
              <w:bottom w:val="single" w:sz="4" w:space="0" w:color="auto"/>
              <w:right w:val="single" w:sz="4" w:space="0" w:color="auto"/>
            </w:tcBorders>
            <w:vAlign w:val="center"/>
            <w:hideMark/>
          </w:tcPr>
          <w:p w14:paraId="4A0664F8"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sz w:val="16"/>
                <w:szCs w:val="16"/>
                <w:lang w:eastAsia="en-AU"/>
              </w:rPr>
              <w:t xml:space="preserve">tenofovir DF </w:t>
            </w:r>
          </w:p>
        </w:tc>
        <w:tc>
          <w:tcPr>
            <w:tcW w:w="1894" w:type="dxa"/>
            <w:tcBorders>
              <w:top w:val="single" w:sz="4" w:space="0" w:color="auto"/>
              <w:left w:val="single" w:sz="4" w:space="0" w:color="auto"/>
              <w:bottom w:val="single" w:sz="4" w:space="0" w:color="auto"/>
              <w:right w:val="single" w:sz="4" w:space="0" w:color="auto"/>
            </w:tcBorders>
            <w:vAlign w:val="center"/>
            <w:hideMark/>
          </w:tcPr>
          <w:p w14:paraId="725C5A2E"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300 mg QD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BFC799D"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7FD2733E"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79C115A"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0.95 (0.80, 1.12)</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49527EE3"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0.80 (0.64, 1.01)</w:t>
            </w:r>
          </w:p>
        </w:tc>
        <w:tc>
          <w:tcPr>
            <w:tcW w:w="864" w:type="dxa"/>
            <w:tcBorders>
              <w:top w:val="single" w:sz="4" w:space="0" w:color="auto"/>
              <w:left w:val="single" w:sz="4" w:space="0" w:color="auto"/>
              <w:bottom w:val="single" w:sz="4" w:space="0" w:color="auto"/>
              <w:right w:val="single" w:sz="4" w:space="0" w:color="auto"/>
            </w:tcBorders>
            <w:vAlign w:val="center"/>
            <w:hideMark/>
          </w:tcPr>
          <w:p w14:paraId="7CDAB87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0.94 (0.78, 1.12)</w:t>
            </w:r>
          </w:p>
        </w:tc>
      </w:tr>
      <w:tr w:rsidR="00153296" w:rsidRPr="00153296" w14:paraId="15AF77EE" w14:textId="77777777" w:rsidTr="000A76E7">
        <w:trPr>
          <w:trHeight w:val="609"/>
        </w:trPr>
        <w:tc>
          <w:tcPr>
            <w:tcW w:w="1344" w:type="dxa"/>
            <w:tcBorders>
              <w:top w:val="single" w:sz="4" w:space="0" w:color="auto"/>
              <w:left w:val="single" w:sz="4" w:space="0" w:color="auto"/>
              <w:bottom w:val="single" w:sz="4" w:space="0" w:color="auto"/>
              <w:right w:val="single" w:sz="4" w:space="0" w:color="auto"/>
            </w:tcBorders>
            <w:vAlign w:val="center"/>
            <w:hideMark/>
          </w:tcPr>
          <w:p w14:paraId="44FC68C8"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bCs/>
                <w:sz w:val="16"/>
                <w:szCs w:val="16"/>
                <w:lang w:val="en-IN" w:eastAsia="en-AU"/>
              </w:rPr>
              <w:t xml:space="preserve">lamivudine </w:t>
            </w:r>
            <w:r w:rsidRPr="00153296">
              <w:rPr>
                <w:rFonts w:eastAsia="MS Gothic" w:cs="Arial"/>
                <w:sz w:val="16"/>
                <w:szCs w:val="16"/>
                <w:lang w:eastAsia="en-AU"/>
              </w:rPr>
              <w:t xml:space="preserve">+ </w:t>
            </w:r>
            <w:r w:rsidRPr="00153296">
              <w:rPr>
                <w:rFonts w:eastAsia="MS Gothic" w:cs="Arial"/>
                <w:bCs/>
                <w:sz w:val="16"/>
                <w:szCs w:val="16"/>
                <w:lang w:val="en-IN" w:eastAsia="en-AU"/>
              </w:rPr>
              <w:t xml:space="preserve">tenofovir DF </w:t>
            </w:r>
          </w:p>
        </w:tc>
        <w:tc>
          <w:tcPr>
            <w:tcW w:w="1894" w:type="dxa"/>
            <w:tcBorders>
              <w:top w:val="single" w:sz="4" w:space="0" w:color="auto"/>
              <w:left w:val="single" w:sz="4" w:space="0" w:color="auto"/>
              <w:bottom w:val="single" w:sz="4" w:space="0" w:color="auto"/>
              <w:right w:val="single" w:sz="4" w:space="0" w:color="auto"/>
            </w:tcBorders>
            <w:vAlign w:val="center"/>
            <w:hideMark/>
          </w:tcPr>
          <w:p w14:paraId="224C879E"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300 mg lamivudine SD + 300 mg tenofovir DF SD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CFB6C6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047A612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5ED850E"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0.96 (0.87, 1.06)</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64166843"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bCs/>
                <w:sz w:val="16"/>
                <w:szCs w:val="16"/>
                <w:lang w:val="en-IN" w:eastAsia="en-AU"/>
              </w:rPr>
              <w:t>0.97 (0.88, 1.07)</w:t>
            </w:r>
          </w:p>
        </w:tc>
        <w:tc>
          <w:tcPr>
            <w:tcW w:w="864" w:type="dxa"/>
            <w:tcBorders>
              <w:top w:val="single" w:sz="4" w:space="0" w:color="auto"/>
              <w:left w:val="single" w:sz="4" w:space="0" w:color="auto"/>
              <w:bottom w:val="single" w:sz="4" w:space="0" w:color="auto"/>
              <w:right w:val="single" w:sz="4" w:space="0" w:color="auto"/>
            </w:tcBorders>
            <w:vAlign w:val="center"/>
            <w:hideMark/>
          </w:tcPr>
          <w:p w14:paraId="4AAACE0C"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0.94 (0.83, 1.06)</w:t>
            </w:r>
          </w:p>
        </w:tc>
      </w:tr>
      <w:tr w:rsidR="00153296" w:rsidRPr="00153296" w14:paraId="06AE2427" w14:textId="77777777" w:rsidTr="000A76E7">
        <w:trPr>
          <w:trHeight w:val="322"/>
        </w:trPr>
        <w:tc>
          <w:tcPr>
            <w:tcW w:w="8931" w:type="dxa"/>
            <w:gridSpan w:val="8"/>
            <w:tcBorders>
              <w:top w:val="single" w:sz="4" w:space="0" w:color="auto"/>
              <w:left w:val="single" w:sz="4" w:space="0" w:color="auto"/>
              <w:bottom w:val="single" w:sz="4" w:space="0" w:color="auto"/>
              <w:right w:val="single" w:sz="4" w:space="0" w:color="auto"/>
            </w:tcBorders>
            <w:vAlign w:val="center"/>
            <w:hideMark/>
          </w:tcPr>
          <w:p w14:paraId="0798A993"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 xml:space="preserve">Hepatitis C Antiviral Agents </w:t>
            </w:r>
          </w:p>
        </w:tc>
      </w:tr>
      <w:tr w:rsidR="00153296" w:rsidRPr="00153296" w14:paraId="4D5AD367" w14:textId="77777777" w:rsidTr="000A76E7">
        <w:trPr>
          <w:trHeight w:val="433"/>
        </w:trPr>
        <w:tc>
          <w:tcPr>
            <w:tcW w:w="1344" w:type="dxa"/>
            <w:tcBorders>
              <w:top w:val="single" w:sz="4" w:space="0" w:color="auto"/>
              <w:left w:val="single" w:sz="4" w:space="0" w:color="auto"/>
              <w:bottom w:val="single" w:sz="4" w:space="0" w:color="auto"/>
              <w:right w:val="single" w:sz="4" w:space="0" w:color="auto"/>
            </w:tcBorders>
            <w:vAlign w:val="center"/>
            <w:hideMark/>
          </w:tcPr>
          <w:p w14:paraId="61ADA509" w14:textId="77777777" w:rsidR="00153296" w:rsidRPr="00153296" w:rsidRDefault="00153296" w:rsidP="00153296">
            <w:pPr>
              <w:spacing w:after="0" w:line="276" w:lineRule="auto"/>
              <w:jc w:val="center"/>
              <w:rPr>
                <w:rFonts w:eastAsia="MS Gothic" w:cs="Arial"/>
                <w:bCs/>
                <w:sz w:val="16"/>
                <w:szCs w:val="16"/>
                <w:lang w:val="en-IN" w:eastAsia="ja-JP"/>
              </w:rPr>
            </w:pPr>
            <w:proofErr w:type="spellStart"/>
            <w:r w:rsidRPr="00153296">
              <w:rPr>
                <w:rFonts w:eastAsia="MS Gothic" w:cs="Arial"/>
                <w:bCs/>
                <w:sz w:val="16"/>
                <w:szCs w:val="16"/>
                <w:lang w:val="en-IN" w:eastAsia="en-AU"/>
              </w:rPr>
              <w:lastRenderedPageBreak/>
              <w:t>elbasvir</w:t>
            </w:r>
            <w:proofErr w:type="spellEnd"/>
            <w:r w:rsidRPr="00153296">
              <w:rPr>
                <w:rFonts w:eastAsia="MS Gothic" w:cs="Arial"/>
                <w:bCs/>
                <w:sz w:val="16"/>
                <w:szCs w:val="16"/>
                <w:lang w:val="en-IN" w:eastAsia="en-AU"/>
              </w:rPr>
              <w:t xml:space="preserve"> + </w:t>
            </w:r>
            <w:proofErr w:type="spellStart"/>
            <w:r w:rsidRPr="00153296">
              <w:rPr>
                <w:rFonts w:eastAsia="MS Gothic" w:cs="Arial"/>
                <w:bCs/>
                <w:sz w:val="16"/>
                <w:szCs w:val="16"/>
                <w:lang w:val="en-IN" w:eastAsia="en-AU"/>
              </w:rPr>
              <w:t>grazoprevir</w:t>
            </w:r>
            <w:proofErr w:type="spellEnd"/>
          </w:p>
        </w:tc>
        <w:tc>
          <w:tcPr>
            <w:tcW w:w="1894" w:type="dxa"/>
            <w:tcBorders>
              <w:top w:val="single" w:sz="4" w:space="0" w:color="auto"/>
              <w:left w:val="single" w:sz="4" w:space="0" w:color="auto"/>
              <w:bottom w:val="single" w:sz="4" w:space="0" w:color="auto"/>
              <w:right w:val="single" w:sz="4" w:space="0" w:color="auto"/>
            </w:tcBorders>
            <w:vAlign w:val="center"/>
            <w:hideMark/>
          </w:tcPr>
          <w:p w14:paraId="5DA1454D"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 xml:space="preserve">50 mg </w:t>
            </w:r>
            <w:proofErr w:type="spellStart"/>
            <w:r w:rsidRPr="00153296">
              <w:rPr>
                <w:rFonts w:eastAsia="MS Gothic" w:cs="Arial"/>
                <w:sz w:val="16"/>
                <w:szCs w:val="16"/>
                <w:lang w:eastAsia="en-AU"/>
              </w:rPr>
              <w:t>elbasvir</w:t>
            </w:r>
            <w:proofErr w:type="spellEnd"/>
            <w:r w:rsidRPr="00153296">
              <w:rPr>
                <w:rFonts w:eastAsia="MS Gothic" w:cs="Arial"/>
                <w:sz w:val="16"/>
                <w:szCs w:val="16"/>
                <w:lang w:eastAsia="en-AU"/>
              </w:rPr>
              <w:t xml:space="preserve"> QD + 200 mg </w:t>
            </w:r>
            <w:proofErr w:type="spellStart"/>
            <w:r w:rsidRPr="00153296">
              <w:rPr>
                <w:rFonts w:eastAsia="MS Gothic" w:cs="Arial"/>
                <w:sz w:val="16"/>
                <w:szCs w:val="16"/>
                <w:lang w:eastAsia="en-AU"/>
              </w:rPr>
              <w:t>grazoprevir</w:t>
            </w:r>
            <w:proofErr w:type="spellEnd"/>
            <w:r w:rsidRPr="00153296">
              <w:rPr>
                <w:rFonts w:eastAsia="MS Gothic" w:cs="Arial"/>
                <w:sz w:val="16"/>
                <w:szCs w:val="16"/>
                <w:lang w:eastAsia="en-AU"/>
              </w:rPr>
              <w:t xml:space="preserve"> QD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EEC7E8E"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QD</w:t>
            </w:r>
          </w:p>
        </w:tc>
        <w:tc>
          <w:tcPr>
            <w:tcW w:w="822" w:type="dxa"/>
            <w:tcBorders>
              <w:top w:val="single" w:sz="4" w:space="0" w:color="auto"/>
              <w:left w:val="single" w:sz="4" w:space="0" w:color="auto"/>
              <w:bottom w:val="single" w:sz="4" w:space="0" w:color="auto"/>
              <w:right w:val="single" w:sz="4" w:space="0" w:color="auto"/>
            </w:tcBorders>
            <w:vAlign w:val="center"/>
            <w:hideMark/>
          </w:tcPr>
          <w:p w14:paraId="21BFD06D"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6AB99F9"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1.56 (1.45, 1.68)</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103EBE07"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1.41 (1.25, 1.58)</w:t>
            </w:r>
          </w:p>
        </w:tc>
        <w:tc>
          <w:tcPr>
            <w:tcW w:w="864" w:type="dxa"/>
            <w:tcBorders>
              <w:top w:val="single" w:sz="4" w:space="0" w:color="auto"/>
              <w:left w:val="single" w:sz="4" w:space="0" w:color="auto"/>
              <w:bottom w:val="single" w:sz="4" w:space="0" w:color="auto"/>
              <w:right w:val="single" w:sz="4" w:space="0" w:color="auto"/>
            </w:tcBorders>
            <w:vAlign w:val="center"/>
            <w:hideMark/>
          </w:tcPr>
          <w:p w14:paraId="520CBA7B"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1.61 (1.45, 1.79)</w:t>
            </w:r>
          </w:p>
        </w:tc>
      </w:tr>
      <w:tr w:rsidR="00153296" w:rsidRPr="00153296" w14:paraId="64ABFBE7" w14:textId="77777777" w:rsidTr="000A76E7">
        <w:trPr>
          <w:trHeight w:val="411"/>
        </w:trPr>
        <w:tc>
          <w:tcPr>
            <w:tcW w:w="1344" w:type="dxa"/>
            <w:tcBorders>
              <w:top w:val="single" w:sz="4" w:space="0" w:color="auto"/>
              <w:left w:val="single" w:sz="4" w:space="0" w:color="auto"/>
              <w:bottom w:val="single" w:sz="4" w:space="0" w:color="auto"/>
              <w:right w:val="single" w:sz="4" w:space="0" w:color="auto"/>
            </w:tcBorders>
            <w:vAlign w:val="center"/>
            <w:hideMark/>
          </w:tcPr>
          <w:p w14:paraId="306D04A4" w14:textId="77777777" w:rsidR="00153296" w:rsidRPr="00153296" w:rsidRDefault="00153296" w:rsidP="00153296">
            <w:pPr>
              <w:spacing w:after="0" w:line="276" w:lineRule="auto"/>
              <w:jc w:val="center"/>
              <w:rPr>
                <w:rFonts w:eastAsia="MS Gothic" w:cs="Arial"/>
                <w:bCs/>
                <w:sz w:val="16"/>
                <w:szCs w:val="16"/>
                <w:lang w:val="en-IN" w:eastAsia="ja-JP"/>
              </w:rPr>
            </w:pPr>
            <w:proofErr w:type="spellStart"/>
            <w:r w:rsidRPr="00153296">
              <w:rPr>
                <w:rFonts w:eastAsia="MS Gothic" w:cs="Arial"/>
                <w:bCs/>
                <w:sz w:val="16"/>
                <w:szCs w:val="16"/>
                <w:lang w:val="en-IN" w:eastAsia="en-AU"/>
              </w:rPr>
              <w:t>ledipasvir</w:t>
            </w:r>
            <w:proofErr w:type="spellEnd"/>
            <w:r w:rsidRPr="00153296">
              <w:rPr>
                <w:rFonts w:eastAsia="MS Gothic" w:cs="Arial"/>
                <w:bCs/>
                <w:sz w:val="16"/>
                <w:szCs w:val="16"/>
                <w:lang w:val="en-IN" w:eastAsia="en-AU"/>
              </w:rPr>
              <w:t xml:space="preserve"> + </w:t>
            </w:r>
            <w:proofErr w:type="spellStart"/>
            <w:r w:rsidRPr="00153296">
              <w:rPr>
                <w:rFonts w:eastAsia="MS Gothic" w:cs="Arial"/>
                <w:bCs/>
                <w:sz w:val="16"/>
                <w:szCs w:val="16"/>
                <w:lang w:val="en-IN" w:eastAsia="en-AU"/>
              </w:rPr>
              <w:t>sofosbuvir</w:t>
            </w:r>
            <w:proofErr w:type="spellEnd"/>
          </w:p>
        </w:tc>
        <w:tc>
          <w:tcPr>
            <w:tcW w:w="1894" w:type="dxa"/>
            <w:tcBorders>
              <w:top w:val="single" w:sz="4" w:space="0" w:color="auto"/>
              <w:left w:val="single" w:sz="4" w:space="0" w:color="auto"/>
              <w:bottom w:val="single" w:sz="4" w:space="0" w:color="auto"/>
              <w:right w:val="single" w:sz="4" w:space="0" w:color="auto"/>
            </w:tcBorders>
            <w:vAlign w:val="center"/>
            <w:hideMark/>
          </w:tcPr>
          <w:p w14:paraId="6157C278"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bCs/>
                <w:sz w:val="16"/>
                <w:szCs w:val="16"/>
                <w:lang w:val="en-IN" w:eastAsia="en-AU"/>
              </w:rPr>
              <w:t xml:space="preserve">90 mg </w:t>
            </w:r>
            <w:proofErr w:type="spellStart"/>
            <w:r w:rsidRPr="00153296">
              <w:rPr>
                <w:rFonts w:eastAsia="MS Gothic" w:cs="Arial"/>
                <w:bCs/>
                <w:sz w:val="16"/>
                <w:szCs w:val="16"/>
                <w:lang w:val="en-IN" w:eastAsia="en-AU"/>
              </w:rPr>
              <w:t>ledipasvir</w:t>
            </w:r>
            <w:proofErr w:type="spellEnd"/>
            <w:r w:rsidRPr="00153296">
              <w:rPr>
                <w:rFonts w:eastAsia="MS Gothic" w:cs="Arial"/>
                <w:bCs/>
                <w:sz w:val="16"/>
                <w:szCs w:val="16"/>
                <w:lang w:val="en-IN" w:eastAsia="en-AU"/>
              </w:rPr>
              <w:t xml:space="preserve"> SD + 400 mg </w:t>
            </w:r>
            <w:proofErr w:type="spellStart"/>
            <w:r w:rsidRPr="00153296">
              <w:rPr>
                <w:rFonts w:eastAsia="MS Gothic" w:cs="Arial"/>
                <w:bCs/>
                <w:sz w:val="16"/>
                <w:szCs w:val="16"/>
                <w:lang w:val="en-IN" w:eastAsia="en-AU"/>
              </w:rPr>
              <w:t>sofosbuvir</w:t>
            </w:r>
            <w:proofErr w:type="spellEnd"/>
            <w:r w:rsidRPr="00153296">
              <w:rPr>
                <w:rFonts w:eastAsia="MS Gothic" w:cs="Arial"/>
                <w:bCs/>
                <w:sz w:val="16"/>
                <w:szCs w:val="16"/>
                <w:lang w:val="en-IN" w:eastAsia="en-AU"/>
              </w:rPr>
              <w:t xml:space="preserve"> SD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ECC6CF3"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037CB40C"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213D6F2"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1.15 (1.07, 1.24)</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2E29F0A9"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1.11 (0.97, 1.27)</w:t>
            </w:r>
          </w:p>
        </w:tc>
        <w:tc>
          <w:tcPr>
            <w:tcW w:w="864" w:type="dxa"/>
            <w:tcBorders>
              <w:top w:val="single" w:sz="4" w:space="0" w:color="auto"/>
              <w:left w:val="single" w:sz="4" w:space="0" w:color="auto"/>
              <w:bottom w:val="single" w:sz="4" w:space="0" w:color="auto"/>
              <w:right w:val="single" w:sz="4" w:space="0" w:color="auto"/>
            </w:tcBorders>
            <w:vAlign w:val="center"/>
            <w:hideMark/>
          </w:tcPr>
          <w:p w14:paraId="1A0248B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1.24 (1.13, 1.36)</w:t>
            </w:r>
          </w:p>
        </w:tc>
      </w:tr>
      <w:tr w:rsidR="00153296" w:rsidRPr="00153296" w14:paraId="51D61637" w14:textId="77777777" w:rsidTr="000A76E7">
        <w:trPr>
          <w:trHeight w:val="282"/>
        </w:trPr>
        <w:tc>
          <w:tcPr>
            <w:tcW w:w="8931" w:type="dxa"/>
            <w:gridSpan w:val="8"/>
            <w:tcBorders>
              <w:top w:val="single" w:sz="4" w:space="0" w:color="auto"/>
              <w:left w:val="single" w:sz="4" w:space="0" w:color="auto"/>
              <w:bottom w:val="single" w:sz="4" w:space="0" w:color="auto"/>
              <w:right w:val="single" w:sz="4" w:space="0" w:color="auto"/>
            </w:tcBorders>
            <w:vAlign w:val="center"/>
            <w:hideMark/>
          </w:tcPr>
          <w:p w14:paraId="34EBB6F1"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Acid-Reducing Agents</w:t>
            </w:r>
          </w:p>
        </w:tc>
      </w:tr>
      <w:tr w:rsidR="00153296" w:rsidRPr="00153296" w14:paraId="1F7C7818" w14:textId="77777777" w:rsidTr="000A76E7">
        <w:trPr>
          <w:trHeight w:val="354"/>
        </w:trPr>
        <w:tc>
          <w:tcPr>
            <w:tcW w:w="1344" w:type="dxa"/>
            <w:tcBorders>
              <w:top w:val="single" w:sz="4" w:space="0" w:color="auto"/>
              <w:left w:val="single" w:sz="4" w:space="0" w:color="auto"/>
              <w:bottom w:val="single" w:sz="4" w:space="0" w:color="auto"/>
              <w:right w:val="single" w:sz="4" w:space="0" w:color="auto"/>
            </w:tcBorders>
            <w:vAlign w:val="center"/>
            <w:hideMark/>
          </w:tcPr>
          <w:p w14:paraId="1D1F0D94"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antacid (aluminium and magnesium hydroxide oral suspension)</w:t>
            </w:r>
          </w:p>
        </w:tc>
        <w:tc>
          <w:tcPr>
            <w:tcW w:w="1894" w:type="dxa"/>
            <w:tcBorders>
              <w:top w:val="single" w:sz="4" w:space="0" w:color="auto"/>
              <w:left w:val="single" w:sz="4" w:space="0" w:color="auto"/>
              <w:bottom w:val="single" w:sz="4" w:space="0" w:color="auto"/>
              <w:right w:val="single" w:sz="4" w:space="0" w:color="auto"/>
            </w:tcBorders>
            <w:vAlign w:val="center"/>
            <w:hideMark/>
          </w:tcPr>
          <w:p w14:paraId="4B58B930"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20 mL SD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5C538C9"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1A204266"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2A0128D"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1.01 (0.92, 1.11)</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31F4A0B6"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0.86 (0.74, 1.01)</w:t>
            </w:r>
          </w:p>
        </w:tc>
        <w:tc>
          <w:tcPr>
            <w:tcW w:w="864" w:type="dxa"/>
            <w:tcBorders>
              <w:top w:val="single" w:sz="4" w:space="0" w:color="auto"/>
              <w:left w:val="single" w:sz="4" w:space="0" w:color="auto"/>
              <w:bottom w:val="single" w:sz="4" w:space="0" w:color="auto"/>
              <w:right w:val="single" w:sz="4" w:space="0" w:color="auto"/>
            </w:tcBorders>
            <w:vAlign w:val="center"/>
            <w:hideMark/>
          </w:tcPr>
          <w:p w14:paraId="10C638C4"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1.03 (0.94, 1.12)</w:t>
            </w:r>
          </w:p>
        </w:tc>
      </w:tr>
      <w:tr w:rsidR="00153296" w:rsidRPr="00153296" w14:paraId="0E4CD22C" w14:textId="77777777" w:rsidTr="000A76E7">
        <w:trPr>
          <w:trHeight w:val="354"/>
        </w:trPr>
        <w:tc>
          <w:tcPr>
            <w:tcW w:w="1344" w:type="dxa"/>
            <w:tcBorders>
              <w:top w:val="single" w:sz="4" w:space="0" w:color="auto"/>
              <w:left w:val="single" w:sz="4" w:space="0" w:color="auto"/>
              <w:bottom w:val="single" w:sz="4" w:space="0" w:color="auto"/>
              <w:right w:val="single" w:sz="4" w:space="0" w:color="auto"/>
            </w:tcBorders>
            <w:vAlign w:val="center"/>
            <w:hideMark/>
          </w:tcPr>
          <w:p w14:paraId="0517EFBD"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pantoprazole</w:t>
            </w:r>
          </w:p>
        </w:tc>
        <w:tc>
          <w:tcPr>
            <w:tcW w:w="1894" w:type="dxa"/>
            <w:tcBorders>
              <w:top w:val="single" w:sz="4" w:space="0" w:color="auto"/>
              <w:left w:val="single" w:sz="4" w:space="0" w:color="auto"/>
              <w:bottom w:val="single" w:sz="4" w:space="0" w:color="auto"/>
              <w:right w:val="single" w:sz="4" w:space="0" w:color="auto"/>
            </w:tcBorders>
            <w:vAlign w:val="center"/>
            <w:hideMark/>
          </w:tcPr>
          <w:p w14:paraId="0254CFEC"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40 mg QD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AB9554C"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tc>
        <w:tc>
          <w:tcPr>
            <w:tcW w:w="822" w:type="dxa"/>
            <w:tcBorders>
              <w:top w:val="single" w:sz="4" w:space="0" w:color="auto"/>
              <w:left w:val="single" w:sz="4" w:space="0" w:color="auto"/>
              <w:bottom w:val="single" w:sz="4" w:space="0" w:color="auto"/>
              <w:right w:val="single" w:sz="4" w:space="0" w:color="auto"/>
            </w:tcBorders>
            <w:vAlign w:val="center"/>
            <w:hideMark/>
          </w:tcPr>
          <w:p w14:paraId="0309FFCF"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1A75F57"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0.83 (0.76, 0.91)</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14:paraId="7D014B33"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bCs/>
                <w:sz w:val="16"/>
                <w:szCs w:val="16"/>
                <w:lang w:val="en-IN" w:eastAsia="en-AU"/>
              </w:rPr>
              <w:t>0.88 (0.76, 1.01)</w:t>
            </w:r>
          </w:p>
        </w:tc>
        <w:tc>
          <w:tcPr>
            <w:tcW w:w="864" w:type="dxa"/>
            <w:tcBorders>
              <w:top w:val="single" w:sz="4" w:space="0" w:color="auto"/>
              <w:left w:val="single" w:sz="4" w:space="0" w:color="auto"/>
              <w:bottom w:val="single" w:sz="4" w:space="0" w:color="auto"/>
              <w:right w:val="single" w:sz="4" w:space="0" w:color="auto"/>
            </w:tcBorders>
            <w:vAlign w:val="center"/>
            <w:hideMark/>
          </w:tcPr>
          <w:p w14:paraId="35AECF20"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0.84 (0.77, 0.92)</w:t>
            </w:r>
          </w:p>
        </w:tc>
      </w:tr>
      <w:tr w:rsidR="00153296" w:rsidRPr="00153296" w14:paraId="70A89E7D" w14:textId="77777777" w:rsidTr="000A76E7">
        <w:trPr>
          <w:trHeight w:val="287"/>
        </w:trPr>
        <w:tc>
          <w:tcPr>
            <w:tcW w:w="8931" w:type="dxa"/>
            <w:gridSpan w:val="8"/>
            <w:tcBorders>
              <w:top w:val="single" w:sz="4" w:space="0" w:color="auto"/>
              <w:left w:val="single" w:sz="4" w:space="0" w:color="auto"/>
              <w:bottom w:val="single" w:sz="4" w:space="0" w:color="auto"/>
              <w:right w:val="single" w:sz="4" w:space="0" w:color="auto"/>
            </w:tcBorders>
            <w:vAlign w:val="center"/>
            <w:hideMark/>
          </w:tcPr>
          <w:p w14:paraId="3427A9C4"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Opioid Analgesics</w:t>
            </w:r>
          </w:p>
        </w:tc>
      </w:tr>
      <w:tr w:rsidR="00153296" w:rsidRPr="00153296" w14:paraId="6B29D2E6" w14:textId="77777777" w:rsidTr="000A76E7">
        <w:trPr>
          <w:trHeight w:val="354"/>
        </w:trPr>
        <w:tc>
          <w:tcPr>
            <w:tcW w:w="1344" w:type="dxa"/>
            <w:tcBorders>
              <w:top w:val="single" w:sz="4" w:space="0" w:color="auto"/>
              <w:left w:val="single" w:sz="4" w:space="0" w:color="auto"/>
              <w:bottom w:val="single" w:sz="4" w:space="0" w:color="auto"/>
              <w:right w:val="single" w:sz="4" w:space="0" w:color="auto"/>
            </w:tcBorders>
            <w:vAlign w:val="center"/>
            <w:hideMark/>
          </w:tcPr>
          <w:p w14:paraId="0FD51CE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methadone</w:t>
            </w:r>
          </w:p>
        </w:tc>
        <w:tc>
          <w:tcPr>
            <w:tcW w:w="1894" w:type="dxa"/>
            <w:tcBorders>
              <w:top w:val="single" w:sz="4" w:space="0" w:color="auto"/>
              <w:left w:val="single" w:sz="4" w:space="0" w:color="auto"/>
              <w:bottom w:val="single" w:sz="4" w:space="0" w:color="auto"/>
              <w:right w:val="single" w:sz="4" w:space="0" w:color="auto"/>
            </w:tcBorders>
            <w:vAlign w:val="center"/>
            <w:hideMark/>
          </w:tcPr>
          <w:p w14:paraId="7DC23DDA"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20-200 mg QD</w:t>
            </w:r>
          </w:p>
          <w:p w14:paraId="1FCBCB09"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individualized dose</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838CEE4"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QD</w:t>
            </w:r>
          </w:p>
        </w:tc>
        <w:tc>
          <w:tcPr>
            <w:tcW w:w="822" w:type="dxa"/>
            <w:tcBorders>
              <w:top w:val="single" w:sz="4" w:space="0" w:color="auto"/>
              <w:left w:val="single" w:sz="4" w:space="0" w:color="auto"/>
              <w:bottom w:val="single" w:sz="4" w:space="0" w:color="auto"/>
              <w:right w:val="single" w:sz="4" w:space="0" w:color="auto"/>
            </w:tcBorders>
            <w:vAlign w:val="center"/>
            <w:hideMark/>
          </w:tcPr>
          <w:p w14:paraId="6665EAA0"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14</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6EE6E83E"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0.74 (0.61, 0.90)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2B6896D9" w14:textId="77777777" w:rsidR="00153296" w:rsidRPr="00153296" w:rsidRDefault="00153296" w:rsidP="00153296">
            <w:pPr>
              <w:spacing w:after="0" w:line="276" w:lineRule="auto"/>
              <w:jc w:val="center"/>
              <w:rPr>
                <w:rFonts w:eastAsia="MS Gothic" w:cs="Arial"/>
                <w:bCs/>
                <w:sz w:val="16"/>
                <w:szCs w:val="16"/>
                <w:lang w:val="en-IN" w:eastAsia="ja-JP"/>
              </w:rPr>
            </w:pPr>
            <w:r w:rsidRPr="00153296">
              <w:rPr>
                <w:rFonts w:eastAsia="MS Gothic" w:cs="Arial"/>
                <w:sz w:val="16"/>
                <w:szCs w:val="16"/>
                <w:lang w:eastAsia="en-AU"/>
              </w:rPr>
              <w:t>0.76 (0.63, 0.91)</w:t>
            </w:r>
          </w:p>
        </w:tc>
        <w:tc>
          <w:tcPr>
            <w:tcW w:w="864" w:type="dxa"/>
            <w:tcBorders>
              <w:top w:val="single" w:sz="4" w:space="0" w:color="auto"/>
              <w:left w:val="single" w:sz="4" w:space="0" w:color="auto"/>
              <w:bottom w:val="single" w:sz="4" w:space="0" w:color="auto"/>
              <w:right w:val="single" w:sz="4" w:space="0" w:color="auto"/>
            </w:tcBorders>
            <w:vAlign w:val="center"/>
            <w:hideMark/>
          </w:tcPr>
          <w:p w14:paraId="666FD421"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bCs/>
                <w:sz w:val="16"/>
                <w:szCs w:val="16"/>
                <w:lang w:val="en-IN" w:eastAsia="en-AU"/>
              </w:rPr>
              <w:t>0.80 (0.63, 1.03)</w:t>
            </w:r>
          </w:p>
        </w:tc>
      </w:tr>
      <w:tr w:rsidR="00153296" w:rsidRPr="00153296" w14:paraId="5B53A2EC" w14:textId="77777777" w:rsidTr="000A76E7">
        <w:trPr>
          <w:trHeight w:val="354"/>
        </w:trPr>
        <w:tc>
          <w:tcPr>
            <w:tcW w:w="8931" w:type="dxa"/>
            <w:gridSpan w:val="8"/>
            <w:tcBorders>
              <w:top w:val="single" w:sz="4" w:space="0" w:color="auto"/>
              <w:left w:val="single" w:sz="4" w:space="0" w:color="auto"/>
              <w:bottom w:val="single" w:sz="4" w:space="0" w:color="auto"/>
              <w:right w:val="single" w:sz="4" w:space="0" w:color="auto"/>
            </w:tcBorders>
            <w:vAlign w:val="center"/>
            <w:hideMark/>
          </w:tcPr>
          <w:p w14:paraId="3E8CA463" w14:textId="77777777" w:rsidR="00153296" w:rsidRPr="00153296" w:rsidRDefault="00153296" w:rsidP="00153296">
            <w:pPr>
              <w:spacing w:after="0" w:line="276" w:lineRule="auto"/>
              <w:rPr>
                <w:rFonts w:eastAsia="MS Gothic" w:cs="Arial"/>
                <w:sz w:val="16"/>
                <w:szCs w:val="16"/>
                <w:vertAlign w:val="superscript"/>
                <w:lang w:val="en-US" w:eastAsia="ja-JP"/>
              </w:rPr>
            </w:pPr>
            <w:r w:rsidRPr="00153296">
              <w:rPr>
                <w:rFonts w:eastAsia="MS Gothic" w:cs="Arial"/>
                <w:bCs/>
                <w:sz w:val="16"/>
                <w:szCs w:val="16"/>
                <w:lang w:val="en-IN" w:eastAsia="en-AU"/>
              </w:rPr>
              <w:t>CI = Confidence interval; SD = Single Dose; QD = Once Daily</w:t>
            </w:r>
          </w:p>
          <w:p w14:paraId="348B33EC" w14:textId="77777777" w:rsidR="00153296" w:rsidRPr="00153296" w:rsidRDefault="00153296" w:rsidP="00153296">
            <w:pPr>
              <w:spacing w:after="0" w:line="276" w:lineRule="auto"/>
              <w:rPr>
                <w:rFonts w:eastAsia="MS Gothic" w:cs="Arial"/>
                <w:bCs/>
                <w:sz w:val="16"/>
                <w:szCs w:val="16"/>
                <w:lang w:val="en-US" w:eastAsia="ja-JP"/>
              </w:rPr>
            </w:pPr>
            <w:r w:rsidRPr="00153296">
              <w:rPr>
                <w:rFonts w:eastAsia="Calibri" w:cs="Arial"/>
                <w:szCs w:val="16"/>
                <w:lang w:eastAsia="en-AU"/>
              </w:rPr>
              <w:t>*</w:t>
            </w:r>
            <w:r w:rsidRPr="00153296">
              <w:rPr>
                <w:rFonts w:eastAsia="MS Gothic" w:cs="Arial"/>
                <w:bCs/>
                <w:sz w:val="16"/>
                <w:szCs w:val="16"/>
                <w:lang w:eastAsia="en-AU"/>
              </w:rPr>
              <w:t>AUC</w:t>
            </w:r>
            <w:r w:rsidRPr="00153296">
              <w:rPr>
                <w:rFonts w:eastAsia="MS Gothic" w:cs="Arial"/>
                <w:bCs/>
                <w:sz w:val="16"/>
                <w:szCs w:val="16"/>
                <w:vertAlign w:val="subscript"/>
                <w:lang w:eastAsia="en-AU"/>
              </w:rPr>
              <w:t>0-</w:t>
            </w:r>
            <w:r w:rsidRPr="00153296">
              <w:rPr>
                <w:rFonts w:eastAsia="MS Gothic" w:cs="Arial"/>
                <w:bCs/>
                <w:sz w:val="16"/>
                <w:szCs w:val="16"/>
                <w:vertAlign w:val="subscript"/>
                <w:lang w:eastAsia="en-AU"/>
              </w:rPr>
              <w:sym w:font="Symbol" w:char="F0A5"/>
            </w:r>
            <w:r w:rsidRPr="00153296">
              <w:rPr>
                <w:rFonts w:eastAsia="MS Gothic" w:cs="Arial"/>
                <w:bCs/>
                <w:sz w:val="16"/>
                <w:szCs w:val="16"/>
                <w:lang w:eastAsia="en-AU"/>
              </w:rPr>
              <w:t xml:space="preserve"> for single-dose, AUC</w:t>
            </w:r>
            <w:r w:rsidRPr="00153296">
              <w:rPr>
                <w:rFonts w:eastAsia="MS Gothic" w:cs="Arial"/>
                <w:bCs/>
                <w:sz w:val="16"/>
                <w:szCs w:val="16"/>
                <w:vertAlign w:val="subscript"/>
                <w:lang w:eastAsia="en-AU"/>
              </w:rPr>
              <w:t>0-24</w:t>
            </w:r>
            <w:r w:rsidRPr="00153296">
              <w:rPr>
                <w:rFonts w:eastAsia="MS Gothic" w:cs="Arial"/>
                <w:bCs/>
                <w:sz w:val="16"/>
                <w:szCs w:val="16"/>
                <w:lang w:eastAsia="en-AU"/>
              </w:rPr>
              <w:t xml:space="preserve"> for once daily.</w:t>
            </w:r>
          </w:p>
        </w:tc>
      </w:tr>
    </w:tbl>
    <w:p w14:paraId="2D953053" w14:textId="75F606E4" w:rsidR="00153296" w:rsidRPr="00153296" w:rsidRDefault="00153296" w:rsidP="00153296"/>
    <w:p w14:paraId="797613A2" w14:textId="7DDA3C43" w:rsidR="00153296" w:rsidRDefault="00153296" w:rsidP="00153296">
      <w:pPr>
        <w:jc w:val="center"/>
        <w:rPr>
          <w:b/>
        </w:rPr>
      </w:pPr>
      <w:r w:rsidRPr="00153296">
        <w:rPr>
          <w:b/>
        </w:rPr>
        <w:t xml:space="preserve">Table </w:t>
      </w:r>
      <w:r w:rsidR="002C24E2">
        <w:rPr>
          <w:b/>
        </w:rPr>
        <w:t>9</w:t>
      </w:r>
      <w:r w:rsidRPr="00153296">
        <w:rPr>
          <w:b/>
        </w:rPr>
        <w:t>: Drug Interactions: Changes in Pharmacokinetic Parameter Values for Co-administered Drugs in the Presence of Doravirine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2000"/>
        <w:gridCol w:w="1134"/>
        <w:gridCol w:w="708"/>
        <w:gridCol w:w="1418"/>
        <w:gridCol w:w="1417"/>
        <w:gridCol w:w="993"/>
      </w:tblGrid>
      <w:tr w:rsidR="00153296" w:rsidRPr="00153296" w14:paraId="2A11DB08" w14:textId="77777777" w:rsidTr="000A76E7">
        <w:trPr>
          <w:trHeight w:val="430"/>
          <w:tblHeader/>
        </w:trPr>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2D326B62"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Co-administered Drug</w:t>
            </w:r>
          </w:p>
        </w:tc>
        <w:tc>
          <w:tcPr>
            <w:tcW w:w="2000" w:type="dxa"/>
            <w:vMerge w:val="restart"/>
            <w:tcBorders>
              <w:top w:val="single" w:sz="4" w:space="0" w:color="auto"/>
              <w:left w:val="single" w:sz="4" w:space="0" w:color="auto"/>
              <w:bottom w:val="single" w:sz="4" w:space="0" w:color="auto"/>
              <w:right w:val="single" w:sz="4" w:space="0" w:color="auto"/>
            </w:tcBorders>
            <w:vAlign w:val="center"/>
            <w:hideMark/>
          </w:tcPr>
          <w:p w14:paraId="024E6BAB"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Regimen of Co-administered Drug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85232A"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Regimen of Doravirine</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FA2C3E6"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N</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12421D88"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Geometric Mean Ratio [90% CI] Drug Pharmacokinetics with/without Co-administered Doravirine</w:t>
            </w:r>
          </w:p>
          <w:p w14:paraId="0D73AF1E"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(No Effect=1.00)</w:t>
            </w:r>
          </w:p>
        </w:tc>
      </w:tr>
      <w:tr w:rsidR="00153296" w:rsidRPr="00153296" w14:paraId="0F46BB44" w14:textId="77777777" w:rsidTr="000A76E7">
        <w:trPr>
          <w:trHeight w:val="248"/>
          <w:tblHeader/>
        </w:trPr>
        <w:tc>
          <w:tcPr>
            <w:tcW w:w="1261" w:type="dxa"/>
            <w:vMerge/>
            <w:tcBorders>
              <w:top w:val="double" w:sz="4" w:space="0" w:color="auto"/>
              <w:left w:val="single" w:sz="4" w:space="0" w:color="auto"/>
              <w:bottom w:val="single" w:sz="4" w:space="0" w:color="auto"/>
              <w:right w:val="single" w:sz="4" w:space="0" w:color="auto"/>
            </w:tcBorders>
            <w:vAlign w:val="center"/>
            <w:hideMark/>
          </w:tcPr>
          <w:p w14:paraId="0A0C802D" w14:textId="77777777" w:rsidR="00153296" w:rsidRPr="00153296" w:rsidRDefault="00153296" w:rsidP="00153296">
            <w:pPr>
              <w:spacing w:after="0" w:line="276" w:lineRule="auto"/>
              <w:jc w:val="center"/>
              <w:rPr>
                <w:rFonts w:eastAsia="MS Gothic" w:cs="Arial"/>
                <w:b/>
                <w:sz w:val="16"/>
                <w:szCs w:val="16"/>
                <w:lang w:val="en-US" w:eastAsia="ja-JP"/>
              </w:rPr>
            </w:pPr>
          </w:p>
        </w:tc>
        <w:tc>
          <w:tcPr>
            <w:tcW w:w="2000" w:type="dxa"/>
            <w:vMerge/>
            <w:tcBorders>
              <w:top w:val="double" w:sz="4" w:space="0" w:color="auto"/>
              <w:left w:val="single" w:sz="4" w:space="0" w:color="auto"/>
              <w:bottom w:val="single" w:sz="4" w:space="0" w:color="auto"/>
              <w:right w:val="single" w:sz="4" w:space="0" w:color="auto"/>
            </w:tcBorders>
            <w:vAlign w:val="center"/>
            <w:hideMark/>
          </w:tcPr>
          <w:p w14:paraId="1C9DEFA7" w14:textId="77777777" w:rsidR="00153296" w:rsidRPr="00153296" w:rsidRDefault="00153296" w:rsidP="00153296">
            <w:pPr>
              <w:spacing w:after="0" w:line="276" w:lineRule="auto"/>
              <w:jc w:val="center"/>
              <w:rPr>
                <w:rFonts w:eastAsia="MS Gothic" w:cs="Arial"/>
                <w:b/>
                <w:sz w:val="16"/>
                <w:szCs w:val="16"/>
                <w:lang w:val="en-US" w:eastAsia="ja-JP"/>
              </w:rPr>
            </w:pPr>
          </w:p>
        </w:tc>
        <w:tc>
          <w:tcPr>
            <w:tcW w:w="1134" w:type="dxa"/>
            <w:vMerge/>
            <w:tcBorders>
              <w:top w:val="double" w:sz="4" w:space="0" w:color="auto"/>
              <w:left w:val="single" w:sz="4" w:space="0" w:color="auto"/>
              <w:bottom w:val="single" w:sz="4" w:space="0" w:color="auto"/>
              <w:right w:val="single" w:sz="4" w:space="0" w:color="auto"/>
            </w:tcBorders>
            <w:vAlign w:val="center"/>
            <w:hideMark/>
          </w:tcPr>
          <w:p w14:paraId="71FFA112" w14:textId="77777777" w:rsidR="00153296" w:rsidRPr="00153296" w:rsidRDefault="00153296" w:rsidP="00153296">
            <w:pPr>
              <w:spacing w:after="0" w:line="276" w:lineRule="auto"/>
              <w:jc w:val="center"/>
              <w:rPr>
                <w:rFonts w:eastAsia="MS Gothic" w:cs="Arial"/>
                <w:b/>
                <w:sz w:val="16"/>
                <w:szCs w:val="16"/>
                <w:lang w:val="en-US" w:eastAsia="ja-JP"/>
              </w:rPr>
            </w:pPr>
          </w:p>
        </w:tc>
        <w:tc>
          <w:tcPr>
            <w:tcW w:w="708" w:type="dxa"/>
            <w:vMerge/>
            <w:tcBorders>
              <w:top w:val="double" w:sz="4" w:space="0" w:color="auto"/>
              <w:left w:val="single" w:sz="4" w:space="0" w:color="auto"/>
              <w:bottom w:val="single" w:sz="4" w:space="0" w:color="auto"/>
              <w:right w:val="single" w:sz="4" w:space="0" w:color="auto"/>
            </w:tcBorders>
            <w:vAlign w:val="center"/>
            <w:hideMark/>
          </w:tcPr>
          <w:p w14:paraId="76D333B6" w14:textId="77777777" w:rsidR="00153296" w:rsidRPr="00153296" w:rsidRDefault="00153296" w:rsidP="00153296">
            <w:pPr>
              <w:spacing w:after="0" w:line="276" w:lineRule="auto"/>
              <w:jc w:val="center"/>
              <w:rPr>
                <w:rFonts w:eastAsia="MS Gothic" w:cs="Arial"/>
                <w:b/>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73B6D8" w14:textId="77777777" w:rsidR="00153296" w:rsidRPr="00153296" w:rsidRDefault="00153296" w:rsidP="00153296">
            <w:pPr>
              <w:spacing w:after="0" w:line="276" w:lineRule="auto"/>
              <w:jc w:val="center"/>
              <w:rPr>
                <w:rFonts w:eastAsia="MS Gothic" w:cs="Arial"/>
                <w:b/>
                <w:sz w:val="16"/>
                <w:szCs w:val="16"/>
                <w:highlight w:val="green"/>
                <w:lang w:val="en-US" w:eastAsia="ja-JP"/>
              </w:rPr>
            </w:pPr>
            <w:r w:rsidRPr="00153296">
              <w:rPr>
                <w:rFonts w:eastAsia="MS Gothic" w:cs="Arial"/>
                <w:b/>
                <w:sz w:val="16"/>
                <w:szCs w:val="16"/>
                <w:lang w:eastAsia="en-AU"/>
              </w:rPr>
              <w:t>AUC</w:t>
            </w:r>
            <w:r w:rsidRPr="00153296">
              <w:rPr>
                <w:rFonts w:eastAsia="Calibri" w:cs="Arial"/>
                <w:b/>
                <w:szCs w:val="16"/>
                <w:lang w:eastAsia="en-A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3A3B56" w14:textId="77777777" w:rsidR="00153296" w:rsidRPr="00153296" w:rsidRDefault="00153296" w:rsidP="00153296">
            <w:pPr>
              <w:spacing w:after="0" w:line="276" w:lineRule="auto"/>
              <w:jc w:val="center"/>
              <w:rPr>
                <w:rFonts w:eastAsia="MS Gothic" w:cs="Arial"/>
                <w:b/>
                <w:sz w:val="16"/>
                <w:szCs w:val="16"/>
                <w:lang w:val="en-US" w:eastAsia="ja-JP"/>
              </w:rPr>
            </w:pPr>
            <w:proofErr w:type="spellStart"/>
            <w:r w:rsidRPr="00153296">
              <w:rPr>
                <w:rFonts w:eastAsia="MS Gothic" w:cs="Arial"/>
                <w:b/>
                <w:sz w:val="16"/>
                <w:szCs w:val="16"/>
                <w:lang w:eastAsia="en-AU"/>
              </w:rPr>
              <w:t>C</w:t>
            </w:r>
            <w:r w:rsidRPr="00153296">
              <w:rPr>
                <w:rFonts w:eastAsia="MS Gothic" w:cs="Arial"/>
                <w:b/>
                <w:sz w:val="16"/>
                <w:szCs w:val="16"/>
                <w:vertAlign w:val="subscript"/>
                <w:lang w:eastAsia="en-AU"/>
              </w:rPr>
              <w:t>max</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160314EE"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C</w:t>
            </w:r>
            <w:r w:rsidRPr="00153296">
              <w:rPr>
                <w:rFonts w:eastAsia="MS Gothic" w:cs="Arial"/>
                <w:b/>
                <w:sz w:val="16"/>
                <w:szCs w:val="16"/>
                <w:vertAlign w:val="subscript"/>
                <w:lang w:eastAsia="en-AU"/>
              </w:rPr>
              <w:t>24</w:t>
            </w:r>
          </w:p>
        </w:tc>
      </w:tr>
      <w:tr w:rsidR="00153296" w:rsidRPr="00153296" w14:paraId="14DFB15C" w14:textId="77777777" w:rsidTr="000A76E7">
        <w:trPr>
          <w:trHeight w:val="278"/>
          <w:tblHeader/>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14:paraId="278ADA26"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CYP3A Substrate</w:t>
            </w:r>
          </w:p>
        </w:tc>
      </w:tr>
      <w:tr w:rsidR="00153296" w:rsidRPr="00153296" w14:paraId="1630C472" w14:textId="77777777" w:rsidTr="000A76E7">
        <w:trPr>
          <w:trHeight w:val="287"/>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64A3C9D2" w14:textId="77777777" w:rsidR="00153296" w:rsidRPr="00153296" w:rsidRDefault="00153296" w:rsidP="00153296">
            <w:pPr>
              <w:spacing w:after="80" w:line="276" w:lineRule="auto"/>
              <w:jc w:val="center"/>
              <w:rPr>
                <w:rFonts w:eastAsia="MS Gothic" w:cs="Arial"/>
                <w:sz w:val="16"/>
                <w:szCs w:val="16"/>
                <w:lang w:val="en-US" w:eastAsia="ja-JP"/>
              </w:rPr>
            </w:pPr>
            <w:r w:rsidRPr="00153296">
              <w:rPr>
                <w:rFonts w:eastAsia="MS Gothic" w:cs="Arial"/>
                <w:sz w:val="16"/>
                <w:szCs w:val="16"/>
                <w:lang w:val="en-IN" w:eastAsia="en-AU"/>
              </w:rPr>
              <w:t>midazolam</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A826E5A" w14:textId="77777777" w:rsidR="00153296" w:rsidRPr="00153296" w:rsidRDefault="00153296" w:rsidP="00153296">
            <w:pPr>
              <w:spacing w:after="80" w:line="276" w:lineRule="auto"/>
              <w:jc w:val="center"/>
              <w:rPr>
                <w:rFonts w:eastAsia="MS Gothic" w:cs="Arial"/>
                <w:sz w:val="16"/>
                <w:szCs w:val="16"/>
                <w:lang w:val="en-US" w:eastAsia="ja-JP"/>
              </w:rPr>
            </w:pPr>
            <w:r w:rsidRPr="00153296">
              <w:rPr>
                <w:rFonts w:eastAsia="MS Gothic" w:cs="Arial"/>
                <w:sz w:val="16"/>
                <w:szCs w:val="16"/>
                <w:lang w:eastAsia="en-AU"/>
              </w:rPr>
              <w:t>2 mg SD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07691"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120 mg QD</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618CE3"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66D62D"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0.82 (0.70, 0.97)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363FA"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1.02 (0.81, 1.28)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8F2951"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w:t>
            </w:r>
          </w:p>
        </w:tc>
      </w:tr>
      <w:tr w:rsidR="00153296" w:rsidRPr="00153296" w14:paraId="0C85C7C9" w14:textId="77777777" w:rsidTr="000A76E7">
        <w:trPr>
          <w:trHeight w:val="287"/>
          <w:tblHeader/>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14:paraId="67ED0FD8"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HIV-Antiviral Agents</w:t>
            </w:r>
          </w:p>
        </w:tc>
      </w:tr>
      <w:tr w:rsidR="00153296" w:rsidRPr="00153296" w14:paraId="1BD2D9A2" w14:textId="77777777" w:rsidTr="000A76E7">
        <w:trPr>
          <w:trHeight w:val="662"/>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034E163B"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lamivudine</w:t>
            </w:r>
          </w:p>
        </w:tc>
        <w:tc>
          <w:tcPr>
            <w:tcW w:w="2000" w:type="dxa"/>
            <w:vMerge w:val="restart"/>
            <w:tcBorders>
              <w:top w:val="single" w:sz="4" w:space="0" w:color="auto"/>
              <w:left w:val="single" w:sz="4" w:space="0" w:color="auto"/>
              <w:right w:val="single" w:sz="4" w:space="0" w:color="auto"/>
            </w:tcBorders>
            <w:vAlign w:val="center"/>
            <w:hideMark/>
          </w:tcPr>
          <w:p w14:paraId="65B78F5A"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300 mg lamivudine SD + 300 mg tenofovir DF SD</w:t>
            </w:r>
          </w:p>
          <w:p w14:paraId="4E035932" w14:textId="77777777" w:rsidR="00153296" w:rsidRPr="00153296" w:rsidRDefault="00153296" w:rsidP="00153296">
            <w:pPr>
              <w:spacing w:after="0" w:line="276" w:lineRule="auto"/>
              <w:jc w:val="center"/>
              <w:rPr>
                <w:rFonts w:eastAsia="MS Gothic" w:cs="Arial"/>
                <w:sz w:val="16"/>
                <w:szCs w:val="16"/>
                <w:lang w:val="en-US" w:eastAsia="ja-JP"/>
              </w:rPr>
            </w:pPr>
          </w:p>
        </w:tc>
        <w:tc>
          <w:tcPr>
            <w:tcW w:w="1134" w:type="dxa"/>
            <w:vMerge w:val="restart"/>
            <w:tcBorders>
              <w:top w:val="single" w:sz="4" w:space="0" w:color="auto"/>
              <w:left w:val="single" w:sz="4" w:space="0" w:color="auto"/>
              <w:right w:val="single" w:sz="4" w:space="0" w:color="auto"/>
            </w:tcBorders>
            <w:vAlign w:val="center"/>
            <w:hideMark/>
          </w:tcPr>
          <w:p w14:paraId="7181BA6A"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p w14:paraId="18D959E3"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val="restart"/>
            <w:tcBorders>
              <w:top w:val="single" w:sz="4" w:space="0" w:color="auto"/>
              <w:left w:val="single" w:sz="4" w:space="0" w:color="auto"/>
              <w:right w:val="single" w:sz="4" w:space="0" w:color="auto"/>
            </w:tcBorders>
            <w:vAlign w:val="center"/>
            <w:hideMark/>
          </w:tcPr>
          <w:p w14:paraId="655A2A29"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15</w:t>
            </w:r>
          </w:p>
          <w:p w14:paraId="4F1058C9"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2AF47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val="en-IN" w:eastAsia="en-AU"/>
              </w:rPr>
              <w:t>0.94 (0.88,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F0F363"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val="en-IN" w:eastAsia="en-AU"/>
              </w:rPr>
              <w:t>0.92 (0.81, 1.05)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B5F05C"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w:t>
            </w:r>
          </w:p>
        </w:tc>
      </w:tr>
      <w:tr w:rsidR="00153296" w:rsidRPr="00153296" w14:paraId="6C340CEF" w14:textId="77777777" w:rsidTr="000A76E7">
        <w:trPr>
          <w:trHeight w:val="662"/>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02F3D806" w14:textId="77777777" w:rsidR="00153296" w:rsidRPr="00153296" w:rsidRDefault="00153296" w:rsidP="00153296">
            <w:pPr>
              <w:spacing w:after="0" w:line="276" w:lineRule="auto"/>
              <w:jc w:val="center"/>
              <w:rPr>
                <w:rFonts w:eastAsia="MS Gothic" w:cs="Arial"/>
                <w:bCs/>
                <w:sz w:val="16"/>
                <w:szCs w:val="16"/>
                <w:lang w:val="en-US" w:eastAsia="ja-JP"/>
              </w:rPr>
            </w:pPr>
            <w:r w:rsidRPr="00153296">
              <w:rPr>
                <w:rFonts w:eastAsia="MS Gothic" w:cs="Arial"/>
                <w:sz w:val="16"/>
                <w:szCs w:val="16"/>
                <w:lang w:val="en-IN" w:eastAsia="en-AU"/>
              </w:rPr>
              <w:t xml:space="preserve">tenofovir DF </w:t>
            </w:r>
          </w:p>
        </w:tc>
        <w:tc>
          <w:tcPr>
            <w:tcW w:w="2000" w:type="dxa"/>
            <w:vMerge/>
            <w:tcBorders>
              <w:left w:val="single" w:sz="4" w:space="0" w:color="auto"/>
              <w:bottom w:val="single" w:sz="4" w:space="0" w:color="auto"/>
              <w:right w:val="single" w:sz="4" w:space="0" w:color="auto"/>
            </w:tcBorders>
            <w:vAlign w:val="center"/>
            <w:hideMark/>
          </w:tcPr>
          <w:p w14:paraId="5FB30C2F" w14:textId="77777777" w:rsidR="00153296" w:rsidRPr="00153296" w:rsidRDefault="00153296" w:rsidP="00153296">
            <w:pPr>
              <w:spacing w:after="0" w:line="276" w:lineRule="auto"/>
              <w:jc w:val="center"/>
              <w:rPr>
                <w:rFonts w:eastAsia="MS Gothic" w:cs="Arial"/>
                <w:sz w:val="16"/>
                <w:szCs w:val="16"/>
                <w:lang w:val="en-US" w:eastAsia="ja-JP"/>
              </w:rPr>
            </w:pPr>
          </w:p>
        </w:tc>
        <w:tc>
          <w:tcPr>
            <w:tcW w:w="1134" w:type="dxa"/>
            <w:vMerge/>
            <w:tcBorders>
              <w:left w:val="single" w:sz="4" w:space="0" w:color="auto"/>
              <w:bottom w:val="single" w:sz="4" w:space="0" w:color="auto"/>
              <w:right w:val="single" w:sz="4" w:space="0" w:color="auto"/>
            </w:tcBorders>
            <w:vAlign w:val="center"/>
            <w:hideMark/>
          </w:tcPr>
          <w:p w14:paraId="72E75525"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tcBorders>
              <w:left w:val="single" w:sz="4" w:space="0" w:color="auto"/>
              <w:bottom w:val="single" w:sz="4" w:space="0" w:color="auto"/>
              <w:right w:val="single" w:sz="4" w:space="0" w:color="auto"/>
            </w:tcBorders>
            <w:vAlign w:val="center"/>
            <w:hideMark/>
          </w:tcPr>
          <w:p w14:paraId="2FBA56C4"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A9F6D74"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1.11 (0.97, 1.28)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6C338"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1.17 (0.96, 1.42)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EC3181"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w:t>
            </w:r>
          </w:p>
        </w:tc>
      </w:tr>
      <w:tr w:rsidR="00153296" w:rsidRPr="00153296" w14:paraId="0E08340F" w14:textId="77777777" w:rsidTr="000A76E7">
        <w:trPr>
          <w:trHeight w:val="269"/>
          <w:tblHeader/>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14:paraId="23E11C52" w14:textId="77777777" w:rsidR="00153296" w:rsidRPr="00153296" w:rsidRDefault="00153296" w:rsidP="00153296">
            <w:pPr>
              <w:spacing w:after="0" w:line="276" w:lineRule="auto"/>
              <w:jc w:val="center"/>
              <w:rPr>
                <w:rFonts w:eastAsia="MS Gothic" w:cs="Arial"/>
                <w:b/>
                <w:sz w:val="16"/>
                <w:szCs w:val="16"/>
                <w:lang w:val="en-IN" w:eastAsia="ja-JP"/>
              </w:rPr>
            </w:pPr>
            <w:r w:rsidRPr="00153296">
              <w:rPr>
                <w:rFonts w:eastAsia="MS Gothic" w:cs="Arial"/>
                <w:b/>
                <w:sz w:val="16"/>
                <w:szCs w:val="16"/>
                <w:lang w:eastAsia="en-AU"/>
              </w:rPr>
              <w:t>HCV-Antiviral Agents</w:t>
            </w:r>
          </w:p>
        </w:tc>
      </w:tr>
      <w:tr w:rsidR="00153296" w:rsidRPr="00153296" w14:paraId="3D6B39AA" w14:textId="77777777" w:rsidTr="000A76E7">
        <w:trPr>
          <w:trHeight w:val="662"/>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6BC1D4C0" w14:textId="77777777" w:rsidR="00153296" w:rsidRPr="00153296" w:rsidRDefault="00153296" w:rsidP="00153296">
            <w:pPr>
              <w:spacing w:after="0" w:line="276" w:lineRule="auto"/>
              <w:jc w:val="center"/>
              <w:rPr>
                <w:rFonts w:eastAsia="MS Gothic" w:cs="Arial"/>
                <w:sz w:val="16"/>
                <w:szCs w:val="16"/>
                <w:lang w:val="en-IN" w:eastAsia="ja-JP"/>
              </w:rPr>
            </w:pPr>
            <w:proofErr w:type="spellStart"/>
            <w:r w:rsidRPr="00153296">
              <w:rPr>
                <w:rFonts w:eastAsia="MS Gothic" w:cs="Arial"/>
                <w:sz w:val="16"/>
                <w:szCs w:val="16"/>
                <w:lang w:val="en-IN" w:eastAsia="en-AU"/>
              </w:rPr>
              <w:t>elbasvir</w:t>
            </w:r>
            <w:proofErr w:type="spellEnd"/>
          </w:p>
        </w:tc>
        <w:tc>
          <w:tcPr>
            <w:tcW w:w="2000" w:type="dxa"/>
            <w:vMerge w:val="restart"/>
            <w:tcBorders>
              <w:top w:val="single" w:sz="4" w:space="0" w:color="auto"/>
              <w:left w:val="single" w:sz="4" w:space="0" w:color="auto"/>
              <w:right w:val="single" w:sz="4" w:space="0" w:color="auto"/>
            </w:tcBorders>
            <w:vAlign w:val="center"/>
            <w:hideMark/>
          </w:tcPr>
          <w:p w14:paraId="060BB786"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 xml:space="preserve">50 mg </w:t>
            </w:r>
            <w:proofErr w:type="spellStart"/>
            <w:r w:rsidRPr="00153296">
              <w:rPr>
                <w:rFonts w:eastAsia="MS Gothic" w:cs="Arial"/>
                <w:sz w:val="16"/>
                <w:szCs w:val="16"/>
                <w:lang w:eastAsia="en-AU"/>
              </w:rPr>
              <w:t>elbasvir</w:t>
            </w:r>
            <w:proofErr w:type="spellEnd"/>
            <w:r w:rsidRPr="00153296">
              <w:rPr>
                <w:rFonts w:eastAsia="MS Gothic" w:cs="Arial"/>
                <w:sz w:val="16"/>
                <w:szCs w:val="16"/>
                <w:lang w:eastAsia="en-AU"/>
              </w:rPr>
              <w:t xml:space="preserve"> QD + 200 mg </w:t>
            </w:r>
            <w:proofErr w:type="spellStart"/>
            <w:r w:rsidRPr="00153296">
              <w:rPr>
                <w:rFonts w:eastAsia="MS Gothic" w:cs="Arial"/>
                <w:sz w:val="16"/>
                <w:szCs w:val="16"/>
                <w:lang w:eastAsia="en-AU"/>
              </w:rPr>
              <w:t>grazoprevir</w:t>
            </w:r>
            <w:proofErr w:type="spellEnd"/>
            <w:r w:rsidRPr="00153296">
              <w:rPr>
                <w:rFonts w:eastAsia="MS Gothic" w:cs="Arial"/>
                <w:sz w:val="16"/>
                <w:szCs w:val="16"/>
                <w:lang w:eastAsia="en-AU"/>
              </w:rPr>
              <w:t xml:space="preserve"> QD</w:t>
            </w:r>
          </w:p>
          <w:p w14:paraId="0A8C4735" w14:textId="77777777" w:rsidR="00153296" w:rsidRPr="00153296" w:rsidRDefault="00153296" w:rsidP="00153296">
            <w:pPr>
              <w:spacing w:after="0" w:line="276" w:lineRule="auto"/>
              <w:jc w:val="center"/>
              <w:rPr>
                <w:rFonts w:eastAsia="MS Gothic" w:cs="Arial"/>
                <w:sz w:val="16"/>
                <w:szCs w:val="16"/>
                <w:lang w:val="en-US" w:eastAsia="ja-JP"/>
              </w:rPr>
            </w:pPr>
          </w:p>
        </w:tc>
        <w:tc>
          <w:tcPr>
            <w:tcW w:w="1134" w:type="dxa"/>
            <w:vMerge w:val="restart"/>
            <w:tcBorders>
              <w:top w:val="single" w:sz="4" w:space="0" w:color="auto"/>
              <w:left w:val="single" w:sz="4" w:space="0" w:color="auto"/>
              <w:right w:val="single" w:sz="4" w:space="0" w:color="auto"/>
            </w:tcBorders>
            <w:vAlign w:val="center"/>
            <w:hideMark/>
          </w:tcPr>
          <w:p w14:paraId="42946038"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QD</w:t>
            </w:r>
          </w:p>
          <w:p w14:paraId="513C2560"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val="restart"/>
            <w:tcBorders>
              <w:top w:val="single" w:sz="4" w:space="0" w:color="auto"/>
              <w:left w:val="single" w:sz="4" w:space="0" w:color="auto"/>
              <w:right w:val="single" w:sz="4" w:space="0" w:color="auto"/>
            </w:tcBorders>
            <w:vAlign w:val="center"/>
            <w:hideMark/>
          </w:tcPr>
          <w:p w14:paraId="0B72B656"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12</w:t>
            </w:r>
          </w:p>
          <w:p w14:paraId="4AC9A848"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5499DFC"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0.96 (0.90, 1.02)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3E9F7E"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0.96 (0.91, 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798189"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0.96 (0.89, 1.04)</w:t>
            </w:r>
          </w:p>
        </w:tc>
      </w:tr>
      <w:tr w:rsidR="00153296" w:rsidRPr="00153296" w14:paraId="6B9C65BF" w14:textId="77777777" w:rsidTr="000A76E7">
        <w:trPr>
          <w:trHeight w:val="662"/>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559000E1" w14:textId="77777777" w:rsidR="00153296" w:rsidRPr="00153296" w:rsidRDefault="00153296" w:rsidP="00153296">
            <w:pPr>
              <w:spacing w:after="0" w:line="276" w:lineRule="auto"/>
              <w:jc w:val="center"/>
              <w:rPr>
                <w:rFonts w:eastAsia="MS Gothic" w:cs="Arial"/>
                <w:sz w:val="16"/>
                <w:szCs w:val="16"/>
                <w:lang w:val="en-IN" w:eastAsia="ja-JP"/>
              </w:rPr>
            </w:pPr>
            <w:proofErr w:type="spellStart"/>
            <w:r w:rsidRPr="00153296">
              <w:rPr>
                <w:rFonts w:eastAsia="MS Gothic" w:cs="Arial"/>
                <w:sz w:val="16"/>
                <w:szCs w:val="16"/>
                <w:lang w:val="en-IN" w:eastAsia="en-AU"/>
              </w:rPr>
              <w:t>grazoprevir</w:t>
            </w:r>
            <w:proofErr w:type="spellEnd"/>
          </w:p>
        </w:tc>
        <w:tc>
          <w:tcPr>
            <w:tcW w:w="2000" w:type="dxa"/>
            <w:vMerge/>
            <w:tcBorders>
              <w:left w:val="single" w:sz="4" w:space="0" w:color="auto"/>
              <w:bottom w:val="single" w:sz="4" w:space="0" w:color="auto"/>
              <w:right w:val="single" w:sz="4" w:space="0" w:color="auto"/>
            </w:tcBorders>
            <w:vAlign w:val="center"/>
            <w:hideMark/>
          </w:tcPr>
          <w:p w14:paraId="107E9494" w14:textId="77777777" w:rsidR="00153296" w:rsidRPr="00153296" w:rsidRDefault="00153296" w:rsidP="00153296">
            <w:pPr>
              <w:spacing w:after="0" w:line="276" w:lineRule="auto"/>
              <w:jc w:val="center"/>
              <w:rPr>
                <w:rFonts w:eastAsia="MS Gothic" w:cs="Arial"/>
                <w:sz w:val="16"/>
                <w:szCs w:val="16"/>
                <w:lang w:val="en-US" w:eastAsia="ja-JP"/>
              </w:rPr>
            </w:pPr>
          </w:p>
        </w:tc>
        <w:tc>
          <w:tcPr>
            <w:tcW w:w="1134" w:type="dxa"/>
            <w:vMerge/>
            <w:tcBorders>
              <w:left w:val="single" w:sz="4" w:space="0" w:color="auto"/>
              <w:bottom w:val="single" w:sz="4" w:space="0" w:color="auto"/>
              <w:right w:val="single" w:sz="4" w:space="0" w:color="auto"/>
            </w:tcBorders>
            <w:vAlign w:val="center"/>
            <w:hideMark/>
          </w:tcPr>
          <w:p w14:paraId="6316A743"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tcBorders>
              <w:left w:val="single" w:sz="4" w:space="0" w:color="auto"/>
              <w:bottom w:val="single" w:sz="4" w:space="0" w:color="auto"/>
              <w:right w:val="single" w:sz="4" w:space="0" w:color="auto"/>
            </w:tcBorders>
            <w:vAlign w:val="center"/>
            <w:hideMark/>
          </w:tcPr>
          <w:p w14:paraId="771BA9B3"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B4A3B99"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1.07 (0.94, 1.23)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DD5B49"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1.22 (1.01, 1.47)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03DF5A"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0.90 (0.83, 0.96)</w:t>
            </w:r>
          </w:p>
        </w:tc>
      </w:tr>
      <w:tr w:rsidR="00153296" w:rsidRPr="00153296" w14:paraId="7E51B257" w14:textId="77777777" w:rsidTr="000A76E7">
        <w:trPr>
          <w:trHeight w:val="662"/>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69F8395C" w14:textId="77777777" w:rsidR="00153296" w:rsidRPr="00153296" w:rsidRDefault="00153296" w:rsidP="00153296">
            <w:pPr>
              <w:spacing w:after="0" w:line="276" w:lineRule="auto"/>
              <w:jc w:val="center"/>
              <w:rPr>
                <w:rFonts w:eastAsia="MS Gothic" w:cs="Arial"/>
                <w:sz w:val="16"/>
                <w:szCs w:val="16"/>
                <w:lang w:val="en-IN" w:eastAsia="ja-JP"/>
              </w:rPr>
            </w:pPr>
            <w:proofErr w:type="spellStart"/>
            <w:r w:rsidRPr="00153296">
              <w:rPr>
                <w:rFonts w:eastAsia="MS Gothic" w:cs="Arial"/>
                <w:sz w:val="16"/>
                <w:szCs w:val="16"/>
                <w:lang w:val="en-IN" w:eastAsia="en-AU"/>
              </w:rPr>
              <w:t>ledipasvir</w:t>
            </w:r>
            <w:proofErr w:type="spellEnd"/>
          </w:p>
        </w:tc>
        <w:tc>
          <w:tcPr>
            <w:tcW w:w="2000" w:type="dxa"/>
            <w:vMerge w:val="restart"/>
            <w:tcBorders>
              <w:top w:val="single" w:sz="4" w:space="0" w:color="auto"/>
              <w:left w:val="single" w:sz="4" w:space="0" w:color="auto"/>
              <w:right w:val="single" w:sz="4" w:space="0" w:color="auto"/>
            </w:tcBorders>
            <w:vAlign w:val="center"/>
            <w:hideMark/>
          </w:tcPr>
          <w:p w14:paraId="72BD6AB1" w14:textId="77777777" w:rsidR="00153296" w:rsidRPr="00153296" w:rsidRDefault="00153296" w:rsidP="00153296">
            <w:pPr>
              <w:spacing w:after="0" w:line="276" w:lineRule="auto"/>
              <w:jc w:val="center"/>
              <w:rPr>
                <w:rFonts w:eastAsia="MS Gothic" w:cs="Arial"/>
                <w:bCs/>
                <w:sz w:val="16"/>
                <w:szCs w:val="16"/>
                <w:lang w:val="en-US" w:eastAsia="ja-JP"/>
              </w:rPr>
            </w:pPr>
            <w:r w:rsidRPr="00153296">
              <w:rPr>
                <w:rFonts w:eastAsia="MS Gothic" w:cs="Arial"/>
                <w:sz w:val="16"/>
                <w:szCs w:val="16"/>
                <w:lang w:val="en-IN" w:eastAsia="en-AU"/>
              </w:rPr>
              <w:t xml:space="preserve">90 mg </w:t>
            </w:r>
            <w:proofErr w:type="spellStart"/>
            <w:r w:rsidRPr="00153296">
              <w:rPr>
                <w:rFonts w:eastAsia="MS Gothic" w:cs="Arial"/>
                <w:sz w:val="16"/>
                <w:szCs w:val="16"/>
                <w:lang w:val="en-IN" w:eastAsia="en-AU"/>
              </w:rPr>
              <w:t>ledipasvir</w:t>
            </w:r>
            <w:proofErr w:type="spellEnd"/>
            <w:r w:rsidRPr="00153296">
              <w:rPr>
                <w:rFonts w:eastAsia="MS Gothic" w:cs="Arial"/>
                <w:sz w:val="16"/>
                <w:szCs w:val="16"/>
                <w:lang w:val="en-IN" w:eastAsia="en-AU"/>
              </w:rPr>
              <w:t xml:space="preserve"> SD + 400 mg </w:t>
            </w:r>
            <w:proofErr w:type="spellStart"/>
            <w:r w:rsidRPr="00153296">
              <w:rPr>
                <w:rFonts w:eastAsia="MS Gothic" w:cs="Arial"/>
                <w:sz w:val="16"/>
                <w:szCs w:val="16"/>
                <w:lang w:val="en-IN" w:eastAsia="en-AU"/>
              </w:rPr>
              <w:t>sofosbuvir</w:t>
            </w:r>
            <w:proofErr w:type="spellEnd"/>
            <w:r w:rsidRPr="00153296">
              <w:rPr>
                <w:rFonts w:eastAsia="MS Gothic" w:cs="Arial"/>
                <w:sz w:val="16"/>
                <w:szCs w:val="16"/>
                <w:lang w:val="en-IN" w:eastAsia="en-AU"/>
              </w:rPr>
              <w:t xml:space="preserve"> SD</w:t>
            </w:r>
          </w:p>
          <w:p w14:paraId="67B2F432" w14:textId="77777777" w:rsidR="00153296" w:rsidRPr="00153296" w:rsidRDefault="00153296" w:rsidP="00153296">
            <w:pPr>
              <w:spacing w:after="0" w:line="276" w:lineRule="auto"/>
              <w:jc w:val="center"/>
              <w:rPr>
                <w:rFonts w:eastAsia="MS Gothic" w:cs="Arial"/>
                <w:bCs/>
                <w:sz w:val="16"/>
                <w:szCs w:val="16"/>
                <w:lang w:val="en-US" w:eastAsia="ja-JP"/>
              </w:rPr>
            </w:pPr>
          </w:p>
        </w:tc>
        <w:tc>
          <w:tcPr>
            <w:tcW w:w="1134" w:type="dxa"/>
            <w:vMerge w:val="restart"/>
            <w:tcBorders>
              <w:top w:val="single" w:sz="4" w:space="0" w:color="auto"/>
              <w:left w:val="single" w:sz="4" w:space="0" w:color="auto"/>
              <w:right w:val="single" w:sz="4" w:space="0" w:color="auto"/>
            </w:tcBorders>
            <w:vAlign w:val="center"/>
            <w:hideMark/>
          </w:tcPr>
          <w:p w14:paraId="574F119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SD</w:t>
            </w:r>
          </w:p>
          <w:p w14:paraId="0F625ECB"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val="restart"/>
            <w:tcBorders>
              <w:top w:val="single" w:sz="4" w:space="0" w:color="auto"/>
              <w:left w:val="single" w:sz="4" w:space="0" w:color="auto"/>
              <w:right w:val="single" w:sz="4" w:space="0" w:color="auto"/>
            </w:tcBorders>
            <w:vAlign w:val="center"/>
            <w:hideMark/>
          </w:tcPr>
          <w:p w14:paraId="4BDB472B"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14</w:t>
            </w:r>
          </w:p>
          <w:p w14:paraId="36462A04"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CC6BCC9"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0.92 (0.80, 1.06)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4542FD"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0.91 (0.80, 1.02)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27A0D5"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w:t>
            </w:r>
          </w:p>
        </w:tc>
      </w:tr>
      <w:tr w:rsidR="00153296" w:rsidRPr="00153296" w14:paraId="4E1D4BF1" w14:textId="77777777" w:rsidTr="000A76E7">
        <w:trPr>
          <w:trHeight w:val="662"/>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1F339ED5" w14:textId="77777777" w:rsidR="00153296" w:rsidRPr="00153296" w:rsidRDefault="00153296" w:rsidP="00153296">
            <w:pPr>
              <w:spacing w:after="0" w:line="276" w:lineRule="auto"/>
              <w:jc w:val="center"/>
              <w:rPr>
                <w:rFonts w:eastAsia="MS Gothic" w:cs="Arial"/>
                <w:sz w:val="16"/>
                <w:szCs w:val="16"/>
                <w:lang w:val="en-IN" w:eastAsia="ja-JP"/>
              </w:rPr>
            </w:pPr>
            <w:proofErr w:type="spellStart"/>
            <w:r w:rsidRPr="00153296">
              <w:rPr>
                <w:rFonts w:eastAsia="MS Gothic" w:cs="Arial"/>
                <w:sz w:val="16"/>
                <w:szCs w:val="16"/>
                <w:lang w:val="en-IN" w:eastAsia="en-AU"/>
              </w:rPr>
              <w:t>sofosbuvir</w:t>
            </w:r>
            <w:proofErr w:type="spellEnd"/>
          </w:p>
        </w:tc>
        <w:tc>
          <w:tcPr>
            <w:tcW w:w="2000" w:type="dxa"/>
            <w:vMerge/>
            <w:tcBorders>
              <w:left w:val="single" w:sz="4" w:space="0" w:color="auto"/>
              <w:right w:val="single" w:sz="4" w:space="0" w:color="auto"/>
            </w:tcBorders>
            <w:vAlign w:val="center"/>
            <w:hideMark/>
          </w:tcPr>
          <w:p w14:paraId="1A610229" w14:textId="77777777" w:rsidR="00153296" w:rsidRPr="00153296" w:rsidRDefault="00153296" w:rsidP="00153296">
            <w:pPr>
              <w:spacing w:after="0" w:line="276" w:lineRule="auto"/>
              <w:jc w:val="center"/>
              <w:rPr>
                <w:rFonts w:eastAsia="MS Gothic" w:cs="Arial"/>
                <w:sz w:val="16"/>
                <w:szCs w:val="16"/>
                <w:lang w:val="en-US" w:eastAsia="ja-JP"/>
              </w:rPr>
            </w:pPr>
          </w:p>
        </w:tc>
        <w:tc>
          <w:tcPr>
            <w:tcW w:w="1134" w:type="dxa"/>
            <w:vMerge/>
            <w:tcBorders>
              <w:left w:val="single" w:sz="4" w:space="0" w:color="auto"/>
              <w:right w:val="single" w:sz="4" w:space="0" w:color="auto"/>
            </w:tcBorders>
            <w:vAlign w:val="center"/>
            <w:hideMark/>
          </w:tcPr>
          <w:p w14:paraId="169C9BE4"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tcBorders>
              <w:left w:val="single" w:sz="4" w:space="0" w:color="auto"/>
              <w:right w:val="single" w:sz="4" w:space="0" w:color="auto"/>
            </w:tcBorders>
            <w:vAlign w:val="center"/>
            <w:hideMark/>
          </w:tcPr>
          <w:p w14:paraId="111527C3"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3A32493"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1.04 (0.91, 1.18)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BF1935"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0.89 (0.79, 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36DF32"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w:t>
            </w:r>
          </w:p>
        </w:tc>
      </w:tr>
      <w:tr w:rsidR="00153296" w:rsidRPr="00153296" w14:paraId="62F8E014" w14:textId="77777777" w:rsidTr="000A76E7">
        <w:trPr>
          <w:trHeight w:val="662"/>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54F74107"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lastRenderedPageBreak/>
              <w:t>GS-331007†</w:t>
            </w:r>
          </w:p>
        </w:tc>
        <w:tc>
          <w:tcPr>
            <w:tcW w:w="2000" w:type="dxa"/>
            <w:vMerge/>
            <w:tcBorders>
              <w:left w:val="single" w:sz="4" w:space="0" w:color="auto"/>
              <w:bottom w:val="single" w:sz="4" w:space="0" w:color="auto"/>
              <w:right w:val="single" w:sz="4" w:space="0" w:color="auto"/>
            </w:tcBorders>
            <w:vAlign w:val="center"/>
            <w:hideMark/>
          </w:tcPr>
          <w:p w14:paraId="2C8699A3" w14:textId="77777777" w:rsidR="00153296" w:rsidRPr="00153296" w:rsidRDefault="00153296" w:rsidP="00153296">
            <w:pPr>
              <w:spacing w:after="0" w:line="276" w:lineRule="auto"/>
              <w:jc w:val="center"/>
              <w:rPr>
                <w:rFonts w:eastAsia="MS Gothic" w:cs="Arial"/>
                <w:sz w:val="16"/>
                <w:szCs w:val="16"/>
                <w:lang w:val="en-US" w:eastAsia="ja-JP"/>
              </w:rPr>
            </w:pPr>
          </w:p>
        </w:tc>
        <w:tc>
          <w:tcPr>
            <w:tcW w:w="1134" w:type="dxa"/>
            <w:vMerge/>
            <w:tcBorders>
              <w:left w:val="single" w:sz="4" w:space="0" w:color="auto"/>
              <w:bottom w:val="single" w:sz="4" w:space="0" w:color="auto"/>
              <w:right w:val="single" w:sz="4" w:space="0" w:color="auto"/>
            </w:tcBorders>
            <w:vAlign w:val="center"/>
            <w:hideMark/>
          </w:tcPr>
          <w:p w14:paraId="42C0D1DD"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tcBorders>
              <w:left w:val="single" w:sz="4" w:space="0" w:color="auto"/>
              <w:bottom w:val="single" w:sz="4" w:space="0" w:color="auto"/>
              <w:right w:val="single" w:sz="4" w:space="0" w:color="auto"/>
            </w:tcBorders>
            <w:vAlign w:val="center"/>
            <w:hideMark/>
          </w:tcPr>
          <w:p w14:paraId="7A3FE858"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C168BD"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1.03 (0.98, 1.09)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DBDC60"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1.03 (0.97, 1.09)</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A20DD2"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w:t>
            </w:r>
          </w:p>
        </w:tc>
      </w:tr>
      <w:tr w:rsidR="00153296" w:rsidRPr="00153296" w14:paraId="623004A2" w14:textId="77777777" w:rsidTr="000A76E7">
        <w:trPr>
          <w:trHeight w:val="332"/>
          <w:tblHeader/>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14:paraId="00B95CF6"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Oral Contraceptives</w:t>
            </w:r>
          </w:p>
        </w:tc>
      </w:tr>
      <w:tr w:rsidR="00153296" w:rsidRPr="00153296" w14:paraId="7D9DD119" w14:textId="77777777" w:rsidTr="000A76E7">
        <w:trPr>
          <w:trHeight w:val="269"/>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672EAEB1" w14:textId="77777777" w:rsidR="00153296" w:rsidRPr="00153296" w:rsidRDefault="00153296" w:rsidP="00153296">
            <w:pPr>
              <w:spacing w:after="0" w:line="276" w:lineRule="auto"/>
              <w:jc w:val="center"/>
              <w:rPr>
                <w:rFonts w:eastAsia="MS Gothic" w:cs="Arial"/>
                <w:sz w:val="16"/>
                <w:szCs w:val="16"/>
                <w:lang w:val="en-IN" w:eastAsia="ja-JP"/>
              </w:rPr>
            </w:pPr>
            <w:proofErr w:type="spellStart"/>
            <w:r w:rsidRPr="00153296">
              <w:rPr>
                <w:rFonts w:eastAsia="MS Gothic" w:cs="Arial"/>
                <w:sz w:val="16"/>
                <w:szCs w:val="16"/>
                <w:lang w:val="en-IN" w:eastAsia="en-AU"/>
              </w:rPr>
              <w:t>ethinyl</w:t>
            </w:r>
            <w:proofErr w:type="spellEnd"/>
            <w:r w:rsidRPr="00153296">
              <w:rPr>
                <w:rFonts w:eastAsia="MS Gothic" w:cs="Arial"/>
                <w:sz w:val="16"/>
                <w:szCs w:val="16"/>
                <w:lang w:val="en-IN" w:eastAsia="en-AU"/>
              </w:rPr>
              <w:t xml:space="preserve"> </w:t>
            </w:r>
            <w:proofErr w:type="spellStart"/>
            <w:r w:rsidRPr="00153296">
              <w:rPr>
                <w:rFonts w:eastAsia="MS Gothic" w:cs="Arial"/>
                <w:sz w:val="16"/>
                <w:szCs w:val="16"/>
                <w:lang w:val="en-IN" w:eastAsia="en-AU"/>
              </w:rPr>
              <w:t>estradiol</w:t>
            </w:r>
            <w:proofErr w:type="spellEnd"/>
          </w:p>
        </w:tc>
        <w:tc>
          <w:tcPr>
            <w:tcW w:w="2000" w:type="dxa"/>
            <w:vMerge w:val="restart"/>
            <w:tcBorders>
              <w:top w:val="single" w:sz="4" w:space="0" w:color="auto"/>
              <w:left w:val="single" w:sz="4" w:space="0" w:color="auto"/>
              <w:right w:val="single" w:sz="4" w:space="0" w:color="auto"/>
            </w:tcBorders>
            <w:vAlign w:val="center"/>
            <w:hideMark/>
          </w:tcPr>
          <w:p w14:paraId="04F09A91"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val="en-IN" w:eastAsia="en-AU"/>
              </w:rPr>
              <w:t xml:space="preserve">0.03 mg </w:t>
            </w:r>
            <w:proofErr w:type="spellStart"/>
            <w:r w:rsidRPr="00153296">
              <w:rPr>
                <w:rFonts w:eastAsia="MS Gothic" w:cs="Arial"/>
                <w:sz w:val="16"/>
                <w:szCs w:val="16"/>
                <w:lang w:val="en-IN" w:eastAsia="en-AU"/>
              </w:rPr>
              <w:t>ethinyl</w:t>
            </w:r>
            <w:proofErr w:type="spellEnd"/>
            <w:r w:rsidRPr="00153296">
              <w:rPr>
                <w:rFonts w:eastAsia="MS Gothic" w:cs="Arial"/>
                <w:sz w:val="16"/>
                <w:szCs w:val="16"/>
                <w:lang w:val="en-IN" w:eastAsia="en-AU"/>
              </w:rPr>
              <w:t xml:space="preserve"> </w:t>
            </w:r>
            <w:proofErr w:type="spellStart"/>
            <w:r w:rsidRPr="00153296">
              <w:rPr>
                <w:rFonts w:eastAsia="MS Gothic" w:cs="Arial"/>
                <w:sz w:val="16"/>
                <w:szCs w:val="16"/>
                <w:lang w:val="en-IN" w:eastAsia="en-AU"/>
              </w:rPr>
              <w:t>estradiol</w:t>
            </w:r>
            <w:proofErr w:type="spellEnd"/>
            <w:r w:rsidRPr="00153296">
              <w:rPr>
                <w:rFonts w:eastAsia="MS Gothic" w:cs="Arial"/>
                <w:sz w:val="16"/>
                <w:szCs w:val="16"/>
                <w:lang w:val="en-IN" w:eastAsia="en-AU"/>
              </w:rPr>
              <w:t xml:space="preserve"> + 0.15 mg </w:t>
            </w:r>
            <w:proofErr w:type="spellStart"/>
            <w:r w:rsidRPr="00153296">
              <w:rPr>
                <w:rFonts w:eastAsia="MS Gothic" w:cs="Arial"/>
                <w:sz w:val="16"/>
                <w:szCs w:val="16"/>
                <w:lang w:val="en-IN" w:eastAsia="en-AU"/>
              </w:rPr>
              <w:t>levonorgestrel</w:t>
            </w:r>
            <w:proofErr w:type="spellEnd"/>
            <w:r w:rsidRPr="00153296">
              <w:rPr>
                <w:rFonts w:eastAsia="MS Gothic" w:cs="Arial"/>
                <w:sz w:val="16"/>
                <w:szCs w:val="16"/>
                <w:lang w:val="en-IN" w:eastAsia="en-AU"/>
              </w:rPr>
              <w:t xml:space="preserve"> (Nordette®-28) SD</w:t>
            </w:r>
          </w:p>
          <w:p w14:paraId="1D664D1F" w14:textId="77777777" w:rsidR="00153296" w:rsidRPr="00153296" w:rsidRDefault="00153296" w:rsidP="00153296">
            <w:pPr>
              <w:spacing w:after="0" w:line="276" w:lineRule="auto"/>
              <w:jc w:val="center"/>
              <w:rPr>
                <w:rFonts w:eastAsia="MS Gothic" w:cs="Arial"/>
                <w:sz w:val="16"/>
                <w:szCs w:val="16"/>
                <w:lang w:val="en-US" w:eastAsia="ja-JP"/>
              </w:rPr>
            </w:pPr>
          </w:p>
        </w:tc>
        <w:tc>
          <w:tcPr>
            <w:tcW w:w="1134" w:type="dxa"/>
            <w:vMerge w:val="restart"/>
            <w:tcBorders>
              <w:top w:val="single" w:sz="4" w:space="0" w:color="auto"/>
              <w:left w:val="single" w:sz="4" w:space="0" w:color="auto"/>
              <w:right w:val="single" w:sz="4" w:space="0" w:color="auto"/>
            </w:tcBorders>
            <w:vAlign w:val="center"/>
            <w:hideMark/>
          </w:tcPr>
          <w:p w14:paraId="78A96AAF"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QD</w:t>
            </w:r>
          </w:p>
          <w:p w14:paraId="166EC645"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val="restart"/>
            <w:tcBorders>
              <w:top w:val="single" w:sz="4" w:space="0" w:color="auto"/>
              <w:left w:val="single" w:sz="4" w:space="0" w:color="auto"/>
              <w:right w:val="single" w:sz="4" w:space="0" w:color="auto"/>
            </w:tcBorders>
            <w:vAlign w:val="center"/>
            <w:hideMark/>
          </w:tcPr>
          <w:p w14:paraId="32B900EF"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19</w:t>
            </w:r>
          </w:p>
          <w:p w14:paraId="7E65AFAE"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E11A4C4"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0.98 (0.94, 1.03)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EAC51A"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0.83 (0.80, 0.87)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983E61"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w:t>
            </w:r>
          </w:p>
        </w:tc>
      </w:tr>
      <w:tr w:rsidR="00153296" w:rsidRPr="00153296" w14:paraId="2AD7FAB3" w14:textId="77777777" w:rsidTr="000A76E7">
        <w:trPr>
          <w:trHeight w:val="232"/>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2A6B9F53" w14:textId="77777777" w:rsidR="00153296" w:rsidRPr="00153296" w:rsidRDefault="00153296" w:rsidP="00153296">
            <w:pPr>
              <w:spacing w:after="0" w:line="276" w:lineRule="auto"/>
              <w:jc w:val="center"/>
              <w:rPr>
                <w:rFonts w:eastAsia="MS Gothic" w:cs="Arial"/>
                <w:sz w:val="16"/>
                <w:szCs w:val="16"/>
                <w:lang w:val="en-IN" w:eastAsia="ja-JP"/>
              </w:rPr>
            </w:pPr>
            <w:proofErr w:type="spellStart"/>
            <w:r w:rsidRPr="00153296">
              <w:rPr>
                <w:rFonts w:eastAsia="MS Gothic" w:cs="Arial"/>
                <w:sz w:val="16"/>
                <w:szCs w:val="16"/>
                <w:lang w:val="en-IN" w:eastAsia="en-AU"/>
              </w:rPr>
              <w:t>levonorgestrel</w:t>
            </w:r>
            <w:proofErr w:type="spellEnd"/>
          </w:p>
        </w:tc>
        <w:tc>
          <w:tcPr>
            <w:tcW w:w="2000" w:type="dxa"/>
            <w:vMerge/>
            <w:tcBorders>
              <w:left w:val="single" w:sz="4" w:space="0" w:color="auto"/>
              <w:bottom w:val="single" w:sz="4" w:space="0" w:color="auto"/>
              <w:right w:val="single" w:sz="4" w:space="0" w:color="auto"/>
            </w:tcBorders>
            <w:vAlign w:val="center"/>
            <w:hideMark/>
          </w:tcPr>
          <w:p w14:paraId="7DCBF490" w14:textId="77777777" w:rsidR="00153296" w:rsidRPr="00153296" w:rsidRDefault="00153296" w:rsidP="00153296">
            <w:pPr>
              <w:spacing w:after="0" w:line="276" w:lineRule="auto"/>
              <w:jc w:val="center"/>
              <w:rPr>
                <w:rFonts w:eastAsia="MS Gothic" w:cs="Arial"/>
                <w:sz w:val="16"/>
                <w:szCs w:val="16"/>
                <w:lang w:val="en-US" w:eastAsia="ja-JP"/>
              </w:rPr>
            </w:pPr>
          </w:p>
        </w:tc>
        <w:tc>
          <w:tcPr>
            <w:tcW w:w="1134" w:type="dxa"/>
            <w:vMerge/>
            <w:tcBorders>
              <w:left w:val="single" w:sz="4" w:space="0" w:color="auto"/>
              <w:bottom w:val="single" w:sz="4" w:space="0" w:color="auto"/>
              <w:right w:val="single" w:sz="4" w:space="0" w:color="auto"/>
            </w:tcBorders>
            <w:vAlign w:val="center"/>
            <w:hideMark/>
          </w:tcPr>
          <w:p w14:paraId="1472281C"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tcBorders>
              <w:left w:val="single" w:sz="4" w:space="0" w:color="auto"/>
              <w:bottom w:val="single" w:sz="4" w:space="0" w:color="auto"/>
              <w:right w:val="single" w:sz="4" w:space="0" w:color="auto"/>
            </w:tcBorders>
            <w:vAlign w:val="center"/>
            <w:hideMark/>
          </w:tcPr>
          <w:p w14:paraId="7A796DF2"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7BCA76"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1.21 (1.14, 1.28)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12D9C5"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0.96 (0.88, 1.05)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3950A7"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w:t>
            </w:r>
          </w:p>
        </w:tc>
      </w:tr>
      <w:tr w:rsidR="00153296" w:rsidRPr="00153296" w14:paraId="76569E12" w14:textId="77777777" w:rsidTr="000A76E7">
        <w:trPr>
          <w:trHeight w:val="296"/>
          <w:tblHeader/>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14:paraId="3AB96B50"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Statins</w:t>
            </w:r>
          </w:p>
        </w:tc>
      </w:tr>
      <w:tr w:rsidR="00153296" w:rsidRPr="00153296" w14:paraId="3A1E1E6A" w14:textId="77777777" w:rsidTr="000A76E7">
        <w:trPr>
          <w:trHeight w:val="323"/>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73FB19B6"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atorvastatin</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3166105"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20 mg SD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94A0B6"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QD</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E619D2"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79647F"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val="en-IN" w:eastAsia="en-AU"/>
              </w:rPr>
              <w:t>0.98 (0.90, 1.06)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11372C"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0.67 (0.52, 0.85)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7E876C"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w:t>
            </w:r>
          </w:p>
        </w:tc>
      </w:tr>
      <w:tr w:rsidR="00153296" w:rsidRPr="00153296" w14:paraId="77666BB3" w14:textId="77777777" w:rsidTr="000A76E7">
        <w:trPr>
          <w:trHeight w:val="242"/>
          <w:tblHeader/>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14:paraId="30819CBA"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Antidiabetics</w:t>
            </w:r>
          </w:p>
        </w:tc>
      </w:tr>
      <w:tr w:rsidR="00153296" w:rsidRPr="00153296" w14:paraId="62006A59" w14:textId="77777777" w:rsidTr="000A76E7">
        <w:trPr>
          <w:trHeight w:val="278"/>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2F3EB3F4"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metformin</w:t>
            </w:r>
          </w:p>
        </w:tc>
        <w:tc>
          <w:tcPr>
            <w:tcW w:w="2000" w:type="dxa"/>
            <w:tcBorders>
              <w:top w:val="single" w:sz="4" w:space="0" w:color="auto"/>
              <w:left w:val="single" w:sz="4" w:space="0" w:color="auto"/>
              <w:bottom w:val="single" w:sz="4" w:space="0" w:color="auto"/>
              <w:right w:val="single" w:sz="4" w:space="0" w:color="auto"/>
            </w:tcBorders>
            <w:vAlign w:val="center"/>
            <w:hideMark/>
          </w:tcPr>
          <w:p w14:paraId="138A7022" w14:textId="77777777" w:rsidR="00153296" w:rsidRPr="00153296" w:rsidRDefault="00153296" w:rsidP="00153296">
            <w:pPr>
              <w:spacing w:after="80" w:line="276" w:lineRule="auto"/>
              <w:jc w:val="center"/>
              <w:rPr>
                <w:rFonts w:eastAsia="MS Gothic" w:cs="Arial"/>
                <w:sz w:val="16"/>
                <w:szCs w:val="16"/>
                <w:lang w:val="en-IN" w:eastAsia="ja-JP"/>
              </w:rPr>
            </w:pPr>
            <w:r w:rsidRPr="00153296">
              <w:rPr>
                <w:rFonts w:eastAsia="MS Gothic" w:cs="Arial"/>
                <w:sz w:val="16"/>
                <w:szCs w:val="16"/>
                <w:lang w:val="en-IN" w:eastAsia="en-AU"/>
              </w:rPr>
              <w:t>1000 mg SD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FC8FAF"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QD</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21036B"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8CE75A"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0.94 (0.88,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944C79" w14:textId="77777777" w:rsidR="00153296" w:rsidRPr="00153296" w:rsidRDefault="00153296" w:rsidP="00153296">
            <w:pPr>
              <w:spacing w:after="80" w:line="276" w:lineRule="auto"/>
              <w:jc w:val="center"/>
              <w:rPr>
                <w:rFonts w:eastAsia="MS Gothic" w:cs="Arial"/>
                <w:sz w:val="16"/>
                <w:szCs w:val="16"/>
                <w:lang w:val="en-IN" w:eastAsia="ja-JP"/>
              </w:rPr>
            </w:pPr>
            <w:r w:rsidRPr="00153296">
              <w:rPr>
                <w:rFonts w:eastAsia="MS Gothic" w:cs="Arial"/>
                <w:sz w:val="16"/>
                <w:szCs w:val="16"/>
                <w:lang w:val="en-IN" w:eastAsia="en-AU"/>
              </w:rPr>
              <w:t>0.94 (0.86, 1.03)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6A3A2" w14:textId="77777777" w:rsidR="00153296" w:rsidRPr="00153296" w:rsidRDefault="00153296" w:rsidP="00153296">
            <w:pPr>
              <w:spacing w:after="80" w:line="276" w:lineRule="auto"/>
              <w:jc w:val="center"/>
              <w:rPr>
                <w:rFonts w:eastAsia="MS Gothic" w:cs="Arial"/>
                <w:sz w:val="16"/>
                <w:szCs w:val="16"/>
                <w:lang w:val="en-US" w:eastAsia="ja-JP"/>
              </w:rPr>
            </w:pPr>
            <w:r w:rsidRPr="00153296">
              <w:rPr>
                <w:rFonts w:eastAsia="MS Gothic" w:cs="Arial"/>
                <w:sz w:val="16"/>
                <w:szCs w:val="16"/>
                <w:lang w:eastAsia="en-AU"/>
              </w:rPr>
              <w:t>-</w:t>
            </w:r>
          </w:p>
        </w:tc>
      </w:tr>
      <w:tr w:rsidR="00153296" w:rsidRPr="00153296" w14:paraId="2D6312A0" w14:textId="77777777" w:rsidTr="000A76E7">
        <w:trPr>
          <w:trHeight w:val="248"/>
          <w:tblHeader/>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14:paraId="44FCB2C5" w14:textId="77777777" w:rsidR="00153296" w:rsidRPr="00153296" w:rsidRDefault="00153296" w:rsidP="00153296">
            <w:pPr>
              <w:spacing w:after="0" w:line="276" w:lineRule="auto"/>
              <w:jc w:val="center"/>
              <w:rPr>
                <w:rFonts w:eastAsia="MS Gothic" w:cs="Arial"/>
                <w:b/>
                <w:sz w:val="16"/>
                <w:szCs w:val="16"/>
                <w:lang w:val="en-US" w:eastAsia="ja-JP"/>
              </w:rPr>
            </w:pPr>
            <w:r w:rsidRPr="00153296">
              <w:rPr>
                <w:rFonts w:eastAsia="MS Gothic" w:cs="Arial"/>
                <w:b/>
                <w:sz w:val="16"/>
                <w:szCs w:val="16"/>
                <w:lang w:eastAsia="en-AU"/>
              </w:rPr>
              <w:t>Opioid Analgesics</w:t>
            </w:r>
          </w:p>
        </w:tc>
      </w:tr>
      <w:tr w:rsidR="00153296" w:rsidRPr="00153296" w14:paraId="67778B88" w14:textId="77777777" w:rsidTr="000A76E7">
        <w:trPr>
          <w:trHeight w:val="458"/>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4CCE3C8C"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methadone</w:t>
            </w:r>
          </w:p>
          <w:p w14:paraId="1EF59816"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(R-methadone)</w:t>
            </w:r>
          </w:p>
        </w:tc>
        <w:tc>
          <w:tcPr>
            <w:tcW w:w="2000" w:type="dxa"/>
            <w:vMerge w:val="restart"/>
            <w:tcBorders>
              <w:top w:val="single" w:sz="4" w:space="0" w:color="auto"/>
              <w:left w:val="single" w:sz="4" w:space="0" w:color="auto"/>
              <w:right w:val="single" w:sz="4" w:space="0" w:color="auto"/>
            </w:tcBorders>
            <w:vAlign w:val="center"/>
            <w:hideMark/>
          </w:tcPr>
          <w:p w14:paraId="4ED83392" w14:textId="77777777" w:rsidR="00153296" w:rsidRPr="00153296" w:rsidRDefault="00153296" w:rsidP="00153296">
            <w:pPr>
              <w:spacing w:after="80" w:line="276" w:lineRule="auto"/>
              <w:jc w:val="center"/>
              <w:rPr>
                <w:rFonts w:eastAsia="MS Gothic" w:cs="Arial"/>
                <w:sz w:val="16"/>
                <w:szCs w:val="16"/>
                <w:lang w:val="en-US" w:eastAsia="ja-JP"/>
              </w:rPr>
            </w:pPr>
            <w:r w:rsidRPr="00153296">
              <w:rPr>
                <w:rFonts w:eastAsia="MS Gothic" w:cs="Arial"/>
                <w:sz w:val="16"/>
                <w:szCs w:val="16"/>
                <w:lang w:eastAsia="en-AU"/>
              </w:rPr>
              <w:t>20-200 mg QD</w:t>
            </w:r>
          </w:p>
          <w:p w14:paraId="573F4EFD" w14:textId="77777777" w:rsidR="00153296" w:rsidRPr="00153296" w:rsidRDefault="00153296" w:rsidP="00153296">
            <w:pPr>
              <w:spacing w:after="80" w:line="276" w:lineRule="auto"/>
              <w:jc w:val="center"/>
              <w:rPr>
                <w:rFonts w:eastAsia="MS Gothic" w:cs="Arial"/>
                <w:sz w:val="16"/>
                <w:szCs w:val="16"/>
                <w:lang w:val="en-US" w:eastAsia="ja-JP"/>
              </w:rPr>
            </w:pPr>
            <w:r w:rsidRPr="00153296">
              <w:rPr>
                <w:rFonts w:eastAsia="MS Gothic" w:cs="Arial"/>
                <w:sz w:val="16"/>
                <w:szCs w:val="16"/>
                <w:lang w:eastAsia="en-AU"/>
              </w:rPr>
              <w:t>individualized dose</w:t>
            </w:r>
          </w:p>
          <w:p w14:paraId="32C62FC7" w14:textId="77777777" w:rsidR="00153296" w:rsidRPr="00153296" w:rsidRDefault="00153296" w:rsidP="00153296">
            <w:pPr>
              <w:spacing w:after="80" w:line="276" w:lineRule="auto"/>
              <w:jc w:val="center"/>
              <w:rPr>
                <w:rFonts w:eastAsia="MS Gothic" w:cs="Arial"/>
                <w:sz w:val="16"/>
                <w:szCs w:val="16"/>
                <w:lang w:val="en-US" w:eastAsia="ja-JP"/>
              </w:rPr>
            </w:pPr>
          </w:p>
        </w:tc>
        <w:tc>
          <w:tcPr>
            <w:tcW w:w="1134" w:type="dxa"/>
            <w:vMerge w:val="restart"/>
            <w:tcBorders>
              <w:top w:val="single" w:sz="4" w:space="0" w:color="auto"/>
              <w:left w:val="single" w:sz="4" w:space="0" w:color="auto"/>
              <w:right w:val="single" w:sz="4" w:space="0" w:color="auto"/>
            </w:tcBorders>
            <w:vAlign w:val="center"/>
            <w:hideMark/>
          </w:tcPr>
          <w:p w14:paraId="7823C666"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100 mg QD</w:t>
            </w:r>
          </w:p>
          <w:p w14:paraId="0F7F207B"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val="restart"/>
            <w:tcBorders>
              <w:top w:val="single" w:sz="4" w:space="0" w:color="auto"/>
              <w:left w:val="single" w:sz="4" w:space="0" w:color="auto"/>
              <w:right w:val="single" w:sz="4" w:space="0" w:color="auto"/>
            </w:tcBorders>
            <w:vAlign w:val="center"/>
            <w:hideMark/>
          </w:tcPr>
          <w:p w14:paraId="1B0DD80A" w14:textId="77777777" w:rsidR="00153296" w:rsidRPr="00153296" w:rsidRDefault="00153296" w:rsidP="00153296">
            <w:pPr>
              <w:spacing w:after="0" w:line="276" w:lineRule="auto"/>
              <w:jc w:val="center"/>
              <w:rPr>
                <w:rFonts w:eastAsia="MS Gothic" w:cs="Arial"/>
                <w:sz w:val="16"/>
                <w:szCs w:val="16"/>
                <w:lang w:val="en-US" w:eastAsia="ja-JP"/>
              </w:rPr>
            </w:pPr>
            <w:r w:rsidRPr="00153296">
              <w:rPr>
                <w:rFonts w:eastAsia="MS Gothic" w:cs="Arial"/>
                <w:sz w:val="16"/>
                <w:szCs w:val="16"/>
                <w:lang w:eastAsia="en-AU"/>
              </w:rPr>
              <w:t>14</w:t>
            </w:r>
          </w:p>
          <w:p w14:paraId="7D25CACD"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DE20C24"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0.95 (0.90, 1.01)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F889AF" w14:textId="77777777" w:rsidR="00153296" w:rsidRPr="00153296" w:rsidRDefault="00153296" w:rsidP="00153296">
            <w:pPr>
              <w:spacing w:after="80" w:line="276" w:lineRule="auto"/>
              <w:jc w:val="center"/>
              <w:rPr>
                <w:rFonts w:eastAsia="MS Gothic" w:cs="Arial"/>
                <w:sz w:val="16"/>
                <w:szCs w:val="16"/>
                <w:lang w:val="en-IN" w:eastAsia="ja-JP"/>
              </w:rPr>
            </w:pPr>
            <w:r w:rsidRPr="00153296">
              <w:rPr>
                <w:rFonts w:eastAsia="MS Gothic" w:cs="Arial"/>
                <w:sz w:val="16"/>
                <w:szCs w:val="16"/>
                <w:lang w:val="en-IN" w:eastAsia="en-AU"/>
              </w:rPr>
              <w:t>0.98 (0.93, 1.03)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C6D8CB" w14:textId="77777777" w:rsidR="00153296" w:rsidRPr="00153296" w:rsidRDefault="00153296" w:rsidP="00153296">
            <w:pPr>
              <w:spacing w:after="80" w:line="276" w:lineRule="auto"/>
              <w:jc w:val="center"/>
              <w:rPr>
                <w:rFonts w:eastAsia="MS Gothic" w:cs="Arial"/>
                <w:sz w:val="16"/>
                <w:szCs w:val="16"/>
                <w:lang w:val="en-US" w:eastAsia="ja-JP"/>
              </w:rPr>
            </w:pPr>
            <w:r w:rsidRPr="00153296">
              <w:rPr>
                <w:rFonts w:eastAsia="MS Gothic" w:cs="Arial"/>
                <w:sz w:val="16"/>
                <w:szCs w:val="16"/>
                <w:lang w:eastAsia="en-AU"/>
              </w:rPr>
              <w:t>0.95 (0.88, 1.03)</w:t>
            </w:r>
          </w:p>
        </w:tc>
      </w:tr>
      <w:tr w:rsidR="00153296" w:rsidRPr="00153296" w14:paraId="563A12C8" w14:textId="77777777" w:rsidTr="000A76E7">
        <w:trPr>
          <w:trHeight w:val="440"/>
          <w:tblHeader/>
        </w:trPr>
        <w:tc>
          <w:tcPr>
            <w:tcW w:w="1261" w:type="dxa"/>
            <w:tcBorders>
              <w:top w:val="single" w:sz="4" w:space="0" w:color="auto"/>
              <w:left w:val="single" w:sz="4" w:space="0" w:color="auto"/>
              <w:bottom w:val="single" w:sz="4" w:space="0" w:color="auto"/>
              <w:right w:val="single" w:sz="4" w:space="0" w:color="auto"/>
            </w:tcBorders>
            <w:vAlign w:val="center"/>
            <w:hideMark/>
          </w:tcPr>
          <w:p w14:paraId="7030CB8D"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methadone</w:t>
            </w:r>
          </w:p>
          <w:p w14:paraId="1AFDE227"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(S-methadone)</w:t>
            </w:r>
          </w:p>
        </w:tc>
        <w:tc>
          <w:tcPr>
            <w:tcW w:w="2000" w:type="dxa"/>
            <w:vMerge/>
            <w:tcBorders>
              <w:left w:val="single" w:sz="4" w:space="0" w:color="auto"/>
              <w:bottom w:val="single" w:sz="4" w:space="0" w:color="auto"/>
              <w:right w:val="single" w:sz="4" w:space="0" w:color="auto"/>
            </w:tcBorders>
            <w:vAlign w:val="center"/>
            <w:hideMark/>
          </w:tcPr>
          <w:p w14:paraId="18D9A44C" w14:textId="77777777" w:rsidR="00153296" w:rsidRPr="00153296" w:rsidRDefault="00153296" w:rsidP="00153296">
            <w:pPr>
              <w:spacing w:after="80" w:line="276" w:lineRule="auto"/>
              <w:jc w:val="center"/>
              <w:rPr>
                <w:rFonts w:eastAsia="MS Gothic" w:cs="Arial"/>
                <w:sz w:val="16"/>
                <w:szCs w:val="16"/>
                <w:lang w:val="en-US" w:eastAsia="ja-JP"/>
              </w:rPr>
            </w:pPr>
          </w:p>
        </w:tc>
        <w:tc>
          <w:tcPr>
            <w:tcW w:w="1134" w:type="dxa"/>
            <w:vMerge/>
            <w:tcBorders>
              <w:left w:val="single" w:sz="4" w:space="0" w:color="auto"/>
              <w:bottom w:val="single" w:sz="4" w:space="0" w:color="auto"/>
              <w:right w:val="single" w:sz="4" w:space="0" w:color="auto"/>
            </w:tcBorders>
            <w:vAlign w:val="center"/>
            <w:hideMark/>
          </w:tcPr>
          <w:p w14:paraId="7080BEF0" w14:textId="77777777" w:rsidR="00153296" w:rsidRPr="00153296" w:rsidRDefault="00153296" w:rsidP="00153296">
            <w:pPr>
              <w:spacing w:after="0" w:line="276" w:lineRule="auto"/>
              <w:jc w:val="center"/>
              <w:rPr>
                <w:rFonts w:eastAsia="MS Gothic" w:cs="Arial"/>
                <w:sz w:val="16"/>
                <w:szCs w:val="16"/>
                <w:lang w:val="en-US" w:eastAsia="ja-JP"/>
              </w:rPr>
            </w:pPr>
          </w:p>
        </w:tc>
        <w:tc>
          <w:tcPr>
            <w:tcW w:w="708" w:type="dxa"/>
            <w:vMerge/>
            <w:tcBorders>
              <w:left w:val="single" w:sz="4" w:space="0" w:color="auto"/>
              <w:bottom w:val="single" w:sz="4" w:space="0" w:color="auto"/>
              <w:right w:val="single" w:sz="4" w:space="0" w:color="auto"/>
            </w:tcBorders>
            <w:vAlign w:val="center"/>
            <w:hideMark/>
          </w:tcPr>
          <w:p w14:paraId="1629FA65" w14:textId="77777777" w:rsidR="00153296" w:rsidRPr="00153296" w:rsidRDefault="00153296" w:rsidP="00153296">
            <w:pPr>
              <w:spacing w:after="0" w:line="276" w:lineRule="auto"/>
              <w:jc w:val="center"/>
              <w:rPr>
                <w:rFonts w:eastAsia="MS Gothic" w:cs="Arial"/>
                <w:sz w:val="16"/>
                <w:szCs w:val="16"/>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377BC3F" w14:textId="77777777" w:rsidR="00153296" w:rsidRPr="00153296" w:rsidRDefault="00153296" w:rsidP="00153296">
            <w:pPr>
              <w:spacing w:after="0" w:line="276" w:lineRule="auto"/>
              <w:jc w:val="center"/>
              <w:rPr>
                <w:rFonts w:eastAsia="MS Gothic" w:cs="Arial"/>
                <w:sz w:val="16"/>
                <w:szCs w:val="16"/>
                <w:lang w:val="en-IN" w:eastAsia="ja-JP"/>
              </w:rPr>
            </w:pPr>
            <w:r w:rsidRPr="00153296">
              <w:rPr>
                <w:rFonts w:eastAsia="MS Gothic" w:cs="Arial"/>
                <w:sz w:val="16"/>
                <w:szCs w:val="16"/>
                <w:lang w:val="en-IN" w:eastAsia="en-AU"/>
              </w:rPr>
              <w:t>0.98 (0.90, 1.06)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7DA8A3" w14:textId="77777777" w:rsidR="00153296" w:rsidRPr="00153296" w:rsidRDefault="00153296" w:rsidP="00153296">
            <w:pPr>
              <w:spacing w:after="80" w:line="276" w:lineRule="auto"/>
              <w:jc w:val="center"/>
              <w:rPr>
                <w:rFonts w:eastAsia="MS Gothic" w:cs="Arial"/>
                <w:sz w:val="16"/>
                <w:szCs w:val="16"/>
                <w:lang w:val="en-IN" w:eastAsia="ja-JP"/>
              </w:rPr>
            </w:pPr>
            <w:r w:rsidRPr="00153296">
              <w:rPr>
                <w:rFonts w:eastAsia="MS Gothic" w:cs="Arial"/>
                <w:sz w:val="16"/>
                <w:szCs w:val="16"/>
                <w:lang w:val="en-IN" w:eastAsia="en-AU"/>
              </w:rPr>
              <w:t>0.97 (0.91, 1.04)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BB3056" w14:textId="77777777" w:rsidR="00153296" w:rsidRPr="00153296" w:rsidRDefault="00153296" w:rsidP="00153296">
            <w:pPr>
              <w:spacing w:after="80" w:line="276" w:lineRule="auto"/>
              <w:jc w:val="center"/>
              <w:rPr>
                <w:rFonts w:eastAsia="MS Gothic" w:cs="Arial"/>
                <w:sz w:val="16"/>
                <w:szCs w:val="16"/>
                <w:lang w:val="en-US" w:eastAsia="ja-JP"/>
              </w:rPr>
            </w:pPr>
            <w:r w:rsidRPr="00153296">
              <w:rPr>
                <w:rFonts w:eastAsia="MS Gothic" w:cs="Arial"/>
                <w:sz w:val="16"/>
                <w:szCs w:val="16"/>
                <w:lang w:eastAsia="en-AU"/>
              </w:rPr>
              <w:t>0.97 (0.86, 1.10)</w:t>
            </w:r>
          </w:p>
        </w:tc>
      </w:tr>
      <w:tr w:rsidR="00153296" w:rsidRPr="00153296" w14:paraId="7C8F4552" w14:textId="77777777" w:rsidTr="000A76E7">
        <w:trPr>
          <w:trHeight w:val="248"/>
          <w:tblHeader/>
        </w:trPr>
        <w:tc>
          <w:tcPr>
            <w:tcW w:w="8931" w:type="dxa"/>
            <w:gridSpan w:val="7"/>
            <w:tcBorders>
              <w:top w:val="single" w:sz="4" w:space="0" w:color="auto"/>
              <w:left w:val="single" w:sz="4" w:space="0" w:color="auto"/>
              <w:bottom w:val="single" w:sz="4" w:space="0" w:color="auto"/>
              <w:right w:val="single" w:sz="4" w:space="0" w:color="auto"/>
            </w:tcBorders>
            <w:vAlign w:val="center"/>
            <w:hideMark/>
          </w:tcPr>
          <w:p w14:paraId="0CEF5DB3" w14:textId="77777777" w:rsidR="00153296" w:rsidRPr="00153296" w:rsidRDefault="00153296" w:rsidP="00153296">
            <w:pPr>
              <w:spacing w:after="0" w:line="276" w:lineRule="auto"/>
              <w:jc w:val="left"/>
              <w:rPr>
                <w:rFonts w:eastAsia="MS Gothic" w:cs="Arial"/>
                <w:sz w:val="16"/>
                <w:szCs w:val="16"/>
                <w:lang w:val="en-US" w:eastAsia="ja-JP"/>
              </w:rPr>
            </w:pPr>
            <w:r w:rsidRPr="00153296">
              <w:rPr>
                <w:rFonts w:eastAsia="MS Gothic" w:cs="Arial"/>
                <w:sz w:val="16"/>
                <w:szCs w:val="16"/>
                <w:lang w:eastAsia="en-AU"/>
              </w:rPr>
              <w:t>CI = Confidence interval; SD = Single Dose; QD = Once Daily.</w:t>
            </w:r>
          </w:p>
          <w:p w14:paraId="55EA43BD" w14:textId="77777777" w:rsidR="00153296" w:rsidRPr="00153296" w:rsidRDefault="00153296" w:rsidP="00153296">
            <w:pPr>
              <w:spacing w:after="0" w:line="276" w:lineRule="auto"/>
              <w:jc w:val="left"/>
              <w:rPr>
                <w:rFonts w:eastAsia="MS Gothic" w:cs="Arial"/>
                <w:bCs/>
                <w:sz w:val="16"/>
                <w:szCs w:val="16"/>
                <w:lang w:eastAsia="en-AU"/>
              </w:rPr>
            </w:pPr>
            <w:r w:rsidRPr="00153296">
              <w:rPr>
                <w:rFonts w:eastAsia="Calibri" w:cs="Arial"/>
                <w:szCs w:val="16"/>
                <w:lang w:eastAsia="en-AU"/>
              </w:rPr>
              <w:t>*</w:t>
            </w:r>
            <w:r w:rsidRPr="00153296">
              <w:rPr>
                <w:rFonts w:eastAsia="MS Gothic" w:cs="Arial"/>
                <w:bCs/>
                <w:sz w:val="16"/>
                <w:szCs w:val="16"/>
                <w:lang w:eastAsia="en-AU"/>
              </w:rPr>
              <w:t>AUC</w:t>
            </w:r>
            <w:r w:rsidRPr="00153296">
              <w:rPr>
                <w:rFonts w:eastAsia="MS Gothic" w:cs="Arial"/>
                <w:bCs/>
                <w:sz w:val="16"/>
                <w:szCs w:val="16"/>
                <w:vertAlign w:val="subscript"/>
                <w:lang w:eastAsia="en-AU"/>
              </w:rPr>
              <w:t>0-</w:t>
            </w:r>
            <w:r w:rsidRPr="00153296">
              <w:rPr>
                <w:rFonts w:eastAsia="MS Gothic" w:cs="Arial"/>
                <w:bCs/>
                <w:sz w:val="16"/>
                <w:szCs w:val="16"/>
                <w:vertAlign w:val="subscript"/>
                <w:lang w:eastAsia="en-AU"/>
              </w:rPr>
              <w:sym w:font="Symbol" w:char="F0A5"/>
            </w:r>
            <w:r w:rsidRPr="00153296">
              <w:rPr>
                <w:rFonts w:eastAsia="MS Gothic" w:cs="Arial"/>
                <w:bCs/>
                <w:sz w:val="16"/>
                <w:szCs w:val="16"/>
                <w:lang w:eastAsia="en-AU"/>
              </w:rPr>
              <w:t xml:space="preserve"> for single-dose, AUC</w:t>
            </w:r>
            <w:r w:rsidRPr="00153296">
              <w:rPr>
                <w:rFonts w:eastAsia="MS Gothic" w:cs="Arial"/>
                <w:bCs/>
                <w:sz w:val="16"/>
                <w:szCs w:val="16"/>
                <w:vertAlign w:val="subscript"/>
                <w:lang w:eastAsia="en-AU"/>
              </w:rPr>
              <w:t>0-24</w:t>
            </w:r>
            <w:r w:rsidRPr="00153296">
              <w:rPr>
                <w:rFonts w:eastAsia="MS Gothic" w:cs="Arial"/>
                <w:bCs/>
                <w:sz w:val="16"/>
                <w:szCs w:val="16"/>
                <w:lang w:eastAsia="en-AU"/>
              </w:rPr>
              <w:t xml:space="preserve"> for once daily.</w:t>
            </w:r>
          </w:p>
          <w:p w14:paraId="17358DD8" w14:textId="77777777" w:rsidR="00153296" w:rsidRPr="00153296" w:rsidRDefault="00153296" w:rsidP="00153296">
            <w:pPr>
              <w:spacing w:after="0" w:line="276" w:lineRule="auto"/>
              <w:jc w:val="left"/>
              <w:rPr>
                <w:rFonts w:eastAsia="MS Gothic" w:cs="Arial"/>
                <w:sz w:val="16"/>
                <w:szCs w:val="16"/>
                <w:vertAlign w:val="superscript"/>
                <w:lang w:val="en-US" w:eastAsia="ja-JP"/>
              </w:rPr>
            </w:pPr>
            <w:r w:rsidRPr="00153296">
              <w:rPr>
                <w:rFonts w:eastAsia="MS Gothic" w:cs="Arial"/>
                <w:sz w:val="16"/>
                <w:szCs w:val="16"/>
                <w:lang w:val="en-IN" w:eastAsia="en-AU"/>
              </w:rPr>
              <w:t xml:space="preserve">†The predominant circulating nucleoside metabolite of </w:t>
            </w:r>
            <w:proofErr w:type="spellStart"/>
            <w:r w:rsidRPr="00153296">
              <w:rPr>
                <w:rFonts w:eastAsia="MS Gothic" w:cs="Arial"/>
                <w:sz w:val="16"/>
                <w:szCs w:val="16"/>
                <w:lang w:val="en-IN" w:eastAsia="en-AU"/>
              </w:rPr>
              <w:t>sofosbuvir</w:t>
            </w:r>
            <w:proofErr w:type="spellEnd"/>
            <w:r w:rsidRPr="00153296">
              <w:rPr>
                <w:rFonts w:eastAsia="MS Gothic" w:cs="Arial"/>
                <w:sz w:val="16"/>
                <w:szCs w:val="16"/>
                <w:lang w:val="en-IN" w:eastAsia="en-AU"/>
              </w:rPr>
              <w:t>.</w:t>
            </w:r>
          </w:p>
        </w:tc>
      </w:tr>
    </w:tbl>
    <w:p w14:paraId="41DC31A7" w14:textId="77777777" w:rsidR="00153296" w:rsidRPr="00153296" w:rsidRDefault="00153296" w:rsidP="00153296">
      <w:pPr>
        <w:jc w:val="left"/>
        <w:rPr>
          <w:rFonts w:ascii="Helvetica" w:hAnsi="Helvetica"/>
          <w:b/>
          <w:szCs w:val="20"/>
        </w:rPr>
      </w:pPr>
      <w:bookmarkStart w:id="0" w:name="_GoBack"/>
      <w:bookmarkEnd w:id="0"/>
    </w:p>
    <w:p w14:paraId="2F4CC867" w14:textId="2E26791D" w:rsidR="00415EAE" w:rsidRDefault="00153296" w:rsidP="00153296">
      <w:pPr>
        <w:rPr>
          <w:u w:val="single"/>
        </w:rPr>
      </w:pPr>
      <w:r w:rsidRPr="00153296">
        <w:rPr>
          <w:u w:val="single"/>
        </w:rPr>
        <w:t xml:space="preserve">Lamivudine </w:t>
      </w:r>
    </w:p>
    <w:p w14:paraId="3FEF29F8" w14:textId="77777777" w:rsidR="00153296" w:rsidRDefault="00153296" w:rsidP="00153296">
      <w:r>
        <w:rPr>
          <w:i/>
          <w:iCs/>
        </w:rPr>
        <w:t xml:space="preserve">Trimethoprim/Sulfamethoxazole: </w:t>
      </w:r>
      <w:r>
        <w:t>Lamivudine and trimethoprim/sulfamethoxazole (TMP/SMX) were co-administered to 14 HIV-positive patients in a single-centre, open-label, randomised, crossover study. Each patient received treatment with a single 300-mg dose of lamivudine and TMP 160 mg/SMX 800 mg once a day for 5 days with concomitant administration of lamivudine 300 mg with the fifth dose in a crossover design. Co-administration of TMP/SMX with lamivudine resulted in an increase of 43% ±23% (mean ±SD) in lamivudine AUC∞, a decrease of 29% ±13% in lamivudine oral clearance, and a decrease of 30% ±36% in lamivudine renal clearance. The pharmacokinetic properties of TMP and SMX were not altered by co-administration with lamivudine.</w:t>
      </w:r>
    </w:p>
    <w:p w14:paraId="5529DD8B" w14:textId="79A6E172" w:rsidR="00153296" w:rsidRDefault="00153296" w:rsidP="00153296">
      <w:pPr>
        <w:rPr>
          <w:u w:val="single"/>
        </w:rPr>
      </w:pPr>
      <w:r w:rsidRPr="00153296">
        <w:rPr>
          <w:u w:val="single"/>
        </w:rPr>
        <w:t>Tenofovir DF</w:t>
      </w:r>
    </w:p>
    <w:p w14:paraId="60B9C797" w14:textId="3846DCE9" w:rsidR="00153296" w:rsidRDefault="00153296" w:rsidP="00153296">
      <w:r>
        <w:t>Tenofovir is primarily excreted by the kidneys by a combination of glomerular filtration and active tubular secretion. No drug-drug interactions due to competition for renal excretion have been observed; however, co-administration of tenofovir DF with drugs that are eliminated by active tubular secretion</w:t>
      </w:r>
      <w:r>
        <w:rPr>
          <w:color w:val="000000"/>
          <w:sz w:val="23"/>
          <w:szCs w:val="23"/>
        </w:rPr>
        <w:t xml:space="preserve"> </w:t>
      </w:r>
      <w:r>
        <w:t xml:space="preserve">may increase concentrations of tenofovir, and/or the co-administered drug </w:t>
      </w:r>
      <w:r w:rsidRPr="00C74D32">
        <w:t xml:space="preserve">(see </w:t>
      </w:r>
      <w:r w:rsidR="009C24D8">
        <w:t>section 4.4 and 4.5</w:t>
      </w:r>
      <w:r w:rsidRPr="00C74D32">
        <w:t>)</w:t>
      </w:r>
      <w:r w:rsidRPr="00CF7463">
        <w:t xml:space="preserve">. </w:t>
      </w:r>
    </w:p>
    <w:p w14:paraId="522AD521" w14:textId="77777777" w:rsidR="00153296" w:rsidRDefault="00153296" w:rsidP="00153296">
      <w:r>
        <w:t xml:space="preserve">Drug interaction studies were performed for tenofovir DF and the following medications: </w:t>
      </w:r>
      <w:proofErr w:type="spellStart"/>
      <w:r>
        <w:t>entecavir</w:t>
      </w:r>
      <w:proofErr w:type="spellEnd"/>
      <w:r>
        <w:t>, methadone, oral contraceptives (</w:t>
      </w:r>
      <w:proofErr w:type="spellStart"/>
      <w:r>
        <w:t>ethinylestradiol</w:t>
      </w:r>
      <w:proofErr w:type="spellEnd"/>
      <w:r>
        <w:t>/</w:t>
      </w:r>
      <w:proofErr w:type="spellStart"/>
      <w:r>
        <w:t>norgestimate</w:t>
      </w:r>
      <w:proofErr w:type="spellEnd"/>
      <w:r>
        <w:t xml:space="preserve">), and tacrolimus. Tacrolimus increased the </w:t>
      </w:r>
      <w:proofErr w:type="spellStart"/>
      <w:r>
        <w:t>C</w:t>
      </w:r>
      <w:r>
        <w:rPr>
          <w:vertAlign w:val="subscript"/>
        </w:rPr>
        <w:t>max</w:t>
      </w:r>
      <w:proofErr w:type="spellEnd"/>
      <w:r>
        <w:t xml:space="preserve"> of tenofovir by 13% (90% CI: [↑1% to ↑27%]) and had no effect on the tenofovir AUC and </w:t>
      </w:r>
      <w:proofErr w:type="spellStart"/>
      <w:r>
        <w:t>C</w:t>
      </w:r>
      <w:r>
        <w:rPr>
          <w:vertAlign w:val="subscript"/>
        </w:rPr>
        <w:t>min</w:t>
      </w:r>
      <w:proofErr w:type="spellEnd"/>
      <w:r>
        <w:t xml:space="preserve">. Tenofovir had no effect on the </w:t>
      </w:r>
      <w:proofErr w:type="spellStart"/>
      <w:r>
        <w:t>C</w:t>
      </w:r>
      <w:r>
        <w:rPr>
          <w:vertAlign w:val="subscript"/>
        </w:rPr>
        <w:t>max</w:t>
      </w:r>
      <w:proofErr w:type="spellEnd"/>
      <w:r>
        <w:t xml:space="preserve">, AUC, and </w:t>
      </w:r>
      <w:proofErr w:type="spellStart"/>
      <w:r>
        <w:t>C</w:t>
      </w:r>
      <w:r>
        <w:rPr>
          <w:vertAlign w:val="subscript"/>
        </w:rPr>
        <w:t>min</w:t>
      </w:r>
      <w:proofErr w:type="spellEnd"/>
      <w:r>
        <w:t xml:space="preserve"> of tacrolimus.</w:t>
      </w:r>
    </w:p>
    <w:p w14:paraId="4C94B1D9" w14:textId="77777777" w:rsidR="00153296" w:rsidRDefault="00153296" w:rsidP="00153296">
      <w:r>
        <w:t xml:space="preserve">The </w:t>
      </w:r>
      <w:proofErr w:type="spellStart"/>
      <w:r>
        <w:t>C</w:t>
      </w:r>
      <w:r>
        <w:rPr>
          <w:vertAlign w:val="subscript"/>
        </w:rPr>
        <w:t>max</w:t>
      </w:r>
      <w:proofErr w:type="spellEnd"/>
      <w:r>
        <w:t xml:space="preserve">, AUC, and </w:t>
      </w:r>
      <w:proofErr w:type="spellStart"/>
      <w:r>
        <w:t>C</w:t>
      </w:r>
      <w:r>
        <w:rPr>
          <w:vertAlign w:val="subscript"/>
        </w:rPr>
        <w:t>min</w:t>
      </w:r>
      <w:proofErr w:type="spellEnd"/>
      <w:r>
        <w:t xml:space="preserve"> of tenofovir were not affected in the presence of </w:t>
      </w:r>
      <w:proofErr w:type="spellStart"/>
      <w:r>
        <w:t>entecavir</w:t>
      </w:r>
      <w:proofErr w:type="spellEnd"/>
      <w:r>
        <w:t xml:space="preserve">. Tenofovir increased the AUC of </w:t>
      </w:r>
      <w:proofErr w:type="spellStart"/>
      <w:r>
        <w:t>entecavir</w:t>
      </w:r>
      <w:proofErr w:type="spellEnd"/>
      <w:r>
        <w:t xml:space="preserve"> by 13% (90% CI: [↑11% to ↑15%]) and had no effect on the </w:t>
      </w:r>
      <w:proofErr w:type="spellStart"/>
      <w:r>
        <w:t>entecavir</w:t>
      </w:r>
      <w:proofErr w:type="spellEnd"/>
      <w:r>
        <w:t xml:space="preserve"> </w:t>
      </w:r>
      <w:proofErr w:type="spellStart"/>
      <w:r>
        <w:t>C</w:t>
      </w:r>
      <w:r>
        <w:rPr>
          <w:vertAlign w:val="subscript"/>
        </w:rPr>
        <w:t>max</w:t>
      </w:r>
      <w:proofErr w:type="spellEnd"/>
      <w:r>
        <w:t xml:space="preserve"> and </w:t>
      </w:r>
      <w:proofErr w:type="spellStart"/>
      <w:r>
        <w:t>C</w:t>
      </w:r>
      <w:r>
        <w:rPr>
          <w:vertAlign w:val="subscript"/>
        </w:rPr>
        <w:t>min</w:t>
      </w:r>
      <w:proofErr w:type="spellEnd"/>
      <w:r>
        <w:t>.</w:t>
      </w:r>
    </w:p>
    <w:p w14:paraId="150108BB" w14:textId="2B698986" w:rsidR="00153296" w:rsidRPr="00153296" w:rsidRDefault="00153296" w:rsidP="00153296">
      <w:pPr>
        <w:rPr>
          <w:i/>
          <w:iCs/>
          <w:sz w:val="20"/>
          <w:szCs w:val="20"/>
          <w:u w:val="single"/>
        </w:rPr>
      </w:pPr>
      <w:r>
        <w:t xml:space="preserve">Tenofovir had no effect on the </w:t>
      </w:r>
      <w:proofErr w:type="spellStart"/>
      <w:r>
        <w:t>C</w:t>
      </w:r>
      <w:r>
        <w:rPr>
          <w:vertAlign w:val="subscript"/>
        </w:rPr>
        <w:t>max</w:t>
      </w:r>
      <w:proofErr w:type="spellEnd"/>
      <w:r>
        <w:t xml:space="preserve">, AUC, and </w:t>
      </w:r>
      <w:proofErr w:type="spellStart"/>
      <w:r>
        <w:t>C</w:t>
      </w:r>
      <w:r>
        <w:rPr>
          <w:vertAlign w:val="subscript"/>
        </w:rPr>
        <w:t>min</w:t>
      </w:r>
      <w:proofErr w:type="spellEnd"/>
      <w:r>
        <w:t xml:space="preserve"> of methadone</w:t>
      </w:r>
      <w:r>
        <w:rPr>
          <w:rStyle w:val="CommentReference"/>
        </w:rPr>
        <w:t xml:space="preserve"> </w:t>
      </w:r>
      <w:r>
        <w:t xml:space="preserve">or </w:t>
      </w:r>
      <w:proofErr w:type="spellStart"/>
      <w:r>
        <w:t>ethinyl</w:t>
      </w:r>
      <w:proofErr w:type="spellEnd"/>
      <w:r>
        <w:t xml:space="preserve"> </w:t>
      </w:r>
      <w:proofErr w:type="spellStart"/>
      <w:r>
        <w:t>estradiol</w:t>
      </w:r>
      <w:proofErr w:type="spellEnd"/>
      <w:r>
        <w:t>/</w:t>
      </w:r>
      <w:proofErr w:type="spellStart"/>
      <w:r>
        <w:t>norgestimate</w:t>
      </w:r>
      <w:proofErr w:type="spellEnd"/>
      <w:r>
        <w:t>.</w:t>
      </w:r>
    </w:p>
    <w:p w14:paraId="75B04289" w14:textId="77777777" w:rsidR="00935DC2" w:rsidRPr="008246E7" w:rsidRDefault="003D3FCB" w:rsidP="00261C3B">
      <w:pPr>
        <w:pStyle w:val="Heading2"/>
        <w:rPr>
          <w:lang w:val="en-US"/>
        </w:rPr>
      </w:pPr>
      <w:r w:rsidRPr="008246E7">
        <w:lastRenderedPageBreak/>
        <w:t>Preclinical</w:t>
      </w:r>
      <w:r w:rsidRPr="008246E7">
        <w:rPr>
          <w:lang w:val="en-US"/>
        </w:rPr>
        <w:t xml:space="preserve"> safety data</w:t>
      </w:r>
    </w:p>
    <w:p w14:paraId="05F56E7F" w14:textId="77777777" w:rsidR="00935DC2" w:rsidRDefault="003D3FCB" w:rsidP="0059523C">
      <w:pPr>
        <w:pStyle w:val="Heading3"/>
      </w:pPr>
      <w:proofErr w:type="spellStart"/>
      <w:r w:rsidRPr="008246E7">
        <w:t>Genotoxicity</w:t>
      </w:r>
      <w:proofErr w:type="spellEnd"/>
    </w:p>
    <w:p w14:paraId="171F0E95" w14:textId="77777777" w:rsidR="004A085A" w:rsidRDefault="004A085A" w:rsidP="004A085A">
      <w:r w:rsidRPr="006A794D">
        <w:rPr>
          <w:i/>
        </w:rPr>
        <w:t>Doravirine:</w:t>
      </w:r>
      <w:r>
        <w:t xml:space="preserve"> Doravirine was not genotoxic in a battery of </w:t>
      </w:r>
      <w:r>
        <w:rPr>
          <w:i/>
        </w:rPr>
        <w:t>in vitro</w:t>
      </w:r>
      <w:r>
        <w:t xml:space="preserve"> or </w:t>
      </w:r>
      <w:r>
        <w:rPr>
          <w:i/>
        </w:rPr>
        <w:t>in vivo</w:t>
      </w:r>
      <w:r>
        <w:t xml:space="preserve"> assays, including microbial mutagenesis, chromosomal aberration in Chinese Hamster Ovary cells, and in </w:t>
      </w:r>
      <w:r>
        <w:rPr>
          <w:i/>
        </w:rPr>
        <w:t>in vivo</w:t>
      </w:r>
      <w:r>
        <w:t xml:space="preserve"> rat micronucleus assays.</w:t>
      </w:r>
    </w:p>
    <w:p w14:paraId="1D7F1943" w14:textId="0A928496" w:rsidR="004A085A" w:rsidRDefault="004A085A" w:rsidP="004A085A">
      <w:r w:rsidRPr="006A794D">
        <w:rPr>
          <w:i/>
        </w:rPr>
        <w:t>Lamivudine:</w:t>
      </w:r>
      <w:r>
        <w:t xml:space="preserve"> Lamivudine was mutagenic in an L5178Y mouse lymphoma assay and </w:t>
      </w:r>
      <w:proofErr w:type="spellStart"/>
      <w:r>
        <w:t>clastogenic</w:t>
      </w:r>
      <w:proofErr w:type="spellEnd"/>
      <w:r>
        <w:t xml:space="preserve"> in a cytogenetic assay using cultured human lymphocytes. Lamivudine was not mutagenic in a microbial mutagenicity assay, in an </w:t>
      </w:r>
      <w:r>
        <w:rPr>
          <w:i/>
        </w:rPr>
        <w:t>in vitro</w:t>
      </w:r>
      <w:r>
        <w:t xml:space="preserve"> cell transformation assay, in a rat micronucleus test, and in an assay for unscheduled DNA synthesis in rat liver.</w:t>
      </w:r>
    </w:p>
    <w:p w14:paraId="6DAB77E8" w14:textId="180797CA" w:rsidR="00AE527C" w:rsidRPr="008246E7" w:rsidRDefault="004A085A" w:rsidP="00AE527C">
      <w:r w:rsidRPr="006A794D">
        <w:rPr>
          <w:i/>
        </w:rPr>
        <w:t>Tenofovir DF:</w:t>
      </w:r>
      <w:r>
        <w:t xml:space="preserve"> </w:t>
      </w:r>
      <w:r w:rsidRPr="00C74D32">
        <w:t xml:space="preserve">Tenofovir DF was mutagenic in the </w:t>
      </w:r>
      <w:r w:rsidRPr="00273403">
        <w:rPr>
          <w:i/>
        </w:rPr>
        <w:t>in vitro</w:t>
      </w:r>
      <w:r w:rsidRPr="00C74D32">
        <w:t xml:space="preserve"> mouse lymphoma assay and </w:t>
      </w:r>
      <w:r w:rsidR="005A2D3A">
        <w:t xml:space="preserve">in an ex vivo assay for unscheduled DNA synthesis in rat hepatocytes, but it was </w:t>
      </w:r>
      <w:r w:rsidRPr="00C74D32">
        <w:t xml:space="preserve">negative in an </w:t>
      </w:r>
      <w:r w:rsidRPr="00273403">
        <w:rPr>
          <w:i/>
        </w:rPr>
        <w:t>in vitro</w:t>
      </w:r>
      <w:r w:rsidRPr="00C74D32">
        <w:t xml:space="preserve"> bacterial mutagenicity test (Ames test). In an </w:t>
      </w:r>
      <w:r w:rsidRPr="00273403">
        <w:rPr>
          <w:i/>
        </w:rPr>
        <w:t>in vivo</w:t>
      </w:r>
      <w:r w:rsidRPr="00C74D32">
        <w:t xml:space="preserve"> mouse micronucleus assay, tenofovir DF was negative when administered to male mice.</w:t>
      </w:r>
    </w:p>
    <w:p w14:paraId="20A02E40" w14:textId="77777777" w:rsidR="00935DC2" w:rsidRDefault="003D3FCB" w:rsidP="00271648">
      <w:pPr>
        <w:pStyle w:val="Heading3"/>
      </w:pPr>
      <w:r w:rsidRPr="008246E7">
        <w:t>Carcinogenicity</w:t>
      </w:r>
    </w:p>
    <w:p w14:paraId="581E536C" w14:textId="31F5136F" w:rsidR="004A085A" w:rsidRDefault="004A085A" w:rsidP="004A085A">
      <w:r w:rsidRPr="006A794D">
        <w:rPr>
          <w:i/>
        </w:rPr>
        <w:t>Doravirine:</w:t>
      </w:r>
      <w:r>
        <w:t xml:space="preserve"> Long-term oral carcinogenicity studies of doravirine in mice and rats showed no evidence of carcinogenic potential at exposures up to </w:t>
      </w:r>
      <w:r w:rsidR="00896CE2">
        <w:t>5</w:t>
      </w:r>
      <w:r>
        <w:t xml:space="preserve"> times (mice) and 7 times (rats) the human exposures at the RHD.</w:t>
      </w:r>
    </w:p>
    <w:p w14:paraId="1E734295" w14:textId="77777777" w:rsidR="004A085A" w:rsidRDefault="004A085A" w:rsidP="004A085A">
      <w:r w:rsidRPr="006A794D">
        <w:rPr>
          <w:i/>
        </w:rPr>
        <w:t>Lamivudine:</w:t>
      </w:r>
      <w:r>
        <w:t xml:space="preserve"> Long-term carcinogenicity studies with lamivudine in mice and rats showed no evidence of carcinogenic potential at exposures up to 12 times (mice) and 57 times (rats) the human exposures at the RHD.</w:t>
      </w:r>
    </w:p>
    <w:p w14:paraId="6623E0FC" w14:textId="7F3C9C94" w:rsidR="00AE527C" w:rsidRDefault="004A085A" w:rsidP="00AE527C">
      <w:r w:rsidRPr="006A794D">
        <w:rPr>
          <w:i/>
        </w:rPr>
        <w:t>Tenofovir DF:</w:t>
      </w:r>
      <w:r>
        <w:t xml:space="preserve"> Long-term oral carcinogenicity studies of tenofovir DF in mice and rats were carried out at</w:t>
      </w:r>
      <w:r w:rsidR="00783EF7">
        <w:t xml:space="preserve"> doses up to 600 and 300 mg/kg/day, respectively, resulting in </w:t>
      </w:r>
      <w:r>
        <w:t xml:space="preserve"> exposures up to approximately </w:t>
      </w:r>
      <w:r w:rsidR="00783EF7">
        <w:t>15</w:t>
      </w:r>
      <w:r>
        <w:t xml:space="preserve"> times (mice) and </w:t>
      </w:r>
      <w:r w:rsidR="00783EF7">
        <w:t>5</w:t>
      </w:r>
      <w:r>
        <w:t xml:space="preserve"> times (rats) those observed in humans at the RHD</w:t>
      </w:r>
      <w:r w:rsidR="00783EF7">
        <w:t xml:space="preserve"> (based on AUC)</w:t>
      </w:r>
      <w:r>
        <w:t>. At the high dose</w:t>
      </w:r>
      <w:r w:rsidR="00783EF7">
        <w:t xml:space="preserve"> (600 mg/kg/day)</w:t>
      </w:r>
      <w:r>
        <w:t xml:space="preserve"> in female mice, liver adenomas were increased at exposures </w:t>
      </w:r>
      <w:r w:rsidR="00783EF7">
        <w:t>15</w:t>
      </w:r>
      <w:r>
        <w:t xml:space="preserve"> times of that in humans. </w:t>
      </w:r>
      <w:r w:rsidR="00E86DE7">
        <w:t xml:space="preserve">These were associated with a high incidence of duodenal mucosal hyperplasia, which was also observed with a dose of 300 mg/kg/day. </w:t>
      </w:r>
      <w:r>
        <w:t xml:space="preserve">In rats, the study was negative for carcinogenic findings at exposures up to </w:t>
      </w:r>
      <w:r w:rsidR="00E86DE7">
        <w:t>5</w:t>
      </w:r>
      <w:r>
        <w:t xml:space="preserve"> times that observed in humans at the RHD.</w:t>
      </w:r>
    </w:p>
    <w:p w14:paraId="27C55C9F" w14:textId="77777777" w:rsidR="00415EAE" w:rsidRPr="00415EAE" w:rsidRDefault="00415EAE" w:rsidP="00415EAE">
      <w:pPr>
        <w:pStyle w:val="Heading3"/>
      </w:pPr>
      <w:r w:rsidRPr="00415EAE">
        <w:t>Animal Toxicology</w:t>
      </w:r>
    </w:p>
    <w:p w14:paraId="287F5BD8" w14:textId="430E250B" w:rsidR="004A085A" w:rsidRPr="00D62B5C" w:rsidRDefault="004A085A" w:rsidP="004A085A">
      <w:r w:rsidRPr="00D62B5C">
        <w:t xml:space="preserve">No animal studies have been conducted with </w:t>
      </w:r>
      <w:r w:rsidR="00B836DC">
        <w:t>DELSTRIGO</w:t>
      </w:r>
      <w:r w:rsidRPr="00D62B5C">
        <w:t xml:space="preserve">. The following data are based on findings in separate studies with the individual components of </w:t>
      </w:r>
      <w:r w:rsidR="00B836DC">
        <w:t>DELSTRIGO</w:t>
      </w:r>
      <w:r w:rsidRPr="00D62B5C">
        <w:t xml:space="preserve"> (doravirine, lamivudine, and tenofovir disoproxil fumarate).</w:t>
      </w:r>
    </w:p>
    <w:p w14:paraId="3C4AB8E2" w14:textId="77777777" w:rsidR="004A085A" w:rsidRPr="004A085A" w:rsidRDefault="004A085A" w:rsidP="004A085A">
      <w:pPr>
        <w:rPr>
          <w:u w:val="single"/>
        </w:rPr>
      </w:pPr>
      <w:r w:rsidRPr="004A085A">
        <w:rPr>
          <w:u w:val="single"/>
        </w:rPr>
        <w:t>Chronic Toxicity</w:t>
      </w:r>
    </w:p>
    <w:p w14:paraId="19A39A35" w14:textId="77777777" w:rsidR="004A085A" w:rsidRPr="00D62B5C" w:rsidRDefault="004A085A" w:rsidP="004A085A">
      <w:r w:rsidRPr="006A794D">
        <w:rPr>
          <w:bCs/>
          <w:i/>
        </w:rPr>
        <w:t>Doravirine:</w:t>
      </w:r>
      <w:r w:rsidRPr="00D62B5C">
        <w:rPr>
          <w:bCs/>
        </w:rPr>
        <w:t xml:space="preserve"> </w:t>
      </w:r>
      <w:r w:rsidRPr="00D62B5C">
        <w:t>In repeat-dose oral toxicity studies, doravirine was very well tolerated in all animal species up to the highest doses tested. There were no adverse effects or target organs of toxicity identified in rats dosed for 6 months with 450 mg/kg/day, or in dogs dosed with 1000 mg/kg/day for 9 months (approximately 7</w:t>
      </w:r>
      <w:r>
        <w:t xml:space="preserve"> times</w:t>
      </w:r>
      <w:r w:rsidRPr="00D62B5C">
        <w:t xml:space="preserve"> and 18</w:t>
      </w:r>
      <w:r>
        <w:t xml:space="preserve"> times</w:t>
      </w:r>
      <w:r w:rsidRPr="00D62B5C">
        <w:t>, respectively, above the exposure at the RHD)</w:t>
      </w:r>
      <w:r>
        <w:t>.</w:t>
      </w:r>
    </w:p>
    <w:p w14:paraId="345FB082" w14:textId="77777777" w:rsidR="004A085A" w:rsidRPr="002127B0" w:rsidRDefault="004A085A" w:rsidP="004A085A">
      <w:r w:rsidRPr="006A794D">
        <w:rPr>
          <w:bCs/>
          <w:i/>
        </w:rPr>
        <w:t>Lamivudine:</w:t>
      </w:r>
      <w:r w:rsidRPr="00D62B5C">
        <w:rPr>
          <w:bCs/>
        </w:rPr>
        <w:t xml:space="preserve"> </w:t>
      </w:r>
      <w:r w:rsidRPr="00D62B5C">
        <w:t xml:space="preserve">In repeat-dose toxicity studies, lamivudine was very well tolerated in the rat at oral doses up to 2000 mg/kg </w:t>
      </w:r>
      <w:proofErr w:type="spellStart"/>
      <w:r w:rsidRPr="00D62B5C">
        <w:t>b.i.d</w:t>
      </w:r>
      <w:proofErr w:type="spellEnd"/>
      <w:r w:rsidRPr="00D62B5C">
        <w:t>. for 6 months and in dogs up to 1000 mg/kg/</w:t>
      </w:r>
      <w:proofErr w:type="spellStart"/>
      <w:r w:rsidRPr="00D62B5C">
        <w:t>b.i.d</w:t>
      </w:r>
      <w:proofErr w:type="spellEnd"/>
      <w:r w:rsidRPr="00D62B5C">
        <w:t xml:space="preserve"> for up to 12 months. In dogs, deaths were seen in females dosed with 1500 mg/kg </w:t>
      </w:r>
      <w:proofErr w:type="spellStart"/>
      <w:r w:rsidRPr="00D62B5C">
        <w:t>b.i.d</w:t>
      </w:r>
      <w:proofErr w:type="spellEnd"/>
      <w:r w:rsidRPr="00D62B5C">
        <w:t>. in a 3-month study. Treatment-related effects in chronic toxicity studies were restricted to minor h</w:t>
      </w:r>
      <w:r>
        <w:t>a</w:t>
      </w:r>
      <w:r w:rsidRPr="00D62B5C">
        <w:t>ematological (mainly red cell parameters), clinical chemistry and urinalysis changes, and mucosal hyperplasia of the cecum (in rats). H</w:t>
      </w:r>
      <w:r>
        <w:t>a</w:t>
      </w:r>
      <w:r w:rsidRPr="00D62B5C">
        <w:t xml:space="preserve">ematological changes included reductions in </w:t>
      </w:r>
      <w:r w:rsidRPr="00D62B5C">
        <w:lastRenderedPageBreak/>
        <w:t>red cell counts at all dose levels, associated with increased MCV and MCH, and reductions in total leucocyte, neutrophil</w:t>
      </w:r>
      <w:r>
        <w:t xml:space="preserve"> and lymphocyte counts in high-</w:t>
      </w:r>
      <w:r w:rsidRPr="00D62B5C">
        <w:t>dose animals, but with no effect on bone marrow cytology. The no (toxicologically important)</w:t>
      </w:r>
      <w:r w:rsidRPr="002127B0">
        <w:t xml:space="preserve"> effect level was 450 mg/kg </w:t>
      </w:r>
      <w:proofErr w:type="spellStart"/>
      <w:r w:rsidRPr="002127B0">
        <w:t>b.i.d</w:t>
      </w:r>
      <w:proofErr w:type="spellEnd"/>
      <w:r w:rsidRPr="002127B0">
        <w:t xml:space="preserve"> in rats and 45 mg/kg/day in dog, which is approximately 17-fold and 9-fold respectively above the human exposure at the RHD.</w:t>
      </w:r>
    </w:p>
    <w:p w14:paraId="5603291E" w14:textId="77777777" w:rsidR="004A085A" w:rsidRPr="002127B0" w:rsidRDefault="004A085A" w:rsidP="004A085A">
      <w:r w:rsidRPr="006A794D">
        <w:rPr>
          <w:bCs/>
          <w:i/>
        </w:rPr>
        <w:t>Tenofovir DF:</w:t>
      </w:r>
      <w:r w:rsidRPr="002127B0">
        <w:rPr>
          <w:bCs/>
        </w:rPr>
        <w:t xml:space="preserve"> </w:t>
      </w:r>
      <w:r w:rsidRPr="002127B0">
        <w:t xml:space="preserve">Tenofovir and tenofovir DF administered in toxicology studies to rats, dogs, and monkeys at exposures (based on AUCs) greater than or equal to 6-fold those observed in humans caused bone toxicity. In monkeys the bone toxicity was diagnosed as </w:t>
      </w:r>
      <w:proofErr w:type="spellStart"/>
      <w:r w:rsidRPr="002127B0">
        <w:t>osteomalacia</w:t>
      </w:r>
      <w:proofErr w:type="spellEnd"/>
      <w:r w:rsidRPr="002127B0">
        <w:t xml:space="preserve">. </w:t>
      </w:r>
      <w:proofErr w:type="spellStart"/>
      <w:r w:rsidRPr="002127B0">
        <w:t>Osteomalacia</w:t>
      </w:r>
      <w:proofErr w:type="spellEnd"/>
      <w:r w:rsidRPr="002127B0">
        <w:t xml:space="preserve"> observed in monkeys appeared to be reversible upon dose reduction or discontinuation of tenofovir. In rats and dogs, the bone toxicity manifested as reduced bone mineral density. The mechanism(s) underlying bone t</w:t>
      </w:r>
      <w:r>
        <w:t>oxicity is unknown.</w:t>
      </w:r>
    </w:p>
    <w:p w14:paraId="16394AAB" w14:textId="787A0B00" w:rsidR="00415EAE" w:rsidRPr="008246E7" w:rsidRDefault="004A085A" w:rsidP="00AE527C">
      <w:r w:rsidRPr="002127B0">
        <w:t xml:space="preserve">Evidence of renal toxicity was noted in the 4 animal species tested. Increases in serum creatinine, BUN, glycosuria, proteinuria, </w:t>
      </w:r>
      <w:proofErr w:type="spellStart"/>
      <w:r w:rsidRPr="002127B0">
        <w:t>phosphaturia</w:t>
      </w:r>
      <w:proofErr w:type="spellEnd"/>
      <w:r w:rsidRPr="002127B0">
        <w:t xml:space="preserve">, and/or </w:t>
      </w:r>
      <w:proofErr w:type="spellStart"/>
      <w:r w:rsidRPr="002127B0">
        <w:t>calciuria</w:t>
      </w:r>
      <w:proofErr w:type="spellEnd"/>
      <w:r w:rsidRPr="002127B0">
        <w:t xml:space="preserve"> and decreases in serum phosphate were observed to varying degrees in these animals. These toxicities were noted at exposures (based on AUCs) 2–20 times higher than those observed in humans. The relationship of the renal abnormalities, particularly the </w:t>
      </w:r>
      <w:proofErr w:type="spellStart"/>
      <w:r w:rsidRPr="002127B0">
        <w:t>phosphaturia</w:t>
      </w:r>
      <w:proofErr w:type="spellEnd"/>
      <w:r w:rsidRPr="002127B0">
        <w:t>, to the bone toxicity is not known.</w:t>
      </w:r>
    </w:p>
    <w:p w14:paraId="7417244F" w14:textId="77777777" w:rsidR="00935DC2" w:rsidRPr="008246E7" w:rsidRDefault="003D3FCB" w:rsidP="008246E7">
      <w:pPr>
        <w:pStyle w:val="Heading1"/>
        <w:rPr>
          <w:rFonts w:cs="Arial"/>
          <w:lang w:val="en-US"/>
        </w:rPr>
      </w:pPr>
      <w:r w:rsidRPr="008246E7">
        <w:rPr>
          <w:rFonts w:cs="Arial"/>
          <w:lang w:val="en-US"/>
        </w:rPr>
        <w:t>Pharmaceutical particulars</w:t>
      </w:r>
    </w:p>
    <w:p w14:paraId="36D8CDFB" w14:textId="77777777" w:rsidR="00935DC2" w:rsidRDefault="003D3FCB" w:rsidP="00261C3B">
      <w:pPr>
        <w:pStyle w:val="Heading2"/>
        <w:rPr>
          <w:lang w:val="en-US"/>
        </w:rPr>
      </w:pPr>
      <w:r w:rsidRPr="008246E7">
        <w:rPr>
          <w:lang w:val="en-US"/>
        </w:rPr>
        <w:t xml:space="preserve">List of </w:t>
      </w:r>
      <w:r w:rsidRPr="008246E7">
        <w:t>excipients</w:t>
      </w:r>
      <w:r w:rsidRPr="008246E7">
        <w:rPr>
          <w:lang w:val="en-US"/>
        </w:rPr>
        <w:t xml:space="preserve"> </w:t>
      </w:r>
    </w:p>
    <w:p w14:paraId="1D49BBDF" w14:textId="77777777" w:rsidR="00B80E03" w:rsidRDefault="00B80E03" w:rsidP="00B80E03">
      <w:pPr>
        <w:rPr>
          <w:iCs/>
          <w:color w:val="002060"/>
        </w:rPr>
      </w:pPr>
      <w:r w:rsidRPr="000A453C">
        <w:t xml:space="preserve">Each tablet includes the following inactive ingredients: </w:t>
      </w:r>
      <w:r>
        <w:t>colloidal anhydrous silica</w:t>
      </w:r>
      <w:r w:rsidRPr="000A453C">
        <w:t xml:space="preserve">, </w:t>
      </w:r>
      <w:proofErr w:type="spellStart"/>
      <w:r w:rsidRPr="000A453C">
        <w:t>croscarmellose</w:t>
      </w:r>
      <w:proofErr w:type="spellEnd"/>
      <w:r w:rsidRPr="000A453C">
        <w:t xml:space="preserve"> sodium, </w:t>
      </w:r>
      <w:proofErr w:type="spellStart"/>
      <w:r w:rsidRPr="000A453C">
        <w:t>hypromellose</w:t>
      </w:r>
      <w:proofErr w:type="spellEnd"/>
      <w:r w:rsidRPr="000A453C">
        <w:t xml:space="preserve"> acetate succinate, magnesium stearate, microcrysta</w:t>
      </w:r>
      <w:r>
        <w:t xml:space="preserve">lline cellulose, sodium </w:t>
      </w:r>
      <w:proofErr w:type="spellStart"/>
      <w:r>
        <w:t>stearyl</w:t>
      </w:r>
      <w:r w:rsidRPr="000A453C">
        <w:t>fumarate</w:t>
      </w:r>
      <w:proofErr w:type="spellEnd"/>
      <w:r w:rsidRPr="000A453C">
        <w:t xml:space="preserve">, and carnauba wax. The tablets are film coated with a coating material containing the following inactive ingredients: </w:t>
      </w:r>
      <w:proofErr w:type="spellStart"/>
      <w:r w:rsidRPr="000A453C">
        <w:t>hypromellose</w:t>
      </w:r>
      <w:proofErr w:type="spellEnd"/>
      <w:r w:rsidRPr="000A453C">
        <w:t xml:space="preserve">, iron oxide yellow, lactose monohydrate, titanium dioxide, and </w:t>
      </w:r>
      <w:proofErr w:type="spellStart"/>
      <w:r w:rsidRPr="000A453C">
        <w:t>triacetin</w:t>
      </w:r>
      <w:proofErr w:type="spellEnd"/>
      <w:r w:rsidRPr="000A453C">
        <w:t>.</w:t>
      </w:r>
    </w:p>
    <w:p w14:paraId="0AC1BD53" w14:textId="798CE9AE" w:rsidR="00935DC2" w:rsidRDefault="003D3FCB" w:rsidP="00261C3B">
      <w:pPr>
        <w:pStyle w:val="Heading2"/>
        <w:rPr>
          <w:lang w:val="en-US"/>
        </w:rPr>
      </w:pPr>
      <w:r w:rsidRPr="008246E7">
        <w:t>Incompatibilities</w:t>
      </w:r>
      <w:r w:rsidRPr="008246E7">
        <w:rPr>
          <w:lang w:val="en-US"/>
        </w:rPr>
        <w:t xml:space="preserve"> </w:t>
      </w:r>
    </w:p>
    <w:p w14:paraId="67382C4A" w14:textId="7CBF2672" w:rsidR="00125042" w:rsidRDefault="00211F8E" w:rsidP="00356A05">
      <w:pPr>
        <w:rPr>
          <w:lang w:val="en-US"/>
        </w:rPr>
      </w:pPr>
      <w:r>
        <w:t>Not applicable.</w:t>
      </w:r>
    </w:p>
    <w:p w14:paraId="2B169A0F" w14:textId="43F6E982" w:rsidR="00935DC2" w:rsidRPr="008246E7" w:rsidRDefault="003D3FCB" w:rsidP="00064684">
      <w:pPr>
        <w:pStyle w:val="Heading2"/>
        <w:rPr>
          <w:lang w:val="en-US"/>
        </w:rPr>
      </w:pPr>
      <w:r w:rsidRPr="008246E7">
        <w:rPr>
          <w:lang w:val="en-US"/>
        </w:rPr>
        <w:t xml:space="preserve">Shelf </w:t>
      </w:r>
      <w:r w:rsidRPr="008246E7">
        <w:t>life</w:t>
      </w:r>
      <w:r w:rsidRPr="008246E7">
        <w:rPr>
          <w:lang w:val="en-US"/>
        </w:rPr>
        <w:t xml:space="preserve"> </w:t>
      </w:r>
    </w:p>
    <w:p w14:paraId="34DEC951" w14:textId="3813A58D" w:rsidR="00356A05" w:rsidRPr="008246E7" w:rsidRDefault="00CA4103" w:rsidP="00356A05">
      <w:r w:rsidRPr="001779BD">
        <w:t>The expiry date can be found on the packaging. In Australia, information on the shelf life can be found on the public summary of the Australian Register of Therapeutic Goods (ARTG).</w:t>
      </w:r>
    </w:p>
    <w:p w14:paraId="16FD3018" w14:textId="68E7915C" w:rsidR="00935DC2" w:rsidRDefault="003D3FCB" w:rsidP="00356A05">
      <w:pPr>
        <w:pStyle w:val="Heading2"/>
        <w:rPr>
          <w:lang w:val="en-US"/>
        </w:rPr>
      </w:pPr>
      <w:r w:rsidRPr="008246E7">
        <w:rPr>
          <w:lang w:val="en-US"/>
        </w:rPr>
        <w:t xml:space="preserve">Special </w:t>
      </w:r>
      <w:r w:rsidRPr="008246E7">
        <w:t>precautions</w:t>
      </w:r>
      <w:r w:rsidRPr="008246E7">
        <w:rPr>
          <w:lang w:val="en-US"/>
        </w:rPr>
        <w:t xml:space="preserve"> for storage </w:t>
      </w:r>
    </w:p>
    <w:p w14:paraId="77FCB451" w14:textId="4891B518" w:rsidR="00B80E03" w:rsidRDefault="00B80E03" w:rsidP="00B80E03">
      <w:r>
        <w:t xml:space="preserve">Store </w:t>
      </w:r>
      <w:r w:rsidR="00B836DC">
        <w:t>DELSTRIGO</w:t>
      </w:r>
      <w:r>
        <w:t xml:space="preserve"> in the original bottle</w:t>
      </w:r>
      <w:r w:rsidRPr="00F662DE">
        <w:t xml:space="preserve">. </w:t>
      </w:r>
      <w:r>
        <w:t xml:space="preserve">Keep the bottle tightly closed to protect from moisture. Do not remove the desiccants. </w:t>
      </w:r>
      <w:r w:rsidDel="00B9563D">
        <w:t xml:space="preserve"> </w:t>
      </w:r>
    </w:p>
    <w:p w14:paraId="349E7832" w14:textId="18DD4252" w:rsidR="00B80E03" w:rsidRDefault="00B80E03" w:rsidP="00B80E03">
      <w:r>
        <w:t xml:space="preserve">Store </w:t>
      </w:r>
      <w:r w:rsidR="00B836DC">
        <w:t>DELSTRIGO</w:t>
      </w:r>
      <w:r>
        <w:t xml:space="preserve"> below 30°C. </w:t>
      </w:r>
    </w:p>
    <w:p w14:paraId="7751B846" w14:textId="77777777" w:rsidR="00935DC2" w:rsidRDefault="003D3FCB" w:rsidP="00261C3B">
      <w:pPr>
        <w:pStyle w:val="Heading2"/>
        <w:rPr>
          <w:lang w:val="en-US"/>
        </w:rPr>
      </w:pPr>
      <w:r w:rsidRPr="008246E7">
        <w:t>Nature</w:t>
      </w:r>
      <w:r w:rsidRPr="008246E7">
        <w:rPr>
          <w:lang w:val="en-US"/>
        </w:rPr>
        <w:t xml:space="preserve"> and contents of container </w:t>
      </w:r>
    </w:p>
    <w:p w14:paraId="757B6AD8" w14:textId="2D5E502B" w:rsidR="007551B2" w:rsidRPr="008246E7" w:rsidRDefault="00B836DC" w:rsidP="007551B2">
      <w:pPr>
        <w:rPr>
          <w:lang w:val="en-US"/>
        </w:rPr>
      </w:pPr>
      <w:r>
        <w:rPr>
          <w:lang w:val="en-US"/>
        </w:rPr>
        <w:t>DELSTRIGO</w:t>
      </w:r>
      <w:r w:rsidR="00211F8E">
        <w:rPr>
          <w:lang w:val="en-US"/>
        </w:rPr>
        <w:t xml:space="preserve"> (doravirine</w:t>
      </w:r>
      <w:r w:rsidR="009A050D">
        <w:rPr>
          <w:lang w:val="en-US"/>
        </w:rPr>
        <w:t>/lamivudine/tenofovir disoproxil fumarate</w:t>
      </w:r>
      <w:r w:rsidR="00211F8E">
        <w:rPr>
          <w:lang w:val="en-US"/>
        </w:rPr>
        <w:t>)</w:t>
      </w:r>
      <w:r w:rsidR="00125042" w:rsidRPr="00125042">
        <w:rPr>
          <w:lang w:val="en-US"/>
        </w:rPr>
        <w:t xml:space="preserve"> is available in HDPE (high density polyethylene) bottles of 30 tablets.</w:t>
      </w:r>
    </w:p>
    <w:p w14:paraId="34FDD02D" w14:textId="77777777" w:rsidR="00935DC2" w:rsidRDefault="003D3FCB" w:rsidP="00261C3B">
      <w:pPr>
        <w:pStyle w:val="Heading2"/>
        <w:rPr>
          <w:lang w:val="en-US"/>
        </w:rPr>
      </w:pPr>
      <w:r w:rsidRPr="008246E7">
        <w:rPr>
          <w:lang w:val="en-US"/>
        </w:rPr>
        <w:t xml:space="preserve">Special </w:t>
      </w:r>
      <w:r w:rsidRPr="008246E7">
        <w:t>precautions</w:t>
      </w:r>
      <w:r w:rsidRPr="008246E7">
        <w:rPr>
          <w:lang w:val="en-US"/>
        </w:rPr>
        <w:t xml:space="preserve"> for disposal </w:t>
      </w:r>
    </w:p>
    <w:p w14:paraId="4C041EE9" w14:textId="77777777" w:rsidR="00125042" w:rsidRPr="008246E7" w:rsidRDefault="00125042" w:rsidP="00125042">
      <w:pPr>
        <w:rPr>
          <w:lang w:val="en-US"/>
        </w:rPr>
      </w:pPr>
      <w:r w:rsidRPr="00125042">
        <w:rPr>
          <w:lang w:val="en-US"/>
        </w:rPr>
        <w:t>In Australia, any unused medicine or waste material should be disp</w:t>
      </w:r>
      <w:r>
        <w:rPr>
          <w:lang w:val="en-US"/>
        </w:rPr>
        <w:t xml:space="preserve">osed of by taking to your local </w:t>
      </w:r>
      <w:r w:rsidRPr="00125042">
        <w:rPr>
          <w:lang w:val="en-US"/>
        </w:rPr>
        <w:t>pharmacy</w:t>
      </w:r>
      <w:r>
        <w:rPr>
          <w:lang w:val="en-US"/>
        </w:rPr>
        <w:t>.</w:t>
      </w:r>
    </w:p>
    <w:p w14:paraId="03507C84" w14:textId="2BF151D3" w:rsidR="00935DC2" w:rsidRPr="007F1418" w:rsidRDefault="003D3FCB" w:rsidP="00A90E98">
      <w:pPr>
        <w:pStyle w:val="Heading2"/>
        <w:pageBreakBefore/>
        <w:rPr>
          <w:lang w:val="en-US"/>
        </w:rPr>
      </w:pPr>
      <w:r w:rsidRPr="008246E7">
        <w:lastRenderedPageBreak/>
        <w:t>Physicochemical</w:t>
      </w:r>
      <w:r w:rsidRPr="007F1418">
        <w:rPr>
          <w:lang w:val="en-US"/>
        </w:rPr>
        <w:t xml:space="preserve"> propertie</w:t>
      </w:r>
      <w:r w:rsidRPr="00C86730">
        <w:rPr>
          <w:lang w:val="en-US"/>
        </w:rPr>
        <w:t>s</w:t>
      </w:r>
    </w:p>
    <w:p w14:paraId="06EE70DA" w14:textId="6D36BC45" w:rsidR="001A70A6" w:rsidRDefault="001A70A6" w:rsidP="001A70A6">
      <w:r w:rsidRPr="001A70A6">
        <w:rPr>
          <w:i/>
        </w:rPr>
        <w:t>Doravirine:</w:t>
      </w:r>
      <w:r>
        <w:t xml:space="preserve"> Doravirine is a </w:t>
      </w:r>
      <w:r w:rsidRPr="003B4DB4">
        <w:t>HIV-1 non-nucleoside reverse transcriptase inhibitor (NNRTI)</w:t>
      </w:r>
      <w:r>
        <w:t>.</w:t>
      </w:r>
    </w:p>
    <w:p w14:paraId="107E9CB3" w14:textId="77777777" w:rsidR="001A70A6" w:rsidRDefault="001A70A6" w:rsidP="001A70A6">
      <w:r>
        <w:t>The chemical name for doravirine is 3-chloro-5-[[1-[(4,5-dihydro-4-methyl-5-oxo-1</w:t>
      </w:r>
      <w:r>
        <w:rPr>
          <w:i/>
        </w:rPr>
        <w:t>H</w:t>
      </w:r>
      <w:r>
        <w:t xml:space="preserve">-1,2,4-triazol-3-yl)methyl]-1,2-dihydro-2-oxo-4-(trifluoromethyl)-3-pyridinyl]oxy]benzonitrile. It has a molecular formula of </w:t>
      </w:r>
      <w:r>
        <w:rPr>
          <w:lang w:val="pt-BR"/>
        </w:rPr>
        <w:t>C</w:t>
      </w:r>
      <w:r>
        <w:rPr>
          <w:vertAlign w:val="subscript"/>
          <w:lang w:val="pt-BR"/>
        </w:rPr>
        <w:t>17</w:t>
      </w:r>
      <w:r>
        <w:rPr>
          <w:lang w:val="pt-BR"/>
        </w:rPr>
        <w:t>H</w:t>
      </w:r>
      <w:r>
        <w:rPr>
          <w:vertAlign w:val="subscript"/>
          <w:lang w:val="pt-BR"/>
        </w:rPr>
        <w:t>11</w:t>
      </w:r>
      <w:r>
        <w:rPr>
          <w:lang w:val="pt-BR"/>
        </w:rPr>
        <w:t>ClF</w:t>
      </w:r>
      <w:r>
        <w:rPr>
          <w:vertAlign w:val="subscript"/>
          <w:lang w:val="pt-BR"/>
        </w:rPr>
        <w:t>3</w:t>
      </w:r>
      <w:r>
        <w:rPr>
          <w:lang w:val="pt-BR"/>
        </w:rPr>
        <w:t>N</w:t>
      </w:r>
      <w:r>
        <w:rPr>
          <w:vertAlign w:val="subscript"/>
          <w:lang w:val="pt-BR"/>
        </w:rPr>
        <w:t>5</w:t>
      </w:r>
      <w:r>
        <w:rPr>
          <w:lang w:val="pt-BR"/>
        </w:rPr>
        <w:t>O</w:t>
      </w:r>
      <w:r>
        <w:rPr>
          <w:vertAlign w:val="subscript"/>
          <w:lang w:val="pt-BR"/>
        </w:rPr>
        <w:t>3</w:t>
      </w:r>
      <w:r>
        <w:t xml:space="preserve"> and a molecular weight of 425.75.</w:t>
      </w:r>
    </w:p>
    <w:p w14:paraId="046C1784" w14:textId="6E8D7A0F" w:rsidR="001A70A6" w:rsidRPr="001A70A6" w:rsidRDefault="001A70A6" w:rsidP="001A70A6">
      <w:pPr>
        <w:rPr>
          <w:i/>
          <w:spacing w:val="-1"/>
        </w:rPr>
      </w:pPr>
      <w:r w:rsidRPr="001A70A6">
        <w:rPr>
          <w:i/>
        </w:rPr>
        <w:t>Lamivudine:</w:t>
      </w:r>
      <w:r>
        <w:rPr>
          <w:i/>
          <w:spacing w:val="-1"/>
        </w:rPr>
        <w:t xml:space="preserve"> </w:t>
      </w:r>
      <w:r w:rsidRPr="00055E2A">
        <w:rPr>
          <w:spacing w:val="-1"/>
        </w:rPr>
        <w:t>Lamivudine</w:t>
      </w:r>
      <w:r w:rsidRPr="00055E2A">
        <w:t xml:space="preserve"> is the </w:t>
      </w:r>
      <w:r w:rsidRPr="00055E2A">
        <w:rPr>
          <w:spacing w:val="-1"/>
        </w:rPr>
        <w:t>(-)enantiomer</w:t>
      </w:r>
      <w:r w:rsidRPr="00055E2A">
        <w:t xml:space="preserve"> of a </w:t>
      </w:r>
      <w:proofErr w:type="spellStart"/>
      <w:r w:rsidRPr="00055E2A">
        <w:t>dideoxy</w:t>
      </w:r>
      <w:proofErr w:type="spellEnd"/>
      <w:r w:rsidRPr="00055E2A">
        <w:t xml:space="preserve"> analogue of cytidine and is an HIV-1 nucleoside analogue reverse transcriptase inhi</w:t>
      </w:r>
      <w:r>
        <w:t>bitor.</w:t>
      </w:r>
    </w:p>
    <w:p w14:paraId="10B6E6D4" w14:textId="77777777" w:rsidR="001A70A6" w:rsidRPr="006519C3" w:rsidRDefault="001A70A6" w:rsidP="001A70A6">
      <w:r w:rsidRPr="006519C3">
        <w:t>The chemical name for lamivudine is (-)-1-[(</w:t>
      </w:r>
      <w:r w:rsidRPr="00FB6593">
        <w:rPr>
          <w:i/>
        </w:rPr>
        <w:t>2R,5S</w:t>
      </w:r>
      <w:r w:rsidRPr="006519C3">
        <w:t>)-2-(</w:t>
      </w:r>
      <w:proofErr w:type="spellStart"/>
      <w:r w:rsidRPr="006519C3">
        <w:t>hydroxymethyl</w:t>
      </w:r>
      <w:proofErr w:type="spellEnd"/>
      <w:r w:rsidRPr="006519C3">
        <w:t>)-1,3-oxathiolan-5-yl]-cytosine.</w:t>
      </w:r>
      <w:r>
        <w:t xml:space="preserve"> </w:t>
      </w:r>
      <w:r w:rsidRPr="006519C3">
        <w:t>It has a molecular formula of C</w:t>
      </w:r>
      <w:r w:rsidRPr="00FB6593">
        <w:rPr>
          <w:vertAlign w:val="subscript"/>
        </w:rPr>
        <w:t>8</w:t>
      </w:r>
      <w:r w:rsidRPr="006519C3">
        <w:t>H</w:t>
      </w:r>
      <w:r w:rsidRPr="00FB6593">
        <w:rPr>
          <w:vertAlign w:val="subscript"/>
        </w:rPr>
        <w:t>11</w:t>
      </w:r>
      <w:r w:rsidRPr="006519C3">
        <w:t>N</w:t>
      </w:r>
      <w:r w:rsidRPr="00FB6593">
        <w:rPr>
          <w:vertAlign w:val="subscript"/>
        </w:rPr>
        <w:t>3</w:t>
      </w:r>
      <w:r w:rsidRPr="006519C3">
        <w:t>O</w:t>
      </w:r>
      <w:r w:rsidRPr="00FB6593">
        <w:rPr>
          <w:vertAlign w:val="subscript"/>
        </w:rPr>
        <w:t>3</w:t>
      </w:r>
      <w:r w:rsidRPr="006519C3">
        <w:t>S and a molecular weight of 229.26.</w:t>
      </w:r>
    </w:p>
    <w:p w14:paraId="392F61A2" w14:textId="02AEEE9F" w:rsidR="00BF5F39" w:rsidRPr="001A70A6" w:rsidRDefault="001A70A6" w:rsidP="007551B2">
      <w:pPr>
        <w:rPr>
          <w:i/>
        </w:rPr>
      </w:pPr>
      <w:r w:rsidRPr="001A70A6">
        <w:rPr>
          <w:i/>
        </w:rPr>
        <w:t>Tenofovir DF</w:t>
      </w:r>
      <w:r>
        <w:rPr>
          <w:i/>
        </w:rPr>
        <w:t xml:space="preserve">: </w:t>
      </w:r>
      <w:r w:rsidRPr="00055E2A">
        <w:t xml:space="preserve">Tenofovir DF (a prodrug of tenofovir) </w:t>
      </w:r>
      <w:r w:rsidRPr="00055E2A">
        <w:rPr>
          <w:color w:val="000000"/>
        </w:rPr>
        <w:t xml:space="preserve">is a </w:t>
      </w:r>
      <w:proofErr w:type="spellStart"/>
      <w:r w:rsidRPr="00055E2A">
        <w:rPr>
          <w:color w:val="000000"/>
        </w:rPr>
        <w:t>fumaric</w:t>
      </w:r>
      <w:proofErr w:type="spellEnd"/>
      <w:r w:rsidRPr="00055E2A">
        <w:rPr>
          <w:color w:val="000000"/>
        </w:rPr>
        <w:t xml:space="preserve"> acid salt of the </w:t>
      </w:r>
      <w:proofErr w:type="spellStart"/>
      <w:r w:rsidRPr="00055E2A">
        <w:rPr>
          <w:color w:val="000000"/>
        </w:rPr>
        <w:t>bis-isopropoxycarbonyloxymethyl</w:t>
      </w:r>
      <w:proofErr w:type="spellEnd"/>
      <w:r w:rsidRPr="00055E2A">
        <w:rPr>
          <w:color w:val="000000"/>
        </w:rPr>
        <w:t xml:space="preserve"> ester derivative of tenofovir. </w:t>
      </w:r>
      <w:r w:rsidRPr="00055E2A">
        <w:rPr>
          <w:i/>
          <w:color w:val="000000"/>
        </w:rPr>
        <w:t>In vivo</w:t>
      </w:r>
      <w:r w:rsidRPr="00055E2A">
        <w:rPr>
          <w:color w:val="000000"/>
        </w:rPr>
        <w:t xml:space="preserve"> tenofovir DF is converted to tenofovir, an acyclic nucleoside phosphonate (nucleotide) analogue of adenosine 5’-monophosphate. </w:t>
      </w:r>
      <w:r w:rsidRPr="00576748">
        <w:rPr>
          <w:color w:val="000000"/>
        </w:rPr>
        <w:t>Tenofovir diphosphate is an HIV-1 reverse transcriptase inhibitor.</w:t>
      </w:r>
    </w:p>
    <w:p w14:paraId="5C5430A7" w14:textId="7C10D42B" w:rsidR="001A70A6" w:rsidRDefault="001A70A6" w:rsidP="007551B2">
      <w:r>
        <w:t>The chemical name for tenofovir DF is 9-[(</w:t>
      </w:r>
      <w:r w:rsidRPr="00C74D32">
        <w:rPr>
          <w:i/>
        </w:rPr>
        <w:t>R</w:t>
      </w:r>
      <w:r>
        <w:t>)-2-[[</w:t>
      </w:r>
      <w:proofErr w:type="spellStart"/>
      <w:r>
        <w:t>bis</w:t>
      </w:r>
      <w:proofErr w:type="spellEnd"/>
      <w:r>
        <w:t>[[(</w:t>
      </w:r>
      <w:proofErr w:type="spellStart"/>
      <w:r>
        <w:t>isopropoxycarbonyl</w:t>
      </w:r>
      <w:proofErr w:type="spellEnd"/>
      <w:r>
        <w:t>)oxy]</w:t>
      </w:r>
      <w:proofErr w:type="spellStart"/>
      <w:r>
        <w:t>methoxy</w:t>
      </w:r>
      <w:proofErr w:type="spellEnd"/>
      <w:r>
        <w:t xml:space="preserve">] </w:t>
      </w:r>
      <w:proofErr w:type="spellStart"/>
      <w:r>
        <w:t>phosphinyl</w:t>
      </w:r>
      <w:proofErr w:type="spellEnd"/>
      <w:r>
        <w:t xml:space="preserve">]- </w:t>
      </w:r>
      <w:proofErr w:type="spellStart"/>
      <w:r>
        <w:t>methoxy</w:t>
      </w:r>
      <w:proofErr w:type="spellEnd"/>
      <w:r>
        <w:t xml:space="preserve">]propyl]adenine fumarate (1:1). </w:t>
      </w:r>
      <w:r w:rsidRPr="00CB6390">
        <w:t>It has a molecular formula of C</w:t>
      </w:r>
      <w:r w:rsidRPr="00FB6593">
        <w:rPr>
          <w:vertAlign w:val="subscript"/>
        </w:rPr>
        <w:t>19</w:t>
      </w:r>
      <w:r w:rsidRPr="00CB6390">
        <w:t>H</w:t>
      </w:r>
      <w:r w:rsidRPr="00FB6593">
        <w:rPr>
          <w:vertAlign w:val="subscript"/>
        </w:rPr>
        <w:t>30</w:t>
      </w:r>
      <w:r w:rsidRPr="00CB6390">
        <w:t>N</w:t>
      </w:r>
      <w:r w:rsidRPr="00FB6593">
        <w:rPr>
          <w:vertAlign w:val="subscript"/>
        </w:rPr>
        <w:t>5</w:t>
      </w:r>
      <w:r w:rsidRPr="00CB6390">
        <w:t>O</w:t>
      </w:r>
      <w:r w:rsidRPr="00FB6593">
        <w:rPr>
          <w:vertAlign w:val="subscript"/>
        </w:rPr>
        <w:t>10</w:t>
      </w:r>
      <w:r w:rsidRPr="00CB6390">
        <w:t xml:space="preserve"> P·C</w:t>
      </w:r>
      <w:r w:rsidRPr="00FB6593">
        <w:rPr>
          <w:vertAlign w:val="subscript"/>
        </w:rPr>
        <w:t>4</w:t>
      </w:r>
      <w:r w:rsidRPr="00CB6390">
        <w:t>H</w:t>
      </w:r>
      <w:r w:rsidRPr="00FB6593">
        <w:rPr>
          <w:vertAlign w:val="subscript"/>
        </w:rPr>
        <w:t>4</w:t>
      </w:r>
      <w:r w:rsidRPr="00CB6390">
        <w:t>O</w:t>
      </w:r>
      <w:r w:rsidRPr="00FB6593">
        <w:rPr>
          <w:vertAlign w:val="subscript"/>
        </w:rPr>
        <w:t>4</w:t>
      </w:r>
      <w:r>
        <w:t xml:space="preserve"> and a molecular weight of 635.52.</w:t>
      </w:r>
    </w:p>
    <w:p w14:paraId="2E61D711" w14:textId="77777777" w:rsidR="00063E0F" w:rsidRPr="008246E7" w:rsidRDefault="00063E0F" w:rsidP="00A90E98">
      <w:pPr>
        <w:pStyle w:val="Heading3"/>
      </w:pPr>
      <w:r w:rsidRPr="008246E7">
        <w:t>Chemical structure</w:t>
      </w:r>
    </w:p>
    <w:p w14:paraId="583BFADC" w14:textId="0278EA7C" w:rsidR="000D1684" w:rsidRDefault="001A70A6" w:rsidP="000D1684">
      <w:pPr>
        <w:keepNext/>
        <w:rPr>
          <w:i/>
        </w:rPr>
      </w:pPr>
      <w:r w:rsidRPr="001A70A6">
        <w:rPr>
          <w:i/>
        </w:rPr>
        <w:t>Doravirine:</w:t>
      </w:r>
    </w:p>
    <w:p w14:paraId="5151C12A" w14:textId="32A4DB69" w:rsidR="001A70A6" w:rsidRDefault="001A70A6" w:rsidP="00A90E98">
      <w:pPr>
        <w:rPr>
          <w:i/>
        </w:rPr>
      </w:pPr>
      <w:r>
        <w:rPr>
          <w:lang w:val="en-US"/>
        </w:rPr>
        <w:object w:dxaOrig="2400" w:dyaOrig="1452" w14:anchorId="5115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2pt;height:73.25pt" o:ole="">
            <v:imagedata r:id="rId15" o:title=""/>
          </v:shape>
          <o:OLEObject Type="Embed" ProgID="ChemDraw.Document.6.0" ShapeID="_x0000_i1025" DrawAspect="Content" ObjectID="_1645879584" r:id="rId16"/>
        </w:object>
      </w:r>
    </w:p>
    <w:p w14:paraId="3B255D1D" w14:textId="2371FD8D" w:rsidR="001A70A6" w:rsidRDefault="001A70A6" w:rsidP="000D1684">
      <w:pPr>
        <w:keepNext/>
        <w:rPr>
          <w:i/>
        </w:rPr>
      </w:pPr>
      <w:r w:rsidRPr="001A70A6">
        <w:rPr>
          <w:i/>
        </w:rPr>
        <w:t>Lamivudine:</w:t>
      </w:r>
    </w:p>
    <w:p w14:paraId="28D4CBF6" w14:textId="06A15B76" w:rsidR="001A70A6" w:rsidRDefault="001A70A6" w:rsidP="00A90E98">
      <w:pPr>
        <w:rPr>
          <w:i/>
        </w:rPr>
      </w:pPr>
      <w:r>
        <w:rPr>
          <w:noProof/>
          <w:lang w:eastAsia="en-AU"/>
        </w:rPr>
        <w:drawing>
          <wp:inline distT="0" distB="0" distL="0" distR="0" wp14:anchorId="773E6F18" wp14:editId="3138D286">
            <wp:extent cx="1219200" cy="1018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1018540"/>
                    </a:xfrm>
                    <a:prstGeom prst="rect">
                      <a:avLst/>
                    </a:prstGeom>
                    <a:noFill/>
                    <a:ln>
                      <a:noFill/>
                    </a:ln>
                  </pic:spPr>
                </pic:pic>
              </a:graphicData>
            </a:graphic>
          </wp:inline>
        </w:drawing>
      </w:r>
    </w:p>
    <w:p w14:paraId="6718BFCB" w14:textId="48BE8DC6" w:rsidR="001A70A6" w:rsidRDefault="001A70A6" w:rsidP="000D1684">
      <w:pPr>
        <w:keepNext/>
        <w:rPr>
          <w:i/>
        </w:rPr>
      </w:pPr>
      <w:r w:rsidRPr="001A70A6">
        <w:rPr>
          <w:i/>
        </w:rPr>
        <w:t>Tenofovir DF</w:t>
      </w:r>
      <w:r>
        <w:rPr>
          <w:i/>
        </w:rPr>
        <w:t>:</w:t>
      </w:r>
    </w:p>
    <w:p w14:paraId="234D1535" w14:textId="5F335DEF" w:rsidR="001A70A6" w:rsidRDefault="001A70A6" w:rsidP="00A90E98">
      <w:r>
        <w:rPr>
          <w:noProof/>
          <w:lang w:eastAsia="en-AU"/>
        </w:rPr>
        <w:drawing>
          <wp:inline distT="0" distB="0" distL="0" distR="0" wp14:anchorId="50A775D6" wp14:editId="43606EAE">
            <wp:extent cx="2819400" cy="1205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0" cy="1205230"/>
                    </a:xfrm>
                    <a:prstGeom prst="rect">
                      <a:avLst/>
                    </a:prstGeom>
                    <a:noFill/>
                    <a:ln>
                      <a:noFill/>
                    </a:ln>
                  </pic:spPr>
                </pic:pic>
              </a:graphicData>
            </a:graphic>
          </wp:inline>
        </w:drawing>
      </w:r>
    </w:p>
    <w:p w14:paraId="604D92C8" w14:textId="77777777" w:rsidR="00935DC2" w:rsidRDefault="003D3FCB" w:rsidP="009F3C15">
      <w:pPr>
        <w:pStyle w:val="Heading3"/>
      </w:pPr>
      <w:r w:rsidRPr="008246E7">
        <w:lastRenderedPageBreak/>
        <w:t>CAS number</w:t>
      </w:r>
    </w:p>
    <w:p w14:paraId="4B59DEFE" w14:textId="3FDD8EAC" w:rsidR="001A70A6" w:rsidRDefault="001A70A6" w:rsidP="001A70A6">
      <w:pPr>
        <w:keepNext/>
        <w:rPr>
          <w:i/>
        </w:rPr>
      </w:pPr>
      <w:r w:rsidRPr="001A70A6">
        <w:rPr>
          <w:i/>
        </w:rPr>
        <w:t>Doravirine:</w:t>
      </w:r>
      <w:r>
        <w:rPr>
          <w:i/>
        </w:rPr>
        <w:t xml:space="preserve"> </w:t>
      </w:r>
      <w:r w:rsidRPr="00882B47">
        <w:t>1338225-97-0</w:t>
      </w:r>
    </w:p>
    <w:p w14:paraId="7F91FA79" w14:textId="5BC5EA2B" w:rsidR="001A70A6" w:rsidRDefault="001A70A6" w:rsidP="001A70A6">
      <w:pPr>
        <w:keepNext/>
        <w:rPr>
          <w:i/>
        </w:rPr>
      </w:pPr>
      <w:r w:rsidRPr="001A70A6">
        <w:rPr>
          <w:i/>
        </w:rPr>
        <w:t>Lamivudine:</w:t>
      </w:r>
      <w:r>
        <w:rPr>
          <w:i/>
        </w:rPr>
        <w:t xml:space="preserve"> </w:t>
      </w:r>
      <w:r w:rsidRPr="00882B47">
        <w:t>134678-17-4</w:t>
      </w:r>
    </w:p>
    <w:p w14:paraId="1FC86CFE" w14:textId="497DB9FF" w:rsidR="007551B2" w:rsidRPr="001A70A6" w:rsidRDefault="001A70A6" w:rsidP="001A70A6">
      <w:pPr>
        <w:keepNext/>
        <w:rPr>
          <w:i/>
        </w:rPr>
      </w:pPr>
      <w:r w:rsidRPr="001A70A6">
        <w:rPr>
          <w:i/>
        </w:rPr>
        <w:t>Tenofovir DF</w:t>
      </w:r>
      <w:r>
        <w:rPr>
          <w:i/>
        </w:rPr>
        <w:t xml:space="preserve">: </w:t>
      </w:r>
      <w:r w:rsidRPr="006617A3">
        <w:t>202138-50-9</w:t>
      </w:r>
    </w:p>
    <w:p w14:paraId="6F5500F5" w14:textId="77777777" w:rsidR="00935DC2" w:rsidRPr="008246E7" w:rsidRDefault="003D3FCB" w:rsidP="008246E7">
      <w:pPr>
        <w:pStyle w:val="Heading1"/>
        <w:rPr>
          <w:rFonts w:cs="Arial"/>
          <w:lang w:val="en-US"/>
        </w:rPr>
      </w:pPr>
      <w:r w:rsidRPr="008246E7">
        <w:rPr>
          <w:rFonts w:cs="Arial"/>
          <w:lang w:val="en-US"/>
        </w:rPr>
        <w:t>Medicine schedule (Poisons Standard)</w:t>
      </w:r>
    </w:p>
    <w:p w14:paraId="174F3097" w14:textId="77777777" w:rsidR="00BF5F39" w:rsidRPr="00BB28D5" w:rsidRDefault="00BF5F39" w:rsidP="00BF5F39">
      <w:r w:rsidRPr="00BB28D5">
        <w:t>Prescription Only Medicine (Schedule 4)</w:t>
      </w:r>
      <w:r>
        <w:t>.</w:t>
      </w:r>
    </w:p>
    <w:p w14:paraId="07DD4013" w14:textId="77777777" w:rsidR="00935DC2" w:rsidRPr="008246E7" w:rsidRDefault="003D3FCB" w:rsidP="008246E7">
      <w:pPr>
        <w:pStyle w:val="Heading1"/>
        <w:rPr>
          <w:rFonts w:cs="Arial"/>
          <w:lang w:val="en-US"/>
        </w:rPr>
      </w:pPr>
      <w:r w:rsidRPr="008246E7">
        <w:rPr>
          <w:rFonts w:cs="Arial"/>
          <w:lang w:val="en-US"/>
        </w:rPr>
        <w:t xml:space="preserve">Sponsor </w:t>
      </w:r>
    </w:p>
    <w:p w14:paraId="0172D9B4" w14:textId="266C3497" w:rsidR="000716E0" w:rsidRDefault="000716E0" w:rsidP="00D1422C">
      <w:pPr>
        <w:jc w:val="left"/>
        <w:rPr>
          <w:rStyle w:val="Hyperlink"/>
          <w:rFonts w:cs="Arial"/>
        </w:rPr>
      </w:pPr>
      <w:r w:rsidRPr="000716E0">
        <w:rPr>
          <w:rFonts w:cs="Arial"/>
        </w:rPr>
        <w:t xml:space="preserve">Merck Sharpe &amp; </w:t>
      </w:r>
      <w:proofErr w:type="spellStart"/>
      <w:r w:rsidRPr="000716E0">
        <w:rPr>
          <w:rFonts w:cs="Arial"/>
        </w:rPr>
        <w:t>Dohme</w:t>
      </w:r>
      <w:proofErr w:type="spellEnd"/>
      <w:r w:rsidRPr="000716E0">
        <w:rPr>
          <w:rFonts w:cs="Arial"/>
        </w:rPr>
        <w:t xml:space="preserve"> (Australia) Pty Limited</w:t>
      </w:r>
      <w:r w:rsidR="00D1422C">
        <w:rPr>
          <w:rFonts w:cs="Arial"/>
        </w:rPr>
        <w:br/>
      </w:r>
      <w:r w:rsidRPr="000716E0">
        <w:rPr>
          <w:rFonts w:cs="Arial"/>
        </w:rPr>
        <w:t>Level 1, Building A, 26 Talavera Road</w:t>
      </w:r>
      <w:r w:rsidR="00D1422C">
        <w:rPr>
          <w:rFonts w:cs="Arial"/>
        </w:rPr>
        <w:br/>
      </w:r>
      <w:r w:rsidRPr="000716E0">
        <w:rPr>
          <w:rFonts w:cs="Arial"/>
        </w:rPr>
        <w:t>Macquarie Park NSW 2113</w:t>
      </w:r>
      <w:r w:rsidR="00D1422C">
        <w:rPr>
          <w:rFonts w:cs="Arial"/>
        </w:rPr>
        <w:br/>
      </w:r>
      <w:hyperlink r:id="rId19" w:history="1">
        <w:r w:rsidRPr="000716E0">
          <w:rPr>
            <w:rStyle w:val="Hyperlink"/>
            <w:rFonts w:cs="Arial"/>
          </w:rPr>
          <w:t>www.msd-australia.com.au</w:t>
        </w:r>
      </w:hyperlink>
    </w:p>
    <w:p w14:paraId="247AF7E3" w14:textId="2E16829E" w:rsidR="00935DC2" w:rsidRPr="008246E7" w:rsidRDefault="000716E0" w:rsidP="000716E0">
      <w:pPr>
        <w:pStyle w:val="Heading1"/>
        <w:rPr>
          <w:rFonts w:cs="Arial"/>
          <w:lang w:val="en-US"/>
        </w:rPr>
      </w:pPr>
      <w:r w:rsidRPr="008246E7">
        <w:rPr>
          <w:rFonts w:cs="Arial"/>
          <w:lang w:val="en-US"/>
        </w:rPr>
        <w:t xml:space="preserve"> </w:t>
      </w:r>
      <w:r w:rsidR="003D3FCB" w:rsidRPr="008246E7">
        <w:rPr>
          <w:rFonts w:cs="Arial"/>
          <w:lang w:val="en-US"/>
        </w:rPr>
        <w:t xml:space="preserve">Date of first approval  </w:t>
      </w:r>
    </w:p>
    <w:p w14:paraId="1C849184" w14:textId="510010C3" w:rsidR="00935DC2" w:rsidRDefault="00CC5C24" w:rsidP="008246E7">
      <w:pPr>
        <w:rPr>
          <w:rFonts w:cs="Arial"/>
        </w:rPr>
      </w:pPr>
      <w:r>
        <w:rPr>
          <w:rFonts w:cs="Arial"/>
        </w:rPr>
        <w:t>18 January 2019</w:t>
      </w:r>
    </w:p>
    <w:p w14:paraId="6CD80F57" w14:textId="77777777" w:rsidR="007551B2" w:rsidRDefault="007551B2" w:rsidP="008246E7">
      <w:pPr>
        <w:rPr>
          <w:rFonts w:cs="Arial"/>
          <w:sz w:val="16"/>
          <w:szCs w:val="16"/>
        </w:rPr>
      </w:pPr>
    </w:p>
    <w:p w14:paraId="58795066" w14:textId="4407B3F5" w:rsidR="007551B2" w:rsidRDefault="009E597C" w:rsidP="008246E7">
      <w:pPr>
        <w:rPr>
          <w:rFonts w:cs="Arial"/>
          <w:sz w:val="16"/>
          <w:szCs w:val="16"/>
        </w:rPr>
      </w:pPr>
      <w:r>
        <w:rPr>
          <w:rFonts w:cs="Arial"/>
          <w:sz w:val="16"/>
          <w:szCs w:val="16"/>
        </w:rPr>
        <w:t>DELSTRIGO</w:t>
      </w:r>
      <w:r w:rsidR="007551B2" w:rsidRPr="007551B2">
        <w:rPr>
          <w:rFonts w:cs="Arial"/>
          <w:sz w:val="16"/>
          <w:szCs w:val="16"/>
        </w:rPr>
        <w:t>_PI_AU_</w:t>
      </w:r>
      <w:r w:rsidR="00DF7236">
        <w:rPr>
          <w:rFonts w:cs="Arial"/>
          <w:sz w:val="16"/>
          <w:szCs w:val="16"/>
        </w:rPr>
        <w:t>A190118_v1.0</w:t>
      </w:r>
    </w:p>
    <w:p w14:paraId="78FF0F3D" w14:textId="5AA45445" w:rsidR="00E86DE7" w:rsidRDefault="00E86DE7" w:rsidP="008246E7">
      <w:pPr>
        <w:rPr>
          <w:rFonts w:cs="Arial"/>
          <w:sz w:val="16"/>
          <w:szCs w:val="16"/>
        </w:rPr>
      </w:pPr>
      <w:r w:rsidRPr="00E86DE7">
        <w:rPr>
          <w:rFonts w:cs="Arial"/>
          <w:sz w:val="16"/>
          <w:szCs w:val="16"/>
        </w:rPr>
        <w:t>MK1439a-AUS-2018-018821-PC-T</w:t>
      </w:r>
    </w:p>
    <w:p w14:paraId="3BEF3AFD" w14:textId="77777777" w:rsidR="00E86DE7" w:rsidRPr="007551B2" w:rsidRDefault="00E86DE7" w:rsidP="008246E7">
      <w:pPr>
        <w:rPr>
          <w:rFonts w:cs="Arial"/>
          <w:sz w:val="16"/>
          <w:szCs w:val="16"/>
        </w:rPr>
      </w:pPr>
    </w:p>
    <w:sectPr w:rsidR="00E86DE7" w:rsidRPr="007551B2" w:rsidSect="00977A1A">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B9AED" w14:textId="77777777" w:rsidR="00DF7236" w:rsidRDefault="00DF7236">
      <w:pPr>
        <w:spacing w:after="0"/>
      </w:pPr>
      <w:r>
        <w:separator/>
      </w:r>
    </w:p>
  </w:endnote>
  <w:endnote w:type="continuationSeparator" w:id="0">
    <w:p w14:paraId="6EA4EDF7" w14:textId="77777777" w:rsidR="00DF7236" w:rsidRDefault="00DF72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2965" w14:textId="77777777" w:rsidR="00A90E98" w:rsidRDefault="00A90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6DE2" w14:textId="2CB6956D" w:rsidR="00DF7236" w:rsidRPr="007551B2" w:rsidRDefault="00DF7236" w:rsidP="00162188">
    <w:pPr>
      <w:pStyle w:val="Footer"/>
      <w:jc w:val="right"/>
      <w:rPr>
        <w:rFonts w:cs="Arial"/>
        <w:sz w:val="18"/>
        <w:szCs w:val="18"/>
      </w:rPr>
    </w:pPr>
    <w:r w:rsidRPr="007551B2">
      <w:rPr>
        <w:rFonts w:cs="Arial"/>
        <w:sz w:val="18"/>
        <w:szCs w:val="18"/>
      </w:rPr>
      <w:t xml:space="preserve">Page </w:t>
    </w:r>
    <w:r w:rsidRPr="007551B2">
      <w:rPr>
        <w:rFonts w:cs="Arial"/>
        <w:b/>
        <w:sz w:val="18"/>
        <w:szCs w:val="18"/>
      </w:rPr>
      <w:fldChar w:fldCharType="begin"/>
    </w:r>
    <w:r w:rsidRPr="007551B2">
      <w:rPr>
        <w:rFonts w:cs="Arial"/>
        <w:b/>
        <w:sz w:val="18"/>
        <w:szCs w:val="18"/>
      </w:rPr>
      <w:instrText xml:space="preserve"> PAGE   \* MERGEFORMAT </w:instrText>
    </w:r>
    <w:r w:rsidRPr="007551B2">
      <w:rPr>
        <w:rFonts w:cs="Arial"/>
        <w:b/>
        <w:sz w:val="18"/>
        <w:szCs w:val="18"/>
      </w:rPr>
      <w:fldChar w:fldCharType="separate"/>
    </w:r>
    <w:r w:rsidR="00A90E98">
      <w:rPr>
        <w:rFonts w:cs="Arial"/>
        <w:b/>
        <w:noProof/>
        <w:sz w:val="18"/>
        <w:szCs w:val="18"/>
      </w:rPr>
      <w:t>27</w:t>
    </w:r>
    <w:r w:rsidRPr="007551B2">
      <w:rPr>
        <w:rFonts w:cs="Arial"/>
        <w:b/>
        <w:sz w:val="18"/>
        <w:szCs w:val="18"/>
      </w:rPr>
      <w:fldChar w:fldCharType="end"/>
    </w:r>
    <w:r w:rsidRPr="007551B2">
      <w:rPr>
        <w:rFonts w:cs="Arial"/>
        <w:sz w:val="18"/>
        <w:szCs w:val="18"/>
      </w:rPr>
      <w:t xml:space="preserve"> of </w:t>
    </w:r>
    <w:r w:rsidRPr="007551B2">
      <w:rPr>
        <w:rFonts w:cs="Arial"/>
        <w:b/>
        <w:sz w:val="18"/>
        <w:szCs w:val="18"/>
      </w:rPr>
      <w:fldChar w:fldCharType="begin"/>
    </w:r>
    <w:r w:rsidRPr="007551B2">
      <w:rPr>
        <w:rFonts w:cs="Arial"/>
        <w:b/>
        <w:sz w:val="18"/>
        <w:szCs w:val="18"/>
      </w:rPr>
      <w:instrText xml:space="preserve"> NUMPAGES   \* MERGEFORMAT </w:instrText>
    </w:r>
    <w:r w:rsidRPr="007551B2">
      <w:rPr>
        <w:rFonts w:cs="Arial"/>
        <w:b/>
        <w:sz w:val="18"/>
        <w:szCs w:val="18"/>
      </w:rPr>
      <w:fldChar w:fldCharType="separate"/>
    </w:r>
    <w:r w:rsidR="00A90E98">
      <w:rPr>
        <w:rFonts w:cs="Arial"/>
        <w:b/>
        <w:noProof/>
        <w:sz w:val="18"/>
        <w:szCs w:val="18"/>
      </w:rPr>
      <w:t>28</w:t>
    </w:r>
    <w:r w:rsidRPr="007551B2">
      <w:rPr>
        <w:rFonts w:cs="Arial"/>
        <w:b/>
        <w:sz w:val="18"/>
        <w:szCs w:val="18"/>
      </w:rPr>
      <w:fldChar w:fldCharType="end"/>
    </w:r>
  </w:p>
  <w:p w14:paraId="7573881A" w14:textId="5F4E3E4B" w:rsidR="00DF7236" w:rsidRPr="007551B2" w:rsidRDefault="00DF7236" w:rsidP="00446963">
    <w:pPr>
      <w:pStyle w:val="Footer"/>
      <w:rPr>
        <w:rFonts w:cs="Arial"/>
        <w:sz w:val="18"/>
        <w:szCs w:val="18"/>
      </w:rPr>
    </w:pPr>
    <w:r w:rsidRPr="007551B2">
      <w:rPr>
        <w:rFonts w:cs="Arial"/>
        <w:sz w:val="18"/>
        <w:szCs w:val="18"/>
      </w:rPr>
      <w:t>CCDS-MK1439</w:t>
    </w:r>
    <w:r>
      <w:rPr>
        <w:rFonts w:cs="Arial"/>
        <w:sz w:val="18"/>
        <w:szCs w:val="18"/>
      </w:rPr>
      <w:t>A</w:t>
    </w:r>
    <w:r w:rsidRPr="007551B2">
      <w:rPr>
        <w:rFonts w:cs="Arial"/>
        <w:sz w:val="18"/>
        <w:szCs w:val="18"/>
      </w:rPr>
      <w:t>-T-102017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7F97" w14:textId="77777777" w:rsidR="00A90E98" w:rsidRDefault="00A90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65710" w14:textId="77777777" w:rsidR="00DF7236" w:rsidRDefault="00DF7236">
      <w:pPr>
        <w:spacing w:after="0"/>
      </w:pPr>
      <w:r>
        <w:separator/>
      </w:r>
    </w:p>
  </w:footnote>
  <w:footnote w:type="continuationSeparator" w:id="0">
    <w:p w14:paraId="62A1F49C" w14:textId="77777777" w:rsidR="00DF7236" w:rsidRDefault="00DF72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9EBB" w14:textId="77777777" w:rsidR="00A90E98" w:rsidRDefault="00A90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A90E98" w:rsidRPr="002E7F61" w14:paraId="53D3B04A" w14:textId="77777777" w:rsidTr="00C863DA">
      <w:trPr>
        <w:trHeight w:val="590"/>
      </w:trPr>
      <w:tc>
        <w:tcPr>
          <w:tcW w:w="8720" w:type="dxa"/>
          <w:shd w:val="clear" w:color="auto" w:fill="E4F2E0"/>
        </w:tcPr>
        <w:p w14:paraId="30980A66" w14:textId="1A73EBBD" w:rsidR="00A90E98" w:rsidRPr="002E7F61" w:rsidRDefault="00A90E98" w:rsidP="00A90E98">
          <w:pPr>
            <w:pStyle w:val="Footer"/>
            <w:rPr>
              <w:b/>
              <w:sz w:val="18"/>
              <w:szCs w:val="18"/>
            </w:rPr>
          </w:pPr>
          <w:r w:rsidRPr="002E7F61">
            <w:rPr>
              <w:b/>
              <w:sz w:val="18"/>
              <w:szCs w:val="18"/>
            </w:rPr>
            <w:t xml:space="preserve">Attachment </w:t>
          </w:r>
          <w:r w:rsidRPr="00335909">
            <w:rPr>
              <w:b/>
              <w:sz w:val="18"/>
              <w:szCs w:val="18"/>
            </w:rPr>
            <w:t xml:space="preserve">AusPAR - DELSTRIGO - Doravirine and FDC - Merck Sharp &amp; </w:t>
          </w:r>
          <w:proofErr w:type="spellStart"/>
          <w:r w:rsidRPr="00335909">
            <w:rPr>
              <w:b/>
              <w:sz w:val="18"/>
              <w:szCs w:val="18"/>
            </w:rPr>
            <w:t>Dohme</w:t>
          </w:r>
          <w:proofErr w:type="spellEnd"/>
          <w:r w:rsidRPr="00335909">
            <w:rPr>
              <w:b/>
              <w:sz w:val="18"/>
              <w:szCs w:val="18"/>
            </w:rPr>
            <w:t xml:space="preserve"> (Australia) Pty Ltd PM-2017-04581-1-2</w:t>
          </w:r>
          <w:r>
            <w:rPr>
              <w:b/>
              <w:sz w:val="18"/>
              <w:szCs w:val="18"/>
            </w:rPr>
            <w:t xml:space="preserve"> </w:t>
          </w:r>
          <w:r w:rsidRPr="00335909">
            <w:rPr>
              <w:b/>
              <w:sz w:val="18"/>
              <w:szCs w:val="18"/>
            </w:rPr>
            <w:t>FINAL 11 March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77FEC1C8" w14:textId="77777777" w:rsidR="00A90E98" w:rsidRDefault="00A90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D1C9F" w14:textId="77777777" w:rsidR="00A90E98" w:rsidRDefault="00A9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376463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1B5C0E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B1F226A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000004"/>
    <w:multiLevelType w:val="multilevel"/>
    <w:tmpl w:val="06821DA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5"/>
    <w:multiLevelType w:val="multilevel"/>
    <w:tmpl w:val="CBC6260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0000006"/>
    <w:multiLevelType w:val="multilevel"/>
    <w:tmpl w:val="1928578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0000007"/>
    <w:multiLevelType w:val="multilevel"/>
    <w:tmpl w:val="A88C9216"/>
    <w:lvl w:ilvl="0">
      <w:start w:val="1"/>
      <w:numFmt w:val="decimal"/>
      <w:lvlText w:val="Note %1:"/>
      <w:lvlJc w:val="left"/>
      <w:pPr>
        <w:ind w:left="1021" w:hanging="1021"/>
      </w:pPr>
      <w:rPr>
        <w:rFonts w:ascii="Cambria" w:eastAsia="Cambria" w:hAnsi="Cambria" w:cs="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multilevel"/>
    <w:tmpl w:val="D2A47CE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0000009"/>
    <w:multiLevelType w:val="multilevel"/>
    <w:tmpl w:val="BBCE52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000000A"/>
    <w:multiLevelType w:val="multilevel"/>
    <w:tmpl w:val="BC4AEF2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000000B"/>
    <w:multiLevelType w:val="multilevel"/>
    <w:tmpl w:val="8C1226D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C"/>
    <w:multiLevelType w:val="multilevel"/>
    <w:tmpl w:val="EF0EA3F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00156494"/>
    <w:multiLevelType w:val="hybridMultilevel"/>
    <w:tmpl w:val="1DBAD24A"/>
    <w:lvl w:ilvl="0" w:tplc="B39CE648">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4602F"/>
    <w:multiLevelType w:val="hybridMultilevel"/>
    <w:tmpl w:val="665EA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860A90"/>
    <w:multiLevelType w:val="hybridMultilevel"/>
    <w:tmpl w:val="B8C61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1E5C15"/>
    <w:multiLevelType w:val="hybridMultilevel"/>
    <w:tmpl w:val="B582DF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15E48"/>
    <w:multiLevelType w:val="hybridMultilevel"/>
    <w:tmpl w:val="7420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DC2"/>
    <w:rsid w:val="000175DC"/>
    <w:rsid w:val="00017B91"/>
    <w:rsid w:val="000249E4"/>
    <w:rsid w:val="00034C80"/>
    <w:rsid w:val="00040138"/>
    <w:rsid w:val="0004734D"/>
    <w:rsid w:val="00051C97"/>
    <w:rsid w:val="00063E0F"/>
    <w:rsid w:val="00064684"/>
    <w:rsid w:val="000716E0"/>
    <w:rsid w:val="00074721"/>
    <w:rsid w:val="000767BF"/>
    <w:rsid w:val="0009347D"/>
    <w:rsid w:val="00093659"/>
    <w:rsid w:val="00094D11"/>
    <w:rsid w:val="000953BA"/>
    <w:rsid w:val="00095CB6"/>
    <w:rsid w:val="000975E0"/>
    <w:rsid w:val="000A2886"/>
    <w:rsid w:val="000A4309"/>
    <w:rsid w:val="000A549B"/>
    <w:rsid w:val="000A76E7"/>
    <w:rsid w:val="000D1684"/>
    <w:rsid w:val="000D2CA7"/>
    <w:rsid w:val="000E1B2E"/>
    <w:rsid w:val="000F655E"/>
    <w:rsid w:val="001051BE"/>
    <w:rsid w:val="001145B8"/>
    <w:rsid w:val="00124FD6"/>
    <w:rsid w:val="00125042"/>
    <w:rsid w:val="001425A2"/>
    <w:rsid w:val="00146007"/>
    <w:rsid w:val="00146B00"/>
    <w:rsid w:val="001527B0"/>
    <w:rsid w:val="00153296"/>
    <w:rsid w:val="00162188"/>
    <w:rsid w:val="00164F9F"/>
    <w:rsid w:val="00167C9E"/>
    <w:rsid w:val="001779BD"/>
    <w:rsid w:val="00185936"/>
    <w:rsid w:val="001A2D49"/>
    <w:rsid w:val="001A3779"/>
    <w:rsid w:val="001A70A6"/>
    <w:rsid w:val="001B77DE"/>
    <w:rsid w:val="001C4AEB"/>
    <w:rsid w:val="001C78DE"/>
    <w:rsid w:val="001D07D0"/>
    <w:rsid w:val="001E06A3"/>
    <w:rsid w:val="001F5395"/>
    <w:rsid w:val="002029DA"/>
    <w:rsid w:val="00202A1A"/>
    <w:rsid w:val="00211F8E"/>
    <w:rsid w:val="0024290F"/>
    <w:rsid w:val="002433B1"/>
    <w:rsid w:val="00261620"/>
    <w:rsid w:val="00261C3B"/>
    <w:rsid w:val="0026733B"/>
    <w:rsid w:val="00271648"/>
    <w:rsid w:val="00273403"/>
    <w:rsid w:val="002777F1"/>
    <w:rsid w:val="002778D3"/>
    <w:rsid w:val="00286DFC"/>
    <w:rsid w:val="002900F4"/>
    <w:rsid w:val="0029132A"/>
    <w:rsid w:val="002A0A81"/>
    <w:rsid w:val="002B1E0A"/>
    <w:rsid w:val="002C24E2"/>
    <w:rsid w:val="002D0023"/>
    <w:rsid w:val="002D036E"/>
    <w:rsid w:val="002D23D2"/>
    <w:rsid w:val="002D4CBD"/>
    <w:rsid w:val="002F3569"/>
    <w:rsid w:val="002F3C6E"/>
    <w:rsid w:val="003020E8"/>
    <w:rsid w:val="00302968"/>
    <w:rsid w:val="00304B21"/>
    <w:rsid w:val="00331E6F"/>
    <w:rsid w:val="00356A05"/>
    <w:rsid w:val="00363DDE"/>
    <w:rsid w:val="003640FB"/>
    <w:rsid w:val="00373703"/>
    <w:rsid w:val="00374CD0"/>
    <w:rsid w:val="003841BC"/>
    <w:rsid w:val="00393351"/>
    <w:rsid w:val="00394956"/>
    <w:rsid w:val="003B1153"/>
    <w:rsid w:val="003C5E2B"/>
    <w:rsid w:val="003D2740"/>
    <w:rsid w:val="003D3FCB"/>
    <w:rsid w:val="003E0953"/>
    <w:rsid w:val="003E3A34"/>
    <w:rsid w:val="003E4F2C"/>
    <w:rsid w:val="003E60C9"/>
    <w:rsid w:val="003F1001"/>
    <w:rsid w:val="003F70E4"/>
    <w:rsid w:val="00415EAE"/>
    <w:rsid w:val="004212D0"/>
    <w:rsid w:val="0042137C"/>
    <w:rsid w:val="00421AF6"/>
    <w:rsid w:val="00425AA4"/>
    <w:rsid w:val="0043016A"/>
    <w:rsid w:val="00444009"/>
    <w:rsid w:val="00446963"/>
    <w:rsid w:val="004505B3"/>
    <w:rsid w:val="00455258"/>
    <w:rsid w:val="00470B22"/>
    <w:rsid w:val="00471BC5"/>
    <w:rsid w:val="004A085A"/>
    <w:rsid w:val="004C788A"/>
    <w:rsid w:val="004F67BE"/>
    <w:rsid w:val="004F71A6"/>
    <w:rsid w:val="004F76C8"/>
    <w:rsid w:val="00506CA5"/>
    <w:rsid w:val="00506DAE"/>
    <w:rsid w:val="00510264"/>
    <w:rsid w:val="00530A5B"/>
    <w:rsid w:val="00533F90"/>
    <w:rsid w:val="005406AA"/>
    <w:rsid w:val="00543406"/>
    <w:rsid w:val="00554190"/>
    <w:rsid w:val="0055609A"/>
    <w:rsid w:val="00560BC3"/>
    <w:rsid w:val="00575D97"/>
    <w:rsid w:val="005836B9"/>
    <w:rsid w:val="0059523C"/>
    <w:rsid w:val="00596B76"/>
    <w:rsid w:val="005A2D3A"/>
    <w:rsid w:val="005B27DD"/>
    <w:rsid w:val="005B36F1"/>
    <w:rsid w:val="005D7529"/>
    <w:rsid w:val="005F5921"/>
    <w:rsid w:val="00602620"/>
    <w:rsid w:val="00604CCC"/>
    <w:rsid w:val="0061192E"/>
    <w:rsid w:val="006128C4"/>
    <w:rsid w:val="00622900"/>
    <w:rsid w:val="00647D79"/>
    <w:rsid w:val="00647E50"/>
    <w:rsid w:val="00647E52"/>
    <w:rsid w:val="00650FEC"/>
    <w:rsid w:val="006551E3"/>
    <w:rsid w:val="00656BB8"/>
    <w:rsid w:val="0066640D"/>
    <w:rsid w:val="0067352E"/>
    <w:rsid w:val="00676566"/>
    <w:rsid w:val="0068046A"/>
    <w:rsid w:val="006832E9"/>
    <w:rsid w:val="00693CC2"/>
    <w:rsid w:val="006B1D50"/>
    <w:rsid w:val="006B2006"/>
    <w:rsid w:val="006B42D4"/>
    <w:rsid w:val="006B6D79"/>
    <w:rsid w:val="006B772E"/>
    <w:rsid w:val="006C37DF"/>
    <w:rsid w:val="006C77AA"/>
    <w:rsid w:val="006E5B8F"/>
    <w:rsid w:val="006F26AB"/>
    <w:rsid w:val="006F2CE3"/>
    <w:rsid w:val="006F760B"/>
    <w:rsid w:val="0070590E"/>
    <w:rsid w:val="00707E6E"/>
    <w:rsid w:val="00713F3B"/>
    <w:rsid w:val="007150F6"/>
    <w:rsid w:val="00720B9D"/>
    <w:rsid w:val="00726AA8"/>
    <w:rsid w:val="0073292B"/>
    <w:rsid w:val="00752F0E"/>
    <w:rsid w:val="007551B2"/>
    <w:rsid w:val="0075591F"/>
    <w:rsid w:val="00756F3F"/>
    <w:rsid w:val="00777EF5"/>
    <w:rsid w:val="00783EF7"/>
    <w:rsid w:val="007A3A4D"/>
    <w:rsid w:val="007A59BE"/>
    <w:rsid w:val="007C4EA8"/>
    <w:rsid w:val="007C5479"/>
    <w:rsid w:val="007C5814"/>
    <w:rsid w:val="007E39C1"/>
    <w:rsid w:val="007E6FAF"/>
    <w:rsid w:val="007F1418"/>
    <w:rsid w:val="007F50C8"/>
    <w:rsid w:val="0080577B"/>
    <w:rsid w:val="00814E1F"/>
    <w:rsid w:val="00822037"/>
    <w:rsid w:val="008246E7"/>
    <w:rsid w:val="008258A4"/>
    <w:rsid w:val="00831DBF"/>
    <w:rsid w:val="00847AAE"/>
    <w:rsid w:val="00857C61"/>
    <w:rsid w:val="00857F85"/>
    <w:rsid w:val="00864CAB"/>
    <w:rsid w:val="00866743"/>
    <w:rsid w:val="00896CE2"/>
    <w:rsid w:val="008A362B"/>
    <w:rsid w:val="008A4130"/>
    <w:rsid w:val="008E622E"/>
    <w:rsid w:val="008E7449"/>
    <w:rsid w:val="008F2E13"/>
    <w:rsid w:val="008F300D"/>
    <w:rsid w:val="008F5135"/>
    <w:rsid w:val="008F6DF4"/>
    <w:rsid w:val="008F7986"/>
    <w:rsid w:val="00907607"/>
    <w:rsid w:val="00910ED1"/>
    <w:rsid w:val="00917B3D"/>
    <w:rsid w:val="00917F64"/>
    <w:rsid w:val="00922AC0"/>
    <w:rsid w:val="009242BA"/>
    <w:rsid w:val="0092437E"/>
    <w:rsid w:val="00935DC2"/>
    <w:rsid w:val="0095153A"/>
    <w:rsid w:val="0096507A"/>
    <w:rsid w:val="00967199"/>
    <w:rsid w:val="00970728"/>
    <w:rsid w:val="00977A1A"/>
    <w:rsid w:val="00994E19"/>
    <w:rsid w:val="009A050D"/>
    <w:rsid w:val="009A07CF"/>
    <w:rsid w:val="009A3A2B"/>
    <w:rsid w:val="009A78E1"/>
    <w:rsid w:val="009B057B"/>
    <w:rsid w:val="009B15BC"/>
    <w:rsid w:val="009B1D49"/>
    <w:rsid w:val="009C24D8"/>
    <w:rsid w:val="009D48FB"/>
    <w:rsid w:val="009E597C"/>
    <w:rsid w:val="009E7F16"/>
    <w:rsid w:val="009F3C15"/>
    <w:rsid w:val="00A11BE4"/>
    <w:rsid w:val="00A11F7E"/>
    <w:rsid w:val="00A13398"/>
    <w:rsid w:val="00A24389"/>
    <w:rsid w:val="00A30D50"/>
    <w:rsid w:val="00A33403"/>
    <w:rsid w:val="00A357E2"/>
    <w:rsid w:val="00A426B8"/>
    <w:rsid w:val="00A42AC9"/>
    <w:rsid w:val="00A46848"/>
    <w:rsid w:val="00A479FA"/>
    <w:rsid w:val="00A521E7"/>
    <w:rsid w:val="00A532A5"/>
    <w:rsid w:val="00A65FC4"/>
    <w:rsid w:val="00A83797"/>
    <w:rsid w:val="00A90E98"/>
    <w:rsid w:val="00AB2F63"/>
    <w:rsid w:val="00AB5749"/>
    <w:rsid w:val="00AB6D40"/>
    <w:rsid w:val="00AD29E6"/>
    <w:rsid w:val="00AE527C"/>
    <w:rsid w:val="00AF686B"/>
    <w:rsid w:val="00B01A6A"/>
    <w:rsid w:val="00B02DA2"/>
    <w:rsid w:val="00B10595"/>
    <w:rsid w:val="00B10961"/>
    <w:rsid w:val="00B16B1A"/>
    <w:rsid w:val="00B26A12"/>
    <w:rsid w:val="00B34EB9"/>
    <w:rsid w:val="00B417F3"/>
    <w:rsid w:val="00B50C34"/>
    <w:rsid w:val="00B61E60"/>
    <w:rsid w:val="00B65C98"/>
    <w:rsid w:val="00B74B6C"/>
    <w:rsid w:val="00B80E03"/>
    <w:rsid w:val="00B836DC"/>
    <w:rsid w:val="00B95DEB"/>
    <w:rsid w:val="00B96052"/>
    <w:rsid w:val="00BA493B"/>
    <w:rsid w:val="00BB36D8"/>
    <w:rsid w:val="00BB798C"/>
    <w:rsid w:val="00BC2CE0"/>
    <w:rsid w:val="00BC6FCD"/>
    <w:rsid w:val="00BE3F80"/>
    <w:rsid w:val="00BF5F39"/>
    <w:rsid w:val="00C06D46"/>
    <w:rsid w:val="00C10532"/>
    <w:rsid w:val="00C128F2"/>
    <w:rsid w:val="00C148D7"/>
    <w:rsid w:val="00C24FD9"/>
    <w:rsid w:val="00C27712"/>
    <w:rsid w:val="00C33903"/>
    <w:rsid w:val="00C348A3"/>
    <w:rsid w:val="00C54C73"/>
    <w:rsid w:val="00C571DC"/>
    <w:rsid w:val="00C6780C"/>
    <w:rsid w:val="00C76A1F"/>
    <w:rsid w:val="00C82AEB"/>
    <w:rsid w:val="00C85BF3"/>
    <w:rsid w:val="00C86730"/>
    <w:rsid w:val="00C90032"/>
    <w:rsid w:val="00CA4103"/>
    <w:rsid w:val="00CC5C24"/>
    <w:rsid w:val="00CD4AE8"/>
    <w:rsid w:val="00CF2C7A"/>
    <w:rsid w:val="00D00AE5"/>
    <w:rsid w:val="00D016E2"/>
    <w:rsid w:val="00D11664"/>
    <w:rsid w:val="00D1422C"/>
    <w:rsid w:val="00D31EE2"/>
    <w:rsid w:val="00D4427C"/>
    <w:rsid w:val="00D45A3D"/>
    <w:rsid w:val="00D65031"/>
    <w:rsid w:val="00D7106E"/>
    <w:rsid w:val="00D754F0"/>
    <w:rsid w:val="00D81E61"/>
    <w:rsid w:val="00D9361D"/>
    <w:rsid w:val="00DA5585"/>
    <w:rsid w:val="00DC1044"/>
    <w:rsid w:val="00DC5192"/>
    <w:rsid w:val="00DC69F2"/>
    <w:rsid w:val="00DF7236"/>
    <w:rsid w:val="00E17D05"/>
    <w:rsid w:val="00E227B5"/>
    <w:rsid w:val="00E246DE"/>
    <w:rsid w:val="00E35BEF"/>
    <w:rsid w:val="00E5195D"/>
    <w:rsid w:val="00E54A31"/>
    <w:rsid w:val="00E757D0"/>
    <w:rsid w:val="00E86DE7"/>
    <w:rsid w:val="00E92E23"/>
    <w:rsid w:val="00EA721C"/>
    <w:rsid w:val="00EB1E32"/>
    <w:rsid w:val="00EB33E5"/>
    <w:rsid w:val="00EB4556"/>
    <w:rsid w:val="00EC5A42"/>
    <w:rsid w:val="00EF7790"/>
    <w:rsid w:val="00F1510E"/>
    <w:rsid w:val="00F20525"/>
    <w:rsid w:val="00F33F03"/>
    <w:rsid w:val="00F433F8"/>
    <w:rsid w:val="00F54835"/>
    <w:rsid w:val="00F56427"/>
    <w:rsid w:val="00F64A7D"/>
    <w:rsid w:val="00F8407C"/>
    <w:rsid w:val="00F855C2"/>
    <w:rsid w:val="00F9197C"/>
    <w:rsid w:val="00FA0788"/>
    <w:rsid w:val="00FA09CE"/>
    <w:rsid w:val="00FA2C32"/>
    <w:rsid w:val="00FA4D3B"/>
    <w:rsid w:val="00FA5222"/>
    <w:rsid w:val="00FD2085"/>
    <w:rsid w:val="00FD36AA"/>
    <w:rsid w:val="00FE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C4CE95"/>
  <w15:docId w15:val="{C3F2F803-1D03-4465-B375-4663BF0E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684"/>
    <w:pPr>
      <w:spacing w:line="240" w:lineRule="auto"/>
      <w:jc w:val="both"/>
    </w:pPr>
    <w:rPr>
      <w:rFonts w:ascii="Arial" w:eastAsia="Cambria" w:hAnsi="Arial" w:cs="Cambria"/>
    </w:rPr>
  </w:style>
  <w:style w:type="paragraph" w:styleId="Heading1">
    <w:name w:val="heading 1"/>
    <w:basedOn w:val="Normal"/>
    <w:link w:val="Heading1Char"/>
    <w:qFormat/>
    <w:pPr>
      <w:keepNext/>
      <w:keepLines/>
      <w:numPr>
        <w:numId w:val="9"/>
      </w:numPr>
      <w:spacing w:after="120"/>
      <w:outlineLvl w:val="0"/>
    </w:pPr>
    <w:rPr>
      <w:b/>
      <w:bCs/>
      <w:caps/>
      <w:sz w:val="28"/>
      <w:szCs w:val="28"/>
    </w:rPr>
  </w:style>
  <w:style w:type="paragraph" w:styleId="Heading2">
    <w:name w:val="heading 2"/>
    <w:basedOn w:val="Normal"/>
    <w:link w:val="Heading2Char"/>
    <w:unhideWhenUsed/>
    <w:qFormat/>
    <w:rsid w:val="009A78E1"/>
    <w:pPr>
      <w:numPr>
        <w:ilvl w:val="1"/>
        <w:numId w:val="9"/>
      </w:numPr>
      <w:spacing w:before="240" w:after="120"/>
      <w:ind w:left="0" w:firstLine="0"/>
      <w:outlineLvl w:val="1"/>
    </w:pPr>
    <w:rPr>
      <w:rFonts w:cs="Arial"/>
      <w:b/>
      <w:caps/>
      <w:sz w:val="24"/>
    </w:rPr>
  </w:style>
  <w:style w:type="paragraph" w:styleId="Heading3">
    <w:name w:val="heading 3"/>
    <w:basedOn w:val="Normal"/>
    <w:link w:val="Heading3Char"/>
    <w:unhideWhenUsed/>
    <w:qFormat/>
    <w:rsid w:val="00271648"/>
    <w:pPr>
      <w:keepNext/>
      <w:keepLines/>
      <w:spacing w:before="120" w:after="120"/>
      <w:outlineLvl w:val="2"/>
    </w:pPr>
    <w:rPr>
      <w:rFonts w:cs="Arial"/>
      <w:b/>
      <w:bCs/>
    </w:rPr>
  </w:style>
  <w:style w:type="paragraph" w:styleId="Heading4">
    <w:name w:val="heading 4"/>
    <w:basedOn w:val="Normal"/>
    <w:link w:val="Heading4Char"/>
    <w:semiHidden/>
    <w:unhideWhenUsed/>
    <w:qFormat/>
    <w:pPr>
      <w:keepNext/>
      <w:keepLines/>
      <w:numPr>
        <w:ilvl w:val="3"/>
        <w:numId w:val="9"/>
      </w:numPr>
      <w:spacing w:before="200" w:after="0"/>
      <w:outlineLvl w:val="3"/>
    </w:pPr>
    <w:rPr>
      <w:b/>
      <w:bCs/>
      <w:i/>
      <w:iCs/>
      <w:color w:val="4F81BD"/>
    </w:rPr>
  </w:style>
  <w:style w:type="paragraph" w:styleId="Heading5">
    <w:name w:val="heading 5"/>
    <w:basedOn w:val="Normal"/>
    <w:link w:val="Heading5Char"/>
    <w:semiHidden/>
    <w:unhideWhenUsed/>
    <w:qFormat/>
    <w:pPr>
      <w:keepNext/>
      <w:keepLines/>
      <w:numPr>
        <w:ilvl w:val="4"/>
        <w:numId w:val="9"/>
      </w:numPr>
      <w:spacing w:before="200" w:after="0"/>
      <w:outlineLvl w:val="4"/>
    </w:pPr>
    <w:rPr>
      <w:color w:val="243F60"/>
    </w:rPr>
  </w:style>
  <w:style w:type="paragraph" w:styleId="Heading6">
    <w:name w:val="heading 6"/>
    <w:basedOn w:val="Normal"/>
    <w:link w:val="Heading6Char"/>
    <w:semiHidden/>
    <w:unhideWhenUsed/>
    <w:qFormat/>
    <w:pPr>
      <w:keepNext/>
      <w:keepLines/>
      <w:numPr>
        <w:ilvl w:val="5"/>
        <w:numId w:val="9"/>
      </w:numPr>
      <w:spacing w:before="200" w:after="0"/>
      <w:outlineLvl w:val="5"/>
    </w:pPr>
    <w:rPr>
      <w:i/>
      <w:iCs/>
      <w:color w:val="243F60"/>
    </w:rPr>
  </w:style>
  <w:style w:type="paragraph" w:styleId="Heading7">
    <w:name w:val="heading 7"/>
    <w:basedOn w:val="Normal"/>
    <w:link w:val="Heading7Char"/>
    <w:semiHidden/>
    <w:unhideWhenUsed/>
    <w:qFormat/>
    <w:pPr>
      <w:keepNext/>
      <w:keepLines/>
      <w:numPr>
        <w:ilvl w:val="6"/>
        <w:numId w:val="9"/>
      </w:numPr>
      <w:spacing w:before="200" w:after="0"/>
      <w:outlineLvl w:val="6"/>
    </w:pPr>
    <w:rPr>
      <w:i/>
      <w:iCs/>
      <w:color w:val="404040"/>
    </w:rPr>
  </w:style>
  <w:style w:type="paragraph" w:styleId="Heading8">
    <w:name w:val="heading 8"/>
    <w:basedOn w:val="Normal"/>
    <w:link w:val="Heading8Char"/>
    <w:semiHidden/>
    <w:unhideWhenUsed/>
    <w:qFormat/>
    <w:pPr>
      <w:keepNext/>
      <w:keepLines/>
      <w:numPr>
        <w:ilvl w:val="7"/>
        <w:numId w:val="9"/>
      </w:numPr>
      <w:spacing w:before="200" w:after="0"/>
      <w:outlineLvl w:val="7"/>
    </w:pPr>
    <w:rPr>
      <w:color w:val="404040"/>
      <w:sz w:val="20"/>
      <w:szCs w:val="20"/>
    </w:rPr>
  </w:style>
  <w:style w:type="paragraph" w:styleId="Heading9">
    <w:name w:val="heading 9"/>
    <w:basedOn w:val="Normal"/>
    <w:link w:val="Heading9Char"/>
    <w:semiHidden/>
    <w:unhideWhenUsed/>
    <w:qFormat/>
    <w:pPr>
      <w:keepNext/>
      <w:keepLines/>
      <w:numPr>
        <w:ilvl w:val="8"/>
        <w:numId w:val="9"/>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Pr>
      <w:rFonts w:ascii="Cambria" w:eastAsia="Cambria" w:hAnsi="Cambria" w:cs="Cambria"/>
      <w:b/>
      <w:bCs/>
      <w:caps/>
      <w:sz w:val="28"/>
      <w:szCs w:val="28"/>
    </w:rPr>
  </w:style>
  <w:style w:type="character" w:customStyle="1" w:styleId="Heading2Char">
    <w:name w:val="Heading 2 Char"/>
    <w:basedOn w:val="DefaultParagraphFont"/>
    <w:link w:val="Heading2"/>
    <w:rsid w:val="009A78E1"/>
    <w:rPr>
      <w:rFonts w:ascii="Arial" w:eastAsia="Cambria" w:hAnsi="Arial" w:cs="Arial"/>
      <w:b/>
      <w:caps/>
      <w:sz w:val="24"/>
    </w:rPr>
  </w:style>
  <w:style w:type="character" w:customStyle="1" w:styleId="Heading3Char">
    <w:name w:val="Heading 3 Char"/>
    <w:basedOn w:val="DefaultParagraphFont"/>
    <w:link w:val="Heading3"/>
    <w:rsid w:val="00271648"/>
    <w:rPr>
      <w:rFonts w:ascii="Arial" w:eastAsia="Cambria" w:hAnsi="Arial" w:cs="Arial"/>
      <w:b/>
      <w:bCs/>
    </w:rPr>
  </w:style>
  <w:style w:type="character" w:customStyle="1" w:styleId="Heading4Char">
    <w:name w:val="Heading 4 Char"/>
    <w:basedOn w:val="DefaultParagraphFont"/>
    <w:link w:val="Heading4"/>
    <w:semiHidden/>
    <w:rPr>
      <w:rFonts w:ascii="Cambria" w:eastAsia="Cambria" w:hAnsi="Cambria" w:cs="Cambria"/>
      <w:b/>
      <w:bCs/>
      <w:i/>
      <w:iCs/>
      <w:color w:val="4F81BD"/>
    </w:rPr>
  </w:style>
  <w:style w:type="character" w:customStyle="1" w:styleId="Heading5Char">
    <w:name w:val="Heading 5 Char"/>
    <w:basedOn w:val="DefaultParagraphFont"/>
    <w:link w:val="Heading5"/>
    <w:semiHidden/>
    <w:rPr>
      <w:rFonts w:ascii="Cambria" w:eastAsia="Cambria" w:hAnsi="Cambria" w:cs="Cambria"/>
      <w:color w:val="243F60"/>
    </w:rPr>
  </w:style>
  <w:style w:type="character" w:customStyle="1" w:styleId="Heading6Char">
    <w:name w:val="Heading 6 Char"/>
    <w:basedOn w:val="DefaultParagraphFont"/>
    <w:link w:val="Heading6"/>
    <w:semiHidden/>
    <w:rPr>
      <w:rFonts w:ascii="Cambria" w:eastAsia="Cambria" w:hAnsi="Cambria" w:cs="Cambria"/>
      <w:i/>
      <w:iCs/>
      <w:color w:val="243F60"/>
    </w:rPr>
  </w:style>
  <w:style w:type="character" w:customStyle="1" w:styleId="Heading7Char">
    <w:name w:val="Heading 7 Char"/>
    <w:basedOn w:val="DefaultParagraphFont"/>
    <w:link w:val="Heading7"/>
    <w:semiHidden/>
    <w:rPr>
      <w:rFonts w:ascii="Cambria" w:eastAsia="Cambria" w:hAnsi="Cambria" w:cs="Cambria"/>
      <w:i/>
      <w:iCs/>
      <w:color w:val="404040"/>
    </w:rPr>
  </w:style>
  <w:style w:type="character" w:customStyle="1" w:styleId="Heading8Char">
    <w:name w:val="Heading 8 Char"/>
    <w:basedOn w:val="DefaultParagraphFont"/>
    <w:link w:val="Heading8"/>
    <w:semiHidden/>
    <w:rPr>
      <w:rFonts w:ascii="Cambria" w:eastAsia="Cambria" w:hAnsi="Cambria" w:cs="Cambria"/>
      <w:color w:val="404040"/>
      <w:sz w:val="20"/>
      <w:szCs w:val="20"/>
    </w:rPr>
  </w:style>
  <w:style w:type="character" w:customStyle="1" w:styleId="Heading9Char">
    <w:name w:val="Heading 9 Char"/>
    <w:basedOn w:val="DefaultParagraphFont"/>
    <w:link w:val="Heading9"/>
    <w:semiHidden/>
    <w:rPr>
      <w:rFonts w:ascii="Cambria" w:eastAsia="Cambria" w:hAnsi="Cambria" w:cs="Cambria"/>
      <w:i/>
      <w:iCs/>
      <w:color w:val="404040"/>
      <w:sz w:val="20"/>
      <w:szCs w:val="20"/>
    </w:rPr>
  </w:style>
  <w:style w:type="paragraph" w:styleId="ListParagraph">
    <w:name w:val="List Paragraph"/>
    <w:basedOn w:val="Normal"/>
    <w:uiPriority w:val="34"/>
    <w:qFormat/>
    <w:rsid w:val="005B27DD"/>
    <w:pPr>
      <w:contextualSpacing/>
    </w:p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rPr>
      <w:sz w:val="20"/>
      <w:szCs w:val="20"/>
    </w:rPr>
  </w:style>
  <w:style w:type="character" w:customStyle="1" w:styleId="CommentTextChar">
    <w:name w:val="Comment Text Char"/>
    <w:basedOn w:val="DefaultParagraphFont"/>
    <w:link w:val="CommentText1"/>
    <w:uiPriority w:val="99"/>
    <w:rPr>
      <w:rFonts w:ascii="Cambria" w:eastAsia="Cambria" w:hAnsi="Cambria" w:cs="Cambria"/>
      <w:sz w:val="20"/>
      <w:szCs w:val="20"/>
    </w:rPr>
  </w:style>
  <w:style w:type="paragraph" w:styleId="FootnoteText">
    <w:name w:val="footnote text"/>
    <w:basedOn w:val="Normal"/>
    <w:link w:val="FootnoteTextChar"/>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Pr>
      <w:rFonts w:ascii="Calibri" w:eastAsia="Calibri" w:hAnsi="Calibri" w:cs="Times New Roman"/>
      <w:sz w:val="20"/>
    </w:rPr>
  </w:style>
  <w:style w:type="character" w:styleId="FootnoteReference">
    <w:name w:val="footnote reference"/>
    <w:basedOn w:val="DefaultParagraphFont"/>
    <w:unhideWhenUsed/>
    <w:rPr>
      <w:vertAlign w:val="superscript"/>
    </w:rPr>
  </w:style>
  <w:style w:type="paragraph" w:styleId="ListBullet">
    <w:name w:val="List Bullet"/>
    <w:basedOn w:val="Normal"/>
    <w:unhideWhenUsed/>
    <w:pPr>
      <w:ind w:left="425" w:hanging="425"/>
      <w:contextualSpacing/>
    </w:pPr>
  </w:style>
  <w:style w:type="character" w:styleId="Hyperlink">
    <w:name w:val="Hyperlink"/>
    <w:basedOn w:val="DefaultParagraphFont"/>
    <w:uiPriority w:val="99"/>
    <w:unhideWhenUsed/>
    <w:rPr>
      <w:color w:val="0000FF"/>
      <w:u w:val="single"/>
    </w:rPr>
  </w:style>
  <w:style w:type="table" w:styleId="LightGrid">
    <w:name w:val="Light Grid"/>
    <w:basedOn w:val="TableNormal"/>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Cambria"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eastAsia="Cambria"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paragraph" w:styleId="Footer">
    <w:name w:val="footer"/>
    <w:basedOn w:val="Normal"/>
    <w:link w:val="FooterChar"/>
    <w:unhideWhenUsed/>
    <w:pPr>
      <w:tabs>
        <w:tab w:val="center" w:pos="4513"/>
        <w:tab w:val="right" w:pos="9026"/>
      </w:tabs>
      <w:spacing w:after="0"/>
    </w:pPr>
  </w:style>
  <w:style w:type="character" w:customStyle="1" w:styleId="FooterChar">
    <w:name w:val="Footer Char"/>
    <w:basedOn w:val="DefaultParagraphFont"/>
    <w:link w:val="Footer"/>
    <w:rPr>
      <w:rFonts w:ascii="Cambria" w:eastAsia="Cambria" w:hAnsi="Cambria" w:cs="Cambria"/>
    </w:rPr>
  </w:style>
  <w:style w:type="paragraph" w:styleId="BalloonText">
    <w:name w:val="Balloon Text"/>
    <w:basedOn w:val="Normal"/>
    <w:link w:val="BalloonTextChar"/>
    <w:semiHidden/>
    <w:unhideWhenUsed/>
    <w:pPr>
      <w:spacing w:after="0"/>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customStyle="1" w:styleId="BoxWarning">
    <w:name w:val="BoxWarning"/>
    <w:basedOn w:val="Normal"/>
    <w:link w:val="BoxWarningChar"/>
    <w:qFormat/>
    <w:pPr>
      <w:pBdr>
        <w:top w:val="single" w:sz="4" w:space="1" w:color="auto"/>
        <w:left w:val="single" w:sz="4" w:space="4" w:color="auto"/>
        <w:bottom w:val="single" w:sz="4" w:space="1" w:color="auto"/>
        <w:right w:val="single" w:sz="4" w:space="4" w:color="auto"/>
      </w:pBdr>
    </w:pPr>
    <w:rPr>
      <w:b/>
      <w:snapToGrid w:val="0"/>
      <w:color w:val="000000"/>
    </w:rPr>
  </w:style>
  <w:style w:type="character" w:customStyle="1" w:styleId="BoxWarningChar">
    <w:name w:val="BoxWarning Char"/>
    <w:basedOn w:val="DefaultParagraphFont"/>
    <w:link w:val="BoxWarning"/>
    <w:rPr>
      <w:b/>
      <w:snapToGrid w:val="0"/>
      <w:color w:val="000000"/>
    </w:rPr>
  </w:style>
  <w:style w:type="paragraph" w:styleId="Header">
    <w:name w:val="header"/>
    <w:basedOn w:val="Normal"/>
    <w:link w:val="HeaderChar"/>
    <w:uiPriority w:val="99"/>
    <w:unhideWhenUsed/>
    <w:rsid w:val="00446963"/>
    <w:pPr>
      <w:tabs>
        <w:tab w:val="center" w:pos="4680"/>
        <w:tab w:val="right" w:pos="9360"/>
      </w:tabs>
      <w:spacing w:after="0"/>
    </w:pPr>
  </w:style>
  <w:style w:type="character" w:customStyle="1" w:styleId="HeaderChar">
    <w:name w:val="Header Char"/>
    <w:basedOn w:val="DefaultParagraphFont"/>
    <w:link w:val="Header"/>
    <w:uiPriority w:val="99"/>
    <w:rsid w:val="00446963"/>
    <w:rPr>
      <w:rFonts w:ascii="Cambria" w:eastAsia="Cambria" w:hAnsi="Cambria" w:cs="Cambria"/>
    </w:rPr>
  </w:style>
  <w:style w:type="character" w:styleId="CommentReference">
    <w:name w:val="annotation reference"/>
    <w:basedOn w:val="DefaultParagraphFont"/>
    <w:uiPriority w:val="99"/>
    <w:semiHidden/>
    <w:unhideWhenUsed/>
    <w:rsid w:val="0059523C"/>
    <w:rPr>
      <w:sz w:val="16"/>
      <w:szCs w:val="16"/>
    </w:rPr>
  </w:style>
  <w:style w:type="paragraph" w:styleId="CommentText">
    <w:name w:val="annotation text"/>
    <w:basedOn w:val="Normal"/>
    <w:link w:val="CommentTextChar1"/>
    <w:uiPriority w:val="99"/>
    <w:unhideWhenUsed/>
    <w:rsid w:val="0059523C"/>
    <w:rPr>
      <w:sz w:val="20"/>
      <w:szCs w:val="20"/>
    </w:rPr>
  </w:style>
  <w:style w:type="character" w:customStyle="1" w:styleId="CommentTextChar1">
    <w:name w:val="Comment Text Char1"/>
    <w:basedOn w:val="DefaultParagraphFont"/>
    <w:link w:val="CommentText"/>
    <w:uiPriority w:val="99"/>
    <w:rsid w:val="0059523C"/>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59523C"/>
    <w:rPr>
      <w:b/>
      <w:bCs/>
    </w:rPr>
  </w:style>
  <w:style w:type="character" w:customStyle="1" w:styleId="CommentSubjectChar">
    <w:name w:val="Comment Subject Char"/>
    <w:basedOn w:val="CommentTextChar1"/>
    <w:link w:val="CommentSubject"/>
    <w:uiPriority w:val="99"/>
    <w:semiHidden/>
    <w:rsid w:val="0059523C"/>
    <w:rPr>
      <w:rFonts w:ascii="Cambria" w:eastAsia="Cambria" w:hAnsi="Cambria" w:cs="Cambria"/>
      <w:b/>
      <w:bCs/>
      <w:sz w:val="20"/>
      <w:szCs w:val="20"/>
    </w:rPr>
  </w:style>
  <w:style w:type="paragraph" w:styleId="Revision">
    <w:name w:val="Revision"/>
    <w:hidden/>
    <w:uiPriority w:val="99"/>
    <w:semiHidden/>
    <w:rsid w:val="0059523C"/>
    <w:pPr>
      <w:spacing w:after="0" w:line="240" w:lineRule="auto"/>
    </w:pPr>
    <w:rPr>
      <w:rFonts w:ascii="Cambria" w:eastAsia="Cambria" w:hAnsi="Cambria" w:cs="Cambria"/>
    </w:rPr>
  </w:style>
  <w:style w:type="paragraph" w:styleId="Caption">
    <w:name w:val="caption"/>
    <w:basedOn w:val="Normal"/>
    <w:next w:val="Normal"/>
    <w:uiPriority w:val="35"/>
    <w:unhideWhenUsed/>
    <w:qFormat/>
    <w:rsid w:val="00C571DC"/>
    <w:rPr>
      <w:i/>
      <w:iCs/>
      <w:color w:val="1F497D" w:themeColor="text2"/>
      <w:sz w:val="18"/>
      <w:szCs w:val="18"/>
    </w:rPr>
  </w:style>
  <w:style w:type="character" w:customStyle="1" w:styleId="UnresolvedMention1">
    <w:name w:val="Unresolved Mention1"/>
    <w:basedOn w:val="DefaultParagraphFont"/>
    <w:uiPriority w:val="99"/>
    <w:semiHidden/>
    <w:unhideWhenUsed/>
    <w:rsid w:val="00596B76"/>
    <w:rPr>
      <w:color w:val="808080"/>
      <w:shd w:val="clear" w:color="auto" w:fill="E6E6E6"/>
    </w:rPr>
  </w:style>
  <w:style w:type="paragraph" w:styleId="NoSpacing">
    <w:name w:val="No Spacing"/>
    <w:uiPriority w:val="1"/>
    <w:qFormat/>
    <w:rsid w:val="00E35BEF"/>
    <w:pPr>
      <w:spacing w:after="0" w:line="240" w:lineRule="auto"/>
      <w:jc w:val="both"/>
    </w:pPr>
    <w:rPr>
      <w:rFonts w:ascii="Arial" w:eastAsia="Cambria" w:hAnsi="Arial" w:cs="Cambria"/>
    </w:rPr>
  </w:style>
  <w:style w:type="paragraph" w:customStyle="1" w:styleId="TableTitle">
    <w:name w:val="Table Title"/>
    <w:next w:val="Normal"/>
    <w:rsid w:val="00A46848"/>
    <w:pPr>
      <w:keepNext/>
      <w:keepLines/>
      <w:tabs>
        <w:tab w:val="left" w:pos="1440"/>
      </w:tabs>
      <w:spacing w:before="60" w:after="120" w:line="240" w:lineRule="auto"/>
    </w:pPr>
    <w:rPr>
      <w:rFonts w:ascii="Arial" w:eastAsia="MS Gothic" w:hAnsi="Arial" w:cs="Times New Roman"/>
      <w:b/>
      <w:color w:val="000000"/>
      <w:sz w:val="20"/>
      <w:szCs w:val="24"/>
      <w:lang w:val="en-US"/>
    </w:rPr>
  </w:style>
  <w:style w:type="paragraph" w:customStyle="1" w:styleId="BodyText1">
    <w:name w:val="BodyText1"/>
    <w:basedOn w:val="Normal"/>
    <w:rsid w:val="006F760B"/>
    <w:pPr>
      <w:spacing w:before="4" w:after="0"/>
      <w:ind w:firstLine="317"/>
    </w:pPr>
    <w:rPr>
      <w:rFonts w:ascii="Helvetica" w:eastAsia="Times New Roman" w:hAnsi="Helvetica" w:cs="Times New Roman"/>
      <w:sz w:val="16"/>
      <w:szCs w:val="24"/>
      <w:lang w:val="en-US"/>
    </w:rPr>
  </w:style>
  <w:style w:type="paragraph" w:customStyle="1" w:styleId="Default">
    <w:name w:val="Default"/>
    <w:rsid w:val="00B01A6A"/>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1"/>
    <w:qFormat/>
    <w:rsid w:val="00707E6E"/>
    <w:pPr>
      <w:widowControl w:val="0"/>
      <w:autoSpaceDE w:val="0"/>
      <w:autoSpaceDN w:val="0"/>
      <w:spacing w:before="120" w:after="0"/>
      <w:ind w:left="420"/>
    </w:pPr>
    <w:rPr>
      <w:rFonts w:eastAsia="Arial" w:cs="Arial"/>
      <w:lang w:val="en-US"/>
    </w:rPr>
  </w:style>
  <w:style w:type="character" w:customStyle="1" w:styleId="BodyTextChar">
    <w:name w:val="Body Text Char"/>
    <w:basedOn w:val="DefaultParagraphFont"/>
    <w:link w:val="BodyText"/>
    <w:uiPriority w:val="1"/>
    <w:rsid w:val="00707E6E"/>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37">
      <w:bodyDiv w:val="1"/>
      <w:marLeft w:val="0"/>
      <w:marRight w:val="0"/>
      <w:marTop w:val="0"/>
      <w:marBottom w:val="0"/>
      <w:divBdr>
        <w:top w:val="none" w:sz="0" w:space="0" w:color="auto"/>
        <w:left w:val="none" w:sz="0" w:space="0" w:color="auto"/>
        <w:bottom w:val="none" w:sz="0" w:space="0" w:color="auto"/>
        <w:right w:val="none" w:sz="0" w:space="0" w:color="auto"/>
      </w:divBdr>
    </w:div>
    <w:div w:id="4987381">
      <w:bodyDiv w:val="1"/>
      <w:marLeft w:val="0"/>
      <w:marRight w:val="0"/>
      <w:marTop w:val="0"/>
      <w:marBottom w:val="0"/>
      <w:divBdr>
        <w:top w:val="none" w:sz="0" w:space="0" w:color="auto"/>
        <w:left w:val="none" w:sz="0" w:space="0" w:color="auto"/>
        <w:bottom w:val="none" w:sz="0" w:space="0" w:color="auto"/>
        <w:right w:val="none" w:sz="0" w:space="0" w:color="auto"/>
      </w:divBdr>
    </w:div>
    <w:div w:id="22100901">
      <w:bodyDiv w:val="1"/>
      <w:marLeft w:val="0"/>
      <w:marRight w:val="0"/>
      <w:marTop w:val="0"/>
      <w:marBottom w:val="0"/>
      <w:divBdr>
        <w:top w:val="none" w:sz="0" w:space="0" w:color="auto"/>
        <w:left w:val="none" w:sz="0" w:space="0" w:color="auto"/>
        <w:bottom w:val="none" w:sz="0" w:space="0" w:color="auto"/>
        <w:right w:val="none" w:sz="0" w:space="0" w:color="auto"/>
      </w:divBdr>
    </w:div>
    <w:div w:id="32077014">
      <w:bodyDiv w:val="1"/>
      <w:marLeft w:val="0"/>
      <w:marRight w:val="0"/>
      <w:marTop w:val="0"/>
      <w:marBottom w:val="0"/>
      <w:divBdr>
        <w:top w:val="none" w:sz="0" w:space="0" w:color="auto"/>
        <w:left w:val="none" w:sz="0" w:space="0" w:color="auto"/>
        <w:bottom w:val="none" w:sz="0" w:space="0" w:color="auto"/>
        <w:right w:val="none" w:sz="0" w:space="0" w:color="auto"/>
      </w:divBdr>
    </w:div>
    <w:div w:id="95641851">
      <w:bodyDiv w:val="1"/>
      <w:marLeft w:val="0"/>
      <w:marRight w:val="0"/>
      <w:marTop w:val="0"/>
      <w:marBottom w:val="0"/>
      <w:divBdr>
        <w:top w:val="none" w:sz="0" w:space="0" w:color="auto"/>
        <w:left w:val="none" w:sz="0" w:space="0" w:color="auto"/>
        <w:bottom w:val="none" w:sz="0" w:space="0" w:color="auto"/>
        <w:right w:val="none" w:sz="0" w:space="0" w:color="auto"/>
      </w:divBdr>
    </w:div>
    <w:div w:id="104884443">
      <w:bodyDiv w:val="1"/>
      <w:marLeft w:val="0"/>
      <w:marRight w:val="0"/>
      <w:marTop w:val="0"/>
      <w:marBottom w:val="0"/>
      <w:divBdr>
        <w:top w:val="none" w:sz="0" w:space="0" w:color="auto"/>
        <w:left w:val="none" w:sz="0" w:space="0" w:color="auto"/>
        <w:bottom w:val="none" w:sz="0" w:space="0" w:color="auto"/>
        <w:right w:val="none" w:sz="0" w:space="0" w:color="auto"/>
      </w:divBdr>
    </w:div>
    <w:div w:id="204415671">
      <w:bodyDiv w:val="1"/>
      <w:marLeft w:val="0"/>
      <w:marRight w:val="0"/>
      <w:marTop w:val="0"/>
      <w:marBottom w:val="0"/>
      <w:divBdr>
        <w:top w:val="none" w:sz="0" w:space="0" w:color="auto"/>
        <w:left w:val="none" w:sz="0" w:space="0" w:color="auto"/>
        <w:bottom w:val="none" w:sz="0" w:space="0" w:color="auto"/>
        <w:right w:val="none" w:sz="0" w:space="0" w:color="auto"/>
      </w:divBdr>
    </w:div>
    <w:div w:id="208423834">
      <w:bodyDiv w:val="1"/>
      <w:marLeft w:val="0"/>
      <w:marRight w:val="0"/>
      <w:marTop w:val="0"/>
      <w:marBottom w:val="0"/>
      <w:divBdr>
        <w:top w:val="none" w:sz="0" w:space="0" w:color="auto"/>
        <w:left w:val="none" w:sz="0" w:space="0" w:color="auto"/>
        <w:bottom w:val="none" w:sz="0" w:space="0" w:color="auto"/>
        <w:right w:val="none" w:sz="0" w:space="0" w:color="auto"/>
      </w:divBdr>
    </w:div>
    <w:div w:id="315300755">
      <w:bodyDiv w:val="1"/>
      <w:marLeft w:val="0"/>
      <w:marRight w:val="0"/>
      <w:marTop w:val="0"/>
      <w:marBottom w:val="0"/>
      <w:divBdr>
        <w:top w:val="none" w:sz="0" w:space="0" w:color="auto"/>
        <w:left w:val="none" w:sz="0" w:space="0" w:color="auto"/>
        <w:bottom w:val="none" w:sz="0" w:space="0" w:color="auto"/>
        <w:right w:val="none" w:sz="0" w:space="0" w:color="auto"/>
      </w:divBdr>
    </w:div>
    <w:div w:id="476994357">
      <w:bodyDiv w:val="1"/>
      <w:marLeft w:val="0"/>
      <w:marRight w:val="0"/>
      <w:marTop w:val="0"/>
      <w:marBottom w:val="0"/>
      <w:divBdr>
        <w:top w:val="none" w:sz="0" w:space="0" w:color="auto"/>
        <w:left w:val="none" w:sz="0" w:space="0" w:color="auto"/>
        <w:bottom w:val="none" w:sz="0" w:space="0" w:color="auto"/>
        <w:right w:val="none" w:sz="0" w:space="0" w:color="auto"/>
      </w:divBdr>
    </w:div>
    <w:div w:id="644315421">
      <w:bodyDiv w:val="1"/>
      <w:marLeft w:val="0"/>
      <w:marRight w:val="0"/>
      <w:marTop w:val="0"/>
      <w:marBottom w:val="0"/>
      <w:divBdr>
        <w:top w:val="none" w:sz="0" w:space="0" w:color="auto"/>
        <w:left w:val="none" w:sz="0" w:space="0" w:color="auto"/>
        <w:bottom w:val="none" w:sz="0" w:space="0" w:color="auto"/>
        <w:right w:val="none" w:sz="0" w:space="0" w:color="auto"/>
      </w:divBdr>
    </w:div>
    <w:div w:id="716398697">
      <w:bodyDiv w:val="1"/>
      <w:marLeft w:val="0"/>
      <w:marRight w:val="0"/>
      <w:marTop w:val="0"/>
      <w:marBottom w:val="0"/>
      <w:divBdr>
        <w:top w:val="none" w:sz="0" w:space="0" w:color="auto"/>
        <w:left w:val="none" w:sz="0" w:space="0" w:color="auto"/>
        <w:bottom w:val="none" w:sz="0" w:space="0" w:color="auto"/>
        <w:right w:val="none" w:sz="0" w:space="0" w:color="auto"/>
      </w:divBdr>
    </w:div>
    <w:div w:id="855928526">
      <w:bodyDiv w:val="1"/>
      <w:marLeft w:val="0"/>
      <w:marRight w:val="0"/>
      <w:marTop w:val="0"/>
      <w:marBottom w:val="0"/>
      <w:divBdr>
        <w:top w:val="none" w:sz="0" w:space="0" w:color="auto"/>
        <w:left w:val="none" w:sz="0" w:space="0" w:color="auto"/>
        <w:bottom w:val="none" w:sz="0" w:space="0" w:color="auto"/>
        <w:right w:val="none" w:sz="0" w:space="0" w:color="auto"/>
      </w:divBdr>
    </w:div>
    <w:div w:id="858742091">
      <w:bodyDiv w:val="1"/>
      <w:marLeft w:val="0"/>
      <w:marRight w:val="0"/>
      <w:marTop w:val="0"/>
      <w:marBottom w:val="0"/>
      <w:divBdr>
        <w:top w:val="none" w:sz="0" w:space="0" w:color="auto"/>
        <w:left w:val="none" w:sz="0" w:space="0" w:color="auto"/>
        <w:bottom w:val="none" w:sz="0" w:space="0" w:color="auto"/>
        <w:right w:val="none" w:sz="0" w:space="0" w:color="auto"/>
      </w:divBdr>
    </w:div>
    <w:div w:id="878317436">
      <w:bodyDiv w:val="1"/>
      <w:marLeft w:val="0"/>
      <w:marRight w:val="0"/>
      <w:marTop w:val="0"/>
      <w:marBottom w:val="0"/>
      <w:divBdr>
        <w:top w:val="none" w:sz="0" w:space="0" w:color="auto"/>
        <w:left w:val="none" w:sz="0" w:space="0" w:color="auto"/>
        <w:bottom w:val="none" w:sz="0" w:space="0" w:color="auto"/>
        <w:right w:val="none" w:sz="0" w:space="0" w:color="auto"/>
      </w:divBdr>
    </w:div>
    <w:div w:id="1118643141">
      <w:bodyDiv w:val="1"/>
      <w:marLeft w:val="0"/>
      <w:marRight w:val="0"/>
      <w:marTop w:val="0"/>
      <w:marBottom w:val="0"/>
      <w:divBdr>
        <w:top w:val="none" w:sz="0" w:space="0" w:color="auto"/>
        <w:left w:val="none" w:sz="0" w:space="0" w:color="auto"/>
        <w:bottom w:val="none" w:sz="0" w:space="0" w:color="auto"/>
        <w:right w:val="none" w:sz="0" w:space="0" w:color="auto"/>
      </w:divBdr>
    </w:div>
    <w:div w:id="1156729187">
      <w:bodyDiv w:val="1"/>
      <w:marLeft w:val="0"/>
      <w:marRight w:val="0"/>
      <w:marTop w:val="0"/>
      <w:marBottom w:val="0"/>
      <w:divBdr>
        <w:top w:val="none" w:sz="0" w:space="0" w:color="auto"/>
        <w:left w:val="none" w:sz="0" w:space="0" w:color="auto"/>
        <w:bottom w:val="none" w:sz="0" w:space="0" w:color="auto"/>
        <w:right w:val="none" w:sz="0" w:space="0" w:color="auto"/>
      </w:divBdr>
    </w:div>
    <w:div w:id="1198153723">
      <w:bodyDiv w:val="1"/>
      <w:marLeft w:val="0"/>
      <w:marRight w:val="0"/>
      <w:marTop w:val="0"/>
      <w:marBottom w:val="0"/>
      <w:divBdr>
        <w:top w:val="none" w:sz="0" w:space="0" w:color="auto"/>
        <w:left w:val="none" w:sz="0" w:space="0" w:color="auto"/>
        <w:bottom w:val="none" w:sz="0" w:space="0" w:color="auto"/>
        <w:right w:val="none" w:sz="0" w:space="0" w:color="auto"/>
      </w:divBdr>
    </w:div>
    <w:div w:id="1422331998">
      <w:bodyDiv w:val="1"/>
      <w:marLeft w:val="0"/>
      <w:marRight w:val="0"/>
      <w:marTop w:val="0"/>
      <w:marBottom w:val="0"/>
      <w:divBdr>
        <w:top w:val="none" w:sz="0" w:space="0" w:color="auto"/>
        <w:left w:val="none" w:sz="0" w:space="0" w:color="auto"/>
        <w:bottom w:val="none" w:sz="0" w:space="0" w:color="auto"/>
        <w:right w:val="none" w:sz="0" w:space="0" w:color="auto"/>
      </w:divBdr>
    </w:div>
    <w:div w:id="1431124050">
      <w:bodyDiv w:val="1"/>
      <w:marLeft w:val="0"/>
      <w:marRight w:val="0"/>
      <w:marTop w:val="0"/>
      <w:marBottom w:val="0"/>
      <w:divBdr>
        <w:top w:val="none" w:sz="0" w:space="0" w:color="auto"/>
        <w:left w:val="none" w:sz="0" w:space="0" w:color="auto"/>
        <w:bottom w:val="none" w:sz="0" w:space="0" w:color="auto"/>
        <w:right w:val="none" w:sz="0" w:space="0" w:color="auto"/>
      </w:divBdr>
    </w:div>
    <w:div w:id="1497189408">
      <w:bodyDiv w:val="1"/>
      <w:marLeft w:val="0"/>
      <w:marRight w:val="0"/>
      <w:marTop w:val="0"/>
      <w:marBottom w:val="0"/>
      <w:divBdr>
        <w:top w:val="none" w:sz="0" w:space="0" w:color="auto"/>
        <w:left w:val="none" w:sz="0" w:space="0" w:color="auto"/>
        <w:bottom w:val="none" w:sz="0" w:space="0" w:color="auto"/>
        <w:right w:val="none" w:sz="0" w:space="0" w:color="auto"/>
      </w:divBdr>
    </w:div>
    <w:div w:id="1520117482">
      <w:bodyDiv w:val="1"/>
      <w:marLeft w:val="0"/>
      <w:marRight w:val="0"/>
      <w:marTop w:val="0"/>
      <w:marBottom w:val="0"/>
      <w:divBdr>
        <w:top w:val="none" w:sz="0" w:space="0" w:color="auto"/>
        <w:left w:val="none" w:sz="0" w:space="0" w:color="auto"/>
        <w:bottom w:val="none" w:sz="0" w:space="0" w:color="auto"/>
        <w:right w:val="none" w:sz="0" w:space="0" w:color="auto"/>
      </w:divBdr>
    </w:div>
    <w:div w:id="1544318893">
      <w:bodyDiv w:val="1"/>
      <w:marLeft w:val="0"/>
      <w:marRight w:val="0"/>
      <w:marTop w:val="0"/>
      <w:marBottom w:val="0"/>
      <w:divBdr>
        <w:top w:val="none" w:sz="0" w:space="0" w:color="auto"/>
        <w:left w:val="none" w:sz="0" w:space="0" w:color="auto"/>
        <w:bottom w:val="none" w:sz="0" w:space="0" w:color="auto"/>
        <w:right w:val="none" w:sz="0" w:space="0" w:color="auto"/>
      </w:divBdr>
    </w:div>
    <w:div w:id="1556770077">
      <w:bodyDiv w:val="1"/>
      <w:marLeft w:val="0"/>
      <w:marRight w:val="0"/>
      <w:marTop w:val="0"/>
      <w:marBottom w:val="0"/>
      <w:divBdr>
        <w:top w:val="none" w:sz="0" w:space="0" w:color="auto"/>
        <w:left w:val="none" w:sz="0" w:space="0" w:color="auto"/>
        <w:bottom w:val="none" w:sz="0" w:space="0" w:color="auto"/>
        <w:right w:val="none" w:sz="0" w:space="0" w:color="auto"/>
      </w:divBdr>
    </w:div>
    <w:div w:id="1633826674">
      <w:bodyDiv w:val="1"/>
      <w:marLeft w:val="0"/>
      <w:marRight w:val="0"/>
      <w:marTop w:val="0"/>
      <w:marBottom w:val="0"/>
      <w:divBdr>
        <w:top w:val="none" w:sz="0" w:space="0" w:color="auto"/>
        <w:left w:val="none" w:sz="0" w:space="0" w:color="auto"/>
        <w:bottom w:val="none" w:sz="0" w:space="0" w:color="auto"/>
        <w:right w:val="none" w:sz="0" w:space="0" w:color="auto"/>
      </w:divBdr>
    </w:div>
    <w:div w:id="1649047822">
      <w:bodyDiv w:val="1"/>
      <w:marLeft w:val="0"/>
      <w:marRight w:val="0"/>
      <w:marTop w:val="0"/>
      <w:marBottom w:val="0"/>
      <w:divBdr>
        <w:top w:val="none" w:sz="0" w:space="0" w:color="auto"/>
        <w:left w:val="none" w:sz="0" w:space="0" w:color="auto"/>
        <w:bottom w:val="none" w:sz="0" w:space="0" w:color="auto"/>
        <w:right w:val="none" w:sz="0" w:space="0" w:color="auto"/>
      </w:divBdr>
    </w:div>
    <w:div w:id="1730810095">
      <w:bodyDiv w:val="1"/>
      <w:marLeft w:val="0"/>
      <w:marRight w:val="0"/>
      <w:marTop w:val="0"/>
      <w:marBottom w:val="0"/>
      <w:divBdr>
        <w:top w:val="none" w:sz="0" w:space="0" w:color="auto"/>
        <w:left w:val="none" w:sz="0" w:space="0" w:color="auto"/>
        <w:bottom w:val="none" w:sz="0" w:space="0" w:color="auto"/>
        <w:right w:val="none" w:sz="0" w:space="0" w:color="auto"/>
      </w:divBdr>
    </w:div>
    <w:div w:id="1761563430">
      <w:bodyDiv w:val="1"/>
      <w:marLeft w:val="0"/>
      <w:marRight w:val="0"/>
      <w:marTop w:val="0"/>
      <w:marBottom w:val="0"/>
      <w:divBdr>
        <w:top w:val="none" w:sz="0" w:space="0" w:color="auto"/>
        <w:left w:val="none" w:sz="0" w:space="0" w:color="auto"/>
        <w:bottom w:val="none" w:sz="0" w:space="0" w:color="auto"/>
        <w:right w:val="none" w:sz="0" w:space="0" w:color="auto"/>
      </w:divBdr>
    </w:div>
    <w:div w:id="1768116138">
      <w:bodyDiv w:val="1"/>
      <w:marLeft w:val="0"/>
      <w:marRight w:val="0"/>
      <w:marTop w:val="0"/>
      <w:marBottom w:val="0"/>
      <w:divBdr>
        <w:top w:val="none" w:sz="0" w:space="0" w:color="auto"/>
        <w:left w:val="none" w:sz="0" w:space="0" w:color="auto"/>
        <w:bottom w:val="none" w:sz="0" w:space="0" w:color="auto"/>
        <w:right w:val="none" w:sz="0" w:space="0" w:color="auto"/>
      </w:divBdr>
    </w:div>
    <w:div w:id="1850219045">
      <w:bodyDiv w:val="1"/>
      <w:marLeft w:val="0"/>
      <w:marRight w:val="0"/>
      <w:marTop w:val="0"/>
      <w:marBottom w:val="0"/>
      <w:divBdr>
        <w:top w:val="none" w:sz="0" w:space="0" w:color="auto"/>
        <w:left w:val="none" w:sz="0" w:space="0" w:color="auto"/>
        <w:bottom w:val="none" w:sz="0" w:space="0" w:color="auto"/>
        <w:right w:val="none" w:sz="0" w:space="0" w:color="auto"/>
      </w:divBdr>
    </w:div>
    <w:div w:id="1933472022">
      <w:bodyDiv w:val="1"/>
      <w:marLeft w:val="0"/>
      <w:marRight w:val="0"/>
      <w:marTop w:val="0"/>
      <w:marBottom w:val="0"/>
      <w:divBdr>
        <w:top w:val="none" w:sz="0" w:space="0" w:color="auto"/>
        <w:left w:val="none" w:sz="0" w:space="0" w:color="auto"/>
        <w:bottom w:val="none" w:sz="0" w:space="0" w:color="auto"/>
        <w:right w:val="none" w:sz="0" w:space="0" w:color="auto"/>
      </w:divBdr>
    </w:div>
    <w:div w:id="1933783628">
      <w:bodyDiv w:val="1"/>
      <w:marLeft w:val="0"/>
      <w:marRight w:val="0"/>
      <w:marTop w:val="0"/>
      <w:marBottom w:val="0"/>
      <w:divBdr>
        <w:top w:val="none" w:sz="0" w:space="0" w:color="auto"/>
        <w:left w:val="none" w:sz="0" w:space="0" w:color="auto"/>
        <w:bottom w:val="none" w:sz="0" w:space="0" w:color="auto"/>
        <w:right w:val="none" w:sz="0" w:space="0" w:color="auto"/>
      </w:divBdr>
    </w:div>
    <w:div w:id="2024240368">
      <w:bodyDiv w:val="1"/>
      <w:marLeft w:val="0"/>
      <w:marRight w:val="0"/>
      <w:marTop w:val="0"/>
      <w:marBottom w:val="0"/>
      <w:divBdr>
        <w:top w:val="none" w:sz="0" w:space="0" w:color="auto"/>
        <w:left w:val="none" w:sz="0" w:space="0" w:color="auto"/>
        <w:bottom w:val="none" w:sz="0" w:space="0" w:color="auto"/>
        <w:right w:val="none" w:sz="0" w:space="0" w:color="auto"/>
      </w:divBdr>
    </w:div>
    <w:div w:id="203988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ga.gov.au/reporting-problems"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msd-australia.com.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ga.gov.au/reporting-problem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353fcf7-205b-40c5-a3af-4cf3a5e9c355">EFYCX3CDVRKR-1794191079-154503</_dlc_DocId>
    <_dlc_DocIdUrl xmlns="d353fcf7-205b-40c5-a3af-4cf3a5e9c355">
      <Url>http://spapp.merck.com/sites/ANZMarket/REGAFF/_layouts/DocIdRedir.aspx?ID=EFYCX3CDVRKR-1794191079-154503</Url>
      <Description>EFYCX3CDVRKR-1794191079-154503</Description>
    </_dlc_DocIdUrl>
    <Description0 xmlns="9db20a44-376d-4c97-8d2b-88532430f6d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6C27-4F16-45A5-8C64-A3CFE6344B2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BD1781-F587-46CD-A69E-C36B43270BC2}">
  <ds:schemaRefs>
    <ds:schemaRef ds:uri="http://schemas.microsoft.com/sharepoint/v3/contenttype/forms"/>
  </ds:schemaRefs>
</ds:datastoreItem>
</file>

<file path=customXml/itemProps3.xml><?xml version="1.0" encoding="utf-8"?>
<ds:datastoreItem xmlns:ds="http://schemas.openxmlformats.org/officeDocument/2006/customXml" ds:itemID="{A3424376-5CE2-4110-A67F-66E4B9F35685}">
  <ds:schemaRefs>
    <ds:schemaRef ds:uri="http://schemas.microsoft.com/sharepoint/events"/>
  </ds:schemaRefs>
</ds:datastoreItem>
</file>

<file path=customXml/itemProps4.xml><?xml version="1.0" encoding="utf-8"?>
<ds:datastoreItem xmlns:ds="http://schemas.openxmlformats.org/officeDocument/2006/customXml" ds:itemID="{B31A8332-5403-49F6-98ED-475A850C22D4}">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purl.org/dc/dcmitype/"/>
    <ds:schemaRef ds:uri="9db20a44-376d-4c97-8d2b-88532430f6d7"/>
    <ds:schemaRef ds:uri="d353fcf7-205b-40c5-a3af-4cf3a5e9c355"/>
  </ds:schemaRefs>
</ds:datastoreItem>
</file>

<file path=customXml/itemProps5.xml><?xml version="1.0" encoding="utf-8"?>
<ds:datastoreItem xmlns:ds="http://schemas.openxmlformats.org/officeDocument/2006/customXml" ds:itemID="{43ABCE47-72A2-4F52-B7B1-53DEA8A51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7C03DD-CB15-4FAE-AD62-84033746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10690</Words>
  <Characters>61898</Characters>
  <Application>Microsoft Office Word</Application>
  <DocSecurity>0</DocSecurity>
  <Lines>2947</Lines>
  <Paragraphs>1861</Paragraphs>
  <ScaleCrop>false</ScaleCrop>
  <HeadingPairs>
    <vt:vector size="2" baseType="variant">
      <vt:variant>
        <vt:lpstr>Title</vt:lpstr>
      </vt:variant>
      <vt:variant>
        <vt:i4>1</vt:i4>
      </vt:variant>
    </vt:vector>
  </HeadingPairs>
  <TitlesOfParts>
    <vt:vector size="1" baseType="lpstr">
      <vt:lpstr>Attachment: Product Information for Doravirine and doravirine/lamivudine/tenofovir disoproxil fumarate</vt:lpstr>
    </vt:vector>
  </TitlesOfParts>
  <Company/>
  <LinksUpToDate>false</LinksUpToDate>
  <CharactersWithSpaces>70727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Doravirine and doravirine/lamivudine/tenofovir disoproxil fumarate</dc:title>
  <cp:lastPrinted>2018-04-05T01:17:00Z</cp:lastPrinted>
  <dcterms:created xsi:type="dcterms:W3CDTF">2020-03-16T04:54:00Z</dcterms:created>
  <dcterms:modified xsi:type="dcterms:W3CDTF">2020-03-16T05:00:00Z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af29063f-a953-4b17-8900-a108ea3c8946</vt:lpwstr>
  </property>
  <property fmtid="{D5CDD505-2E9C-101B-9397-08002B2CF9AE}" pid="3" name="bjSaver">
    <vt:lpwstr>z/kueWu+rTDZpnp318iUa4Jv4SGG4f3s</vt:lpwstr>
  </property>
  <property fmtid="{D5CDD505-2E9C-101B-9397-08002B2CF9AE}" pid="4" name="_dlc_DocIdItemGuid">
    <vt:lpwstr>2a7489a0-0e93-4cb8-8e53-8ebf7366d696</vt:lpwstr>
  </property>
  <property fmtid="{D5CDD505-2E9C-101B-9397-08002B2CF9AE}" pid="5" name="ContentTypeId">
    <vt:lpwstr>0x01010052E7E68ACC01DE46BAB8D5F65BAC05EC</vt:lpwstr>
  </property>
  <property fmtid="{D5CDD505-2E9C-101B-9397-08002B2CF9AE}" pid="6" name="bjDocumentSecurityLabel">
    <vt:lpwstr>Not Classified</vt:lpwstr>
  </property>
  <property fmtid="{D5CDD505-2E9C-101B-9397-08002B2CF9AE}" pid="7"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8" name="bjDocumentLabelXML-0">
    <vt:lpwstr>ames.com/2008/01/sie/internal/label"&gt;&lt;element uid="9920fcc9-9f43-4d43-9e3e-b98a219cfd55" value="" /&gt;&lt;/sisl&gt;</vt:lpwstr>
  </property>
  <property fmtid="{D5CDD505-2E9C-101B-9397-08002B2CF9AE}" pid="9" name="_AdHocReviewCycleID">
    <vt:i4>-1647220746</vt:i4>
  </property>
  <property fmtid="{D5CDD505-2E9C-101B-9397-08002B2CF9AE}" pid="10" name="_NewReviewCycle">
    <vt:lpwstr/>
  </property>
  <property fmtid="{D5CDD505-2E9C-101B-9397-08002B2CF9AE}" pid="11" name="_EmailSubject">
    <vt:lpwstr>re Draft AusPAR for PIFELTRO and DELSTRIGO - Doravirine and FDC - Merck Sharp &amp; Dohme (Australia) Pty Ltd - PM-2017-04580-1-2 and PM-2017-04581-1-2   [SEC=OFFICIAL]</vt:lpwstr>
  </property>
  <property fmtid="{D5CDD505-2E9C-101B-9397-08002B2CF9AE}" pid="12" name="_AuthorEmail">
    <vt:lpwstr>dane.matthews@merck.com</vt:lpwstr>
  </property>
  <property fmtid="{D5CDD505-2E9C-101B-9397-08002B2CF9AE}" pid="13" name="_AuthorEmailDisplayName">
    <vt:lpwstr>Matthews, Dane</vt:lpwstr>
  </property>
  <property fmtid="{D5CDD505-2E9C-101B-9397-08002B2CF9AE}" pid="14" name="_ReviewingToolsShownOnce">
    <vt:lpwstr/>
  </property>
</Properties>
</file>