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C47D6B" w:rsidP="00096AA7">
            <w:pPr>
              <w:rPr>
                <w:rFonts w:ascii="Arial" w:hAnsi="Arial" w:cs="Arial"/>
                <w:b/>
                <w:color w:val="002C47"/>
                <w:sz w:val="36"/>
                <w:szCs w:val="36"/>
              </w:rPr>
            </w:pPr>
            <w:r>
              <w:rPr>
                <w:rFonts w:ascii="Arial" w:hAnsi="Arial" w:cs="Arial"/>
                <w:b/>
                <w:color w:val="002C47"/>
                <w:sz w:val="36"/>
                <w:szCs w:val="36"/>
              </w:rPr>
              <w:t>May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C47D6B" w:rsidRDefault="0032583B" w:rsidP="00B44424">
            <w:pPr>
              <w:pStyle w:val="Title"/>
              <w:rPr>
                <w:rFonts w:asciiTheme="majorHAnsi" w:hAnsiTheme="majorHAnsi" w:cstheme="majorHAnsi"/>
                <w:color w:val="FFFFFF" w:themeColor="background1"/>
              </w:rPr>
            </w:pPr>
            <w:r w:rsidRPr="00C47D6B">
              <w:rPr>
                <w:rFonts w:asciiTheme="majorHAnsi" w:hAnsiTheme="majorHAnsi" w:cstheme="majorHAnsi"/>
                <w:color w:val="FFFFFF" w:themeColor="background1"/>
              </w:rPr>
              <w:t xml:space="preserve">Australian Public Assessment Report for </w:t>
            </w:r>
            <w:proofErr w:type="spellStart"/>
            <w:r w:rsidR="00C47D6B" w:rsidRPr="00C47D6B">
              <w:rPr>
                <w:rFonts w:asciiTheme="majorHAnsi" w:hAnsiTheme="majorHAnsi" w:cstheme="majorHAnsi"/>
                <w:color w:val="FFFFFF" w:themeColor="background1"/>
                <w:szCs w:val="24"/>
              </w:rPr>
              <w:t>Dolutegravir</w:t>
            </w:r>
            <w:proofErr w:type="spellEnd"/>
            <w:r w:rsidR="00C47D6B" w:rsidRPr="00C47D6B">
              <w:rPr>
                <w:rFonts w:asciiTheme="majorHAnsi" w:hAnsiTheme="majorHAnsi" w:cstheme="majorHAnsi"/>
                <w:color w:val="FFFFFF" w:themeColor="background1"/>
                <w:szCs w:val="24"/>
              </w:rPr>
              <w:t xml:space="preserve"> sodium/</w:t>
            </w:r>
            <w:proofErr w:type="spellStart"/>
            <w:r w:rsidR="00B44424">
              <w:rPr>
                <w:rFonts w:asciiTheme="majorHAnsi" w:hAnsiTheme="majorHAnsi" w:cstheme="majorHAnsi"/>
                <w:color w:val="FFFFFF" w:themeColor="background1"/>
                <w:szCs w:val="24"/>
              </w:rPr>
              <w:t>A</w:t>
            </w:r>
            <w:r w:rsidR="00C47D6B" w:rsidRPr="00C47D6B">
              <w:rPr>
                <w:rFonts w:asciiTheme="majorHAnsi" w:hAnsiTheme="majorHAnsi" w:cstheme="majorHAnsi"/>
                <w:color w:val="FFFFFF" w:themeColor="background1"/>
                <w:szCs w:val="24"/>
              </w:rPr>
              <w:t>bacavir</w:t>
            </w:r>
            <w:proofErr w:type="spellEnd"/>
            <w:r w:rsidR="00C47D6B" w:rsidRPr="00C47D6B">
              <w:rPr>
                <w:rFonts w:asciiTheme="majorHAnsi" w:hAnsiTheme="majorHAnsi" w:cstheme="majorHAnsi"/>
                <w:color w:val="FFFFFF" w:themeColor="background1"/>
                <w:szCs w:val="24"/>
              </w:rPr>
              <w:t xml:space="preserve"> </w:t>
            </w:r>
            <w:proofErr w:type="spellStart"/>
            <w:r w:rsidR="00C47D6B" w:rsidRPr="00C47D6B">
              <w:rPr>
                <w:rFonts w:asciiTheme="majorHAnsi" w:hAnsiTheme="majorHAnsi" w:cstheme="majorHAnsi"/>
                <w:color w:val="FFFFFF" w:themeColor="background1"/>
                <w:szCs w:val="24"/>
              </w:rPr>
              <w:t>sulfate</w:t>
            </w:r>
            <w:proofErr w:type="spellEnd"/>
            <w:r w:rsidR="00C47D6B" w:rsidRPr="00C47D6B">
              <w:rPr>
                <w:rFonts w:asciiTheme="majorHAnsi" w:hAnsiTheme="majorHAnsi" w:cstheme="majorHAnsi"/>
                <w:color w:val="FFFFFF" w:themeColor="background1"/>
                <w:szCs w:val="24"/>
              </w:rPr>
              <w:t>/</w:t>
            </w:r>
            <w:r w:rsidR="00B44424">
              <w:rPr>
                <w:rFonts w:asciiTheme="majorHAnsi" w:hAnsiTheme="majorHAnsi" w:cstheme="majorHAnsi"/>
                <w:color w:val="FFFFFF" w:themeColor="background1"/>
                <w:szCs w:val="24"/>
              </w:rPr>
              <w:t>L</w:t>
            </w:r>
            <w:r w:rsidR="00C47D6B" w:rsidRPr="00C47D6B">
              <w:rPr>
                <w:rFonts w:asciiTheme="majorHAnsi" w:hAnsiTheme="majorHAnsi" w:cstheme="majorHAnsi"/>
                <w:color w:val="FFFFFF" w:themeColor="background1"/>
                <w:szCs w:val="24"/>
              </w:rPr>
              <w:t>amivudine</w:t>
            </w:r>
          </w:p>
        </w:tc>
      </w:tr>
      <w:tr w:rsidR="0032583B" w:rsidRPr="00B64760" w:rsidTr="0032583B">
        <w:tc>
          <w:tcPr>
            <w:tcW w:w="9079" w:type="dxa"/>
          </w:tcPr>
          <w:p w:rsidR="0032583B" w:rsidRPr="00C47D6B" w:rsidRDefault="0032583B" w:rsidP="0032583B">
            <w:pPr>
              <w:pStyle w:val="Subtitle"/>
              <w:rPr>
                <w:rFonts w:asciiTheme="majorHAnsi" w:hAnsiTheme="majorHAnsi" w:cstheme="majorHAnsi"/>
                <w:color w:val="FFFFFF" w:themeColor="background1"/>
              </w:rPr>
            </w:pPr>
            <w:r w:rsidRPr="00C47D6B">
              <w:rPr>
                <w:rFonts w:asciiTheme="majorHAnsi" w:hAnsiTheme="majorHAnsi" w:cstheme="majorHAnsi"/>
                <w:color w:val="FFFFFF" w:themeColor="background1"/>
              </w:rPr>
              <w:t>Proprietary Product Name:</w:t>
            </w:r>
            <w:r w:rsidR="00E873CA">
              <w:rPr>
                <w:rFonts w:asciiTheme="majorHAnsi" w:hAnsiTheme="majorHAnsi" w:cstheme="majorHAnsi"/>
                <w:color w:val="FFFFFF" w:themeColor="background1"/>
              </w:rPr>
              <w:t xml:space="preserve"> </w:t>
            </w:r>
            <w:proofErr w:type="spellStart"/>
            <w:r w:rsidR="00C47D6B" w:rsidRPr="00C47D6B">
              <w:rPr>
                <w:rFonts w:asciiTheme="majorHAnsi" w:hAnsiTheme="majorHAnsi" w:cstheme="majorHAnsi"/>
                <w:color w:val="FFFFFF" w:themeColor="background1"/>
              </w:rPr>
              <w:t>Triumeq</w:t>
            </w:r>
            <w:proofErr w:type="spellEnd"/>
          </w:p>
        </w:tc>
      </w:tr>
      <w:tr w:rsidR="0032583B" w:rsidRPr="00B64760" w:rsidTr="0032583B">
        <w:trPr>
          <w:trHeight w:val="486"/>
        </w:trPr>
        <w:tc>
          <w:tcPr>
            <w:tcW w:w="9079" w:type="dxa"/>
          </w:tcPr>
          <w:p w:rsidR="0032583B" w:rsidRPr="00C47D6B" w:rsidRDefault="0032583B" w:rsidP="0032583B">
            <w:pPr>
              <w:pStyle w:val="Subtitle"/>
              <w:rPr>
                <w:rFonts w:asciiTheme="majorHAnsi" w:hAnsiTheme="majorHAnsi" w:cstheme="majorHAnsi"/>
                <w:color w:val="FFFFFF" w:themeColor="background1"/>
              </w:rPr>
            </w:pPr>
            <w:r w:rsidRPr="00C47D6B">
              <w:rPr>
                <w:rFonts w:asciiTheme="majorHAnsi" w:hAnsiTheme="majorHAnsi" w:cstheme="majorHAnsi"/>
                <w:color w:val="FFFFFF" w:themeColor="background1"/>
              </w:rPr>
              <w:t>Sponsor:</w:t>
            </w:r>
            <w:r w:rsidR="00E873CA">
              <w:rPr>
                <w:rFonts w:asciiTheme="majorHAnsi" w:hAnsiTheme="majorHAnsi" w:cstheme="majorHAnsi"/>
                <w:color w:val="FFFFFF" w:themeColor="background1"/>
              </w:rPr>
              <w:t xml:space="preserve"> </w:t>
            </w:r>
            <w:proofErr w:type="spellStart"/>
            <w:r w:rsidR="00C47D6B" w:rsidRPr="00C47D6B">
              <w:rPr>
                <w:rFonts w:asciiTheme="majorHAnsi" w:hAnsiTheme="majorHAnsi" w:cstheme="majorHAnsi"/>
                <w:color w:val="FFFFFF" w:themeColor="background1"/>
              </w:rPr>
              <w:t>ViiV</w:t>
            </w:r>
            <w:proofErr w:type="spellEnd"/>
            <w:r w:rsidR="00C47D6B" w:rsidRPr="00C47D6B">
              <w:rPr>
                <w:rFonts w:asciiTheme="majorHAnsi" w:hAnsiTheme="majorHAnsi" w:cstheme="majorHAnsi"/>
                <w:color w:val="FFFFFF" w:themeColor="background1"/>
              </w:rPr>
              <w:t xml:space="preserve"> Healthcare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D45C20">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D45C20">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D45C20">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D45C20">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D45C20">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4F47D6">
          <w:rPr>
            <w:rStyle w:val="Hyperlink"/>
          </w:rPr>
          <w:t>https://www.tga.gov.au</w:t>
        </w:r>
      </w:hyperlink>
      <w:r w:rsidR="00112F56">
        <w:t>&gt;</w:t>
      </w:r>
      <w:r>
        <w:t>.</w:t>
      </w:r>
    </w:p>
    <w:p w:rsidR="008E7846" w:rsidRDefault="008E7846" w:rsidP="008E7846">
      <w:pPr>
        <w:pStyle w:val="NonTOCHeading2"/>
      </w:pPr>
      <w:r>
        <w:t>About AusPARs</w:t>
      </w:r>
    </w:p>
    <w:p w:rsidR="008E7846" w:rsidRDefault="008E7846" w:rsidP="00D45C20">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E44711">
        <w:t>escription medicine submission.</w:t>
      </w:r>
    </w:p>
    <w:p w:rsidR="008E7846" w:rsidRDefault="008E7846" w:rsidP="00D45C20">
      <w:pPr>
        <w:pStyle w:val="ListBullet"/>
        <w:numPr>
          <w:ilvl w:val="0"/>
          <w:numId w:val="1"/>
        </w:numPr>
        <w:ind w:left="357" w:hanging="357"/>
      </w:pPr>
      <w:r>
        <w:t>AusPARs are prepared and published by the TGA.</w:t>
      </w:r>
    </w:p>
    <w:p w:rsidR="008E7846" w:rsidRDefault="008E7846" w:rsidP="00D45C20">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D45C20">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D45C20">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1"/>
          <w:headerReference w:type="default" r:id="rId12"/>
          <w:footerReference w:type="even" r:id="rId13"/>
          <w:footerReference w:type="default" r:id="rId14"/>
          <w:headerReference w:type="first" r:id="rId15"/>
          <w:footerReference w:type="first" r:id="rId16"/>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D25BDD">
          <w:pPr>
            <w:pStyle w:val="Contents"/>
          </w:pPr>
          <w:r w:rsidRPr="0010788A">
            <w:t>Contents</w:t>
          </w:r>
        </w:p>
        <w:p w:rsidR="00A55F97"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23434279" w:history="1">
            <w:r w:rsidR="00A55F97" w:rsidRPr="00726B94">
              <w:rPr>
                <w:rStyle w:val="Hyperlink"/>
                <w:noProof/>
              </w:rPr>
              <w:t>List of the most common abbreviations used in this AusPAR</w:t>
            </w:r>
            <w:r w:rsidR="00A55F97">
              <w:rPr>
                <w:noProof/>
                <w:webHidden/>
              </w:rPr>
              <w:tab/>
            </w:r>
            <w:r w:rsidR="00A55F97">
              <w:rPr>
                <w:noProof/>
                <w:webHidden/>
              </w:rPr>
              <w:fldChar w:fldCharType="begin"/>
            </w:r>
            <w:r w:rsidR="00A55F97">
              <w:rPr>
                <w:noProof/>
                <w:webHidden/>
              </w:rPr>
              <w:instrText xml:space="preserve"> PAGEREF _Toc423434279 \h </w:instrText>
            </w:r>
            <w:r w:rsidR="00A55F97">
              <w:rPr>
                <w:noProof/>
                <w:webHidden/>
              </w:rPr>
            </w:r>
            <w:r w:rsidR="00A55F97">
              <w:rPr>
                <w:noProof/>
                <w:webHidden/>
              </w:rPr>
              <w:fldChar w:fldCharType="separate"/>
            </w:r>
            <w:r w:rsidR="00A55F97">
              <w:rPr>
                <w:noProof/>
                <w:webHidden/>
              </w:rPr>
              <w:t>5</w:t>
            </w:r>
            <w:r w:rsidR="00A55F97">
              <w:rPr>
                <w:noProof/>
                <w:webHidden/>
              </w:rPr>
              <w:fldChar w:fldCharType="end"/>
            </w:r>
          </w:hyperlink>
        </w:p>
        <w:p w:rsidR="00A55F97" w:rsidRDefault="006552E2">
          <w:pPr>
            <w:pStyle w:val="TOC2"/>
            <w:rPr>
              <w:rFonts w:asciiTheme="minorHAnsi" w:eastAsiaTheme="minorEastAsia" w:hAnsiTheme="minorHAnsi" w:cstheme="minorBidi"/>
              <w:b w:val="0"/>
              <w:noProof/>
              <w:sz w:val="22"/>
              <w:lang w:eastAsia="en-AU"/>
            </w:rPr>
          </w:pPr>
          <w:hyperlink w:anchor="_Toc423434280" w:history="1">
            <w:r w:rsidR="00A55F97" w:rsidRPr="00726B94">
              <w:rPr>
                <w:rStyle w:val="Hyperlink"/>
                <w:noProof/>
              </w:rPr>
              <w:t>I. Introduction to product submission</w:t>
            </w:r>
            <w:r w:rsidR="00A55F97">
              <w:rPr>
                <w:noProof/>
                <w:webHidden/>
              </w:rPr>
              <w:tab/>
            </w:r>
            <w:r w:rsidR="00A55F97">
              <w:rPr>
                <w:noProof/>
                <w:webHidden/>
              </w:rPr>
              <w:fldChar w:fldCharType="begin"/>
            </w:r>
            <w:r w:rsidR="00A55F97">
              <w:rPr>
                <w:noProof/>
                <w:webHidden/>
              </w:rPr>
              <w:instrText xml:space="preserve"> PAGEREF _Toc423434280 \h </w:instrText>
            </w:r>
            <w:r w:rsidR="00A55F97">
              <w:rPr>
                <w:noProof/>
                <w:webHidden/>
              </w:rPr>
            </w:r>
            <w:r w:rsidR="00A55F97">
              <w:rPr>
                <w:noProof/>
                <w:webHidden/>
              </w:rPr>
              <w:fldChar w:fldCharType="separate"/>
            </w:r>
            <w:r w:rsidR="00A55F97">
              <w:rPr>
                <w:noProof/>
                <w:webHidden/>
              </w:rPr>
              <w:t>10</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81" w:history="1">
            <w:r w:rsidR="00A55F97" w:rsidRPr="00726B94">
              <w:rPr>
                <w:rStyle w:val="Hyperlink"/>
                <w:noProof/>
                <w:lang w:eastAsia="en-AU"/>
              </w:rPr>
              <w:t>Submission details</w:t>
            </w:r>
            <w:r w:rsidR="00A55F97">
              <w:rPr>
                <w:noProof/>
                <w:webHidden/>
              </w:rPr>
              <w:tab/>
            </w:r>
            <w:r w:rsidR="00A55F97">
              <w:rPr>
                <w:noProof/>
                <w:webHidden/>
              </w:rPr>
              <w:fldChar w:fldCharType="begin"/>
            </w:r>
            <w:r w:rsidR="00A55F97">
              <w:rPr>
                <w:noProof/>
                <w:webHidden/>
              </w:rPr>
              <w:instrText xml:space="preserve"> PAGEREF _Toc423434281 \h </w:instrText>
            </w:r>
            <w:r w:rsidR="00A55F97">
              <w:rPr>
                <w:noProof/>
                <w:webHidden/>
              </w:rPr>
            </w:r>
            <w:r w:rsidR="00A55F97">
              <w:rPr>
                <w:noProof/>
                <w:webHidden/>
              </w:rPr>
              <w:fldChar w:fldCharType="separate"/>
            </w:r>
            <w:r w:rsidR="00A55F97">
              <w:rPr>
                <w:noProof/>
                <w:webHidden/>
              </w:rPr>
              <w:t>10</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82" w:history="1">
            <w:r w:rsidR="00A55F97" w:rsidRPr="00726B94">
              <w:rPr>
                <w:rStyle w:val="Hyperlink"/>
                <w:noProof/>
              </w:rPr>
              <w:t>Product background</w:t>
            </w:r>
            <w:r w:rsidR="00A55F97">
              <w:rPr>
                <w:noProof/>
                <w:webHidden/>
              </w:rPr>
              <w:tab/>
            </w:r>
            <w:r w:rsidR="00A55F97">
              <w:rPr>
                <w:noProof/>
                <w:webHidden/>
              </w:rPr>
              <w:fldChar w:fldCharType="begin"/>
            </w:r>
            <w:r w:rsidR="00A55F97">
              <w:rPr>
                <w:noProof/>
                <w:webHidden/>
              </w:rPr>
              <w:instrText xml:space="preserve"> PAGEREF _Toc423434282 \h </w:instrText>
            </w:r>
            <w:r w:rsidR="00A55F97">
              <w:rPr>
                <w:noProof/>
                <w:webHidden/>
              </w:rPr>
            </w:r>
            <w:r w:rsidR="00A55F97">
              <w:rPr>
                <w:noProof/>
                <w:webHidden/>
              </w:rPr>
              <w:fldChar w:fldCharType="separate"/>
            </w:r>
            <w:r w:rsidR="00A55F97">
              <w:rPr>
                <w:noProof/>
                <w:webHidden/>
              </w:rPr>
              <w:t>10</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83" w:history="1">
            <w:r w:rsidR="00A55F97" w:rsidRPr="00726B94">
              <w:rPr>
                <w:rStyle w:val="Hyperlink"/>
                <w:noProof/>
              </w:rPr>
              <w:t>Regulatory status</w:t>
            </w:r>
            <w:r w:rsidR="00A55F97">
              <w:rPr>
                <w:noProof/>
                <w:webHidden/>
              </w:rPr>
              <w:tab/>
            </w:r>
            <w:r w:rsidR="00A55F97">
              <w:rPr>
                <w:noProof/>
                <w:webHidden/>
              </w:rPr>
              <w:fldChar w:fldCharType="begin"/>
            </w:r>
            <w:r w:rsidR="00A55F97">
              <w:rPr>
                <w:noProof/>
                <w:webHidden/>
              </w:rPr>
              <w:instrText xml:space="preserve"> PAGEREF _Toc423434283 \h </w:instrText>
            </w:r>
            <w:r w:rsidR="00A55F97">
              <w:rPr>
                <w:noProof/>
                <w:webHidden/>
              </w:rPr>
            </w:r>
            <w:r w:rsidR="00A55F97">
              <w:rPr>
                <w:noProof/>
                <w:webHidden/>
              </w:rPr>
              <w:fldChar w:fldCharType="separate"/>
            </w:r>
            <w:r w:rsidR="00A55F97">
              <w:rPr>
                <w:noProof/>
                <w:webHidden/>
              </w:rPr>
              <w:t>11</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84" w:history="1">
            <w:r w:rsidR="00A55F97" w:rsidRPr="00726B94">
              <w:rPr>
                <w:rStyle w:val="Hyperlink"/>
                <w:noProof/>
              </w:rPr>
              <w:t>Product Information</w:t>
            </w:r>
            <w:r w:rsidR="00A55F97">
              <w:rPr>
                <w:noProof/>
                <w:webHidden/>
              </w:rPr>
              <w:tab/>
            </w:r>
            <w:r w:rsidR="00A55F97">
              <w:rPr>
                <w:noProof/>
                <w:webHidden/>
              </w:rPr>
              <w:fldChar w:fldCharType="begin"/>
            </w:r>
            <w:r w:rsidR="00A55F97">
              <w:rPr>
                <w:noProof/>
                <w:webHidden/>
              </w:rPr>
              <w:instrText xml:space="preserve"> PAGEREF _Toc423434284 \h </w:instrText>
            </w:r>
            <w:r w:rsidR="00A55F97">
              <w:rPr>
                <w:noProof/>
                <w:webHidden/>
              </w:rPr>
            </w:r>
            <w:r w:rsidR="00A55F97">
              <w:rPr>
                <w:noProof/>
                <w:webHidden/>
              </w:rPr>
              <w:fldChar w:fldCharType="separate"/>
            </w:r>
            <w:r w:rsidR="00A55F97">
              <w:rPr>
                <w:noProof/>
                <w:webHidden/>
              </w:rPr>
              <w:t>12</w:t>
            </w:r>
            <w:r w:rsidR="00A55F97">
              <w:rPr>
                <w:noProof/>
                <w:webHidden/>
              </w:rPr>
              <w:fldChar w:fldCharType="end"/>
            </w:r>
          </w:hyperlink>
        </w:p>
        <w:p w:rsidR="00A55F97" w:rsidRDefault="006552E2">
          <w:pPr>
            <w:pStyle w:val="TOC2"/>
            <w:rPr>
              <w:rFonts w:asciiTheme="minorHAnsi" w:eastAsiaTheme="minorEastAsia" w:hAnsiTheme="minorHAnsi" w:cstheme="minorBidi"/>
              <w:b w:val="0"/>
              <w:noProof/>
              <w:sz w:val="22"/>
              <w:lang w:eastAsia="en-AU"/>
            </w:rPr>
          </w:pPr>
          <w:hyperlink w:anchor="_Toc423434285" w:history="1">
            <w:r w:rsidR="00A55F97" w:rsidRPr="00726B94">
              <w:rPr>
                <w:rStyle w:val="Hyperlink"/>
                <w:noProof/>
              </w:rPr>
              <w:t>II. Quality findings</w:t>
            </w:r>
            <w:r w:rsidR="00A55F97">
              <w:rPr>
                <w:noProof/>
                <w:webHidden/>
              </w:rPr>
              <w:tab/>
            </w:r>
            <w:r w:rsidR="00A55F97">
              <w:rPr>
                <w:noProof/>
                <w:webHidden/>
              </w:rPr>
              <w:fldChar w:fldCharType="begin"/>
            </w:r>
            <w:r w:rsidR="00A55F97">
              <w:rPr>
                <w:noProof/>
                <w:webHidden/>
              </w:rPr>
              <w:instrText xml:space="preserve"> PAGEREF _Toc423434285 \h </w:instrText>
            </w:r>
            <w:r w:rsidR="00A55F97">
              <w:rPr>
                <w:noProof/>
                <w:webHidden/>
              </w:rPr>
            </w:r>
            <w:r w:rsidR="00A55F97">
              <w:rPr>
                <w:noProof/>
                <w:webHidden/>
              </w:rPr>
              <w:fldChar w:fldCharType="separate"/>
            </w:r>
            <w:r w:rsidR="00A55F97">
              <w:rPr>
                <w:noProof/>
                <w:webHidden/>
              </w:rPr>
              <w:t>12</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86" w:history="1">
            <w:r w:rsidR="00A55F97" w:rsidRPr="00726B94">
              <w:rPr>
                <w:rStyle w:val="Hyperlink"/>
                <w:noProof/>
              </w:rPr>
              <w:t>Drug substances (active ingredients)</w:t>
            </w:r>
            <w:r w:rsidR="00A55F97">
              <w:rPr>
                <w:noProof/>
                <w:webHidden/>
              </w:rPr>
              <w:tab/>
            </w:r>
            <w:r w:rsidR="00A55F97">
              <w:rPr>
                <w:noProof/>
                <w:webHidden/>
              </w:rPr>
              <w:fldChar w:fldCharType="begin"/>
            </w:r>
            <w:r w:rsidR="00A55F97">
              <w:rPr>
                <w:noProof/>
                <w:webHidden/>
              </w:rPr>
              <w:instrText xml:space="preserve"> PAGEREF _Toc423434286 \h </w:instrText>
            </w:r>
            <w:r w:rsidR="00A55F97">
              <w:rPr>
                <w:noProof/>
                <w:webHidden/>
              </w:rPr>
            </w:r>
            <w:r w:rsidR="00A55F97">
              <w:rPr>
                <w:noProof/>
                <w:webHidden/>
              </w:rPr>
              <w:fldChar w:fldCharType="separate"/>
            </w:r>
            <w:r w:rsidR="00A55F97">
              <w:rPr>
                <w:noProof/>
                <w:webHidden/>
              </w:rPr>
              <w:t>12</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87" w:history="1">
            <w:r w:rsidR="00A55F97" w:rsidRPr="00726B94">
              <w:rPr>
                <w:rStyle w:val="Hyperlink"/>
                <w:noProof/>
              </w:rPr>
              <w:t>Drug product</w:t>
            </w:r>
            <w:r w:rsidR="00A55F97">
              <w:rPr>
                <w:noProof/>
                <w:webHidden/>
              </w:rPr>
              <w:tab/>
            </w:r>
            <w:r w:rsidR="00A55F97">
              <w:rPr>
                <w:noProof/>
                <w:webHidden/>
              </w:rPr>
              <w:fldChar w:fldCharType="begin"/>
            </w:r>
            <w:r w:rsidR="00A55F97">
              <w:rPr>
                <w:noProof/>
                <w:webHidden/>
              </w:rPr>
              <w:instrText xml:space="preserve"> PAGEREF _Toc423434287 \h </w:instrText>
            </w:r>
            <w:r w:rsidR="00A55F97">
              <w:rPr>
                <w:noProof/>
                <w:webHidden/>
              </w:rPr>
            </w:r>
            <w:r w:rsidR="00A55F97">
              <w:rPr>
                <w:noProof/>
                <w:webHidden/>
              </w:rPr>
              <w:fldChar w:fldCharType="separate"/>
            </w:r>
            <w:r w:rsidR="00A55F97">
              <w:rPr>
                <w:noProof/>
                <w:webHidden/>
              </w:rPr>
              <w:t>13</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88" w:history="1">
            <w:r w:rsidR="00A55F97" w:rsidRPr="00726B94">
              <w:rPr>
                <w:rStyle w:val="Hyperlink"/>
                <w:noProof/>
              </w:rPr>
              <w:t>Biopharmaceutics</w:t>
            </w:r>
            <w:r w:rsidR="00A55F97">
              <w:rPr>
                <w:noProof/>
                <w:webHidden/>
              </w:rPr>
              <w:tab/>
            </w:r>
            <w:r w:rsidR="00A55F97">
              <w:rPr>
                <w:noProof/>
                <w:webHidden/>
              </w:rPr>
              <w:fldChar w:fldCharType="begin"/>
            </w:r>
            <w:r w:rsidR="00A55F97">
              <w:rPr>
                <w:noProof/>
                <w:webHidden/>
              </w:rPr>
              <w:instrText xml:space="preserve"> PAGEREF _Toc423434288 \h </w:instrText>
            </w:r>
            <w:r w:rsidR="00A55F97">
              <w:rPr>
                <w:noProof/>
                <w:webHidden/>
              </w:rPr>
            </w:r>
            <w:r w:rsidR="00A55F97">
              <w:rPr>
                <w:noProof/>
                <w:webHidden/>
              </w:rPr>
              <w:fldChar w:fldCharType="separate"/>
            </w:r>
            <w:r w:rsidR="00A55F97">
              <w:rPr>
                <w:noProof/>
                <w:webHidden/>
              </w:rPr>
              <w:t>13</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89" w:history="1">
            <w:r w:rsidR="00A55F97" w:rsidRPr="00726B94">
              <w:rPr>
                <w:rStyle w:val="Hyperlink"/>
                <w:noProof/>
              </w:rPr>
              <w:t>Quality summary and conclusions</w:t>
            </w:r>
            <w:r w:rsidR="00A55F97">
              <w:rPr>
                <w:noProof/>
                <w:webHidden/>
              </w:rPr>
              <w:tab/>
            </w:r>
            <w:r w:rsidR="00A55F97">
              <w:rPr>
                <w:noProof/>
                <w:webHidden/>
              </w:rPr>
              <w:fldChar w:fldCharType="begin"/>
            </w:r>
            <w:r w:rsidR="00A55F97">
              <w:rPr>
                <w:noProof/>
                <w:webHidden/>
              </w:rPr>
              <w:instrText xml:space="preserve"> PAGEREF _Toc423434289 \h </w:instrText>
            </w:r>
            <w:r w:rsidR="00A55F97">
              <w:rPr>
                <w:noProof/>
                <w:webHidden/>
              </w:rPr>
            </w:r>
            <w:r w:rsidR="00A55F97">
              <w:rPr>
                <w:noProof/>
                <w:webHidden/>
              </w:rPr>
              <w:fldChar w:fldCharType="separate"/>
            </w:r>
            <w:r w:rsidR="00A55F97">
              <w:rPr>
                <w:noProof/>
                <w:webHidden/>
              </w:rPr>
              <w:t>14</w:t>
            </w:r>
            <w:r w:rsidR="00A55F97">
              <w:rPr>
                <w:noProof/>
                <w:webHidden/>
              </w:rPr>
              <w:fldChar w:fldCharType="end"/>
            </w:r>
          </w:hyperlink>
        </w:p>
        <w:p w:rsidR="00A55F97" w:rsidRDefault="006552E2">
          <w:pPr>
            <w:pStyle w:val="TOC2"/>
            <w:rPr>
              <w:rFonts w:asciiTheme="minorHAnsi" w:eastAsiaTheme="minorEastAsia" w:hAnsiTheme="minorHAnsi" w:cstheme="minorBidi"/>
              <w:b w:val="0"/>
              <w:noProof/>
              <w:sz w:val="22"/>
              <w:lang w:eastAsia="en-AU"/>
            </w:rPr>
          </w:pPr>
          <w:hyperlink w:anchor="_Toc423434290" w:history="1">
            <w:r w:rsidR="00A55F97" w:rsidRPr="00726B94">
              <w:rPr>
                <w:rStyle w:val="Hyperlink"/>
                <w:noProof/>
              </w:rPr>
              <w:t>III. Nonclinical findings</w:t>
            </w:r>
            <w:r w:rsidR="00A55F97">
              <w:rPr>
                <w:noProof/>
                <w:webHidden/>
              </w:rPr>
              <w:tab/>
            </w:r>
            <w:r w:rsidR="00A55F97">
              <w:rPr>
                <w:noProof/>
                <w:webHidden/>
              </w:rPr>
              <w:fldChar w:fldCharType="begin"/>
            </w:r>
            <w:r w:rsidR="00A55F97">
              <w:rPr>
                <w:noProof/>
                <w:webHidden/>
              </w:rPr>
              <w:instrText xml:space="preserve"> PAGEREF _Toc423434290 \h </w:instrText>
            </w:r>
            <w:r w:rsidR="00A55F97">
              <w:rPr>
                <w:noProof/>
                <w:webHidden/>
              </w:rPr>
            </w:r>
            <w:r w:rsidR="00A55F97">
              <w:rPr>
                <w:noProof/>
                <w:webHidden/>
              </w:rPr>
              <w:fldChar w:fldCharType="separate"/>
            </w:r>
            <w:r w:rsidR="00A55F97">
              <w:rPr>
                <w:noProof/>
                <w:webHidden/>
              </w:rPr>
              <w:t>14</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91" w:history="1">
            <w:r w:rsidR="00A55F97" w:rsidRPr="00726B94">
              <w:rPr>
                <w:rStyle w:val="Hyperlink"/>
                <w:noProof/>
              </w:rPr>
              <w:t>Introduction</w:t>
            </w:r>
            <w:r w:rsidR="00A55F97">
              <w:rPr>
                <w:noProof/>
                <w:webHidden/>
              </w:rPr>
              <w:tab/>
            </w:r>
            <w:r w:rsidR="00A55F97">
              <w:rPr>
                <w:noProof/>
                <w:webHidden/>
              </w:rPr>
              <w:fldChar w:fldCharType="begin"/>
            </w:r>
            <w:r w:rsidR="00A55F97">
              <w:rPr>
                <w:noProof/>
                <w:webHidden/>
              </w:rPr>
              <w:instrText xml:space="preserve"> PAGEREF _Toc423434291 \h </w:instrText>
            </w:r>
            <w:r w:rsidR="00A55F97">
              <w:rPr>
                <w:noProof/>
                <w:webHidden/>
              </w:rPr>
            </w:r>
            <w:r w:rsidR="00A55F97">
              <w:rPr>
                <w:noProof/>
                <w:webHidden/>
              </w:rPr>
              <w:fldChar w:fldCharType="separate"/>
            </w:r>
            <w:r w:rsidR="00A55F97">
              <w:rPr>
                <w:noProof/>
                <w:webHidden/>
              </w:rPr>
              <w:t>14</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92" w:history="1">
            <w:r w:rsidR="00A55F97" w:rsidRPr="00726B94">
              <w:rPr>
                <w:rStyle w:val="Hyperlink"/>
                <w:noProof/>
              </w:rPr>
              <w:t>Pharmacology</w:t>
            </w:r>
            <w:r w:rsidR="00A55F97">
              <w:rPr>
                <w:noProof/>
                <w:webHidden/>
              </w:rPr>
              <w:tab/>
            </w:r>
            <w:r w:rsidR="00A55F97">
              <w:rPr>
                <w:noProof/>
                <w:webHidden/>
              </w:rPr>
              <w:fldChar w:fldCharType="begin"/>
            </w:r>
            <w:r w:rsidR="00A55F97">
              <w:rPr>
                <w:noProof/>
                <w:webHidden/>
              </w:rPr>
              <w:instrText xml:space="preserve"> PAGEREF _Toc423434292 \h </w:instrText>
            </w:r>
            <w:r w:rsidR="00A55F97">
              <w:rPr>
                <w:noProof/>
                <w:webHidden/>
              </w:rPr>
            </w:r>
            <w:r w:rsidR="00A55F97">
              <w:rPr>
                <w:noProof/>
                <w:webHidden/>
              </w:rPr>
              <w:fldChar w:fldCharType="separate"/>
            </w:r>
            <w:r w:rsidR="00A55F97">
              <w:rPr>
                <w:noProof/>
                <w:webHidden/>
              </w:rPr>
              <w:t>14</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93" w:history="1">
            <w:r w:rsidR="00A55F97" w:rsidRPr="00726B94">
              <w:rPr>
                <w:rStyle w:val="Hyperlink"/>
                <w:noProof/>
              </w:rPr>
              <w:t>Pharmacokinetics</w:t>
            </w:r>
            <w:r w:rsidR="00A55F97">
              <w:rPr>
                <w:noProof/>
                <w:webHidden/>
              </w:rPr>
              <w:tab/>
            </w:r>
            <w:r w:rsidR="00A55F97">
              <w:rPr>
                <w:noProof/>
                <w:webHidden/>
              </w:rPr>
              <w:fldChar w:fldCharType="begin"/>
            </w:r>
            <w:r w:rsidR="00A55F97">
              <w:rPr>
                <w:noProof/>
                <w:webHidden/>
              </w:rPr>
              <w:instrText xml:space="preserve"> PAGEREF _Toc423434293 \h </w:instrText>
            </w:r>
            <w:r w:rsidR="00A55F97">
              <w:rPr>
                <w:noProof/>
                <w:webHidden/>
              </w:rPr>
            </w:r>
            <w:r w:rsidR="00A55F97">
              <w:rPr>
                <w:noProof/>
                <w:webHidden/>
              </w:rPr>
              <w:fldChar w:fldCharType="separate"/>
            </w:r>
            <w:r w:rsidR="00A55F97">
              <w:rPr>
                <w:noProof/>
                <w:webHidden/>
              </w:rPr>
              <w:t>14</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94" w:history="1">
            <w:r w:rsidR="00A55F97" w:rsidRPr="00726B94">
              <w:rPr>
                <w:rStyle w:val="Hyperlink"/>
                <w:noProof/>
              </w:rPr>
              <w:t>Toxicology</w:t>
            </w:r>
            <w:r w:rsidR="00A55F97">
              <w:rPr>
                <w:noProof/>
                <w:webHidden/>
              </w:rPr>
              <w:tab/>
            </w:r>
            <w:r w:rsidR="00A55F97">
              <w:rPr>
                <w:noProof/>
                <w:webHidden/>
              </w:rPr>
              <w:fldChar w:fldCharType="begin"/>
            </w:r>
            <w:r w:rsidR="00A55F97">
              <w:rPr>
                <w:noProof/>
                <w:webHidden/>
              </w:rPr>
              <w:instrText xml:space="preserve"> PAGEREF _Toc423434294 \h </w:instrText>
            </w:r>
            <w:r w:rsidR="00A55F97">
              <w:rPr>
                <w:noProof/>
                <w:webHidden/>
              </w:rPr>
            </w:r>
            <w:r w:rsidR="00A55F97">
              <w:rPr>
                <w:noProof/>
                <w:webHidden/>
              </w:rPr>
              <w:fldChar w:fldCharType="separate"/>
            </w:r>
            <w:r w:rsidR="00A55F97">
              <w:rPr>
                <w:noProof/>
                <w:webHidden/>
              </w:rPr>
              <w:t>16</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95" w:history="1">
            <w:r w:rsidR="00A55F97" w:rsidRPr="00726B94">
              <w:rPr>
                <w:rStyle w:val="Hyperlink"/>
                <w:noProof/>
              </w:rPr>
              <w:t>Nonclinical summary and conclusions</w:t>
            </w:r>
            <w:r w:rsidR="00A55F97">
              <w:rPr>
                <w:noProof/>
                <w:webHidden/>
              </w:rPr>
              <w:tab/>
            </w:r>
            <w:r w:rsidR="00A55F97">
              <w:rPr>
                <w:noProof/>
                <w:webHidden/>
              </w:rPr>
              <w:fldChar w:fldCharType="begin"/>
            </w:r>
            <w:r w:rsidR="00A55F97">
              <w:rPr>
                <w:noProof/>
                <w:webHidden/>
              </w:rPr>
              <w:instrText xml:space="preserve"> PAGEREF _Toc423434295 \h </w:instrText>
            </w:r>
            <w:r w:rsidR="00A55F97">
              <w:rPr>
                <w:noProof/>
                <w:webHidden/>
              </w:rPr>
            </w:r>
            <w:r w:rsidR="00A55F97">
              <w:rPr>
                <w:noProof/>
                <w:webHidden/>
              </w:rPr>
              <w:fldChar w:fldCharType="separate"/>
            </w:r>
            <w:r w:rsidR="00A55F97">
              <w:rPr>
                <w:noProof/>
                <w:webHidden/>
              </w:rPr>
              <w:t>21</w:t>
            </w:r>
            <w:r w:rsidR="00A55F97">
              <w:rPr>
                <w:noProof/>
                <w:webHidden/>
              </w:rPr>
              <w:fldChar w:fldCharType="end"/>
            </w:r>
          </w:hyperlink>
        </w:p>
        <w:p w:rsidR="00A55F97" w:rsidRDefault="006552E2">
          <w:pPr>
            <w:pStyle w:val="TOC2"/>
            <w:rPr>
              <w:rFonts w:asciiTheme="minorHAnsi" w:eastAsiaTheme="minorEastAsia" w:hAnsiTheme="minorHAnsi" w:cstheme="minorBidi"/>
              <w:b w:val="0"/>
              <w:noProof/>
              <w:sz w:val="22"/>
              <w:lang w:eastAsia="en-AU"/>
            </w:rPr>
          </w:pPr>
          <w:hyperlink w:anchor="_Toc423434296" w:history="1">
            <w:r w:rsidR="00A55F97" w:rsidRPr="00726B94">
              <w:rPr>
                <w:rStyle w:val="Hyperlink"/>
                <w:noProof/>
              </w:rPr>
              <w:t>IV. Clinical findings</w:t>
            </w:r>
            <w:r w:rsidR="00A55F97">
              <w:rPr>
                <w:noProof/>
                <w:webHidden/>
              </w:rPr>
              <w:tab/>
            </w:r>
            <w:r w:rsidR="00A55F97">
              <w:rPr>
                <w:noProof/>
                <w:webHidden/>
              </w:rPr>
              <w:fldChar w:fldCharType="begin"/>
            </w:r>
            <w:r w:rsidR="00A55F97">
              <w:rPr>
                <w:noProof/>
                <w:webHidden/>
              </w:rPr>
              <w:instrText xml:space="preserve"> PAGEREF _Toc423434296 \h </w:instrText>
            </w:r>
            <w:r w:rsidR="00A55F97">
              <w:rPr>
                <w:noProof/>
                <w:webHidden/>
              </w:rPr>
            </w:r>
            <w:r w:rsidR="00A55F97">
              <w:rPr>
                <w:noProof/>
                <w:webHidden/>
              </w:rPr>
              <w:fldChar w:fldCharType="separate"/>
            </w:r>
            <w:r w:rsidR="00A55F97">
              <w:rPr>
                <w:noProof/>
                <w:webHidden/>
              </w:rPr>
              <w:t>22</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97" w:history="1">
            <w:r w:rsidR="00A55F97" w:rsidRPr="00726B94">
              <w:rPr>
                <w:rStyle w:val="Hyperlink"/>
                <w:noProof/>
              </w:rPr>
              <w:t>Introduction</w:t>
            </w:r>
            <w:r w:rsidR="00A55F97">
              <w:rPr>
                <w:noProof/>
                <w:webHidden/>
              </w:rPr>
              <w:tab/>
            </w:r>
            <w:r w:rsidR="00A55F97">
              <w:rPr>
                <w:noProof/>
                <w:webHidden/>
              </w:rPr>
              <w:fldChar w:fldCharType="begin"/>
            </w:r>
            <w:r w:rsidR="00A55F97">
              <w:rPr>
                <w:noProof/>
                <w:webHidden/>
              </w:rPr>
              <w:instrText xml:space="preserve"> PAGEREF _Toc423434297 \h </w:instrText>
            </w:r>
            <w:r w:rsidR="00A55F97">
              <w:rPr>
                <w:noProof/>
                <w:webHidden/>
              </w:rPr>
            </w:r>
            <w:r w:rsidR="00A55F97">
              <w:rPr>
                <w:noProof/>
                <w:webHidden/>
              </w:rPr>
              <w:fldChar w:fldCharType="separate"/>
            </w:r>
            <w:r w:rsidR="00A55F97">
              <w:rPr>
                <w:noProof/>
                <w:webHidden/>
              </w:rPr>
              <w:t>22</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98" w:history="1">
            <w:r w:rsidR="00A55F97" w:rsidRPr="00726B94">
              <w:rPr>
                <w:rStyle w:val="Hyperlink"/>
                <w:noProof/>
              </w:rPr>
              <w:t>Pharmacokinetics/pharmacodynamics</w:t>
            </w:r>
            <w:r w:rsidR="00A55F97">
              <w:rPr>
                <w:noProof/>
                <w:webHidden/>
              </w:rPr>
              <w:tab/>
            </w:r>
            <w:r w:rsidR="00A55F97">
              <w:rPr>
                <w:noProof/>
                <w:webHidden/>
              </w:rPr>
              <w:fldChar w:fldCharType="begin"/>
            </w:r>
            <w:r w:rsidR="00A55F97">
              <w:rPr>
                <w:noProof/>
                <w:webHidden/>
              </w:rPr>
              <w:instrText xml:space="preserve"> PAGEREF _Toc423434298 \h </w:instrText>
            </w:r>
            <w:r w:rsidR="00A55F97">
              <w:rPr>
                <w:noProof/>
                <w:webHidden/>
              </w:rPr>
            </w:r>
            <w:r w:rsidR="00A55F97">
              <w:rPr>
                <w:noProof/>
                <w:webHidden/>
              </w:rPr>
              <w:fldChar w:fldCharType="separate"/>
            </w:r>
            <w:r w:rsidR="00A55F97">
              <w:rPr>
                <w:noProof/>
                <w:webHidden/>
              </w:rPr>
              <w:t>24</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299" w:history="1">
            <w:r w:rsidR="00A55F97" w:rsidRPr="00726B94">
              <w:rPr>
                <w:rStyle w:val="Hyperlink"/>
                <w:noProof/>
              </w:rPr>
              <w:t>Efficacy/safety and virology</w:t>
            </w:r>
            <w:r w:rsidR="00A55F97">
              <w:rPr>
                <w:noProof/>
                <w:webHidden/>
              </w:rPr>
              <w:tab/>
            </w:r>
            <w:r w:rsidR="00A55F97">
              <w:rPr>
                <w:noProof/>
                <w:webHidden/>
              </w:rPr>
              <w:fldChar w:fldCharType="begin"/>
            </w:r>
            <w:r w:rsidR="00A55F97">
              <w:rPr>
                <w:noProof/>
                <w:webHidden/>
              </w:rPr>
              <w:instrText xml:space="preserve"> PAGEREF _Toc423434299 \h </w:instrText>
            </w:r>
            <w:r w:rsidR="00A55F97">
              <w:rPr>
                <w:noProof/>
                <w:webHidden/>
              </w:rPr>
            </w:r>
            <w:r w:rsidR="00A55F97">
              <w:rPr>
                <w:noProof/>
                <w:webHidden/>
              </w:rPr>
              <w:fldChar w:fldCharType="separate"/>
            </w:r>
            <w:r w:rsidR="00A55F97">
              <w:rPr>
                <w:noProof/>
                <w:webHidden/>
              </w:rPr>
              <w:t>26</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300" w:history="1">
            <w:r w:rsidR="00A55F97" w:rsidRPr="00726B94">
              <w:rPr>
                <w:rStyle w:val="Hyperlink"/>
                <w:noProof/>
              </w:rPr>
              <w:t>Clinical questions</w:t>
            </w:r>
            <w:r w:rsidR="00A55F97">
              <w:rPr>
                <w:noProof/>
                <w:webHidden/>
              </w:rPr>
              <w:tab/>
            </w:r>
            <w:r w:rsidR="00A55F97">
              <w:rPr>
                <w:noProof/>
                <w:webHidden/>
              </w:rPr>
              <w:fldChar w:fldCharType="begin"/>
            </w:r>
            <w:r w:rsidR="00A55F97">
              <w:rPr>
                <w:noProof/>
                <w:webHidden/>
              </w:rPr>
              <w:instrText xml:space="preserve"> PAGEREF _Toc423434300 \h </w:instrText>
            </w:r>
            <w:r w:rsidR="00A55F97">
              <w:rPr>
                <w:noProof/>
                <w:webHidden/>
              </w:rPr>
            </w:r>
            <w:r w:rsidR="00A55F97">
              <w:rPr>
                <w:noProof/>
                <w:webHidden/>
              </w:rPr>
              <w:fldChar w:fldCharType="separate"/>
            </w:r>
            <w:r w:rsidR="00A55F97">
              <w:rPr>
                <w:noProof/>
                <w:webHidden/>
              </w:rPr>
              <w:t>32</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301" w:history="1">
            <w:r w:rsidR="00A55F97" w:rsidRPr="00726B94">
              <w:rPr>
                <w:rStyle w:val="Hyperlink"/>
                <w:noProof/>
              </w:rPr>
              <w:t>Second round benefit-risk assessment</w:t>
            </w:r>
            <w:r w:rsidR="00A55F97">
              <w:rPr>
                <w:noProof/>
                <w:webHidden/>
              </w:rPr>
              <w:tab/>
            </w:r>
            <w:r w:rsidR="00A55F97">
              <w:rPr>
                <w:noProof/>
                <w:webHidden/>
              </w:rPr>
              <w:fldChar w:fldCharType="begin"/>
            </w:r>
            <w:r w:rsidR="00A55F97">
              <w:rPr>
                <w:noProof/>
                <w:webHidden/>
              </w:rPr>
              <w:instrText xml:space="preserve"> PAGEREF _Toc423434301 \h </w:instrText>
            </w:r>
            <w:r w:rsidR="00A55F97">
              <w:rPr>
                <w:noProof/>
                <w:webHidden/>
              </w:rPr>
            </w:r>
            <w:r w:rsidR="00A55F97">
              <w:rPr>
                <w:noProof/>
                <w:webHidden/>
              </w:rPr>
              <w:fldChar w:fldCharType="separate"/>
            </w:r>
            <w:r w:rsidR="00A55F97">
              <w:rPr>
                <w:noProof/>
                <w:webHidden/>
              </w:rPr>
              <w:t>35</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302" w:history="1">
            <w:r w:rsidR="00A55F97" w:rsidRPr="00726B94">
              <w:rPr>
                <w:rStyle w:val="Hyperlink"/>
                <w:noProof/>
              </w:rPr>
              <w:t>Second round evaluation of clinical data submitted in response to questions</w:t>
            </w:r>
            <w:r w:rsidR="00A55F97">
              <w:rPr>
                <w:noProof/>
                <w:webHidden/>
              </w:rPr>
              <w:tab/>
            </w:r>
            <w:r w:rsidR="00A55F97">
              <w:rPr>
                <w:noProof/>
                <w:webHidden/>
              </w:rPr>
              <w:fldChar w:fldCharType="begin"/>
            </w:r>
            <w:r w:rsidR="00A55F97">
              <w:rPr>
                <w:noProof/>
                <w:webHidden/>
              </w:rPr>
              <w:instrText xml:space="preserve"> PAGEREF _Toc423434302 \h </w:instrText>
            </w:r>
            <w:r w:rsidR="00A55F97">
              <w:rPr>
                <w:noProof/>
                <w:webHidden/>
              </w:rPr>
            </w:r>
            <w:r w:rsidR="00A55F97">
              <w:rPr>
                <w:noProof/>
                <w:webHidden/>
              </w:rPr>
              <w:fldChar w:fldCharType="separate"/>
            </w:r>
            <w:r w:rsidR="00A55F97">
              <w:rPr>
                <w:noProof/>
                <w:webHidden/>
              </w:rPr>
              <w:t>36</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303" w:history="1">
            <w:r w:rsidR="00A55F97" w:rsidRPr="00726B94">
              <w:rPr>
                <w:rStyle w:val="Hyperlink"/>
                <w:noProof/>
              </w:rPr>
              <w:t>Second round recommendation regarding authorisation</w:t>
            </w:r>
            <w:r w:rsidR="00A55F97">
              <w:rPr>
                <w:noProof/>
                <w:webHidden/>
              </w:rPr>
              <w:tab/>
            </w:r>
            <w:r w:rsidR="00A55F97">
              <w:rPr>
                <w:noProof/>
                <w:webHidden/>
              </w:rPr>
              <w:fldChar w:fldCharType="begin"/>
            </w:r>
            <w:r w:rsidR="00A55F97">
              <w:rPr>
                <w:noProof/>
                <w:webHidden/>
              </w:rPr>
              <w:instrText xml:space="preserve"> PAGEREF _Toc423434303 \h </w:instrText>
            </w:r>
            <w:r w:rsidR="00A55F97">
              <w:rPr>
                <w:noProof/>
                <w:webHidden/>
              </w:rPr>
            </w:r>
            <w:r w:rsidR="00A55F97">
              <w:rPr>
                <w:noProof/>
                <w:webHidden/>
              </w:rPr>
              <w:fldChar w:fldCharType="separate"/>
            </w:r>
            <w:r w:rsidR="00A55F97">
              <w:rPr>
                <w:noProof/>
                <w:webHidden/>
              </w:rPr>
              <w:t>37</w:t>
            </w:r>
            <w:r w:rsidR="00A55F97">
              <w:rPr>
                <w:noProof/>
                <w:webHidden/>
              </w:rPr>
              <w:fldChar w:fldCharType="end"/>
            </w:r>
          </w:hyperlink>
        </w:p>
        <w:p w:rsidR="00A55F97" w:rsidRDefault="006552E2">
          <w:pPr>
            <w:pStyle w:val="TOC2"/>
            <w:rPr>
              <w:rFonts w:asciiTheme="minorHAnsi" w:eastAsiaTheme="minorEastAsia" w:hAnsiTheme="minorHAnsi" w:cstheme="minorBidi"/>
              <w:b w:val="0"/>
              <w:noProof/>
              <w:sz w:val="22"/>
              <w:lang w:eastAsia="en-AU"/>
            </w:rPr>
          </w:pPr>
          <w:hyperlink w:anchor="_Toc423434304" w:history="1">
            <w:r w:rsidR="00A55F97" w:rsidRPr="00726B94">
              <w:rPr>
                <w:rStyle w:val="Hyperlink"/>
                <w:noProof/>
              </w:rPr>
              <w:t>V. Pharmacovigilance findings</w:t>
            </w:r>
            <w:r w:rsidR="00A55F97">
              <w:rPr>
                <w:noProof/>
                <w:webHidden/>
              </w:rPr>
              <w:tab/>
            </w:r>
            <w:r w:rsidR="00A55F97">
              <w:rPr>
                <w:noProof/>
                <w:webHidden/>
              </w:rPr>
              <w:fldChar w:fldCharType="begin"/>
            </w:r>
            <w:r w:rsidR="00A55F97">
              <w:rPr>
                <w:noProof/>
                <w:webHidden/>
              </w:rPr>
              <w:instrText xml:space="preserve"> PAGEREF _Toc423434304 \h </w:instrText>
            </w:r>
            <w:r w:rsidR="00A55F97">
              <w:rPr>
                <w:noProof/>
                <w:webHidden/>
              </w:rPr>
            </w:r>
            <w:r w:rsidR="00A55F97">
              <w:rPr>
                <w:noProof/>
                <w:webHidden/>
              </w:rPr>
              <w:fldChar w:fldCharType="separate"/>
            </w:r>
            <w:r w:rsidR="00A55F97">
              <w:rPr>
                <w:noProof/>
                <w:webHidden/>
              </w:rPr>
              <w:t>37</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305" w:history="1">
            <w:r w:rsidR="00A55F97" w:rsidRPr="00726B94">
              <w:rPr>
                <w:rStyle w:val="Hyperlink"/>
                <w:noProof/>
                <w:lang w:eastAsia="en-AU"/>
              </w:rPr>
              <w:t>Risk management plan</w:t>
            </w:r>
            <w:r w:rsidR="00A55F97">
              <w:rPr>
                <w:noProof/>
                <w:webHidden/>
              </w:rPr>
              <w:tab/>
            </w:r>
            <w:r w:rsidR="00A55F97">
              <w:rPr>
                <w:noProof/>
                <w:webHidden/>
              </w:rPr>
              <w:fldChar w:fldCharType="begin"/>
            </w:r>
            <w:r w:rsidR="00A55F97">
              <w:rPr>
                <w:noProof/>
                <w:webHidden/>
              </w:rPr>
              <w:instrText xml:space="preserve"> PAGEREF _Toc423434305 \h </w:instrText>
            </w:r>
            <w:r w:rsidR="00A55F97">
              <w:rPr>
                <w:noProof/>
                <w:webHidden/>
              </w:rPr>
            </w:r>
            <w:r w:rsidR="00A55F97">
              <w:rPr>
                <w:noProof/>
                <w:webHidden/>
              </w:rPr>
              <w:fldChar w:fldCharType="separate"/>
            </w:r>
            <w:r w:rsidR="00A55F97">
              <w:rPr>
                <w:noProof/>
                <w:webHidden/>
              </w:rPr>
              <w:t>37</w:t>
            </w:r>
            <w:r w:rsidR="00A55F97">
              <w:rPr>
                <w:noProof/>
                <w:webHidden/>
              </w:rPr>
              <w:fldChar w:fldCharType="end"/>
            </w:r>
          </w:hyperlink>
        </w:p>
        <w:p w:rsidR="00A55F97" w:rsidRDefault="006552E2">
          <w:pPr>
            <w:pStyle w:val="TOC2"/>
            <w:rPr>
              <w:rFonts w:asciiTheme="minorHAnsi" w:eastAsiaTheme="minorEastAsia" w:hAnsiTheme="minorHAnsi" w:cstheme="minorBidi"/>
              <w:b w:val="0"/>
              <w:noProof/>
              <w:sz w:val="22"/>
              <w:lang w:eastAsia="en-AU"/>
            </w:rPr>
          </w:pPr>
          <w:hyperlink w:anchor="_Toc423434306" w:history="1">
            <w:r w:rsidR="00A55F97" w:rsidRPr="00726B94">
              <w:rPr>
                <w:rStyle w:val="Hyperlink"/>
                <w:noProof/>
              </w:rPr>
              <w:t>VI. Overall conclusion and risk/benefit assessment</w:t>
            </w:r>
            <w:r w:rsidR="00A55F97">
              <w:rPr>
                <w:noProof/>
                <w:webHidden/>
              </w:rPr>
              <w:tab/>
            </w:r>
            <w:r w:rsidR="00A55F97">
              <w:rPr>
                <w:noProof/>
                <w:webHidden/>
              </w:rPr>
              <w:fldChar w:fldCharType="begin"/>
            </w:r>
            <w:r w:rsidR="00A55F97">
              <w:rPr>
                <w:noProof/>
                <w:webHidden/>
              </w:rPr>
              <w:instrText xml:space="preserve"> PAGEREF _Toc423434306 \h </w:instrText>
            </w:r>
            <w:r w:rsidR="00A55F97">
              <w:rPr>
                <w:noProof/>
                <w:webHidden/>
              </w:rPr>
            </w:r>
            <w:r w:rsidR="00A55F97">
              <w:rPr>
                <w:noProof/>
                <w:webHidden/>
              </w:rPr>
              <w:fldChar w:fldCharType="separate"/>
            </w:r>
            <w:r w:rsidR="00A55F97">
              <w:rPr>
                <w:noProof/>
                <w:webHidden/>
              </w:rPr>
              <w:t>43</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307" w:history="1">
            <w:r w:rsidR="00A55F97" w:rsidRPr="00726B94">
              <w:rPr>
                <w:rStyle w:val="Hyperlink"/>
                <w:noProof/>
              </w:rPr>
              <w:t>Quality</w:t>
            </w:r>
            <w:r w:rsidR="00A55F97">
              <w:rPr>
                <w:noProof/>
                <w:webHidden/>
              </w:rPr>
              <w:tab/>
            </w:r>
            <w:r w:rsidR="00A55F97">
              <w:rPr>
                <w:noProof/>
                <w:webHidden/>
              </w:rPr>
              <w:fldChar w:fldCharType="begin"/>
            </w:r>
            <w:r w:rsidR="00A55F97">
              <w:rPr>
                <w:noProof/>
                <w:webHidden/>
              </w:rPr>
              <w:instrText xml:space="preserve"> PAGEREF _Toc423434307 \h </w:instrText>
            </w:r>
            <w:r w:rsidR="00A55F97">
              <w:rPr>
                <w:noProof/>
                <w:webHidden/>
              </w:rPr>
            </w:r>
            <w:r w:rsidR="00A55F97">
              <w:rPr>
                <w:noProof/>
                <w:webHidden/>
              </w:rPr>
              <w:fldChar w:fldCharType="separate"/>
            </w:r>
            <w:r w:rsidR="00A55F97">
              <w:rPr>
                <w:noProof/>
                <w:webHidden/>
              </w:rPr>
              <w:t>43</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308" w:history="1">
            <w:r w:rsidR="00A55F97" w:rsidRPr="00726B94">
              <w:rPr>
                <w:rStyle w:val="Hyperlink"/>
                <w:noProof/>
              </w:rPr>
              <w:t>Nonclinical</w:t>
            </w:r>
            <w:r w:rsidR="00A55F97">
              <w:rPr>
                <w:noProof/>
                <w:webHidden/>
              </w:rPr>
              <w:tab/>
            </w:r>
            <w:r w:rsidR="00A55F97">
              <w:rPr>
                <w:noProof/>
                <w:webHidden/>
              </w:rPr>
              <w:fldChar w:fldCharType="begin"/>
            </w:r>
            <w:r w:rsidR="00A55F97">
              <w:rPr>
                <w:noProof/>
                <w:webHidden/>
              </w:rPr>
              <w:instrText xml:space="preserve"> PAGEREF _Toc423434308 \h </w:instrText>
            </w:r>
            <w:r w:rsidR="00A55F97">
              <w:rPr>
                <w:noProof/>
                <w:webHidden/>
              </w:rPr>
            </w:r>
            <w:r w:rsidR="00A55F97">
              <w:rPr>
                <w:noProof/>
                <w:webHidden/>
              </w:rPr>
              <w:fldChar w:fldCharType="separate"/>
            </w:r>
            <w:r w:rsidR="00A55F97">
              <w:rPr>
                <w:noProof/>
                <w:webHidden/>
              </w:rPr>
              <w:t>44</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309" w:history="1">
            <w:r w:rsidR="00A55F97" w:rsidRPr="00726B94">
              <w:rPr>
                <w:rStyle w:val="Hyperlink"/>
                <w:noProof/>
              </w:rPr>
              <w:t>Clinical</w:t>
            </w:r>
            <w:r w:rsidR="00A55F97">
              <w:rPr>
                <w:noProof/>
                <w:webHidden/>
              </w:rPr>
              <w:tab/>
            </w:r>
            <w:r w:rsidR="00A55F97">
              <w:rPr>
                <w:noProof/>
                <w:webHidden/>
              </w:rPr>
              <w:fldChar w:fldCharType="begin"/>
            </w:r>
            <w:r w:rsidR="00A55F97">
              <w:rPr>
                <w:noProof/>
                <w:webHidden/>
              </w:rPr>
              <w:instrText xml:space="preserve"> PAGEREF _Toc423434309 \h </w:instrText>
            </w:r>
            <w:r w:rsidR="00A55F97">
              <w:rPr>
                <w:noProof/>
                <w:webHidden/>
              </w:rPr>
            </w:r>
            <w:r w:rsidR="00A55F97">
              <w:rPr>
                <w:noProof/>
                <w:webHidden/>
              </w:rPr>
              <w:fldChar w:fldCharType="separate"/>
            </w:r>
            <w:r w:rsidR="00A55F97">
              <w:rPr>
                <w:noProof/>
                <w:webHidden/>
              </w:rPr>
              <w:t>44</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310" w:history="1">
            <w:r w:rsidR="00A55F97" w:rsidRPr="00726B94">
              <w:rPr>
                <w:rStyle w:val="Hyperlink"/>
                <w:noProof/>
                <w:lang w:eastAsia="en-AU"/>
              </w:rPr>
              <w:t>Risk management plan</w:t>
            </w:r>
            <w:r w:rsidR="00A55F97">
              <w:rPr>
                <w:noProof/>
                <w:webHidden/>
              </w:rPr>
              <w:tab/>
            </w:r>
            <w:r w:rsidR="00A55F97">
              <w:rPr>
                <w:noProof/>
                <w:webHidden/>
              </w:rPr>
              <w:fldChar w:fldCharType="begin"/>
            </w:r>
            <w:r w:rsidR="00A55F97">
              <w:rPr>
                <w:noProof/>
                <w:webHidden/>
              </w:rPr>
              <w:instrText xml:space="preserve"> PAGEREF _Toc423434310 \h </w:instrText>
            </w:r>
            <w:r w:rsidR="00A55F97">
              <w:rPr>
                <w:noProof/>
                <w:webHidden/>
              </w:rPr>
            </w:r>
            <w:r w:rsidR="00A55F97">
              <w:rPr>
                <w:noProof/>
                <w:webHidden/>
              </w:rPr>
              <w:fldChar w:fldCharType="separate"/>
            </w:r>
            <w:r w:rsidR="00A55F97">
              <w:rPr>
                <w:noProof/>
                <w:webHidden/>
              </w:rPr>
              <w:t>51</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311" w:history="1">
            <w:r w:rsidR="00A55F97" w:rsidRPr="00726B94">
              <w:rPr>
                <w:rStyle w:val="Hyperlink"/>
                <w:noProof/>
              </w:rPr>
              <w:t>Risk-benefit analysis</w:t>
            </w:r>
            <w:r w:rsidR="00A55F97">
              <w:rPr>
                <w:noProof/>
                <w:webHidden/>
              </w:rPr>
              <w:tab/>
            </w:r>
            <w:r w:rsidR="00A55F97">
              <w:rPr>
                <w:noProof/>
                <w:webHidden/>
              </w:rPr>
              <w:fldChar w:fldCharType="begin"/>
            </w:r>
            <w:r w:rsidR="00A55F97">
              <w:rPr>
                <w:noProof/>
                <w:webHidden/>
              </w:rPr>
              <w:instrText xml:space="preserve"> PAGEREF _Toc423434311 \h </w:instrText>
            </w:r>
            <w:r w:rsidR="00A55F97">
              <w:rPr>
                <w:noProof/>
                <w:webHidden/>
              </w:rPr>
            </w:r>
            <w:r w:rsidR="00A55F97">
              <w:rPr>
                <w:noProof/>
                <w:webHidden/>
              </w:rPr>
              <w:fldChar w:fldCharType="separate"/>
            </w:r>
            <w:r w:rsidR="00A55F97">
              <w:rPr>
                <w:noProof/>
                <w:webHidden/>
              </w:rPr>
              <w:t>51</w:t>
            </w:r>
            <w:r w:rsidR="00A55F97">
              <w:rPr>
                <w:noProof/>
                <w:webHidden/>
              </w:rPr>
              <w:fldChar w:fldCharType="end"/>
            </w:r>
          </w:hyperlink>
        </w:p>
        <w:p w:rsidR="00A55F97" w:rsidRDefault="006552E2">
          <w:pPr>
            <w:pStyle w:val="TOC3"/>
            <w:rPr>
              <w:rFonts w:asciiTheme="minorHAnsi" w:eastAsiaTheme="minorEastAsia" w:hAnsiTheme="minorHAnsi" w:cstheme="minorBidi"/>
              <w:noProof/>
              <w:lang w:eastAsia="en-AU"/>
            </w:rPr>
          </w:pPr>
          <w:hyperlink w:anchor="_Toc423434312" w:history="1">
            <w:r w:rsidR="00A55F97" w:rsidRPr="00726B94">
              <w:rPr>
                <w:rStyle w:val="Hyperlink"/>
                <w:noProof/>
              </w:rPr>
              <w:t>Outcome</w:t>
            </w:r>
            <w:r w:rsidR="00A55F97">
              <w:rPr>
                <w:noProof/>
                <w:webHidden/>
              </w:rPr>
              <w:tab/>
            </w:r>
            <w:r w:rsidR="00A55F97">
              <w:rPr>
                <w:noProof/>
                <w:webHidden/>
              </w:rPr>
              <w:fldChar w:fldCharType="begin"/>
            </w:r>
            <w:r w:rsidR="00A55F97">
              <w:rPr>
                <w:noProof/>
                <w:webHidden/>
              </w:rPr>
              <w:instrText xml:space="preserve"> PAGEREF _Toc423434312 \h </w:instrText>
            </w:r>
            <w:r w:rsidR="00A55F97">
              <w:rPr>
                <w:noProof/>
                <w:webHidden/>
              </w:rPr>
            </w:r>
            <w:r w:rsidR="00A55F97">
              <w:rPr>
                <w:noProof/>
                <w:webHidden/>
              </w:rPr>
              <w:fldChar w:fldCharType="separate"/>
            </w:r>
            <w:r w:rsidR="00A55F97">
              <w:rPr>
                <w:noProof/>
                <w:webHidden/>
              </w:rPr>
              <w:t>59</w:t>
            </w:r>
            <w:r w:rsidR="00A55F97">
              <w:rPr>
                <w:noProof/>
                <w:webHidden/>
              </w:rPr>
              <w:fldChar w:fldCharType="end"/>
            </w:r>
          </w:hyperlink>
        </w:p>
        <w:p w:rsidR="00A55F97" w:rsidRDefault="006552E2">
          <w:pPr>
            <w:pStyle w:val="TOC2"/>
            <w:rPr>
              <w:rFonts w:asciiTheme="minorHAnsi" w:eastAsiaTheme="minorEastAsia" w:hAnsiTheme="minorHAnsi" w:cstheme="minorBidi"/>
              <w:b w:val="0"/>
              <w:noProof/>
              <w:sz w:val="22"/>
              <w:lang w:eastAsia="en-AU"/>
            </w:rPr>
          </w:pPr>
          <w:hyperlink w:anchor="_Toc423434313" w:history="1">
            <w:r w:rsidR="00A55F97" w:rsidRPr="00726B94">
              <w:rPr>
                <w:rStyle w:val="Hyperlink"/>
                <w:noProof/>
              </w:rPr>
              <w:t>Attachment 1. Product Information</w:t>
            </w:r>
            <w:r w:rsidR="00A55F97">
              <w:rPr>
                <w:noProof/>
                <w:webHidden/>
              </w:rPr>
              <w:tab/>
            </w:r>
            <w:r w:rsidR="00A55F97">
              <w:rPr>
                <w:noProof/>
                <w:webHidden/>
              </w:rPr>
              <w:fldChar w:fldCharType="begin"/>
            </w:r>
            <w:r w:rsidR="00A55F97">
              <w:rPr>
                <w:noProof/>
                <w:webHidden/>
              </w:rPr>
              <w:instrText xml:space="preserve"> PAGEREF _Toc423434313 \h </w:instrText>
            </w:r>
            <w:r w:rsidR="00A55F97">
              <w:rPr>
                <w:noProof/>
                <w:webHidden/>
              </w:rPr>
            </w:r>
            <w:r w:rsidR="00A55F97">
              <w:rPr>
                <w:noProof/>
                <w:webHidden/>
              </w:rPr>
              <w:fldChar w:fldCharType="separate"/>
            </w:r>
            <w:r w:rsidR="00A55F97">
              <w:rPr>
                <w:noProof/>
                <w:webHidden/>
              </w:rPr>
              <w:t>59</w:t>
            </w:r>
            <w:r w:rsidR="00A55F97">
              <w:rPr>
                <w:noProof/>
                <w:webHidden/>
              </w:rPr>
              <w:fldChar w:fldCharType="end"/>
            </w:r>
          </w:hyperlink>
        </w:p>
        <w:p w:rsidR="00A55F97" w:rsidRDefault="006552E2">
          <w:pPr>
            <w:pStyle w:val="TOC2"/>
            <w:rPr>
              <w:rFonts w:asciiTheme="minorHAnsi" w:eastAsiaTheme="minorEastAsia" w:hAnsiTheme="minorHAnsi" w:cstheme="minorBidi"/>
              <w:b w:val="0"/>
              <w:noProof/>
              <w:sz w:val="22"/>
              <w:lang w:eastAsia="en-AU"/>
            </w:rPr>
          </w:pPr>
          <w:hyperlink w:anchor="_Toc423434314" w:history="1">
            <w:r w:rsidR="00A55F97" w:rsidRPr="00726B94">
              <w:rPr>
                <w:rStyle w:val="Hyperlink"/>
                <w:noProof/>
                <w:lang w:eastAsia="en-AU"/>
              </w:rPr>
              <w:t>Attachment 2. Extract from the Clinical Evaluation Report</w:t>
            </w:r>
            <w:r w:rsidR="00A55F97">
              <w:rPr>
                <w:noProof/>
                <w:webHidden/>
              </w:rPr>
              <w:tab/>
            </w:r>
            <w:r w:rsidR="00A55F97">
              <w:rPr>
                <w:noProof/>
                <w:webHidden/>
              </w:rPr>
              <w:fldChar w:fldCharType="begin"/>
            </w:r>
            <w:r w:rsidR="00A55F97">
              <w:rPr>
                <w:noProof/>
                <w:webHidden/>
              </w:rPr>
              <w:instrText xml:space="preserve"> PAGEREF _Toc423434314 \h </w:instrText>
            </w:r>
            <w:r w:rsidR="00A55F97">
              <w:rPr>
                <w:noProof/>
                <w:webHidden/>
              </w:rPr>
            </w:r>
            <w:r w:rsidR="00A55F97">
              <w:rPr>
                <w:noProof/>
                <w:webHidden/>
              </w:rPr>
              <w:fldChar w:fldCharType="separate"/>
            </w:r>
            <w:r w:rsidR="00A55F97">
              <w:rPr>
                <w:noProof/>
                <w:webHidden/>
              </w:rPr>
              <w:t>59</w:t>
            </w:r>
            <w:r w:rsidR="00A55F97">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Default="00FD119B" w:rsidP="00E44711">
      <w:pPr>
        <w:pStyle w:val="Heading2"/>
      </w:pPr>
      <w:bookmarkStart w:id="4" w:name="_Toc351716269"/>
      <w:bookmarkStart w:id="5" w:name="_Toc351718881"/>
      <w:bookmarkStart w:id="6" w:name="_Toc355338616"/>
      <w:bookmarkStart w:id="7" w:name="_Toc356306144"/>
      <w:bookmarkStart w:id="8" w:name="_Toc423434279"/>
      <w:r w:rsidRPr="00FD119B">
        <w:lastRenderedPageBreak/>
        <w:t>List of the most common abbreviations</w:t>
      </w:r>
      <w:bookmarkEnd w:id="4"/>
      <w:bookmarkEnd w:id="5"/>
      <w:bookmarkEnd w:id="6"/>
      <w:bookmarkEnd w:id="7"/>
      <w:r w:rsidRPr="00FD119B">
        <w:t xml:space="preserve"> used in this </w:t>
      </w:r>
      <w:r w:rsidRPr="004F0C4A">
        <w:t>AusPAR</w:t>
      </w:r>
      <w:bookmarkEnd w:id="8"/>
    </w:p>
    <w:tbl>
      <w:tblPr>
        <w:tblStyle w:val="TableTGAblue"/>
        <w:tblW w:w="5101" w:type="pct"/>
        <w:tblLook w:val="04A0" w:firstRow="1" w:lastRow="0" w:firstColumn="1" w:lastColumn="0" w:noHBand="0" w:noVBand="1"/>
      </w:tblPr>
      <w:tblGrid>
        <w:gridCol w:w="1890"/>
        <w:gridCol w:w="7006"/>
      </w:tblGrid>
      <w:tr w:rsidR="00A85830" w:rsidTr="00A85830">
        <w:trPr>
          <w:cnfStyle w:val="100000000000" w:firstRow="1" w:lastRow="0" w:firstColumn="0" w:lastColumn="0" w:oddVBand="0" w:evenVBand="0" w:oddHBand="0" w:evenHBand="0" w:firstRowFirstColumn="0" w:firstRowLastColumn="0" w:lastRowFirstColumn="0" w:lastRowLastColumn="0"/>
        </w:trPr>
        <w:tc>
          <w:tcPr>
            <w:tcW w:w="1062" w:type="pct"/>
          </w:tcPr>
          <w:p w:rsidR="00A85830" w:rsidRPr="00DB2B91" w:rsidRDefault="00A85830" w:rsidP="0019576C">
            <w:pPr>
              <w:rPr>
                <w:sz w:val="20"/>
                <w:szCs w:val="20"/>
              </w:rPr>
            </w:pPr>
            <w:r w:rsidRPr="00DB2B91">
              <w:rPr>
                <w:sz w:val="20"/>
                <w:szCs w:val="20"/>
              </w:rPr>
              <w:t>Abbreviation</w:t>
            </w:r>
          </w:p>
        </w:tc>
        <w:tc>
          <w:tcPr>
            <w:tcW w:w="3938" w:type="pct"/>
          </w:tcPr>
          <w:p w:rsidR="00A85830" w:rsidRPr="00DB2B91" w:rsidRDefault="00A85830" w:rsidP="0019576C">
            <w:pPr>
              <w:rPr>
                <w:sz w:val="20"/>
                <w:szCs w:val="20"/>
              </w:rPr>
            </w:pPr>
            <w:r w:rsidRPr="00DB2B91">
              <w:rPr>
                <w:sz w:val="20"/>
                <w:szCs w:val="20"/>
              </w:rPr>
              <w:t>Meaning</w:t>
            </w:r>
          </w:p>
        </w:tc>
      </w:tr>
      <w:tr w:rsidR="00A85830" w:rsidTr="00A85830">
        <w:tc>
          <w:tcPr>
            <w:tcW w:w="1062" w:type="pct"/>
          </w:tcPr>
          <w:p w:rsidR="00A85830" w:rsidRPr="00DB2B91" w:rsidRDefault="00A85830" w:rsidP="0019576C">
            <w:pPr>
              <w:rPr>
                <w:sz w:val="20"/>
                <w:szCs w:val="20"/>
              </w:rPr>
            </w:pPr>
            <w:proofErr w:type="spellStart"/>
            <w:r w:rsidRPr="00DB2B91">
              <w:rPr>
                <w:sz w:val="20"/>
                <w:szCs w:val="20"/>
              </w:rPr>
              <w:t>λx</w:t>
            </w:r>
            <w:proofErr w:type="spellEnd"/>
          </w:p>
        </w:tc>
        <w:tc>
          <w:tcPr>
            <w:tcW w:w="3938" w:type="pct"/>
          </w:tcPr>
          <w:p w:rsidR="00A85830" w:rsidRPr="00DB2B91" w:rsidRDefault="00A85830" w:rsidP="0019576C">
            <w:pPr>
              <w:rPr>
                <w:sz w:val="20"/>
                <w:szCs w:val="20"/>
              </w:rPr>
            </w:pPr>
            <w:r w:rsidRPr="00DB2B91">
              <w:rPr>
                <w:sz w:val="20"/>
                <w:szCs w:val="20"/>
              </w:rPr>
              <w:t>Terminal phase elimination rate constant</w:t>
            </w:r>
          </w:p>
        </w:tc>
      </w:tr>
      <w:tr w:rsidR="00A85830" w:rsidTr="00A85830">
        <w:tc>
          <w:tcPr>
            <w:tcW w:w="1062" w:type="pct"/>
            <w:hideMark/>
          </w:tcPr>
          <w:p w:rsidR="00A85830" w:rsidRPr="00DB2B91" w:rsidRDefault="00A85830" w:rsidP="0019576C">
            <w:pPr>
              <w:rPr>
                <w:sz w:val="20"/>
                <w:szCs w:val="20"/>
              </w:rPr>
            </w:pPr>
            <w:r w:rsidRPr="00DB2B91">
              <w:rPr>
                <w:sz w:val="20"/>
                <w:szCs w:val="20"/>
              </w:rPr>
              <w:t>3TC</w:t>
            </w:r>
          </w:p>
        </w:tc>
        <w:tc>
          <w:tcPr>
            <w:tcW w:w="3938" w:type="pct"/>
            <w:hideMark/>
          </w:tcPr>
          <w:p w:rsidR="00A85830" w:rsidRPr="00DB2B91" w:rsidRDefault="00A85830" w:rsidP="0019576C">
            <w:pPr>
              <w:rPr>
                <w:sz w:val="20"/>
                <w:szCs w:val="20"/>
              </w:rPr>
            </w:pPr>
            <w:r w:rsidRPr="00DB2B91">
              <w:rPr>
                <w:sz w:val="20"/>
                <w:szCs w:val="20"/>
              </w:rPr>
              <w:t>Lamivudine</w:t>
            </w:r>
          </w:p>
        </w:tc>
      </w:tr>
      <w:tr w:rsidR="00A85830" w:rsidTr="00A85830">
        <w:tc>
          <w:tcPr>
            <w:tcW w:w="1062" w:type="pct"/>
            <w:hideMark/>
          </w:tcPr>
          <w:p w:rsidR="00A85830" w:rsidRPr="00DB2B91" w:rsidRDefault="00A85830" w:rsidP="0019576C">
            <w:pPr>
              <w:rPr>
                <w:sz w:val="20"/>
                <w:szCs w:val="20"/>
              </w:rPr>
            </w:pPr>
            <w:r w:rsidRPr="00DB2B91">
              <w:rPr>
                <w:sz w:val="20"/>
                <w:szCs w:val="20"/>
              </w:rPr>
              <w:t>ABC</w:t>
            </w:r>
          </w:p>
        </w:tc>
        <w:tc>
          <w:tcPr>
            <w:tcW w:w="3938" w:type="pct"/>
            <w:hideMark/>
          </w:tcPr>
          <w:p w:rsidR="00A85830" w:rsidRPr="00DB2B91" w:rsidRDefault="00A85830" w:rsidP="0019576C">
            <w:pPr>
              <w:rPr>
                <w:sz w:val="20"/>
                <w:szCs w:val="20"/>
              </w:rPr>
            </w:pPr>
            <w:proofErr w:type="spellStart"/>
            <w:r w:rsidRPr="00DB2B91">
              <w:rPr>
                <w:sz w:val="20"/>
                <w:szCs w:val="20"/>
              </w:rPr>
              <w:t>Abacavir</w:t>
            </w:r>
            <w:proofErr w:type="spellEnd"/>
          </w:p>
        </w:tc>
      </w:tr>
      <w:tr w:rsidR="00A85830" w:rsidTr="00A85830">
        <w:tc>
          <w:tcPr>
            <w:tcW w:w="1062" w:type="pct"/>
            <w:hideMark/>
          </w:tcPr>
          <w:p w:rsidR="00A85830" w:rsidRPr="00DB2B91" w:rsidRDefault="00A85830" w:rsidP="0019576C">
            <w:pPr>
              <w:rPr>
                <w:sz w:val="20"/>
                <w:szCs w:val="20"/>
              </w:rPr>
            </w:pPr>
            <w:r w:rsidRPr="00DB2B91">
              <w:rPr>
                <w:sz w:val="20"/>
                <w:szCs w:val="20"/>
              </w:rPr>
              <w:t>AE</w:t>
            </w:r>
          </w:p>
        </w:tc>
        <w:tc>
          <w:tcPr>
            <w:tcW w:w="3938" w:type="pct"/>
            <w:hideMark/>
          </w:tcPr>
          <w:p w:rsidR="00A85830" w:rsidRPr="00DB2B91" w:rsidRDefault="00A85830" w:rsidP="0019576C">
            <w:pPr>
              <w:rPr>
                <w:sz w:val="20"/>
                <w:szCs w:val="20"/>
              </w:rPr>
            </w:pPr>
            <w:r w:rsidRPr="00DB2B91">
              <w:rPr>
                <w:sz w:val="20"/>
                <w:szCs w:val="20"/>
              </w:rPr>
              <w:t>Adverse event</w:t>
            </w:r>
          </w:p>
        </w:tc>
      </w:tr>
      <w:tr w:rsidR="00A85830" w:rsidTr="00A85830">
        <w:tc>
          <w:tcPr>
            <w:tcW w:w="1062" w:type="pct"/>
            <w:hideMark/>
          </w:tcPr>
          <w:p w:rsidR="00A85830" w:rsidRPr="00DB2B91" w:rsidRDefault="00A85830" w:rsidP="0019576C">
            <w:pPr>
              <w:rPr>
                <w:sz w:val="20"/>
                <w:szCs w:val="20"/>
              </w:rPr>
            </w:pPr>
            <w:r w:rsidRPr="00DB2B91">
              <w:rPr>
                <w:sz w:val="20"/>
                <w:szCs w:val="20"/>
              </w:rPr>
              <w:t>ALT</w:t>
            </w:r>
          </w:p>
        </w:tc>
        <w:tc>
          <w:tcPr>
            <w:tcW w:w="3938" w:type="pct"/>
            <w:hideMark/>
          </w:tcPr>
          <w:p w:rsidR="00A85830" w:rsidRPr="00DB2B91" w:rsidRDefault="00A85830" w:rsidP="0019576C">
            <w:pPr>
              <w:rPr>
                <w:sz w:val="20"/>
                <w:szCs w:val="20"/>
              </w:rPr>
            </w:pPr>
            <w:r w:rsidRPr="00DB2B91">
              <w:rPr>
                <w:sz w:val="20"/>
                <w:szCs w:val="20"/>
              </w:rPr>
              <w:t>Alanine aminotransferase</w:t>
            </w:r>
          </w:p>
        </w:tc>
      </w:tr>
      <w:tr w:rsidR="00A85830" w:rsidTr="00A85830">
        <w:tc>
          <w:tcPr>
            <w:tcW w:w="1062" w:type="pct"/>
            <w:hideMark/>
          </w:tcPr>
          <w:p w:rsidR="00A85830" w:rsidRPr="00DB2B91" w:rsidRDefault="00E44711" w:rsidP="0019576C">
            <w:pPr>
              <w:rPr>
                <w:sz w:val="20"/>
                <w:szCs w:val="20"/>
              </w:rPr>
            </w:pPr>
            <w:r>
              <w:rPr>
                <w:sz w:val="20"/>
                <w:szCs w:val="20"/>
              </w:rPr>
              <w:t>AIDS</w:t>
            </w:r>
          </w:p>
        </w:tc>
        <w:tc>
          <w:tcPr>
            <w:tcW w:w="3938" w:type="pct"/>
            <w:hideMark/>
          </w:tcPr>
          <w:p w:rsidR="00A85830" w:rsidRPr="00DB2B91" w:rsidRDefault="00A85830" w:rsidP="0019576C">
            <w:pPr>
              <w:rPr>
                <w:sz w:val="20"/>
                <w:szCs w:val="20"/>
              </w:rPr>
            </w:pPr>
            <w:r w:rsidRPr="00DB2B91">
              <w:rPr>
                <w:sz w:val="20"/>
                <w:szCs w:val="20"/>
              </w:rPr>
              <w:t>Acquired immunodeficiency syndrome</w:t>
            </w:r>
          </w:p>
        </w:tc>
      </w:tr>
      <w:tr w:rsidR="00A85830" w:rsidTr="00A85830">
        <w:tc>
          <w:tcPr>
            <w:tcW w:w="1062" w:type="pct"/>
            <w:hideMark/>
          </w:tcPr>
          <w:p w:rsidR="00A85830" w:rsidRPr="00DB2B91" w:rsidRDefault="00A85830" w:rsidP="0019576C">
            <w:pPr>
              <w:rPr>
                <w:sz w:val="20"/>
                <w:szCs w:val="20"/>
              </w:rPr>
            </w:pPr>
            <w:r w:rsidRPr="00DB2B91">
              <w:rPr>
                <w:sz w:val="20"/>
                <w:szCs w:val="20"/>
              </w:rPr>
              <w:t>ALP</w:t>
            </w:r>
          </w:p>
        </w:tc>
        <w:tc>
          <w:tcPr>
            <w:tcW w:w="3938" w:type="pct"/>
            <w:hideMark/>
          </w:tcPr>
          <w:p w:rsidR="00A85830" w:rsidRPr="00DB2B91" w:rsidRDefault="00A85830" w:rsidP="0019576C">
            <w:pPr>
              <w:rPr>
                <w:sz w:val="20"/>
                <w:szCs w:val="20"/>
              </w:rPr>
            </w:pPr>
            <w:r w:rsidRPr="00DB2B91">
              <w:rPr>
                <w:sz w:val="20"/>
                <w:szCs w:val="20"/>
              </w:rPr>
              <w:t>Alkaline aminotransferase</w:t>
            </w:r>
          </w:p>
        </w:tc>
      </w:tr>
      <w:tr w:rsidR="00A85830" w:rsidTr="00A85830">
        <w:tc>
          <w:tcPr>
            <w:tcW w:w="1062" w:type="pct"/>
            <w:hideMark/>
          </w:tcPr>
          <w:p w:rsidR="00A85830" w:rsidRPr="00DB2B91" w:rsidRDefault="00A85830" w:rsidP="0019576C">
            <w:pPr>
              <w:rPr>
                <w:sz w:val="20"/>
                <w:szCs w:val="20"/>
              </w:rPr>
            </w:pPr>
            <w:r w:rsidRPr="00DB2B91">
              <w:rPr>
                <w:sz w:val="20"/>
                <w:szCs w:val="20"/>
              </w:rPr>
              <w:t>ART</w:t>
            </w:r>
          </w:p>
        </w:tc>
        <w:tc>
          <w:tcPr>
            <w:tcW w:w="3938" w:type="pct"/>
            <w:hideMark/>
          </w:tcPr>
          <w:p w:rsidR="00A85830" w:rsidRPr="00DB2B91" w:rsidRDefault="00A85830" w:rsidP="0019576C">
            <w:pPr>
              <w:rPr>
                <w:sz w:val="20"/>
                <w:szCs w:val="20"/>
              </w:rPr>
            </w:pPr>
            <w:r w:rsidRPr="00DB2B91">
              <w:rPr>
                <w:sz w:val="20"/>
                <w:szCs w:val="20"/>
              </w:rPr>
              <w:t>Antiretroviral therapy</w:t>
            </w:r>
          </w:p>
        </w:tc>
      </w:tr>
      <w:tr w:rsidR="00A85830" w:rsidTr="00A85830">
        <w:tc>
          <w:tcPr>
            <w:tcW w:w="1062" w:type="pct"/>
            <w:hideMark/>
          </w:tcPr>
          <w:p w:rsidR="00A85830" w:rsidRPr="00DB2B91" w:rsidRDefault="00A85830" w:rsidP="0019576C">
            <w:pPr>
              <w:rPr>
                <w:sz w:val="20"/>
                <w:szCs w:val="20"/>
              </w:rPr>
            </w:pPr>
            <w:r w:rsidRPr="00DB2B91">
              <w:rPr>
                <w:sz w:val="20"/>
                <w:szCs w:val="20"/>
              </w:rPr>
              <w:t>AST</w:t>
            </w:r>
          </w:p>
        </w:tc>
        <w:tc>
          <w:tcPr>
            <w:tcW w:w="3938" w:type="pct"/>
            <w:hideMark/>
          </w:tcPr>
          <w:p w:rsidR="00A85830" w:rsidRPr="00DB2B91" w:rsidRDefault="00E44711" w:rsidP="0019576C">
            <w:pPr>
              <w:rPr>
                <w:sz w:val="20"/>
                <w:szCs w:val="20"/>
              </w:rPr>
            </w:pPr>
            <w:r>
              <w:rPr>
                <w:sz w:val="20"/>
                <w:szCs w:val="20"/>
              </w:rPr>
              <w:t>Aspartate aminotransferase</w:t>
            </w:r>
          </w:p>
        </w:tc>
      </w:tr>
      <w:tr w:rsidR="00A85830" w:rsidTr="00A85830">
        <w:tc>
          <w:tcPr>
            <w:tcW w:w="1062" w:type="pct"/>
            <w:hideMark/>
          </w:tcPr>
          <w:p w:rsidR="00A85830" w:rsidRPr="00DB2B91" w:rsidRDefault="00A85830" w:rsidP="0019576C">
            <w:pPr>
              <w:rPr>
                <w:sz w:val="20"/>
                <w:szCs w:val="20"/>
              </w:rPr>
            </w:pPr>
            <w:r w:rsidRPr="00DB2B91">
              <w:rPr>
                <w:sz w:val="20"/>
                <w:szCs w:val="20"/>
              </w:rPr>
              <w:t>AUC (0 - ∞)</w:t>
            </w:r>
          </w:p>
        </w:tc>
        <w:tc>
          <w:tcPr>
            <w:tcW w:w="3938" w:type="pct"/>
            <w:hideMark/>
          </w:tcPr>
          <w:p w:rsidR="00A85830" w:rsidRPr="00DB2B91" w:rsidRDefault="00A85830" w:rsidP="0019576C">
            <w:pPr>
              <w:rPr>
                <w:sz w:val="20"/>
                <w:szCs w:val="20"/>
              </w:rPr>
            </w:pPr>
            <w:r w:rsidRPr="00DB2B91">
              <w:rPr>
                <w:sz w:val="20"/>
                <w:szCs w:val="20"/>
              </w:rPr>
              <w:t>Area under the concentration-time c</w:t>
            </w:r>
            <w:r w:rsidR="00E44711">
              <w:rPr>
                <w:sz w:val="20"/>
                <w:szCs w:val="20"/>
              </w:rPr>
              <w:t>urve from time zero to infinity</w:t>
            </w:r>
          </w:p>
        </w:tc>
      </w:tr>
      <w:tr w:rsidR="00A85830" w:rsidTr="00A85830">
        <w:tc>
          <w:tcPr>
            <w:tcW w:w="1062" w:type="pct"/>
            <w:hideMark/>
          </w:tcPr>
          <w:p w:rsidR="00A85830" w:rsidRPr="00DB2B91" w:rsidRDefault="00A85830" w:rsidP="0019576C">
            <w:pPr>
              <w:rPr>
                <w:sz w:val="20"/>
                <w:szCs w:val="20"/>
              </w:rPr>
            </w:pPr>
            <w:r w:rsidRPr="00DB2B91">
              <w:rPr>
                <w:sz w:val="20"/>
                <w:szCs w:val="20"/>
              </w:rPr>
              <w:t>AUC (0 – 24)</w:t>
            </w:r>
          </w:p>
        </w:tc>
        <w:tc>
          <w:tcPr>
            <w:tcW w:w="3938" w:type="pct"/>
            <w:hideMark/>
          </w:tcPr>
          <w:p w:rsidR="00A85830" w:rsidRPr="00DB2B91" w:rsidRDefault="00A85830" w:rsidP="0019576C">
            <w:pPr>
              <w:rPr>
                <w:sz w:val="20"/>
                <w:szCs w:val="20"/>
              </w:rPr>
            </w:pPr>
            <w:r w:rsidRPr="00DB2B91">
              <w:rPr>
                <w:sz w:val="20"/>
                <w:szCs w:val="20"/>
              </w:rPr>
              <w:t>Area under the concentration-time curve from time zero to 24 hours</w:t>
            </w:r>
          </w:p>
        </w:tc>
      </w:tr>
      <w:tr w:rsidR="00A85830" w:rsidTr="00A85830">
        <w:tc>
          <w:tcPr>
            <w:tcW w:w="1062" w:type="pct"/>
            <w:hideMark/>
          </w:tcPr>
          <w:p w:rsidR="00A85830" w:rsidRPr="00DB2B91" w:rsidRDefault="00A85830" w:rsidP="0019576C">
            <w:pPr>
              <w:rPr>
                <w:sz w:val="20"/>
                <w:szCs w:val="20"/>
              </w:rPr>
            </w:pPr>
            <w:r w:rsidRPr="00DB2B91">
              <w:rPr>
                <w:sz w:val="20"/>
                <w:szCs w:val="20"/>
              </w:rPr>
              <w:t>AUC (0 – τ)</w:t>
            </w:r>
          </w:p>
        </w:tc>
        <w:tc>
          <w:tcPr>
            <w:tcW w:w="3938" w:type="pct"/>
            <w:hideMark/>
          </w:tcPr>
          <w:p w:rsidR="00A85830" w:rsidRPr="00DB2B91" w:rsidRDefault="00A85830" w:rsidP="0019576C">
            <w:pPr>
              <w:rPr>
                <w:sz w:val="20"/>
                <w:szCs w:val="20"/>
              </w:rPr>
            </w:pPr>
            <w:r w:rsidRPr="00DB2B91">
              <w:rPr>
                <w:sz w:val="20"/>
                <w:szCs w:val="20"/>
              </w:rPr>
              <w:t>Area under the concentration-time curve over the dosing interval</w:t>
            </w:r>
          </w:p>
        </w:tc>
      </w:tr>
      <w:tr w:rsidR="00A85830" w:rsidTr="00A85830">
        <w:tc>
          <w:tcPr>
            <w:tcW w:w="1062" w:type="pct"/>
            <w:hideMark/>
          </w:tcPr>
          <w:p w:rsidR="00A85830" w:rsidRPr="00DB2B91" w:rsidRDefault="00A85830" w:rsidP="0019576C">
            <w:pPr>
              <w:rPr>
                <w:sz w:val="20"/>
                <w:szCs w:val="20"/>
              </w:rPr>
            </w:pPr>
            <w:r w:rsidRPr="00DB2B91">
              <w:rPr>
                <w:sz w:val="20"/>
                <w:szCs w:val="20"/>
              </w:rPr>
              <w:t>%</w:t>
            </w:r>
            <w:proofErr w:type="spellStart"/>
            <w:r w:rsidRPr="00DB2B91">
              <w:rPr>
                <w:sz w:val="20"/>
                <w:szCs w:val="20"/>
              </w:rPr>
              <w:t>AUCex</w:t>
            </w:r>
            <w:proofErr w:type="spellEnd"/>
          </w:p>
        </w:tc>
        <w:tc>
          <w:tcPr>
            <w:tcW w:w="3938" w:type="pct"/>
            <w:hideMark/>
          </w:tcPr>
          <w:p w:rsidR="00A85830" w:rsidRPr="00DB2B91" w:rsidRDefault="00A85830" w:rsidP="0019576C">
            <w:pPr>
              <w:rPr>
                <w:sz w:val="20"/>
                <w:szCs w:val="20"/>
              </w:rPr>
            </w:pPr>
            <w:r w:rsidRPr="00DB2B91">
              <w:rPr>
                <w:sz w:val="20"/>
                <w:szCs w:val="20"/>
              </w:rPr>
              <w:t>Percentage of AUC(0 - ∞) obtained by extrapolation</w:t>
            </w:r>
          </w:p>
        </w:tc>
      </w:tr>
      <w:tr w:rsidR="00A85830" w:rsidTr="00A85830">
        <w:tc>
          <w:tcPr>
            <w:tcW w:w="1062" w:type="pct"/>
            <w:hideMark/>
          </w:tcPr>
          <w:p w:rsidR="00A85830" w:rsidRPr="00DB2B91" w:rsidRDefault="00A85830" w:rsidP="0019576C">
            <w:pPr>
              <w:rPr>
                <w:sz w:val="20"/>
                <w:szCs w:val="20"/>
              </w:rPr>
            </w:pPr>
            <w:r w:rsidRPr="00DB2B91">
              <w:rPr>
                <w:sz w:val="20"/>
                <w:szCs w:val="20"/>
              </w:rPr>
              <w:t>BD</w:t>
            </w:r>
          </w:p>
        </w:tc>
        <w:tc>
          <w:tcPr>
            <w:tcW w:w="3938" w:type="pct"/>
            <w:hideMark/>
          </w:tcPr>
          <w:p w:rsidR="00A85830" w:rsidRPr="00DB2B91" w:rsidRDefault="00A85830" w:rsidP="0019576C">
            <w:pPr>
              <w:rPr>
                <w:sz w:val="20"/>
                <w:szCs w:val="20"/>
              </w:rPr>
            </w:pPr>
            <w:r w:rsidRPr="00DB2B91">
              <w:rPr>
                <w:sz w:val="20"/>
                <w:szCs w:val="20"/>
              </w:rPr>
              <w:t>Twice daily</w:t>
            </w:r>
          </w:p>
        </w:tc>
      </w:tr>
      <w:tr w:rsidR="00A85830" w:rsidTr="00A85830">
        <w:tc>
          <w:tcPr>
            <w:tcW w:w="1062" w:type="pct"/>
            <w:hideMark/>
          </w:tcPr>
          <w:p w:rsidR="00A85830" w:rsidRPr="00DB2B91" w:rsidRDefault="00A85830" w:rsidP="0019576C">
            <w:pPr>
              <w:rPr>
                <w:sz w:val="20"/>
                <w:szCs w:val="20"/>
              </w:rPr>
            </w:pPr>
            <w:r w:rsidRPr="00DB2B91">
              <w:rPr>
                <w:sz w:val="20"/>
                <w:szCs w:val="20"/>
              </w:rPr>
              <w:t>BID</w:t>
            </w:r>
          </w:p>
        </w:tc>
        <w:tc>
          <w:tcPr>
            <w:tcW w:w="3938" w:type="pct"/>
            <w:hideMark/>
          </w:tcPr>
          <w:p w:rsidR="00A85830" w:rsidRPr="00DB2B91" w:rsidRDefault="00A85830" w:rsidP="0019576C">
            <w:pPr>
              <w:rPr>
                <w:sz w:val="20"/>
                <w:szCs w:val="20"/>
              </w:rPr>
            </w:pPr>
            <w:r w:rsidRPr="00DB2B91">
              <w:rPr>
                <w:sz w:val="20"/>
                <w:szCs w:val="20"/>
              </w:rPr>
              <w:t>Twice daily</w:t>
            </w:r>
          </w:p>
        </w:tc>
      </w:tr>
      <w:tr w:rsidR="00A85830" w:rsidTr="00A85830">
        <w:tc>
          <w:tcPr>
            <w:tcW w:w="1062" w:type="pct"/>
            <w:hideMark/>
          </w:tcPr>
          <w:p w:rsidR="00A85830" w:rsidRPr="00DB2B91" w:rsidRDefault="00A85830" w:rsidP="0019576C">
            <w:pPr>
              <w:rPr>
                <w:sz w:val="20"/>
                <w:szCs w:val="20"/>
              </w:rPr>
            </w:pPr>
            <w:r w:rsidRPr="00DB2B91">
              <w:rPr>
                <w:sz w:val="20"/>
                <w:szCs w:val="20"/>
              </w:rPr>
              <w:t>BCRP</w:t>
            </w:r>
          </w:p>
        </w:tc>
        <w:tc>
          <w:tcPr>
            <w:tcW w:w="3938" w:type="pct"/>
            <w:hideMark/>
          </w:tcPr>
          <w:p w:rsidR="00A85830" w:rsidRPr="00DB2B91" w:rsidRDefault="00A85830" w:rsidP="0019576C">
            <w:pPr>
              <w:rPr>
                <w:sz w:val="20"/>
                <w:szCs w:val="20"/>
              </w:rPr>
            </w:pPr>
            <w:r w:rsidRPr="00DB2B91">
              <w:rPr>
                <w:sz w:val="20"/>
                <w:szCs w:val="20"/>
              </w:rPr>
              <w:t>Breast cancer resistance protein</w:t>
            </w:r>
          </w:p>
        </w:tc>
      </w:tr>
      <w:tr w:rsidR="00A85830" w:rsidTr="00A85830">
        <w:tc>
          <w:tcPr>
            <w:tcW w:w="1062" w:type="pct"/>
            <w:hideMark/>
          </w:tcPr>
          <w:p w:rsidR="00A85830" w:rsidRPr="00DB2B91" w:rsidRDefault="00A85830" w:rsidP="0019576C">
            <w:pPr>
              <w:rPr>
                <w:sz w:val="20"/>
                <w:szCs w:val="20"/>
              </w:rPr>
            </w:pPr>
            <w:proofErr w:type="spellStart"/>
            <w:r w:rsidRPr="00DB2B91">
              <w:rPr>
                <w:sz w:val="20"/>
                <w:szCs w:val="20"/>
              </w:rPr>
              <w:t>BilT</w:t>
            </w:r>
            <w:proofErr w:type="spellEnd"/>
          </w:p>
        </w:tc>
        <w:tc>
          <w:tcPr>
            <w:tcW w:w="3938" w:type="pct"/>
            <w:hideMark/>
          </w:tcPr>
          <w:p w:rsidR="00A85830" w:rsidRPr="00DB2B91" w:rsidRDefault="00A85830" w:rsidP="0019576C">
            <w:pPr>
              <w:rPr>
                <w:sz w:val="20"/>
                <w:szCs w:val="20"/>
              </w:rPr>
            </w:pPr>
            <w:r w:rsidRPr="00DB2B91">
              <w:rPr>
                <w:sz w:val="20"/>
                <w:szCs w:val="20"/>
              </w:rPr>
              <w:t>Total</w:t>
            </w:r>
            <w:r w:rsidR="00E873CA" w:rsidRPr="00DB2B91">
              <w:rPr>
                <w:sz w:val="20"/>
                <w:szCs w:val="20"/>
              </w:rPr>
              <w:t xml:space="preserve"> </w:t>
            </w:r>
            <w:r w:rsidRPr="00DB2B91">
              <w:rPr>
                <w:sz w:val="20"/>
                <w:szCs w:val="20"/>
              </w:rPr>
              <w:t>bilirubin</w:t>
            </w:r>
          </w:p>
        </w:tc>
      </w:tr>
      <w:tr w:rsidR="00A85830" w:rsidTr="00A85830">
        <w:tc>
          <w:tcPr>
            <w:tcW w:w="1062" w:type="pct"/>
            <w:hideMark/>
          </w:tcPr>
          <w:p w:rsidR="00A85830" w:rsidRPr="00DB2B91" w:rsidRDefault="00A85830" w:rsidP="0019576C">
            <w:pPr>
              <w:rPr>
                <w:sz w:val="20"/>
                <w:szCs w:val="20"/>
              </w:rPr>
            </w:pPr>
            <w:r w:rsidRPr="00DB2B91">
              <w:rPr>
                <w:sz w:val="20"/>
                <w:szCs w:val="20"/>
              </w:rPr>
              <w:t>BMI</w:t>
            </w:r>
          </w:p>
        </w:tc>
        <w:tc>
          <w:tcPr>
            <w:tcW w:w="3938" w:type="pct"/>
            <w:hideMark/>
          </w:tcPr>
          <w:p w:rsidR="00A85830" w:rsidRPr="00DB2B91" w:rsidRDefault="00A85830" w:rsidP="0019576C">
            <w:pPr>
              <w:rPr>
                <w:sz w:val="20"/>
                <w:szCs w:val="20"/>
              </w:rPr>
            </w:pPr>
            <w:r w:rsidRPr="00DB2B91">
              <w:rPr>
                <w:sz w:val="20"/>
                <w:szCs w:val="20"/>
              </w:rPr>
              <w:t>Body</w:t>
            </w:r>
            <w:r w:rsidR="00E873CA" w:rsidRPr="00DB2B91">
              <w:rPr>
                <w:sz w:val="20"/>
                <w:szCs w:val="20"/>
              </w:rPr>
              <w:t xml:space="preserve"> </w:t>
            </w:r>
            <w:r w:rsidRPr="00DB2B91">
              <w:rPr>
                <w:sz w:val="20"/>
                <w:szCs w:val="20"/>
              </w:rPr>
              <w:t>mass index</w:t>
            </w:r>
          </w:p>
        </w:tc>
      </w:tr>
      <w:tr w:rsidR="00A85830" w:rsidTr="00A85830">
        <w:tc>
          <w:tcPr>
            <w:tcW w:w="1062" w:type="pct"/>
            <w:hideMark/>
          </w:tcPr>
          <w:p w:rsidR="00A85830" w:rsidRPr="00DB2B91" w:rsidRDefault="00A85830" w:rsidP="0019576C">
            <w:pPr>
              <w:rPr>
                <w:sz w:val="20"/>
                <w:szCs w:val="20"/>
              </w:rPr>
            </w:pPr>
            <w:r w:rsidRPr="00DB2B91">
              <w:rPr>
                <w:sz w:val="20"/>
                <w:szCs w:val="20"/>
              </w:rPr>
              <w:t>BP</w:t>
            </w:r>
          </w:p>
        </w:tc>
        <w:tc>
          <w:tcPr>
            <w:tcW w:w="3938" w:type="pct"/>
            <w:hideMark/>
          </w:tcPr>
          <w:p w:rsidR="00A85830" w:rsidRPr="00DB2B91" w:rsidRDefault="00A85830" w:rsidP="0019576C">
            <w:pPr>
              <w:rPr>
                <w:sz w:val="20"/>
                <w:szCs w:val="20"/>
              </w:rPr>
            </w:pPr>
            <w:r w:rsidRPr="00DB2B91">
              <w:rPr>
                <w:sz w:val="20"/>
                <w:szCs w:val="20"/>
              </w:rPr>
              <w:t>Blood</w:t>
            </w:r>
            <w:r w:rsidR="00E873CA" w:rsidRPr="00DB2B91">
              <w:rPr>
                <w:sz w:val="20"/>
                <w:szCs w:val="20"/>
              </w:rPr>
              <w:t xml:space="preserve"> </w:t>
            </w:r>
            <w:r w:rsidRPr="00DB2B91">
              <w:rPr>
                <w:sz w:val="20"/>
                <w:szCs w:val="20"/>
              </w:rPr>
              <w:t>pressure</w:t>
            </w:r>
          </w:p>
        </w:tc>
      </w:tr>
      <w:tr w:rsidR="00A85830" w:rsidTr="00A85830">
        <w:tc>
          <w:tcPr>
            <w:tcW w:w="1062" w:type="pct"/>
            <w:hideMark/>
          </w:tcPr>
          <w:p w:rsidR="00A85830" w:rsidRPr="00DB2B91" w:rsidRDefault="00A85830" w:rsidP="0019576C">
            <w:pPr>
              <w:rPr>
                <w:sz w:val="20"/>
                <w:szCs w:val="20"/>
              </w:rPr>
            </w:pPr>
            <w:r w:rsidRPr="00DB2B91">
              <w:rPr>
                <w:sz w:val="20"/>
                <w:szCs w:val="20"/>
              </w:rPr>
              <w:t>C24</w:t>
            </w:r>
          </w:p>
        </w:tc>
        <w:tc>
          <w:tcPr>
            <w:tcW w:w="3938" w:type="pct"/>
            <w:hideMark/>
          </w:tcPr>
          <w:p w:rsidR="00A85830" w:rsidRPr="00DB2B91" w:rsidRDefault="00A85830" w:rsidP="0019576C">
            <w:pPr>
              <w:rPr>
                <w:sz w:val="20"/>
                <w:szCs w:val="20"/>
              </w:rPr>
            </w:pPr>
            <w:r w:rsidRPr="00DB2B91">
              <w:rPr>
                <w:sz w:val="20"/>
                <w:szCs w:val="20"/>
              </w:rPr>
              <w:t>Concentration</w:t>
            </w:r>
            <w:r w:rsidR="00E873CA" w:rsidRPr="00DB2B91">
              <w:rPr>
                <w:sz w:val="20"/>
                <w:szCs w:val="20"/>
              </w:rPr>
              <w:t xml:space="preserve"> </w:t>
            </w:r>
            <w:r w:rsidRPr="00DB2B91">
              <w:rPr>
                <w:sz w:val="20"/>
                <w:szCs w:val="20"/>
              </w:rPr>
              <w:t>at 24 hours</w:t>
            </w:r>
          </w:p>
        </w:tc>
      </w:tr>
      <w:tr w:rsidR="00A85830" w:rsidTr="00A85830">
        <w:tc>
          <w:tcPr>
            <w:tcW w:w="1062" w:type="pct"/>
            <w:hideMark/>
          </w:tcPr>
          <w:p w:rsidR="00A85830" w:rsidRPr="00DB2B91" w:rsidRDefault="00A85830" w:rsidP="0019576C">
            <w:pPr>
              <w:rPr>
                <w:sz w:val="20"/>
                <w:szCs w:val="20"/>
              </w:rPr>
            </w:pPr>
            <w:r w:rsidRPr="00DB2B91">
              <w:rPr>
                <w:sz w:val="20"/>
                <w:szCs w:val="20"/>
              </w:rPr>
              <w:t>CDC</w:t>
            </w:r>
          </w:p>
        </w:tc>
        <w:tc>
          <w:tcPr>
            <w:tcW w:w="3938" w:type="pct"/>
            <w:hideMark/>
          </w:tcPr>
          <w:p w:rsidR="00A85830" w:rsidRPr="00DB2B91" w:rsidRDefault="00A85830" w:rsidP="0019576C">
            <w:pPr>
              <w:rPr>
                <w:sz w:val="20"/>
                <w:szCs w:val="20"/>
              </w:rPr>
            </w:pPr>
            <w:r w:rsidRPr="00DB2B91">
              <w:rPr>
                <w:sz w:val="20"/>
                <w:szCs w:val="20"/>
              </w:rPr>
              <w:t>Centres for Disease Control</w:t>
            </w:r>
          </w:p>
        </w:tc>
      </w:tr>
      <w:tr w:rsidR="00A85830" w:rsidTr="00A85830">
        <w:tc>
          <w:tcPr>
            <w:tcW w:w="1062" w:type="pct"/>
            <w:hideMark/>
          </w:tcPr>
          <w:p w:rsidR="00A85830" w:rsidRPr="00DB2B91" w:rsidRDefault="00A85830" w:rsidP="0019576C">
            <w:pPr>
              <w:rPr>
                <w:sz w:val="20"/>
                <w:szCs w:val="20"/>
              </w:rPr>
            </w:pPr>
            <w:r w:rsidRPr="00DB2B91">
              <w:rPr>
                <w:sz w:val="20"/>
                <w:szCs w:val="20"/>
              </w:rPr>
              <w:t>CER</w:t>
            </w:r>
          </w:p>
        </w:tc>
        <w:tc>
          <w:tcPr>
            <w:tcW w:w="3938" w:type="pct"/>
            <w:hideMark/>
          </w:tcPr>
          <w:p w:rsidR="00A85830" w:rsidRPr="00DB2B91" w:rsidRDefault="00A85830" w:rsidP="0019576C">
            <w:pPr>
              <w:rPr>
                <w:sz w:val="20"/>
                <w:szCs w:val="20"/>
              </w:rPr>
            </w:pPr>
            <w:r w:rsidRPr="00DB2B91">
              <w:rPr>
                <w:sz w:val="20"/>
                <w:szCs w:val="20"/>
              </w:rPr>
              <w:t>Clinical</w:t>
            </w:r>
            <w:r w:rsidR="00E873CA" w:rsidRPr="00DB2B91">
              <w:rPr>
                <w:sz w:val="20"/>
                <w:szCs w:val="20"/>
              </w:rPr>
              <w:t xml:space="preserve"> </w:t>
            </w:r>
            <w:r w:rsidRPr="00DB2B91">
              <w:rPr>
                <w:sz w:val="20"/>
                <w:szCs w:val="20"/>
              </w:rPr>
              <w:t>evaluation report</w:t>
            </w:r>
          </w:p>
        </w:tc>
      </w:tr>
      <w:tr w:rsidR="00A85830" w:rsidTr="00A85830">
        <w:tc>
          <w:tcPr>
            <w:tcW w:w="1062" w:type="pct"/>
            <w:hideMark/>
          </w:tcPr>
          <w:p w:rsidR="00A85830" w:rsidRPr="00DB2B91" w:rsidRDefault="00A85830" w:rsidP="0019576C">
            <w:pPr>
              <w:rPr>
                <w:sz w:val="20"/>
                <w:szCs w:val="20"/>
              </w:rPr>
            </w:pPr>
            <w:r w:rsidRPr="00DB2B91">
              <w:rPr>
                <w:sz w:val="20"/>
                <w:szCs w:val="20"/>
              </w:rPr>
              <w:t>CI</w:t>
            </w:r>
          </w:p>
        </w:tc>
        <w:tc>
          <w:tcPr>
            <w:tcW w:w="3938" w:type="pct"/>
            <w:hideMark/>
          </w:tcPr>
          <w:p w:rsidR="00A85830" w:rsidRPr="00DB2B91" w:rsidRDefault="00A85830" w:rsidP="0019576C">
            <w:pPr>
              <w:rPr>
                <w:sz w:val="20"/>
                <w:szCs w:val="20"/>
              </w:rPr>
            </w:pPr>
            <w:r w:rsidRPr="00DB2B91">
              <w:rPr>
                <w:sz w:val="20"/>
                <w:szCs w:val="20"/>
              </w:rPr>
              <w:t>Confidence</w:t>
            </w:r>
            <w:r w:rsidR="00E873CA" w:rsidRPr="00DB2B91">
              <w:rPr>
                <w:sz w:val="20"/>
                <w:szCs w:val="20"/>
              </w:rPr>
              <w:t xml:space="preserve"> </w:t>
            </w:r>
            <w:r w:rsidRPr="00DB2B91">
              <w:rPr>
                <w:sz w:val="20"/>
                <w:szCs w:val="20"/>
              </w:rPr>
              <w:t>interval</w:t>
            </w:r>
          </w:p>
        </w:tc>
      </w:tr>
      <w:tr w:rsidR="00A85830" w:rsidTr="00A85830">
        <w:tc>
          <w:tcPr>
            <w:tcW w:w="1062" w:type="pct"/>
            <w:hideMark/>
          </w:tcPr>
          <w:p w:rsidR="00A85830" w:rsidRPr="00DB2B91" w:rsidRDefault="00A85830" w:rsidP="0019576C">
            <w:pPr>
              <w:rPr>
                <w:sz w:val="20"/>
                <w:szCs w:val="20"/>
              </w:rPr>
            </w:pPr>
            <w:r w:rsidRPr="00DB2B91">
              <w:rPr>
                <w:sz w:val="20"/>
                <w:szCs w:val="20"/>
              </w:rPr>
              <w:t>CK</w:t>
            </w:r>
          </w:p>
        </w:tc>
        <w:tc>
          <w:tcPr>
            <w:tcW w:w="3938" w:type="pct"/>
            <w:hideMark/>
          </w:tcPr>
          <w:p w:rsidR="00A85830" w:rsidRPr="00DB2B91" w:rsidRDefault="00A85830" w:rsidP="0019576C">
            <w:pPr>
              <w:rPr>
                <w:sz w:val="20"/>
                <w:szCs w:val="20"/>
              </w:rPr>
            </w:pPr>
            <w:r w:rsidRPr="00DB2B91">
              <w:rPr>
                <w:sz w:val="20"/>
                <w:szCs w:val="20"/>
              </w:rPr>
              <w:t>Creatine</w:t>
            </w:r>
            <w:r w:rsidR="00E873CA" w:rsidRPr="00DB2B91">
              <w:rPr>
                <w:sz w:val="20"/>
                <w:szCs w:val="20"/>
              </w:rPr>
              <w:t xml:space="preserve"> </w:t>
            </w:r>
            <w:r w:rsidRPr="00DB2B91">
              <w:rPr>
                <w:sz w:val="20"/>
                <w:szCs w:val="20"/>
              </w:rPr>
              <w:t>kinase</w:t>
            </w:r>
          </w:p>
        </w:tc>
      </w:tr>
      <w:tr w:rsidR="00A85830" w:rsidTr="00A85830">
        <w:tc>
          <w:tcPr>
            <w:tcW w:w="1062" w:type="pct"/>
            <w:hideMark/>
          </w:tcPr>
          <w:p w:rsidR="00A85830" w:rsidRPr="00DB2B91" w:rsidRDefault="00A85830" w:rsidP="0019576C">
            <w:pPr>
              <w:rPr>
                <w:sz w:val="20"/>
                <w:szCs w:val="20"/>
              </w:rPr>
            </w:pPr>
            <w:r w:rsidRPr="00DB2B91">
              <w:rPr>
                <w:sz w:val="20"/>
                <w:szCs w:val="20"/>
              </w:rPr>
              <w:t>CL/F</w:t>
            </w:r>
          </w:p>
        </w:tc>
        <w:tc>
          <w:tcPr>
            <w:tcW w:w="3938" w:type="pct"/>
            <w:hideMark/>
          </w:tcPr>
          <w:p w:rsidR="00A85830" w:rsidRPr="00DB2B91" w:rsidRDefault="00A85830" w:rsidP="0019576C">
            <w:pPr>
              <w:rPr>
                <w:sz w:val="20"/>
                <w:szCs w:val="20"/>
              </w:rPr>
            </w:pPr>
            <w:r w:rsidRPr="00DB2B91">
              <w:rPr>
                <w:sz w:val="20"/>
                <w:szCs w:val="20"/>
              </w:rPr>
              <w:t>Apparent</w:t>
            </w:r>
            <w:r w:rsidR="00E873CA" w:rsidRPr="00DB2B91">
              <w:rPr>
                <w:sz w:val="20"/>
                <w:szCs w:val="20"/>
              </w:rPr>
              <w:t xml:space="preserve"> </w:t>
            </w:r>
            <w:r w:rsidRPr="00DB2B91">
              <w:rPr>
                <w:sz w:val="20"/>
                <w:szCs w:val="20"/>
              </w:rPr>
              <w:t>clearance after oral administration</w:t>
            </w:r>
          </w:p>
        </w:tc>
      </w:tr>
      <w:tr w:rsidR="00A85830" w:rsidTr="00A85830">
        <w:tc>
          <w:tcPr>
            <w:tcW w:w="1062" w:type="pct"/>
            <w:hideMark/>
          </w:tcPr>
          <w:p w:rsidR="00A85830" w:rsidRPr="00DB2B91" w:rsidRDefault="00A85830" w:rsidP="0019576C">
            <w:pPr>
              <w:rPr>
                <w:sz w:val="20"/>
                <w:szCs w:val="20"/>
              </w:rPr>
            </w:pPr>
            <w:r w:rsidRPr="00DB2B91">
              <w:rPr>
                <w:sz w:val="20"/>
                <w:szCs w:val="20"/>
              </w:rPr>
              <w:lastRenderedPageBreak/>
              <w:t>Cmax</w:t>
            </w:r>
          </w:p>
        </w:tc>
        <w:tc>
          <w:tcPr>
            <w:tcW w:w="3938" w:type="pct"/>
            <w:hideMark/>
          </w:tcPr>
          <w:p w:rsidR="00A85830" w:rsidRPr="00DB2B91" w:rsidRDefault="00A85830" w:rsidP="0019576C">
            <w:pPr>
              <w:rPr>
                <w:sz w:val="20"/>
                <w:szCs w:val="20"/>
              </w:rPr>
            </w:pPr>
            <w:r w:rsidRPr="00DB2B91">
              <w:rPr>
                <w:sz w:val="20"/>
                <w:szCs w:val="20"/>
              </w:rPr>
              <w:t>Maximum</w:t>
            </w:r>
            <w:r w:rsidR="00E873CA" w:rsidRPr="00DB2B91">
              <w:rPr>
                <w:sz w:val="20"/>
                <w:szCs w:val="20"/>
              </w:rPr>
              <w:t xml:space="preserve"> </w:t>
            </w:r>
            <w:r w:rsidRPr="00DB2B91">
              <w:rPr>
                <w:sz w:val="20"/>
                <w:szCs w:val="20"/>
              </w:rPr>
              <w:t>observed concentration</w:t>
            </w:r>
          </w:p>
        </w:tc>
      </w:tr>
      <w:tr w:rsidR="00A85830" w:rsidTr="00A85830">
        <w:tc>
          <w:tcPr>
            <w:tcW w:w="1062" w:type="pct"/>
            <w:hideMark/>
          </w:tcPr>
          <w:p w:rsidR="00A85830" w:rsidRPr="00DB2B91" w:rsidRDefault="00A85830" w:rsidP="0019576C">
            <w:pPr>
              <w:rPr>
                <w:sz w:val="20"/>
                <w:szCs w:val="20"/>
              </w:rPr>
            </w:pPr>
            <w:r w:rsidRPr="00DB2B91">
              <w:rPr>
                <w:sz w:val="20"/>
                <w:szCs w:val="20"/>
              </w:rPr>
              <w:t>c/mL</w:t>
            </w:r>
          </w:p>
        </w:tc>
        <w:tc>
          <w:tcPr>
            <w:tcW w:w="3938" w:type="pct"/>
            <w:hideMark/>
          </w:tcPr>
          <w:p w:rsidR="00A85830" w:rsidRPr="00DB2B91" w:rsidRDefault="00A85830" w:rsidP="0019576C">
            <w:pPr>
              <w:rPr>
                <w:sz w:val="20"/>
                <w:szCs w:val="20"/>
              </w:rPr>
            </w:pPr>
            <w:r w:rsidRPr="00DB2B91">
              <w:rPr>
                <w:sz w:val="20"/>
                <w:szCs w:val="20"/>
              </w:rPr>
              <w:t>Copies</w:t>
            </w:r>
            <w:r w:rsidR="00E873CA" w:rsidRPr="00DB2B91">
              <w:rPr>
                <w:sz w:val="20"/>
                <w:szCs w:val="20"/>
              </w:rPr>
              <w:t xml:space="preserve"> </w:t>
            </w:r>
            <w:r w:rsidRPr="00DB2B91">
              <w:rPr>
                <w:sz w:val="20"/>
                <w:szCs w:val="20"/>
              </w:rPr>
              <w:t>per millilitre</w:t>
            </w:r>
          </w:p>
        </w:tc>
      </w:tr>
      <w:tr w:rsidR="00A85830" w:rsidTr="00A85830">
        <w:tc>
          <w:tcPr>
            <w:tcW w:w="1062" w:type="pct"/>
            <w:hideMark/>
          </w:tcPr>
          <w:p w:rsidR="00A85830" w:rsidRPr="00DB2B91" w:rsidRDefault="00A85830" w:rsidP="0019576C">
            <w:pPr>
              <w:rPr>
                <w:sz w:val="20"/>
                <w:szCs w:val="20"/>
              </w:rPr>
            </w:pPr>
            <w:r w:rsidRPr="00DB2B91">
              <w:rPr>
                <w:sz w:val="20"/>
                <w:szCs w:val="20"/>
              </w:rPr>
              <w:t>CPK</w:t>
            </w:r>
          </w:p>
        </w:tc>
        <w:tc>
          <w:tcPr>
            <w:tcW w:w="3938" w:type="pct"/>
            <w:hideMark/>
          </w:tcPr>
          <w:p w:rsidR="00A85830" w:rsidRPr="00DB2B91" w:rsidRDefault="00A85830" w:rsidP="0019576C">
            <w:pPr>
              <w:rPr>
                <w:sz w:val="20"/>
                <w:szCs w:val="20"/>
              </w:rPr>
            </w:pPr>
            <w:r w:rsidRPr="00DB2B91">
              <w:rPr>
                <w:sz w:val="20"/>
                <w:szCs w:val="20"/>
              </w:rPr>
              <w:t>Creatine</w:t>
            </w:r>
            <w:r w:rsidR="00E873CA" w:rsidRPr="00DB2B91">
              <w:rPr>
                <w:sz w:val="20"/>
                <w:szCs w:val="20"/>
              </w:rPr>
              <w:t xml:space="preserve"> </w:t>
            </w:r>
            <w:r w:rsidRPr="00DB2B91">
              <w:rPr>
                <w:sz w:val="20"/>
                <w:szCs w:val="20"/>
              </w:rPr>
              <w:t>phosphokinase</w:t>
            </w:r>
          </w:p>
        </w:tc>
      </w:tr>
      <w:tr w:rsidR="00A85830" w:rsidTr="00A85830">
        <w:tc>
          <w:tcPr>
            <w:tcW w:w="1062" w:type="pct"/>
            <w:hideMark/>
          </w:tcPr>
          <w:p w:rsidR="00A85830" w:rsidRPr="00DB2B91" w:rsidRDefault="00A85830" w:rsidP="0019576C">
            <w:pPr>
              <w:rPr>
                <w:sz w:val="20"/>
                <w:szCs w:val="20"/>
              </w:rPr>
            </w:pPr>
            <w:r w:rsidRPr="00DB2B91">
              <w:rPr>
                <w:sz w:val="20"/>
                <w:szCs w:val="20"/>
              </w:rPr>
              <w:t>CSF</w:t>
            </w:r>
          </w:p>
        </w:tc>
        <w:tc>
          <w:tcPr>
            <w:tcW w:w="3938" w:type="pct"/>
            <w:hideMark/>
          </w:tcPr>
          <w:p w:rsidR="00A85830" w:rsidRPr="00DB2B91" w:rsidRDefault="00A85830" w:rsidP="0019576C">
            <w:pPr>
              <w:rPr>
                <w:sz w:val="20"/>
                <w:szCs w:val="20"/>
              </w:rPr>
            </w:pPr>
            <w:r w:rsidRPr="00DB2B91">
              <w:rPr>
                <w:sz w:val="20"/>
                <w:szCs w:val="20"/>
              </w:rPr>
              <w:t>Cerebrospinal</w:t>
            </w:r>
            <w:r w:rsidR="00E873CA" w:rsidRPr="00DB2B91">
              <w:rPr>
                <w:sz w:val="20"/>
                <w:szCs w:val="20"/>
              </w:rPr>
              <w:t xml:space="preserve"> </w:t>
            </w:r>
            <w:r w:rsidRPr="00DB2B91">
              <w:rPr>
                <w:sz w:val="20"/>
                <w:szCs w:val="20"/>
              </w:rPr>
              <w:t>fluid</w:t>
            </w:r>
          </w:p>
        </w:tc>
      </w:tr>
      <w:tr w:rsidR="00A85830" w:rsidTr="00A85830">
        <w:tc>
          <w:tcPr>
            <w:tcW w:w="1062" w:type="pct"/>
            <w:hideMark/>
          </w:tcPr>
          <w:p w:rsidR="00A85830" w:rsidRPr="00DB2B91" w:rsidRDefault="00A85830" w:rsidP="0019576C">
            <w:pPr>
              <w:rPr>
                <w:sz w:val="20"/>
                <w:szCs w:val="20"/>
              </w:rPr>
            </w:pPr>
            <w:r w:rsidRPr="00DB2B91">
              <w:rPr>
                <w:sz w:val="20"/>
                <w:szCs w:val="20"/>
              </w:rPr>
              <w:t>CSR</w:t>
            </w:r>
          </w:p>
        </w:tc>
        <w:tc>
          <w:tcPr>
            <w:tcW w:w="3938" w:type="pct"/>
            <w:hideMark/>
          </w:tcPr>
          <w:p w:rsidR="00A85830" w:rsidRPr="00DB2B91" w:rsidRDefault="00A85830" w:rsidP="0019576C">
            <w:pPr>
              <w:rPr>
                <w:sz w:val="20"/>
                <w:szCs w:val="20"/>
              </w:rPr>
            </w:pPr>
            <w:r w:rsidRPr="00DB2B91">
              <w:rPr>
                <w:sz w:val="20"/>
                <w:szCs w:val="20"/>
              </w:rPr>
              <w:t>Clinical study report</w:t>
            </w:r>
          </w:p>
        </w:tc>
      </w:tr>
      <w:tr w:rsidR="00A85830" w:rsidTr="00A85830">
        <w:tc>
          <w:tcPr>
            <w:tcW w:w="1062" w:type="pct"/>
            <w:hideMark/>
          </w:tcPr>
          <w:p w:rsidR="00A85830" w:rsidRPr="00DB2B91" w:rsidRDefault="00A85830" w:rsidP="0019576C">
            <w:pPr>
              <w:rPr>
                <w:sz w:val="20"/>
                <w:szCs w:val="20"/>
              </w:rPr>
            </w:pPr>
            <w:r w:rsidRPr="00DB2B91">
              <w:rPr>
                <w:sz w:val="20"/>
                <w:szCs w:val="20"/>
              </w:rPr>
              <w:t>C</w:t>
            </w:r>
          </w:p>
        </w:tc>
        <w:tc>
          <w:tcPr>
            <w:tcW w:w="3938" w:type="pct"/>
            <w:hideMark/>
          </w:tcPr>
          <w:p w:rsidR="00A85830" w:rsidRPr="00DB2B91" w:rsidRDefault="00A85830" w:rsidP="0019576C">
            <w:pPr>
              <w:rPr>
                <w:sz w:val="20"/>
                <w:szCs w:val="20"/>
              </w:rPr>
            </w:pPr>
            <w:r w:rsidRPr="00DB2B91">
              <w:rPr>
                <w:sz w:val="20"/>
                <w:szCs w:val="20"/>
              </w:rPr>
              <w:t xml:space="preserve">Concentration </w:t>
            </w:r>
          </w:p>
        </w:tc>
      </w:tr>
      <w:tr w:rsidR="00A85830" w:rsidTr="00A85830">
        <w:tc>
          <w:tcPr>
            <w:tcW w:w="1062" w:type="pct"/>
            <w:hideMark/>
          </w:tcPr>
          <w:p w:rsidR="00A85830" w:rsidRPr="00DB2B91" w:rsidRDefault="00E44711" w:rsidP="0019576C">
            <w:pPr>
              <w:rPr>
                <w:sz w:val="20"/>
                <w:szCs w:val="20"/>
              </w:rPr>
            </w:pPr>
            <w:r>
              <w:rPr>
                <w:sz w:val="20"/>
                <w:szCs w:val="20"/>
              </w:rPr>
              <w:t>CV</w:t>
            </w:r>
          </w:p>
        </w:tc>
        <w:tc>
          <w:tcPr>
            <w:tcW w:w="3938" w:type="pct"/>
            <w:hideMark/>
          </w:tcPr>
          <w:p w:rsidR="00A85830" w:rsidRPr="00DB2B91" w:rsidRDefault="00A85830" w:rsidP="0019576C">
            <w:pPr>
              <w:rPr>
                <w:sz w:val="20"/>
                <w:szCs w:val="20"/>
              </w:rPr>
            </w:pPr>
            <w:r w:rsidRPr="00DB2B91">
              <w:rPr>
                <w:sz w:val="20"/>
                <w:szCs w:val="20"/>
              </w:rPr>
              <w:t>Coefficient</w:t>
            </w:r>
            <w:r w:rsidR="00E873CA" w:rsidRPr="00DB2B91">
              <w:rPr>
                <w:sz w:val="20"/>
                <w:szCs w:val="20"/>
              </w:rPr>
              <w:t xml:space="preserve"> </w:t>
            </w:r>
            <w:r w:rsidRPr="00DB2B91">
              <w:rPr>
                <w:sz w:val="20"/>
                <w:szCs w:val="20"/>
              </w:rPr>
              <w:t>of variation</w:t>
            </w:r>
          </w:p>
        </w:tc>
      </w:tr>
      <w:tr w:rsidR="00A85830" w:rsidTr="00A85830">
        <w:tc>
          <w:tcPr>
            <w:tcW w:w="1062" w:type="pct"/>
            <w:hideMark/>
          </w:tcPr>
          <w:p w:rsidR="00A85830" w:rsidRPr="00DB2B91" w:rsidRDefault="00A85830" w:rsidP="0019576C">
            <w:pPr>
              <w:rPr>
                <w:sz w:val="20"/>
                <w:szCs w:val="20"/>
              </w:rPr>
            </w:pPr>
            <w:proofErr w:type="spellStart"/>
            <w:r w:rsidRPr="00DB2B91">
              <w:rPr>
                <w:sz w:val="20"/>
                <w:szCs w:val="20"/>
              </w:rPr>
              <w:t>CVw</w:t>
            </w:r>
            <w:proofErr w:type="spellEnd"/>
          </w:p>
        </w:tc>
        <w:tc>
          <w:tcPr>
            <w:tcW w:w="3938" w:type="pct"/>
            <w:hideMark/>
          </w:tcPr>
          <w:p w:rsidR="00A85830" w:rsidRPr="00DB2B91" w:rsidRDefault="00A85830" w:rsidP="0019576C">
            <w:pPr>
              <w:rPr>
                <w:sz w:val="20"/>
                <w:szCs w:val="20"/>
              </w:rPr>
            </w:pPr>
            <w:r w:rsidRPr="00DB2B91">
              <w:rPr>
                <w:sz w:val="20"/>
                <w:szCs w:val="20"/>
              </w:rPr>
              <w:t>Within</w:t>
            </w:r>
            <w:r w:rsidR="00E873CA" w:rsidRPr="00DB2B91">
              <w:rPr>
                <w:sz w:val="20"/>
                <w:szCs w:val="20"/>
              </w:rPr>
              <w:t xml:space="preserve"> </w:t>
            </w:r>
            <w:r w:rsidRPr="00DB2B91">
              <w:rPr>
                <w:sz w:val="20"/>
                <w:szCs w:val="20"/>
              </w:rPr>
              <w:t>subject coefficient of variation</w:t>
            </w:r>
          </w:p>
        </w:tc>
      </w:tr>
      <w:tr w:rsidR="00A85830" w:rsidTr="00A85830">
        <w:tc>
          <w:tcPr>
            <w:tcW w:w="1062" w:type="pct"/>
            <w:hideMark/>
          </w:tcPr>
          <w:p w:rsidR="00A85830" w:rsidRPr="00DB2B91" w:rsidRDefault="00A85830" w:rsidP="0019576C">
            <w:pPr>
              <w:rPr>
                <w:sz w:val="20"/>
                <w:szCs w:val="20"/>
              </w:rPr>
            </w:pPr>
            <w:r w:rsidRPr="00DB2B91">
              <w:rPr>
                <w:sz w:val="20"/>
                <w:szCs w:val="20"/>
              </w:rPr>
              <w:t>dL</w:t>
            </w:r>
          </w:p>
        </w:tc>
        <w:tc>
          <w:tcPr>
            <w:tcW w:w="3938" w:type="pct"/>
            <w:hideMark/>
          </w:tcPr>
          <w:p w:rsidR="00A85830" w:rsidRPr="00DB2B91" w:rsidRDefault="00A85830" w:rsidP="0019576C">
            <w:pPr>
              <w:rPr>
                <w:sz w:val="20"/>
                <w:szCs w:val="20"/>
              </w:rPr>
            </w:pPr>
            <w:r w:rsidRPr="00DB2B91">
              <w:rPr>
                <w:sz w:val="20"/>
                <w:szCs w:val="20"/>
              </w:rPr>
              <w:t>Decilitre</w:t>
            </w:r>
          </w:p>
        </w:tc>
      </w:tr>
      <w:tr w:rsidR="00A85830" w:rsidTr="00A85830">
        <w:tc>
          <w:tcPr>
            <w:tcW w:w="1062" w:type="pct"/>
            <w:hideMark/>
          </w:tcPr>
          <w:p w:rsidR="00A85830" w:rsidRPr="00DB2B91" w:rsidRDefault="00A85830" w:rsidP="0019576C">
            <w:pPr>
              <w:rPr>
                <w:sz w:val="20"/>
                <w:szCs w:val="20"/>
              </w:rPr>
            </w:pPr>
            <w:r w:rsidRPr="00DB2B91">
              <w:rPr>
                <w:sz w:val="20"/>
                <w:szCs w:val="20"/>
              </w:rPr>
              <w:t>DNA</w:t>
            </w:r>
          </w:p>
        </w:tc>
        <w:tc>
          <w:tcPr>
            <w:tcW w:w="3938" w:type="pct"/>
            <w:hideMark/>
          </w:tcPr>
          <w:p w:rsidR="00A85830" w:rsidRPr="00DB2B91" w:rsidRDefault="00A85830" w:rsidP="0019576C">
            <w:pPr>
              <w:rPr>
                <w:sz w:val="20"/>
                <w:szCs w:val="20"/>
              </w:rPr>
            </w:pPr>
            <w:r w:rsidRPr="00DB2B91">
              <w:rPr>
                <w:sz w:val="20"/>
                <w:szCs w:val="20"/>
              </w:rPr>
              <w:t>Deoxyribonucleic</w:t>
            </w:r>
            <w:r w:rsidR="00E873CA" w:rsidRPr="00DB2B91">
              <w:rPr>
                <w:sz w:val="20"/>
                <w:szCs w:val="20"/>
              </w:rPr>
              <w:t xml:space="preserve"> </w:t>
            </w:r>
            <w:r w:rsidRPr="00DB2B91">
              <w:rPr>
                <w:sz w:val="20"/>
                <w:szCs w:val="20"/>
              </w:rPr>
              <w:t>acid</w:t>
            </w:r>
          </w:p>
        </w:tc>
      </w:tr>
      <w:tr w:rsidR="00A85830" w:rsidTr="00A85830">
        <w:tc>
          <w:tcPr>
            <w:tcW w:w="1062" w:type="pct"/>
            <w:hideMark/>
          </w:tcPr>
          <w:p w:rsidR="00A85830" w:rsidRPr="00DB2B91" w:rsidRDefault="00A85830" w:rsidP="0019576C">
            <w:pPr>
              <w:rPr>
                <w:sz w:val="20"/>
                <w:szCs w:val="20"/>
              </w:rPr>
            </w:pPr>
            <w:r w:rsidRPr="00DB2B91">
              <w:rPr>
                <w:sz w:val="20"/>
                <w:szCs w:val="20"/>
              </w:rPr>
              <w:t>DRV</w:t>
            </w:r>
          </w:p>
        </w:tc>
        <w:tc>
          <w:tcPr>
            <w:tcW w:w="3938" w:type="pct"/>
            <w:hideMark/>
          </w:tcPr>
          <w:p w:rsidR="00A85830" w:rsidRPr="00DB2B91" w:rsidRDefault="00A85830" w:rsidP="0019576C">
            <w:pPr>
              <w:rPr>
                <w:sz w:val="20"/>
                <w:szCs w:val="20"/>
              </w:rPr>
            </w:pPr>
            <w:proofErr w:type="spellStart"/>
            <w:r w:rsidRPr="00DB2B91">
              <w:rPr>
                <w:sz w:val="20"/>
                <w:szCs w:val="20"/>
              </w:rPr>
              <w:t>Darunavir</w:t>
            </w:r>
            <w:proofErr w:type="spellEnd"/>
          </w:p>
        </w:tc>
      </w:tr>
      <w:tr w:rsidR="00A85830" w:rsidTr="00A85830">
        <w:tc>
          <w:tcPr>
            <w:tcW w:w="1062" w:type="pct"/>
            <w:hideMark/>
          </w:tcPr>
          <w:p w:rsidR="00A85830" w:rsidRPr="00DB2B91" w:rsidRDefault="00A85830" w:rsidP="0019576C">
            <w:pPr>
              <w:rPr>
                <w:sz w:val="20"/>
                <w:szCs w:val="20"/>
              </w:rPr>
            </w:pPr>
            <w:proofErr w:type="spellStart"/>
            <w:r w:rsidRPr="00DB2B91">
              <w:rPr>
                <w:sz w:val="20"/>
                <w:szCs w:val="20"/>
              </w:rPr>
              <w:t>DRVr</w:t>
            </w:r>
            <w:proofErr w:type="spellEnd"/>
          </w:p>
        </w:tc>
        <w:tc>
          <w:tcPr>
            <w:tcW w:w="3938" w:type="pct"/>
            <w:hideMark/>
          </w:tcPr>
          <w:p w:rsidR="00A85830" w:rsidRPr="00DB2B91" w:rsidRDefault="00A85830" w:rsidP="0019576C">
            <w:pPr>
              <w:rPr>
                <w:sz w:val="20"/>
                <w:szCs w:val="20"/>
              </w:rPr>
            </w:pPr>
            <w:proofErr w:type="spellStart"/>
            <w:r w:rsidRPr="00DB2B91">
              <w:rPr>
                <w:sz w:val="20"/>
                <w:szCs w:val="20"/>
              </w:rPr>
              <w:t>Darunavir</w:t>
            </w:r>
            <w:proofErr w:type="spellEnd"/>
            <w:r w:rsidR="00E873CA" w:rsidRPr="00DB2B91">
              <w:rPr>
                <w:sz w:val="20"/>
                <w:szCs w:val="20"/>
              </w:rPr>
              <w:t xml:space="preserve"> </w:t>
            </w:r>
            <w:r w:rsidRPr="00DB2B91">
              <w:rPr>
                <w:sz w:val="20"/>
                <w:szCs w:val="20"/>
              </w:rPr>
              <w:t>plus ritonavir</w:t>
            </w:r>
          </w:p>
        </w:tc>
      </w:tr>
      <w:tr w:rsidR="00A85830" w:rsidTr="00A85830">
        <w:tc>
          <w:tcPr>
            <w:tcW w:w="1062" w:type="pct"/>
            <w:hideMark/>
          </w:tcPr>
          <w:p w:rsidR="00A85830" w:rsidRPr="00DB2B91" w:rsidRDefault="00A85830" w:rsidP="0019576C">
            <w:pPr>
              <w:rPr>
                <w:sz w:val="20"/>
                <w:szCs w:val="20"/>
              </w:rPr>
            </w:pPr>
            <w:r w:rsidRPr="00DB2B91">
              <w:rPr>
                <w:sz w:val="20"/>
                <w:szCs w:val="20"/>
              </w:rPr>
              <w:t>DRV + RTV</w:t>
            </w:r>
          </w:p>
        </w:tc>
        <w:tc>
          <w:tcPr>
            <w:tcW w:w="3938" w:type="pct"/>
            <w:hideMark/>
          </w:tcPr>
          <w:p w:rsidR="00A85830" w:rsidRPr="00DB2B91" w:rsidRDefault="00A85830" w:rsidP="0019576C">
            <w:pPr>
              <w:rPr>
                <w:sz w:val="20"/>
                <w:szCs w:val="20"/>
              </w:rPr>
            </w:pPr>
            <w:proofErr w:type="spellStart"/>
            <w:r w:rsidRPr="00DB2B91">
              <w:rPr>
                <w:sz w:val="20"/>
                <w:szCs w:val="20"/>
              </w:rPr>
              <w:t>Darunavir</w:t>
            </w:r>
            <w:proofErr w:type="spellEnd"/>
            <w:r w:rsidR="00E873CA" w:rsidRPr="00DB2B91">
              <w:rPr>
                <w:sz w:val="20"/>
                <w:szCs w:val="20"/>
              </w:rPr>
              <w:t xml:space="preserve"> </w:t>
            </w:r>
            <w:r w:rsidRPr="00DB2B91">
              <w:rPr>
                <w:sz w:val="20"/>
                <w:szCs w:val="20"/>
              </w:rPr>
              <w:t>plus ritonavir</w:t>
            </w:r>
          </w:p>
        </w:tc>
      </w:tr>
      <w:tr w:rsidR="00A85830" w:rsidTr="00A85830">
        <w:tc>
          <w:tcPr>
            <w:tcW w:w="1062" w:type="pct"/>
            <w:hideMark/>
          </w:tcPr>
          <w:p w:rsidR="00A85830" w:rsidRPr="00DB2B91" w:rsidRDefault="00A85830" w:rsidP="0019576C">
            <w:pPr>
              <w:rPr>
                <w:sz w:val="20"/>
                <w:szCs w:val="20"/>
              </w:rPr>
            </w:pPr>
            <w:r w:rsidRPr="00DB2B91">
              <w:rPr>
                <w:sz w:val="20"/>
                <w:szCs w:val="20"/>
              </w:rPr>
              <w:t>DTG</w:t>
            </w:r>
          </w:p>
        </w:tc>
        <w:tc>
          <w:tcPr>
            <w:tcW w:w="3938" w:type="pct"/>
            <w:hideMark/>
          </w:tcPr>
          <w:p w:rsidR="00A85830" w:rsidRPr="00DB2B91" w:rsidRDefault="00A85830" w:rsidP="0019576C">
            <w:pPr>
              <w:rPr>
                <w:sz w:val="20"/>
                <w:szCs w:val="20"/>
              </w:rPr>
            </w:pPr>
            <w:proofErr w:type="spellStart"/>
            <w:r w:rsidRPr="00DB2B91">
              <w:rPr>
                <w:sz w:val="20"/>
                <w:szCs w:val="20"/>
              </w:rPr>
              <w:t>Dolutegravir</w:t>
            </w:r>
            <w:proofErr w:type="spellEnd"/>
          </w:p>
        </w:tc>
      </w:tr>
      <w:tr w:rsidR="00A85830" w:rsidTr="00A85830">
        <w:tc>
          <w:tcPr>
            <w:tcW w:w="1062" w:type="pct"/>
            <w:hideMark/>
          </w:tcPr>
          <w:p w:rsidR="00A85830" w:rsidRPr="00DB2B91" w:rsidRDefault="00A85830" w:rsidP="0019576C">
            <w:pPr>
              <w:rPr>
                <w:sz w:val="20"/>
                <w:szCs w:val="20"/>
              </w:rPr>
            </w:pPr>
            <w:r w:rsidRPr="00DB2B91">
              <w:rPr>
                <w:sz w:val="20"/>
                <w:szCs w:val="20"/>
              </w:rPr>
              <w:t>ECG</w:t>
            </w:r>
          </w:p>
        </w:tc>
        <w:tc>
          <w:tcPr>
            <w:tcW w:w="3938" w:type="pct"/>
            <w:hideMark/>
          </w:tcPr>
          <w:p w:rsidR="00A85830" w:rsidRPr="00DB2B91" w:rsidRDefault="00A85830" w:rsidP="0019576C">
            <w:pPr>
              <w:rPr>
                <w:sz w:val="20"/>
                <w:szCs w:val="20"/>
              </w:rPr>
            </w:pPr>
            <w:r w:rsidRPr="00DB2B91">
              <w:rPr>
                <w:sz w:val="20"/>
                <w:szCs w:val="20"/>
              </w:rPr>
              <w:t>Electrocardiogram</w:t>
            </w:r>
          </w:p>
        </w:tc>
      </w:tr>
      <w:tr w:rsidR="00A85830" w:rsidTr="00A85830">
        <w:tc>
          <w:tcPr>
            <w:tcW w:w="1062" w:type="pct"/>
            <w:hideMark/>
          </w:tcPr>
          <w:p w:rsidR="00A85830" w:rsidRPr="00DB2B91" w:rsidRDefault="00A85830" w:rsidP="0019576C">
            <w:pPr>
              <w:rPr>
                <w:sz w:val="20"/>
                <w:szCs w:val="20"/>
              </w:rPr>
            </w:pPr>
            <w:r w:rsidRPr="00DB2B91">
              <w:rPr>
                <w:sz w:val="20"/>
                <w:szCs w:val="20"/>
              </w:rPr>
              <w:t>EFV</w:t>
            </w:r>
          </w:p>
        </w:tc>
        <w:tc>
          <w:tcPr>
            <w:tcW w:w="3938" w:type="pct"/>
            <w:hideMark/>
          </w:tcPr>
          <w:p w:rsidR="00A85830" w:rsidRPr="00DB2B91" w:rsidRDefault="00A85830" w:rsidP="0019576C">
            <w:pPr>
              <w:rPr>
                <w:sz w:val="20"/>
                <w:szCs w:val="20"/>
              </w:rPr>
            </w:pPr>
            <w:proofErr w:type="spellStart"/>
            <w:r w:rsidRPr="00DB2B91">
              <w:rPr>
                <w:sz w:val="20"/>
                <w:szCs w:val="20"/>
              </w:rPr>
              <w:t>Emtricitabine</w:t>
            </w:r>
            <w:proofErr w:type="spellEnd"/>
          </w:p>
        </w:tc>
      </w:tr>
      <w:tr w:rsidR="00A85830" w:rsidTr="00A85830">
        <w:tc>
          <w:tcPr>
            <w:tcW w:w="1062" w:type="pct"/>
            <w:hideMark/>
          </w:tcPr>
          <w:p w:rsidR="00A85830" w:rsidRPr="00DB2B91" w:rsidRDefault="00A85830" w:rsidP="0019576C">
            <w:pPr>
              <w:rPr>
                <w:sz w:val="20"/>
                <w:szCs w:val="20"/>
              </w:rPr>
            </w:pPr>
            <w:r w:rsidRPr="00DB2B91">
              <w:rPr>
                <w:sz w:val="20"/>
                <w:szCs w:val="20"/>
              </w:rPr>
              <w:t>ABC/3TC</w:t>
            </w:r>
          </w:p>
        </w:tc>
        <w:tc>
          <w:tcPr>
            <w:tcW w:w="3938" w:type="pct"/>
            <w:hideMark/>
          </w:tcPr>
          <w:p w:rsidR="00A85830" w:rsidRPr="00DB2B91" w:rsidRDefault="00A85830" w:rsidP="0019576C">
            <w:pPr>
              <w:rPr>
                <w:sz w:val="20"/>
                <w:szCs w:val="20"/>
              </w:rPr>
            </w:pPr>
            <w:proofErr w:type="spellStart"/>
            <w:r w:rsidRPr="00DB2B91">
              <w:rPr>
                <w:sz w:val="20"/>
                <w:szCs w:val="20"/>
              </w:rPr>
              <w:t>Epzicom</w:t>
            </w:r>
            <w:proofErr w:type="spellEnd"/>
          </w:p>
        </w:tc>
      </w:tr>
      <w:tr w:rsidR="00A85830" w:rsidTr="00A85830">
        <w:tc>
          <w:tcPr>
            <w:tcW w:w="1062" w:type="pct"/>
            <w:hideMark/>
          </w:tcPr>
          <w:p w:rsidR="00A85830" w:rsidRPr="00DB2B91" w:rsidRDefault="00A85830" w:rsidP="0019576C">
            <w:pPr>
              <w:rPr>
                <w:sz w:val="20"/>
                <w:szCs w:val="20"/>
              </w:rPr>
            </w:pPr>
            <w:r w:rsidRPr="00DB2B91">
              <w:rPr>
                <w:sz w:val="20"/>
                <w:szCs w:val="20"/>
              </w:rPr>
              <w:t>ERDF</w:t>
            </w:r>
          </w:p>
        </w:tc>
        <w:tc>
          <w:tcPr>
            <w:tcW w:w="3938" w:type="pct"/>
            <w:hideMark/>
          </w:tcPr>
          <w:p w:rsidR="00A85830" w:rsidRPr="00DB2B91" w:rsidRDefault="00A85830" w:rsidP="0019576C">
            <w:pPr>
              <w:rPr>
                <w:sz w:val="20"/>
                <w:szCs w:val="20"/>
              </w:rPr>
            </w:pPr>
            <w:r w:rsidRPr="00DB2B91">
              <w:rPr>
                <w:sz w:val="20"/>
                <w:szCs w:val="20"/>
              </w:rPr>
              <w:t>Efficacy related discontinuation = failure</w:t>
            </w:r>
          </w:p>
        </w:tc>
      </w:tr>
      <w:tr w:rsidR="00A85830" w:rsidTr="00A85830">
        <w:tc>
          <w:tcPr>
            <w:tcW w:w="1062" w:type="pct"/>
            <w:hideMark/>
          </w:tcPr>
          <w:p w:rsidR="00A85830" w:rsidRPr="00DB2B91" w:rsidRDefault="00A85830" w:rsidP="0019576C">
            <w:pPr>
              <w:rPr>
                <w:sz w:val="20"/>
                <w:szCs w:val="20"/>
              </w:rPr>
            </w:pPr>
            <w:r w:rsidRPr="00DB2B91">
              <w:rPr>
                <w:sz w:val="20"/>
                <w:szCs w:val="20"/>
              </w:rPr>
              <w:t>ETR</w:t>
            </w:r>
          </w:p>
        </w:tc>
        <w:tc>
          <w:tcPr>
            <w:tcW w:w="3938" w:type="pct"/>
            <w:hideMark/>
          </w:tcPr>
          <w:p w:rsidR="00A85830" w:rsidRPr="00DB2B91" w:rsidRDefault="00A85830" w:rsidP="0019576C">
            <w:pPr>
              <w:rPr>
                <w:sz w:val="20"/>
                <w:szCs w:val="20"/>
              </w:rPr>
            </w:pPr>
            <w:proofErr w:type="spellStart"/>
            <w:r w:rsidRPr="00DB2B91">
              <w:rPr>
                <w:sz w:val="20"/>
                <w:szCs w:val="20"/>
              </w:rPr>
              <w:t>Etravirine</w:t>
            </w:r>
            <w:proofErr w:type="spellEnd"/>
          </w:p>
        </w:tc>
      </w:tr>
      <w:tr w:rsidR="00A85830" w:rsidTr="00A85830">
        <w:tc>
          <w:tcPr>
            <w:tcW w:w="1062" w:type="pct"/>
            <w:hideMark/>
          </w:tcPr>
          <w:p w:rsidR="00A85830" w:rsidRPr="00DB2B91" w:rsidRDefault="00A85830" w:rsidP="0019576C">
            <w:pPr>
              <w:rPr>
                <w:sz w:val="20"/>
                <w:szCs w:val="20"/>
              </w:rPr>
            </w:pPr>
            <w:r w:rsidRPr="00DB2B91">
              <w:rPr>
                <w:sz w:val="20"/>
                <w:szCs w:val="20"/>
              </w:rPr>
              <w:t>EU</w:t>
            </w:r>
          </w:p>
        </w:tc>
        <w:tc>
          <w:tcPr>
            <w:tcW w:w="3938" w:type="pct"/>
            <w:hideMark/>
          </w:tcPr>
          <w:p w:rsidR="00A85830" w:rsidRPr="00DB2B91" w:rsidRDefault="00A85830" w:rsidP="0019576C">
            <w:pPr>
              <w:rPr>
                <w:sz w:val="20"/>
                <w:szCs w:val="20"/>
              </w:rPr>
            </w:pPr>
            <w:r w:rsidRPr="00DB2B91">
              <w:rPr>
                <w:sz w:val="20"/>
                <w:szCs w:val="20"/>
              </w:rPr>
              <w:t>European Union</w:t>
            </w:r>
          </w:p>
        </w:tc>
      </w:tr>
      <w:tr w:rsidR="00A85830" w:rsidTr="00A85830">
        <w:tc>
          <w:tcPr>
            <w:tcW w:w="1062" w:type="pct"/>
            <w:hideMark/>
          </w:tcPr>
          <w:p w:rsidR="00A85830" w:rsidRPr="00DB2B91" w:rsidRDefault="00A85830" w:rsidP="0019576C">
            <w:pPr>
              <w:rPr>
                <w:sz w:val="20"/>
                <w:szCs w:val="20"/>
              </w:rPr>
            </w:pPr>
            <w:r w:rsidRPr="00DB2B91">
              <w:rPr>
                <w:sz w:val="20"/>
                <w:szCs w:val="20"/>
              </w:rPr>
              <w:t>FC</w:t>
            </w:r>
          </w:p>
        </w:tc>
        <w:tc>
          <w:tcPr>
            <w:tcW w:w="3938" w:type="pct"/>
            <w:hideMark/>
          </w:tcPr>
          <w:p w:rsidR="00A85830" w:rsidRPr="00DB2B91" w:rsidRDefault="00A85830" w:rsidP="0019576C">
            <w:pPr>
              <w:rPr>
                <w:sz w:val="20"/>
                <w:szCs w:val="20"/>
              </w:rPr>
            </w:pPr>
            <w:r w:rsidRPr="00DB2B91">
              <w:rPr>
                <w:sz w:val="20"/>
                <w:szCs w:val="20"/>
              </w:rPr>
              <w:t>Fold</w:t>
            </w:r>
            <w:r w:rsidR="00E873CA" w:rsidRPr="00DB2B91">
              <w:rPr>
                <w:sz w:val="20"/>
                <w:szCs w:val="20"/>
              </w:rPr>
              <w:t xml:space="preserve"> </w:t>
            </w:r>
            <w:r w:rsidRPr="00DB2B91">
              <w:rPr>
                <w:sz w:val="20"/>
                <w:szCs w:val="20"/>
              </w:rPr>
              <w:t>change</w:t>
            </w:r>
          </w:p>
        </w:tc>
      </w:tr>
      <w:tr w:rsidR="00A85830" w:rsidTr="00A85830">
        <w:tc>
          <w:tcPr>
            <w:tcW w:w="1062" w:type="pct"/>
            <w:hideMark/>
          </w:tcPr>
          <w:p w:rsidR="00A85830" w:rsidRPr="00DB2B91" w:rsidRDefault="00A85830" w:rsidP="0019576C">
            <w:pPr>
              <w:rPr>
                <w:sz w:val="20"/>
                <w:szCs w:val="20"/>
              </w:rPr>
            </w:pPr>
            <w:r w:rsidRPr="00DB2B91">
              <w:rPr>
                <w:sz w:val="20"/>
                <w:szCs w:val="20"/>
              </w:rPr>
              <w:t>FDA</w:t>
            </w:r>
          </w:p>
        </w:tc>
        <w:tc>
          <w:tcPr>
            <w:tcW w:w="3938" w:type="pct"/>
            <w:hideMark/>
          </w:tcPr>
          <w:p w:rsidR="00A85830" w:rsidRPr="00DB2B91" w:rsidRDefault="00A85830" w:rsidP="0019576C">
            <w:pPr>
              <w:rPr>
                <w:sz w:val="20"/>
                <w:szCs w:val="20"/>
              </w:rPr>
            </w:pPr>
            <w:r w:rsidRPr="00DB2B91">
              <w:rPr>
                <w:sz w:val="20"/>
                <w:szCs w:val="20"/>
              </w:rPr>
              <w:t>Food</w:t>
            </w:r>
            <w:r w:rsidR="00E873CA" w:rsidRPr="00DB2B91">
              <w:rPr>
                <w:sz w:val="20"/>
                <w:szCs w:val="20"/>
              </w:rPr>
              <w:t xml:space="preserve"> </w:t>
            </w:r>
            <w:r w:rsidRPr="00DB2B91">
              <w:rPr>
                <w:sz w:val="20"/>
                <w:szCs w:val="20"/>
              </w:rPr>
              <w:t>and Drug administration</w:t>
            </w:r>
          </w:p>
        </w:tc>
      </w:tr>
      <w:tr w:rsidR="00A85830" w:rsidTr="00A85830">
        <w:tc>
          <w:tcPr>
            <w:tcW w:w="1062" w:type="pct"/>
            <w:hideMark/>
          </w:tcPr>
          <w:p w:rsidR="00A85830" w:rsidRPr="00DB2B91" w:rsidRDefault="00A85830" w:rsidP="0019576C">
            <w:pPr>
              <w:rPr>
                <w:sz w:val="20"/>
                <w:szCs w:val="20"/>
              </w:rPr>
            </w:pPr>
            <w:r w:rsidRPr="00DB2B91">
              <w:rPr>
                <w:sz w:val="20"/>
                <w:szCs w:val="20"/>
              </w:rPr>
              <w:t>FDC</w:t>
            </w:r>
          </w:p>
        </w:tc>
        <w:tc>
          <w:tcPr>
            <w:tcW w:w="3938" w:type="pct"/>
            <w:hideMark/>
          </w:tcPr>
          <w:p w:rsidR="00A85830" w:rsidRPr="00DB2B91" w:rsidRDefault="00A85830" w:rsidP="0019576C">
            <w:pPr>
              <w:rPr>
                <w:sz w:val="20"/>
                <w:szCs w:val="20"/>
              </w:rPr>
            </w:pPr>
            <w:r w:rsidRPr="00DB2B91">
              <w:rPr>
                <w:sz w:val="20"/>
                <w:szCs w:val="20"/>
              </w:rPr>
              <w:t>Fixed</w:t>
            </w:r>
            <w:r w:rsidR="00E873CA" w:rsidRPr="00DB2B91">
              <w:rPr>
                <w:sz w:val="20"/>
                <w:szCs w:val="20"/>
              </w:rPr>
              <w:t xml:space="preserve"> </w:t>
            </w:r>
            <w:r w:rsidRPr="00DB2B91">
              <w:rPr>
                <w:sz w:val="20"/>
                <w:szCs w:val="20"/>
              </w:rPr>
              <w:t>dose combination</w:t>
            </w:r>
          </w:p>
        </w:tc>
      </w:tr>
      <w:tr w:rsidR="00A85830" w:rsidTr="00A85830">
        <w:tc>
          <w:tcPr>
            <w:tcW w:w="1062" w:type="pct"/>
            <w:hideMark/>
          </w:tcPr>
          <w:p w:rsidR="00A85830" w:rsidRPr="00DB2B91" w:rsidRDefault="00A85830" w:rsidP="0019576C">
            <w:pPr>
              <w:rPr>
                <w:sz w:val="20"/>
                <w:szCs w:val="20"/>
              </w:rPr>
            </w:pPr>
            <w:r w:rsidRPr="00DB2B91">
              <w:rPr>
                <w:sz w:val="20"/>
                <w:szCs w:val="20"/>
              </w:rPr>
              <w:t>FTC</w:t>
            </w:r>
          </w:p>
        </w:tc>
        <w:tc>
          <w:tcPr>
            <w:tcW w:w="3938" w:type="pct"/>
            <w:hideMark/>
          </w:tcPr>
          <w:p w:rsidR="00A85830" w:rsidRPr="00DB2B91" w:rsidRDefault="00A85830" w:rsidP="0019576C">
            <w:pPr>
              <w:rPr>
                <w:sz w:val="20"/>
                <w:szCs w:val="20"/>
              </w:rPr>
            </w:pPr>
            <w:proofErr w:type="spellStart"/>
            <w:r w:rsidRPr="00DB2B91">
              <w:rPr>
                <w:sz w:val="20"/>
                <w:szCs w:val="20"/>
              </w:rPr>
              <w:t>Emtricitabine</w:t>
            </w:r>
            <w:proofErr w:type="spellEnd"/>
          </w:p>
        </w:tc>
      </w:tr>
      <w:tr w:rsidR="00A85830" w:rsidTr="00A85830">
        <w:tc>
          <w:tcPr>
            <w:tcW w:w="1062" w:type="pct"/>
            <w:hideMark/>
          </w:tcPr>
          <w:p w:rsidR="00A85830" w:rsidRPr="00DB2B91" w:rsidRDefault="00A85830" w:rsidP="0019576C">
            <w:pPr>
              <w:rPr>
                <w:sz w:val="20"/>
                <w:szCs w:val="20"/>
              </w:rPr>
            </w:pPr>
            <w:r w:rsidRPr="00DB2B91">
              <w:rPr>
                <w:sz w:val="20"/>
                <w:szCs w:val="20"/>
              </w:rPr>
              <w:t>GCP</w:t>
            </w:r>
          </w:p>
        </w:tc>
        <w:tc>
          <w:tcPr>
            <w:tcW w:w="3938" w:type="pct"/>
            <w:hideMark/>
          </w:tcPr>
          <w:p w:rsidR="00A85830" w:rsidRPr="00DB2B91" w:rsidRDefault="00A85830" w:rsidP="0019576C">
            <w:pPr>
              <w:rPr>
                <w:sz w:val="20"/>
                <w:szCs w:val="20"/>
              </w:rPr>
            </w:pPr>
            <w:r w:rsidRPr="00DB2B91">
              <w:rPr>
                <w:sz w:val="20"/>
                <w:szCs w:val="20"/>
              </w:rPr>
              <w:t>Good</w:t>
            </w:r>
            <w:r w:rsidR="00E873CA" w:rsidRPr="00DB2B91">
              <w:rPr>
                <w:sz w:val="20"/>
                <w:szCs w:val="20"/>
              </w:rPr>
              <w:t xml:space="preserve"> </w:t>
            </w:r>
            <w:r w:rsidRPr="00DB2B91">
              <w:rPr>
                <w:sz w:val="20"/>
                <w:szCs w:val="20"/>
              </w:rPr>
              <w:t>clinical practice</w:t>
            </w:r>
          </w:p>
        </w:tc>
      </w:tr>
      <w:tr w:rsidR="00A85830" w:rsidTr="00A85830">
        <w:tc>
          <w:tcPr>
            <w:tcW w:w="1062" w:type="pct"/>
            <w:hideMark/>
          </w:tcPr>
          <w:p w:rsidR="00A85830" w:rsidRPr="00DB2B91" w:rsidRDefault="00A85830" w:rsidP="0019576C">
            <w:pPr>
              <w:rPr>
                <w:sz w:val="20"/>
                <w:szCs w:val="20"/>
              </w:rPr>
            </w:pPr>
            <w:r w:rsidRPr="00DB2B91">
              <w:rPr>
                <w:sz w:val="20"/>
                <w:szCs w:val="20"/>
              </w:rPr>
              <w:t>GI</w:t>
            </w:r>
          </w:p>
        </w:tc>
        <w:tc>
          <w:tcPr>
            <w:tcW w:w="3938" w:type="pct"/>
            <w:hideMark/>
          </w:tcPr>
          <w:p w:rsidR="00A85830" w:rsidRPr="00DB2B91" w:rsidRDefault="00A85830" w:rsidP="0019576C">
            <w:pPr>
              <w:rPr>
                <w:sz w:val="20"/>
                <w:szCs w:val="20"/>
              </w:rPr>
            </w:pPr>
            <w:r w:rsidRPr="00DB2B91">
              <w:rPr>
                <w:sz w:val="20"/>
                <w:szCs w:val="20"/>
              </w:rPr>
              <w:t>Gastrointestinal</w:t>
            </w:r>
          </w:p>
        </w:tc>
      </w:tr>
      <w:tr w:rsidR="00A85830" w:rsidTr="00A85830">
        <w:tc>
          <w:tcPr>
            <w:tcW w:w="1062" w:type="pct"/>
            <w:hideMark/>
          </w:tcPr>
          <w:p w:rsidR="00A85830" w:rsidRPr="00DB2B91" w:rsidRDefault="00A85830" w:rsidP="0019576C">
            <w:pPr>
              <w:rPr>
                <w:sz w:val="20"/>
                <w:szCs w:val="20"/>
              </w:rPr>
            </w:pPr>
            <w:r w:rsidRPr="00DB2B91">
              <w:rPr>
                <w:sz w:val="20"/>
                <w:szCs w:val="20"/>
              </w:rPr>
              <w:t>GSK</w:t>
            </w:r>
          </w:p>
        </w:tc>
        <w:tc>
          <w:tcPr>
            <w:tcW w:w="3938" w:type="pct"/>
            <w:hideMark/>
          </w:tcPr>
          <w:p w:rsidR="00A85830" w:rsidRPr="00DB2B91" w:rsidRDefault="00A85830" w:rsidP="0019576C">
            <w:pPr>
              <w:rPr>
                <w:sz w:val="20"/>
                <w:szCs w:val="20"/>
              </w:rPr>
            </w:pPr>
            <w:r w:rsidRPr="00DB2B91">
              <w:rPr>
                <w:sz w:val="20"/>
                <w:szCs w:val="20"/>
              </w:rPr>
              <w:t>GlaxoSmithKline</w:t>
            </w:r>
          </w:p>
        </w:tc>
      </w:tr>
      <w:tr w:rsidR="00A85830" w:rsidTr="00A85830">
        <w:tc>
          <w:tcPr>
            <w:tcW w:w="1062" w:type="pct"/>
            <w:hideMark/>
          </w:tcPr>
          <w:p w:rsidR="00A85830" w:rsidRPr="00DB2B91" w:rsidRDefault="00A85830" w:rsidP="0019576C">
            <w:pPr>
              <w:rPr>
                <w:sz w:val="20"/>
                <w:szCs w:val="20"/>
              </w:rPr>
            </w:pPr>
            <w:r w:rsidRPr="00DB2B91">
              <w:rPr>
                <w:sz w:val="20"/>
                <w:szCs w:val="20"/>
              </w:rPr>
              <w:lastRenderedPageBreak/>
              <w:t>HBV</w:t>
            </w:r>
          </w:p>
        </w:tc>
        <w:tc>
          <w:tcPr>
            <w:tcW w:w="3938" w:type="pct"/>
            <w:hideMark/>
          </w:tcPr>
          <w:p w:rsidR="00A85830" w:rsidRPr="00DB2B91" w:rsidRDefault="00A85830" w:rsidP="0019576C">
            <w:pPr>
              <w:rPr>
                <w:sz w:val="20"/>
                <w:szCs w:val="20"/>
              </w:rPr>
            </w:pPr>
            <w:r w:rsidRPr="00DB2B91">
              <w:rPr>
                <w:sz w:val="20"/>
                <w:szCs w:val="20"/>
              </w:rPr>
              <w:t>Hepatitis B virus</w:t>
            </w:r>
          </w:p>
        </w:tc>
      </w:tr>
      <w:tr w:rsidR="00A85830" w:rsidTr="00A85830">
        <w:tc>
          <w:tcPr>
            <w:tcW w:w="1062" w:type="pct"/>
            <w:hideMark/>
          </w:tcPr>
          <w:p w:rsidR="00A85830" w:rsidRPr="00DB2B91" w:rsidRDefault="00A85830" w:rsidP="0019576C">
            <w:pPr>
              <w:rPr>
                <w:sz w:val="20"/>
                <w:szCs w:val="20"/>
              </w:rPr>
            </w:pPr>
            <w:r w:rsidRPr="00DB2B91">
              <w:rPr>
                <w:sz w:val="20"/>
                <w:szCs w:val="20"/>
              </w:rPr>
              <w:t>HCV</w:t>
            </w:r>
          </w:p>
        </w:tc>
        <w:tc>
          <w:tcPr>
            <w:tcW w:w="3938" w:type="pct"/>
            <w:hideMark/>
          </w:tcPr>
          <w:p w:rsidR="00A85830" w:rsidRPr="00DB2B91" w:rsidRDefault="00A85830" w:rsidP="0019576C">
            <w:pPr>
              <w:rPr>
                <w:sz w:val="20"/>
                <w:szCs w:val="20"/>
              </w:rPr>
            </w:pPr>
            <w:r w:rsidRPr="00DB2B91">
              <w:rPr>
                <w:sz w:val="20"/>
                <w:szCs w:val="20"/>
              </w:rPr>
              <w:t>Hepatitis</w:t>
            </w:r>
            <w:r w:rsidR="00E873CA" w:rsidRPr="00DB2B91">
              <w:rPr>
                <w:sz w:val="20"/>
                <w:szCs w:val="20"/>
              </w:rPr>
              <w:t xml:space="preserve"> </w:t>
            </w:r>
            <w:r w:rsidRPr="00DB2B91">
              <w:rPr>
                <w:sz w:val="20"/>
                <w:szCs w:val="20"/>
              </w:rPr>
              <w:t>C virus</w:t>
            </w:r>
          </w:p>
        </w:tc>
      </w:tr>
      <w:tr w:rsidR="00A85830" w:rsidTr="00A85830">
        <w:tc>
          <w:tcPr>
            <w:tcW w:w="1062" w:type="pct"/>
            <w:hideMark/>
          </w:tcPr>
          <w:p w:rsidR="00A85830" w:rsidRPr="00DB2B91" w:rsidRDefault="00A85830" w:rsidP="0019576C">
            <w:pPr>
              <w:rPr>
                <w:sz w:val="20"/>
                <w:szCs w:val="20"/>
              </w:rPr>
            </w:pPr>
            <w:r w:rsidRPr="00DB2B91">
              <w:rPr>
                <w:sz w:val="20"/>
                <w:szCs w:val="20"/>
              </w:rPr>
              <w:t>HDL</w:t>
            </w:r>
          </w:p>
        </w:tc>
        <w:tc>
          <w:tcPr>
            <w:tcW w:w="3938" w:type="pct"/>
            <w:hideMark/>
          </w:tcPr>
          <w:p w:rsidR="00A85830" w:rsidRPr="00DB2B91" w:rsidRDefault="00A85830" w:rsidP="0019576C">
            <w:pPr>
              <w:rPr>
                <w:sz w:val="20"/>
                <w:szCs w:val="20"/>
              </w:rPr>
            </w:pPr>
            <w:r w:rsidRPr="00DB2B91">
              <w:rPr>
                <w:sz w:val="20"/>
                <w:szCs w:val="20"/>
              </w:rPr>
              <w:t>High</w:t>
            </w:r>
            <w:r w:rsidR="00E873CA" w:rsidRPr="00DB2B91">
              <w:rPr>
                <w:sz w:val="20"/>
                <w:szCs w:val="20"/>
              </w:rPr>
              <w:t xml:space="preserve"> </w:t>
            </w:r>
            <w:r w:rsidRPr="00DB2B91">
              <w:rPr>
                <w:sz w:val="20"/>
                <w:szCs w:val="20"/>
              </w:rPr>
              <w:t>density lipoprotein</w:t>
            </w:r>
          </w:p>
        </w:tc>
      </w:tr>
      <w:tr w:rsidR="00A85830" w:rsidTr="00A85830">
        <w:tc>
          <w:tcPr>
            <w:tcW w:w="1062" w:type="pct"/>
            <w:hideMark/>
          </w:tcPr>
          <w:p w:rsidR="00A85830" w:rsidRPr="00DB2B91" w:rsidRDefault="00A85830" w:rsidP="0019576C">
            <w:pPr>
              <w:rPr>
                <w:sz w:val="20"/>
                <w:szCs w:val="20"/>
              </w:rPr>
            </w:pPr>
            <w:r w:rsidRPr="00DB2B91">
              <w:rPr>
                <w:sz w:val="20"/>
                <w:szCs w:val="20"/>
              </w:rPr>
              <w:t>HIV</w:t>
            </w:r>
          </w:p>
        </w:tc>
        <w:tc>
          <w:tcPr>
            <w:tcW w:w="3938" w:type="pct"/>
            <w:hideMark/>
          </w:tcPr>
          <w:p w:rsidR="00A85830" w:rsidRPr="00DB2B91" w:rsidRDefault="00A85830" w:rsidP="0019576C">
            <w:pPr>
              <w:rPr>
                <w:sz w:val="20"/>
                <w:szCs w:val="20"/>
              </w:rPr>
            </w:pPr>
            <w:r w:rsidRPr="00DB2B91">
              <w:rPr>
                <w:sz w:val="20"/>
                <w:szCs w:val="20"/>
              </w:rPr>
              <w:t>Human immunodeficiency Virus</w:t>
            </w:r>
          </w:p>
        </w:tc>
      </w:tr>
      <w:tr w:rsidR="00A85830" w:rsidTr="00A85830">
        <w:tc>
          <w:tcPr>
            <w:tcW w:w="1062" w:type="pct"/>
            <w:hideMark/>
          </w:tcPr>
          <w:p w:rsidR="00A85830" w:rsidRPr="00DB2B91" w:rsidRDefault="00A85830" w:rsidP="0019576C">
            <w:pPr>
              <w:rPr>
                <w:sz w:val="20"/>
                <w:szCs w:val="20"/>
              </w:rPr>
            </w:pPr>
            <w:r w:rsidRPr="00DB2B91">
              <w:rPr>
                <w:sz w:val="20"/>
                <w:szCs w:val="20"/>
              </w:rPr>
              <w:t>HLA</w:t>
            </w:r>
          </w:p>
        </w:tc>
        <w:tc>
          <w:tcPr>
            <w:tcW w:w="3938" w:type="pct"/>
            <w:hideMark/>
          </w:tcPr>
          <w:p w:rsidR="00A85830" w:rsidRPr="00DB2B91" w:rsidRDefault="00A85830" w:rsidP="0019576C">
            <w:pPr>
              <w:rPr>
                <w:sz w:val="20"/>
                <w:szCs w:val="20"/>
              </w:rPr>
            </w:pPr>
            <w:r w:rsidRPr="00DB2B91">
              <w:rPr>
                <w:sz w:val="20"/>
                <w:szCs w:val="20"/>
              </w:rPr>
              <w:t>Human leukocyte antigen</w:t>
            </w:r>
          </w:p>
        </w:tc>
      </w:tr>
      <w:tr w:rsidR="00A85830" w:rsidTr="00A85830">
        <w:tc>
          <w:tcPr>
            <w:tcW w:w="1062" w:type="pct"/>
            <w:hideMark/>
          </w:tcPr>
          <w:p w:rsidR="00A85830" w:rsidRPr="00DB2B91" w:rsidRDefault="00A85830" w:rsidP="0019576C">
            <w:pPr>
              <w:rPr>
                <w:sz w:val="20"/>
                <w:szCs w:val="20"/>
              </w:rPr>
            </w:pPr>
            <w:r w:rsidRPr="00DB2B91">
              <w:rPr>
                <w:sz w:val="20"/>
                <w:szCs w:val="20"/>
              </w:rPr>
              <w:t>Hr</w:t>
            </w:r>
          </w:p>
        </w:tc>
        <w:tc>
          <w:tcPr>
            <w:tcW w:w="3938" w:type="pct"/>
            <w:hideMark/>
          </w:tcPr>
          <w:p w:rsidR="00A85830" w:rsidRPr="00DB2B91" w:rsidRDefault="00A85830" w:rsidP="0019576C">
            <w:pPr>
              <w:rPr>
                <w:sz w:val="20"/>
                <w:szCs w:val="20"/>
              </w:rPr>
            </w:pPr>
            <w:r w:rsidRPr="00DB2B91">
              <w:rPr>
                <w:sz w:val="20"/>
                <w:szCs w:val="20"/>
              </w:rPr>
              <w:t xml:space="preserve">Hour </w:t>
            </w:r>
          </w:p>
        </w:tc>
      </w:tr>
      <w:tr w:rsidR="00A85830" w:rsidTr="00A85830">
        <w:tc>
          <w:tcPr>
            <w:tcW w:w="1062" w:type="pct"/>
            <w:hideMark/>
          </w:tcPr>
          <w:p w:rsidR="00A85830" w:rsidRPr="00DB2B91" w:rsidRDefault="00A85830" w:rsidP="0019576C">
            <w:pPr>
              <w:rPr>
                <w:sz w:val="20"/>
                <w:szCs w:val="20"/>
              </w:rPr>
            </w:pPr>
            <w:r w:rsidRPr="00DB2B91">
              <w:rPr>
                <w:sz w:val="20"/>
                <w:szCs w:val="20"/>
              </w:rPr>
              <w:t>HR</w:t>
            </w:r>
          </w:p>
        </w:tc>
        <w:tc>
          <w:tcPr>
            <w:tcW w:w="3938" w:type="pct"/>
            <w:hideMark/>
          </w:tcPr>
          <w:p w:rsidR="00A85830" w:rsidRPr="00DB2B91" w:rsidRDefault="00A85830" w:rsidP="00D25BDD">
            <w:pPr>
              <w:rPr>
                <w:sz w:val="20"/>
                <w:szCs w:val="20"/>
              </w:rPr>
            </w:pPr>
            <w:r w:rsidRPr="00DB2B91">
              <w:rPr>
                <w:sz w:val="20"/>
                <w:szCs w:val="20"/>
              </w:rPr>
              <w:t>Heart rate</w:t>
            </w:r>
          </w:p>
        </w:tc>
      </w:tr>
      <w:tr w:rsidR="00A85830" w:rsidTr="00A85830">
        <w:tc>
          <w:tcPr>
            <w:tcW w:w="1062" w:type="pct"/>
            <w:hideMark/>
          </w:tcPr>
          <w:p w:rsidR="00A85830" w:rsidRPr="00DB2B91" w:rsidRDefault="00A85830" w:rsidP="0019576C">
            <w:pPr>
              <w:rPr>
                <w:sz w:val="20"/>
                <w:szCs w:val="20"/>
              </w:rPr>
            </w:pPr>
            <w:r w:rsidRPr="00DB2B91">
              <w:rPr>
                <w:sz w:val="20"/>
                <w:szCs w:val="20"/>
              </w:rPr>
              <w:t>HSR</w:t>
            </w:r>
          </w:p>
        </w:tc>
        <w:tc>
          <w:tcPr>
            <w:tcW w:w="3938" w:type="pct"/>
            <w:hideMark/>
          </w:tcPr>
          <w:p w:rsidR="00A85830" w:rsidRPr="00DB2B91" w:rsidRDefault="00A85830" w:rsidP="0019576C">
            <w:pPr>
              <w:rPr>
                <w:sz w:val="20"/>
                <w:szCs w:val="20"/>
              </w:rPr>
            </w:pPr>
            <w:r w:rsidRPr="00DB2B91">
              <w:rPr>
                <w:sz w:val="20"/>
                <w:szCs w:val="20"/>
              </w:rPr>
              <w:t>Hypersensitivity</w:t>
            </w:r>
            <w:r w:rsidR="00E873CA" w:rsidRPr="00DB2B91">
              <w:rPr>
                <w:sz w:val="20"/>
                <w:szCs w:val="20"/>
              </w:rPr>
              <w:t xml:space="preserve"> </w:t>
            </w:r>
            <w:r w:rsidRPr="00DB2B91">
              <w:rPr>
                <w:sz w:val="20"/>
                <w:szCs w:val="20"/>
              </w:rPr>
              <w:t>reaction</w:t>
            </w:r>
          </w:p>
        </w:tc>
      </w:tr>
      <w:tr w:rsidR="00A85830" w:rsidTr="00A85830">
        <w:tc>
          <w:tcPr>
            <w:tcW w:w="1062" w:type="pct"/>
            <w:hideMark/>
          </w:tcPr>
          <w:p w:rsidR="00A85830" w:rsidRPr="00DB2B91" w:rsidRDefault="00A85830" w:rsidP="0019576C">
            <w:pPr>
              <w:rPr>
                <w:sz w:val="20"/>
                <w:szCs w:val="20"/>
              </w:rPr>
            </w:pPr>
            <w:r w:rsidRPr="00DB2B91">
              <w:rPr>
                <w:sz w:val="20"/>
                <w:szCs w:val="20"/>
              </w:rPr>
              <w:t>ICH</w:t>
            </w:r>
          </w:p>
        </w:tc>
        <w:tc>
          <w:tcPr>
            <w:tcW w:w="3938" w:type="pct"/>
            <w:hideMark/>
          </w:tcPr>
          <w:p w:rsidR="00A85830" w:rsidRPr="00DB2B91" w:rsidRDefault="00A85830" w:rsidP="0019576C">
            <w:pPr>
              <w:rPr>
                <w:sz w:val="20"/>
                <w:szCs w:val="20"/>
              </w:rPr>
            </w:pPr>
            <w:r w:rsidRPr="00DB2B91">
              <w:rPr>
                <w:sz w:val="20"/>
                <w:szCs w:val="20"/>
              </w:rPr>
              <w:t>International Conference on Harmonisation</w:t>
            </w:r>
          </w:p>
        </w:tc>
      </w:tr>
      <w:tr w:rsidR="00A85830" w:rsidTr="00A85830">
        <w:tc>
          <w:tcPr>
            <w:tcW w:w="1062" w:type="pct"/>
            <w:hideMark/>
          </w:tcPr>
          <w:p w:rsidR="00A85830" w:rsidRPr="00DB2B91" w:rsidRDefault="00A85830" w:rsidP="0019576C">
            <w:pPr>
              <w:rPr>
                <w:sz w:val="20"/>
                <w:szCs w:val="20"/>
              </w:rPr>
            </w:pPr>
            <w:r w:rsidRPr="00DB2B91">
              <w:rPr>
                <w:sz w:val="20"/>
                <w:szCs w:val="20"/>
              </w:rPr>
              <w:t>IDMC</w:t>
            </w:r>
          </w:p>
        </w:tc>
        <w:tc>
          <w:tcPr>
            <w:tcW w:w="3938" w:type="pct"/>
            <w:hideMark/>
          </w:tcPr>
          <w:p w:rsidR="00A85830" w:rsidRPr="00DB2B91" w:rsidRDefault="00A85830" w:rsidP="0019576C">
            <w:pPr>
              <w:rPr>
                <w:sz w:val="20"/>
                <w:szCs w:val="20"/>
              </w:rPr>
            </w:pPr>
            <w:r w:rsidRPr="00DB2B91">
              <w:rPr>
                <w:sz w:val="20"/>
                <w:szCs w:val="20"/>
              </w:rPr>
              <w:t>Independent</w:t>
            </w:r>
            <w:r w:rsidR="00E873CA" w:rsidRPr="00DB2B91">
              <w:rPr>
                <w:sz w:val="20"/>
                <w:szCs w:val="20"/>
              </w:rPr>
              <w:t xml:space="preserve"> </w:t>
            </w:r>
            <w:r w:rsidRPr="00DB2B91">
              <w:rPr>
                <w:sz w:val="20"/>
                <w:szCs w:val="20"/>
              </w:rPr>
              <w:t>data monitoring committee</w:t>
            </w:r>
          </w:p>
        </w:tc>
      </w:tr>
      <w:tr w:rsidR="00A85830" w:rsidTr="00A85830">
        <w:tc>
          <w:tcPr>
            <w:tcW w:w="1062" w:type="pct"/>
            <w:hideMark/>
          </w:tcPr>
          <w:p w:rsidR="00A85830" w:rsidRPr="00DB2B91" w:rsidRDefault="00A85830" w:rsidP="0019576C">
            <w:pPr>
              <w:rPr>
                <w:sz w:val="20"/>
                <w:szCs w:val="20"/>
              </w:rPr>
            </w:pPr>
            <w:r w:rsidRPr="00DB2B91">
              <w:rPr>
                <w:sz w:val="20"/>
                <w:szCs w:val="20"/>
              </w:rPr>
              <w:t>IN</w:t>
            </w:r>
          </w:p>
        </w:tc>
        <w:tc>
          <w:tcPr>
            <w:tcW w:w="3938" w:type="pct"/>
            <w:hideMark/>
          </w:tcPr>
          <w:p w:rsidR="00A85830" w:rsidRPr="00DB2B91" w:rsidRDefault="00A85830" w:rsidP="0019576C">
            <w:pPr>
              <w:rPr>
                <w:sz w:val="20"/>
                <w:szCs w:val="20"/>
              </w:rPr>
            </w:pPr>
            <w:r w:rsidRPr="00DB2B91">
              <w:rPr>
                <w:sz w:val="20"/>
                <w:szCs w:val="20"/>
              </w:rPr>
              <w:t>Integrase</w:t>
            </w:r>
          </w:p>
        </w:tc>
      </w:tr>
      <w:tr w:rsidR="00A85830" w:rsidTr="00A85830">
        <w:tc>
          <w:tcPr>
            <w:tcW w:w="1062" w:type="pct"/>
            <w:hideMark/>
          </w:tcPr>
          <w:p w:rsidR="00A85830" w:rsidRPr="00DB2B91" w:rsidRDefault="00A85830" w:rsidP="0019576C">
            <w:pPr>
              <w:rPr>
                <w:sz w:val="20"/>
                <w:szCs w:val="20"/>
              </w:rPr>
            </w:pPr>
            <w:r w:rsidRPr="00DB2B91">
              <w:rPr>
                <w:sz w:val="20"/>
                <w:szCs w:val="20"/>
              </w:rPr>
              <w:t>INI</w:t>
            </w:r>
          </w:p>
        </w:tc>
        <w:tc>
          <w:tcPr>
            <w:tcW w:w="3938" w:type="pct"/>
            <w:hideMark/>
          </w:tcPr>
          <w:p w:rsidR="00A85830" w:rsidRPr="00DB2B91" w:rsidRDefault="00A85830" w:rsidP="0019576C">
            <w:pPr>
              <w:rPr>
                <w:sz w:val="20"/>
                <w:szCs w:val="20"/>
              </w:rPr>
            </w:pPr>
            <w:r w:rsidRPr="00DB2B91">
              <w:rPr>
                <w:sz w:val="20"/>
                <w:szCs w:val="20"/>
              </w:rPr>
              <w:t>Integrase</w:t>
            </w:r>
            <w:r w:rsidR="00E873CA" w:rsidRPr="00DB2B91">
              <w:rPr>
                <w:sz w:val="20"/>
                <w:szCs w:val="20"/>
              </w:rPr>
              <w:t xml:space="preserve"> </w:t>
            </w:r>
            <w:r w:rsidRPr="00DB2B91">
              <w:rPr>
                <w:sz w:val="20"/>
                <w:szCs w:val="20"/>
              </w:rPr>
              <w:t>inhibitor</w:t>
            </w:r>
          </w:p>
        </w:tc>
      </w:tr>
      <w:tr w:rsidR="00A85830" w:rsidTr="00A85830">
        <w:tc>
          <w:tcPr>
            <w:tcW w:w="1062" w:type="pct"/>
            <w:hideMark/>
          </w:tcPr>
          <w:p w:rsidR="00A85830" w:rsidRPr="00DB2B91" w:rsidRDefault="00A85830" w:rsidP="0019576C">
            <w:pPr>
              <w:rPr>
                <w:sz w:val="20"/>
                <w:szCs w:val="20"/>
              </w:rPr>
            </w:pPr>
            <w:r w:rsidRPr="00DB2B91">
              <w:rPr>
                <w:sz w:val="20"/>
                <w:szCs w:val="20"/>
              </w:rPr>
              <w:t>IP</w:t>
            </w:r>
          </w:p>
        </w:tc>
        <w:tc>
          <w:tcPr>
            <w:tcW w:w="3938" w:type="pct"/>
            <w:hideMark/>
          </w:tcPr>
          <w:p w:rsidR="00A85830" w:rsidRPr="00DB2B91" w:rsidRDefault="00A85830" w:rsidP="0019576C">
            <w:pPr>
              <w:rPr>
                <w:sz w:val="20"/>
                <w:szCs w:val="20"/>
              </w:rPr>
            </w:pPr>
            <w:r w:rsidRPr="00DB2B91">
              <w:rPr>
                <w:sz w:val="20"/>
                <w:szCs w:val="20"/>
              </w:rPr>
              <w:t>Investigational</w:t>
            </w:r>
            <w:r w:rsidR="00E873CA" w:rsidRPr="00DB2B91">
              <w:rPr>
                <w:sz w:val="20"/>
                <w:szCs w:val="20"/>
              </w:rPr>
              <w:t xml:space="preserve"> </w:t>
            </w:r>
            <w:r w:rsidRPr="00DB2B91">
              <w:rPr>
                <w:sz w:val="20"/>
                <w:szCs w:val="20"/>
              </w:rPr>
              <w:t>product</w:t>
            </w:r>
          </w:p>
        </w:tc>
      </w:tr>
      <w:tr w:rsidR="00A85830" w:rsidTr="00A85830">
        <w:tc>
          <w:tcPr>
            <w:tcW w:w="1062" w:type="pct"/>
            <w:hideMark/>
          </w:tcPr>
          <w:p w:rsidR="00A85830" w:rsidRPr="00DB2B91" w:rsidRDefault="00A85830" w:rsidP="0019576C">
            <w:pPr>
              <w:rPr>
                <w:sz w:val="20"/>
                <w:szCs w:val="20"/>
              </w:rPr>
            </w:pPr>
            <w:r w:rsidRPr="00DB2B91">
              <w:rPr>
                <w:sz w:val="20"/>
                <w:szCs w:val="20"/>
              </w:rPr>
              <w:t>IRIS</w:t>
            </w:r>
          </w:p>
        </w:tc>
        <w:tc>
          <w:tcPr>
            <w:tcW w:w="3938" w:type="pct"/>
            <w:hideMark/>
          </w:tcPr>
          <w:p w:rsidR="00A85830" w:rsidRPr="00DB2B91" w:rsidRDefault="00A85830" w:rsidP="0019576C">
            <w:pPr>
              <w:rPr>
                <w:sz w:val="20"/>
                <w:szCs w:val="20"/>
              </w:rPr>
            </w:pPr>
            <w:r w:rsidRPr="00DB2B91">
              <w:rPr>
                <w:sz w:val="20"/>
                <w:szCs w:val="20"/>
              </w:rPr>
              <w:t>Immune reconstitution inflammatory syndrome</w:t>
            </w:r>
          </w:p>
        </w:tc>
      </w:tr>
      <w:tr w:rsidR="00A85830" w:rsidTr="00A85830">
        <w:tc>
          <w:tcPr>
            <w:tcW w:w="1062" w:type="pct"/>
            <w:hideMark/>
          </w:tcPr>
          <w:p w:rsidR="00A85830" w:rsidRPr="00DB2B91" w:rsidRDefault="00A85830" w:rsidP="0019576C">
            <w:pPr>
              <w:rPr>
                <w:sz w:val="20"/>
                <w:szCs w:val="20"/>
              </w:rPr>
            </w:pPr>
            <w:r w:rsidRPr="00DB2B91">
              <w:rPr>
                <w:sz w:val="20"/>
                <w:szCs w:val="20"/>
              </w:rPr>
              <w:t>ITT</w:t>
            </w:r>
          </w:p>
        </w:tc>
        <w:tc>
          <w:tcPr>
            <w:tcW w:w="3938" w:type="pct"/>
            <w:hideMark/>
          </w:tcPr>
          <w:p w:rsidR="00A85830" w:rsidRPr="00DB2B91" w:rsidRDefault="00A85830" w:rsidP="0019576C">
            <w:pPr>
              <w:rPr>
                <w:sz w:val="20"/>
                <w:szCs w:val="20"/>
              </w:rPr>
            </w:pPr>
            <w:r w:rsidRPr="00DB2B91">
              <w:rPr>
                <w:sz w:val="20"/>
                <w:szCs w:val="20"/>
              </w:rPr>
              <w:t>Intent</w:t>
            </w:r>
            <w:r w:rsidR="00E873CA" w:rsidRPr="00DB2B91">
              <w:rPr>
                <w:sz w:val="20"/>
                <w:szCs w:val="20"/>
              </w:rPr>
              <w:t xml:space="preserve"> </w:t>
            </w:r>
            <w:r w:rsidRPr="00DB2B91">
              <w:rPr>
                <w:sz w:val="20"/>
                <w:szCs w:val="20"/>
              </w:rPr>
              <w:t>to treat</w:t>
            </w:r>
          </w:p>
        </w:tc>
      </w:tr>
      <w:tr w:rsidR="00A85830" w:rsidTr="00A85830">
        <w:tc>
          <w:tcPr>
            <w:tcW w:w="1062" w:type="pct"/>
            <w:hideMark/>
          </w:tcPr>
          <w:p w:rsidR="00A85830" w:rsidRPr="00DB2B91" w:rsidRDefault="00A85830" w:rsidP="0019576C">
            <w:pPr>
              <w:rPr>
                <w:sz w:val="20"/>
                <w:szCs w:val="20"/>
              </w:rPr>
            </w:pPr>
            <w:r w:rsidRPr="00DB2B91">
              <w:rPr>
                <w:sz w:val="20"/>
                <w:szCs w:val="20"/>
              </w:rPr>
              <w:t>ITT-E</w:t>
            </w:r>
          </w:p>
        </w:tc>
        <w:tc>
          <w:tcPr>
            <w:tcW w:w="3938" w:type="pct"/>
            <w:hideMark/>
          </w:tcPr>
          <w:p w:rsidR="00A85830" w:rsidRPr="00DB2B91" w:rsidRDefault="00A85830" w:rsidP="0019576C">
            <w:pPr>
              <w:rPr>
                <w:sz w:val="20"/>
                <w:szCs w:val="20"/>
              </w:rPr>
            </w:pPr>
            <w:r w:rsidRPr="00DB2B91">
              <w:rPr>
                <w:sz w:val="20"/>
                <w:szCs w:val="20"/>
              </w:rPr>
              <w:t>Intent</w:t>
            </w:r>
            <w:r w:rsidR="00E873CA" w:rsidRPr="00DB2B91">
              <w:rPr>
                <w:sz w:val="20"/>
                <w:szCs w:val="20"/>
              </w:rPr>
              <w:t xml:space="preserve"> </w:t>
            </w:r>
            <w:r w:rsidRPr="00DB2B91">
              <w:rPr>
                <w:sz w:val="20"/>
                <w:szCs w:val="20"/>
              </w:rPr>
              <w:t>to treat exposed</w:t>
            </w:r>
          </w:p>
        </w:tc>
      </w:tr>
      <w:tr w:rsidR="00A85830" w:rsidTr="00A85830">
        <w:tc>
          <w:tcPr>
            <w:tcW w:w="1062" w:type="pct"/>
            <w:hideMark/>
          </w:tcPr>
          <w:p w:rsidR="00A85830" w:rsidRPr="00DB2B91" w:rsidRDefault="00A85830" w:rsidP="0019576C">
            <w:pPr>
              <w:rPr>
                <w:sz w:val="20"/>
                <w:szCs w:val="20"/>
              </w:rPr>
            </w:pPr>
            <w:r w:rsidRPr="00DB2B91">
              <w:rPr>
                <w:sz w:val="20"/>
                <w:szCs w:val="20"/>
              </w:rPr>
              <w:t>kg</w:t>
            </w:r>
          </w:p>
        </w:tc>
        <w:tc>
          <w:tcPr>
            <w:tcW w:w="3938" w:type="pct"/>
            <w:hideMark/>
          </w:tcPr>
          <w:p w:rsidR="00A85830" w:rsidRPr="00DB2B91" w:rsidRDefault="00A85830" w:rsidP="0019576C">
            <w:pPr>
              <w:rPr>
                <w:sz w:val="20"/>
                <w:szCs w:val="20"/>
              </w:rPr>
            </w:pPr>
            <w:r w:rsidRPr="00DB2B91">
              <w:rPr>
                <w:sz w:val="20"/>
                <w:szCs w:val="20"/>
              </w:rPr>
              <w:t>Kilogram</w:t>
            </w:r>
          </w:p>
        </w:tc>
      </w:tr>
      <w:tr w:rsidR="00A85830" w:rsidTr="00A85830">
        <w:tc>
          <w:tcPr>
            <w:tcW w:w="1062" w:type="pct"/>
            <w:hideMark/>
          </w:tcPr>
          <w:p w:rsidR="00A85830" w:rsidRPr="00DB2B91" w:rsidRDefault="00A85830" w:rsidP="0019576C">
            <w:pPr>
              <w:rPr>
                <w:sz w:val="20"/>
                <w:szCs w:val="20"/>
              </w:rPr>
            </w:pPr>
            <w:r w:rsidRPr="00DB2B91">
              <w:rPr>
                <w:sz w:val="20"/>
                <w:szCs w:val="20"/>
              </w:rPr>
              <w:t>LDL</w:t>
            </w:r>
          </w:p>
        </w:tc>
        <w:tc>
          <w:tcPr>
            <w:tcW w:w="3938" w:type="pct"/>
            <w:hideMark/>
          </w:tcPr>
          <w:p w:rsidR="00A85830" w:rsidRPr="00DB2B91" w:rsidRDefault="00A85830" w:rsidP="0019576C">
            <w:pPr>
              <w:rPr>
                <w:sz w:val="20"/>
                <w:szCs w:val="20"/>
              </w:rPr>
            </w:pPr>
            <w:r w:rsidRPr="00DB2B91">
              <w:rPr>
                <w:sz w:val="20"/>
                <w:szCs w:val="20"/>
              </w:rPr>
              <w:t>Low</w:t>
            </w:r>
            <w:r w:rsidR="00E873CA" w:rsidRPr="00DB2B91">
              <w:rPr>
                <w:sz w:val="20"/>
                <w:szCs w:val="20"/>
              </w:rPr>
              <w:t xml:space="preserve"> </w:t>
            </w:r>
            <w:r w:rsidRPr="00DB2B91">
              <w:rPr>
                <w:sz w:val="20"/>
                <w:szCs w:val="20"/>
              </w:rPr>
              <w:t>density lipoprotein</w:t>
            </w:r>
          </w:p>
        </w:tc>
      </w:tr>
      <w:tr w:rsidR="00A85830" w:rsidTr="00A85830">
        <w:tc>
          <w:tcPr>
            <w:tcW w:w="1062" w:type="pct"/>
            <w:hideMark/>
          </w:tcPr>
          <w:p w:rsidR="00A85830" w:rsidRPr="00DB2B91" w:rsidRDefault="00A85830" w:rsidP="0019576C">
            <w:pPr>
              <w:rPr>
                <w:sz w:val="20"/>
                <w:szCs w:val="20"/>
              </w:rPr>
            </w:pPr>
            <w:r w:rsidRPr="00DB2B91">
              <w:rPr>
                <w:sz w:val="20"/>
                <w:szCs w:val="20"/>
              </w:rPr>
              <w:t>LFT</w:t>
            </w:r>
          </w:p>
        </w:tc>
        <w:tc>
          <w:tcPr>
            <w:tcW w:w="3938" w:type="pct"/>
            <w:hideMark/>
          </w:tcPr>
          <w:p w:rsidR="00A85830" w:rsidRPr="00DB2B91" w:rsidRDefault="00A85830" w:rsidP="0019576C">
            <w:pPr>
              <w:rPr>
                <w:sz w:val="20"/>
                <w:szCs w:val="20"/>
              </w:rPr>
            </w:pPr>
            <w:r w:rsidRPr="00DB2B91">
              <w:rPr>
                <w:sz w:val="20"/>
                <w:szCs w:val="20"/>
              </w:rPr>
              <w:t>Liver</w:t>
            </w:r>
            <w:r w:rsidR="00E873CA" w:rsidRPr="00DB2B91">
              <w:rPr>
                <w:sz w:val="20"/>
                <w:szCs w:val="20"/>
              </w:rPr>
              <w:t xml:space="preserve"> </w:t>
            </w:r>
            <w:r w:rsidRPr="00DB2B91">
              <w:rPr>
                <w:sz w:val="20"/>
                <w:szCs w:val="20"/>
              </w:rPr>
              <w:t>function test</w:t>
            </w:r>
          </w:p>
        </w:tc>
      </w:tr>
      <w:tr w:rsidR="00A85830" w:rsidTr="00A85830">
        <w:tc>
          <w:tcPr>
            <w:tcW w:w="1062" w:type="pct"/>
            <w:hideMark/>
          </w:tcPr>
          <w:p w:rsidR="00A85830" w:rsidRPr="00DB2B91" w:rsidRDefault="00A85830" w:rsidP="0019576C">
            <w:pPr>
              <w:rPr>
                <w:sz w:val="20"/>
                <w:szCs w:val="20"/>
              </w:rPr>
            </w:pPr>
            <w:r w:rsidRPr="00DB2B91">
              <w:rPr>
                <w:sz w:val="20"/>
                <w:szCs w:val="20"/>
              </w:rPr>
              <w:t>LOCF</w:t>
            </w:r>
          </w:p>
        </w:tc>
        <w:tc>
          <w:tcPr>
            <w:tcW w:w="3938" w:type="pct"/>
            <w:hideMark/>
          </w:tcPr>
          <w:p w:rsidR="00A85830" w:rsidRPr="00DB2B91" w:rsidRDefault="00A85830" w:rsidP="0019576C">
            <w:pPr>
              <w:rPr>
                <w:sz w:val="20"/>
                <w:szCs w:val="20"/>
              </w:rPr>
            </w:pPr>
            <w:r w:rsidRPr="00DB2B91">
              <w:rPr>
                <w:sz w:val="20"/>
                <w:szCs w:val="20"/>
              </w:rPr>
              <w:t>Last</w:t>
            </w:r>
            <w:r w:rsidR="00E873CA" w:rsidRPr="00DB2B91">
              <w:rPr>
                <w:sz w:val="20"/>
                <w:szCs w:val="20"/>
              </w:rPr>
              <w:t xml:space="preserve"> </w:t>
            </w:r>
            <w:r w:rsidRPr="00DB2B91">
              <w:rPr>
                <w:sz w:val="20"/>
                <w:szCs w:val="20"/>
              </w:rPr>
              <w:t>observation carried forward</w:t>
            </w:r>
          </w:p>
        </w:tc>
      </w:tr>
      <w:tr w:rsidR="00A85830" w:rsidTr="00A85830">
        <w:tc>
          <w:tcPr>
            <w:tcW w:w="1062" w:type="pct"/>
            <w:hideMark/>
          </w:tcPr>
          <w:p w:rsidR="00A85830" w:rsidRPr="00DB2B91" w:rsidRDefault="00A85830" w:rsidP="0019576C">
            <w:pPr>
              <w:rPr>
                <w:sz w:val="20"/>
                <w:szCs w:val="20"/>
              </w:rPr>
            </w:pPr>
            <w:r w:rsidRPr="00DB2B91">
              <w:rPr>
                <w:sz w:val="20"/>
                <w:szCs w:val="20"/>
              </w:rPr>
              <w:t>μg</w:t>
            </w:r>
          </w:p>
        </w:tc>
        <w:tc>
          <w:tcPr>
            <w:tcW w:w="3938" w:type="pct"/>
            <w:hideMark/>
          </w:tcPr>
          <w:p w:rsidR="00A85830" w:rsidRPr="00DB2B91" w:rsidRDefault="00A85830" w:rsidP="0019576C">
            <w:pPr>
              <w:rPr>
                <w:sz w:val="20"/>
                <w:szCs w:val="20"/>
              </w:rPr>
            </w:pPr>
            <w:r w:rsidRPr="00DB2B91">
              <w:rPr>
                <w:sz w:val="20"/>
                <w:szCs w:val="20"/>
              </w:rPr>
              <w:t>Microgram</w:t>
            </w:r>
          </w:p>
        </w:tc>
      </w:tr>
      <w:tr w:rsidR="00A85830" w:rsidTr="00A85830">
        <w:tc>
          <w:tcPr>
            <w:tcW w:w="1062" w:type="pct"/>
            <w:hideMark/>
          </w:tcPr>
          <w:p w:rsidR="00A85830" w:rsidRPr="00DB2B91" w:rsidRDefault="00A85830" w:rsidP="0019576C">
            <w:pPr>
              <w:rPr>
                <w:sz w:val="20"/>
                <w:szCs w:val="20"/>
              </w:rPr>
            </w:pPr>
            <w:proofErr w:type="spellStart"/>
            <w:r w:rsidRPr="00DB2B91">
              <w:rPr>
                <w:sz w:val="20"/>
                <w:szCs w:val="20"/>
              </w:rPr>
              <w:t>mITT</w:t>
            </w:r>
            <w:proofErr w:type="spellEnd"/>
          </w:p>
        </w:tc>
        <w:tc>
          <w:tcPr>
            <w:tcW w:w="3938" w:type="pct"/>
            <w:hideMark/>
          </w:tcPr>
          <w:p w:rsidR="00A85830" w:rsidRPr="00DB2B91" w:rsidRDefault="00A85830" w:rsidP="0019576C">
            <w:pPr>
              <w:rPr>
                <w:sz w:val="20"/>
                <w:szCs w:val="20"/>
              </w:rPr>
            </w:pPr>
            <w:r w:rsidRPr="00DB2B91">
              <w:rPr>
                <w:sz w:val="20"/>
                <w:szCs w:val="20"/>
              </w:rPr>
              <w:t>Modified</w:t>
            </w:r>
            <w:r w:rsidR="00E873CA" w:rsidRPr="00DB2B91">
              <w:rPr>
                <w:sz w:val="20"/>
                <w:szCs w:val="20"/>
              </w:rPr>
              <w:t xml:space="preserve"> </w:t>
            </w:r>
            <w:r w:rsidRPr="00DB2B91">
              <w:rPr>
                <w:sz w:val="20"/>
                <w:szCs w:val="20"/>
              </w:rPr>
              <w:t>intent to treat</w:t>
            </w:r>
          </w:p>
        </w:tc>
      </w:tr>
      <w:tr w:rsidR="00A85830" w:rsidTr="00A85830">
        <w:tc>
          <w:tcPr>
            <w:tcW w:w="1062" w:type="pct"/>
            <w:hideMark/>
          </w:tcPr>
          <w:p w:rsidR="00A85830" w:rsidRPr="00DB2B91" w:rsidRDefault="00A85830" w:rsidP="0019576C">
            <w:pPr>
              <w:rPr>
                <w:sz w:val="20"/>
                <w:szCs w:val="20"/>
              </w:rPr>
            </w:pPr>
            <w:proofErr w:type="spellStart"/>
            <w:r w:rsidRPr="00DB2B91">
              <w:rPr>
                <w:sz w:val="20"/>
                <w:szCs w:val="20"/>
              </w:rPr>
              <w:t>mITT</w:t>
            </w:r>
            <w:proofErr w:type="spellEnd"/>
            <w:r w:rsidRPr="00DB2B91">
              <w:rPr>
                <w:sz w:val="20"/>
                <w:szCs w:val="20"/>
              </w:rPr>
              <w:t>-E</w:t>
            </w:r>
          </w:p>
        </w:tc>
        <w:tc>
          <w:tcPr>
            <w:tcW w:w="3938" w:type="pct"/>
            <w:hideMark/>
          </w:tcPr>
          <w:p w:rsidR="00A85830" w:rsidRPr="00DB2B91" w:rsidRDefault="00A85830" w:rsidP="0019576C">
            <w:pPr>
              <w:rPr>
                <w:sz w:val="20"/>
                <w:szCs w:val="20"/>
              </w:rPr>
            </w:pPr>
            <w:r w:rsidRPr="00DB2B91">
              <w:rPr>
                <w:sz w:val="20"/>
                <w:szCs w:val="20"/>
              </w:rPr>
              <w:t>Modified</w:t>
            </w:r>
            <w:r w:rsidR="00E873CA" w:rsidRPr="00DB2B91">
              <w:rPr>
                <w:sz w:val="20"/>
                <w:szCs w:val="20"/>
              </w:rPr>
              <w:t xml:space="preserve"> </w:t>
            </w:r>
            <w:r w:rsidRPr="00DB2B91">
              <w:rPr>
                <w:sz w:val="20"/>
                <w:szCs w:val="20"/>
              </w:rPr>
              <w:t>intent to treat exposed</w:t>
            </w:r>
          </w:p>
        </w:tc>
      </w:tr>
      <w:tr w:rsidR="00A85830" w:rsidTr="00A85830">
        <w:tc>
          <w:tcPr>
            <w:tcW w:w="1062" w:type="pct"/>
            <w:hideMark/>
          </w:tcPr>
          <w:p w:rsidR="00A85830" w:rsidRPr="00DB2B91" w:rsidRDefault="00A85830" w:rsidP="0019576C">
            <w:pPr>
              <w:rPr>
                <w:sz w:val="20"/>
                <w:szCs w:val="20"/>
              </w:rPr>
            </w:pPr>
            <w:r w:rsidRPr="00DB2B91">
              <w:rPr>
                <w:sz w:val="20"/>
                <w:szCs w:val="20"/>
              </w:rPr>
              <w:t>mL</w:t>
            </w:r>
          </w:p>
        </w:tc>
        <w:tc>
          <w:tcPr>
            <w:tcW w:w="3938" w:type="pct"/>
            <w:hideMark/>
          </w:tcPr>
          <w:p w:rsidR="00A85830" w:rsidRPr="00DB2B91" w:rsidRDefault="00A85830" w:rsidP="0019576C">
            <w:pPr>
              <w:rPr>
                <w:sz w:val="20"/>
                <w:szCs w:val="20"/>
              </w:rPr>
            </w:pPr>
            <w:r w:rsidRPr="00DB2B91">
              <w:rPr>
                <w:sz w:val="20"/>
                <w:szCs w:val="20"/>
              </w:rPr>
              <w:t>Millilitre</w:t>
            </w:r>
          </w:p>
        </w:tc>
      </w:tr>
      <w:tr w:rsidR="00A85830" w:rsidTr="00A85830">
        <w:tc>
          <w:tcPr>
            <w:tcW w:w="1062" w:type="pct"/>
            <w:hideMark/>
          </w:tcPr>
          <w:p w:rsidR="00A85830" w:rsidRPr="00DB2B91" w:rsidRDefault="00A85830" w:rsidP="0019576C">
            <w:pPr>
              <w:rPr>
                <w:sz w:val="20"/>
                <w:szCs w:val="20"/>
              </w:rPr>
            </w:pPr>
            <w:r w:rsidRPr="00DB2B91">
              <w:rPr>
                <w:sz w:val="20"/>
                <w:szCs w:val="20"/>
              </w:rPr>
              <w:t>mm</w:t>
            </w:r>
          </w:p>
        </w:tc>
        <w:tc>
          <w:tcPr>
            <w:tcW w:w="3938" w:type="pct"/>
            <w:hideMark/>
          </w:tcPr>
          <w:p w:rsidR="00A85830" w:rsidRPr="00DB2B91" w:rsidRDefault="00A85830" w:rsidP="0019576C">
            <w:pPr>
              <w:rPr>
                <w:sz w:val="20"/>
                <w:szCs w:val="20"/>
              </w:rPr>
            </w:pPr>
            <w:r w:rsidRPr="00DB2B91">
              <w:rPr>
                <w:sz w:val="20"/>
                <w:szCs w:val="20"/>
              </w:rPr>
              <w:t>Millimetre</w:t>
            </w:r>
          </w:p>
        </w:tc>
      </w:tr>
      <w:tr w:rsidR="00A85830" w:rsidTr="00A85830">
        <w:tc>
          <w:tcPr>
            <w:tcW w:w="1062" w:type="pct"/>
            <w:hideMark/>
          </w:tcPr>
          <w:p w:rsidR="00A85830" w:rsidRPr="00DB2B91" w:rsidRDefault="00A85830" w:rsidP="0019576C">
            <w:pPr>
              <w:rPr>
                <w:sz w:val="20"/>
                <w:szCs w:val="20"/>
              </w:rPr>
            </w:pPr>
            <w:r w:rsidRPr="00DB2B91">
              <w:rPr>
                <w:sz w:val="20"/>
                <w:szCs w:val="20"/>
              </w:rPr>
              <w:t>MSDF</w:t>
            </w:r>
          </w:p>
        </w:tc>
        <w:tc>
          <w:tcPr>
            <w:tcW w:w="3938" w:type="pct"/>
            <w:hideMark/>
          </w:tcPr>
          <w:p w:rsidR="00A85830" w:rsidRPr="00DB2B91" w:rsidRDefault="00A85830" w:rsidP="0019576C">
            <w:pPr>
              <w:rPr>
                <w:sz w:val="20"/>
                <w:szCs w:val="20"/>
              </w:rPr>
            </w:pPr>
            <w:r w:rsidRPr="00DB2B91">
              <w:rPr>
                <w:sz w:val="20"/>
                <w:szCs w:val="20"/>
              </w:rPr>
              <w:t>Missing , switch discontinuation = failure (Snapshot algorithm)</w:t>
            </w:r>
          </w:p>
        </w:tc>
      </w:tr>
      <w:tr w:rsidR="00A85830" w:rsidTr="00A85830">
        <w:tc>
          <w:tcPr>
            <w:tcW w:w="1062" w:type="pct"/>
            <w:hideMark/>
          </w:tcPr>
          <w:p w:rsidR="00A85830" w:rsidRPr="00DB2B91" w:rsidRDefault="00A85830" w:rsidP="0019576C">
            <w:pPr>
              <w:rPr>
                <w:sz w:val="20"/>
                <w:szCs w:val="20"/>
              </w:rPr>
            </w:pPr>
            <w:r w:rsidRPr="00DB2B91">
              <w:rPr>
                <w:sz w:val="20"/>
                <w:szCs w:val="20"/>
              </w:rPr>
              <w:t>N</w:t>
            </w:r>
          </w:p>
        </w:tc>
        <w:tc>
          <w:tcPr>
            <w:tcW w:w="3938" w:type="pct"/>
            <w:hideMark/>
          </w:tcPr>
          <w:p w:rsidR="00A85830" w:rsidRPr="00DB2B91" w:rsidRDefault="00A85830" w:rsidP="0019576C">
            <w:pPr>
              <w:rPr>
                <w:sz w:val="20"/>
                <w:szCs w:val="20"/>
              </w:rPr>
            </w:pPr>
            <w:r w:rsidRPr="00DB2B91">
              <w:rPr>
                <w:sz w:val="20"/>
                <w:szCs w:val="20"/>
              </w:rPr>
              <w:t>Number</w:t>
            </w:r>
            <w:r w:rsidR="00E873CA" w:rsidRPr="00DB2B91">
              <w:rPr>
                <w:sz w:val="20"/>
                <w:szCs w:val="20"/>
              </w:rPr>
              <w:t xml:space="preserve"> </w:t>
            </w:r>
            <w:r w:rsidRPr="00DB2B91">
              <w:rPr>
                <w:sz w:val="20"/>
                <w:szCs w:val="20"/>
              </w:rPr>
              <w:t>of participants planned</w:t>
            </w:r>
          </w:p>
        </w:tc>
      </w:tr>
      <w:tr w:rsidR="00A85830" w:rsidTr="00A85830">
        <w:tc>
          <w:tcPr>
            <w:tcW w:w="1062" w:type="pct"/>
            <w:hideMark/>
          </w:tcPr>
          <w:p w:rsidR="00A85830" w:rsidRPr="00DB2B91" w:rsidRDefault="00A85830" w:rsidP="0019576C">
            <w:pPr>
              <w:rPr>
                <w:sz w:val="20"/>
                <w:szCs w:val="20"/>
              </w:rPr>
            </w:pPr>
            <w:r w:rsidRPr="00DB2B91">
              <w:rPr>
                <w:sz w:val="20"/>
                <w:szCs w:val="20"/>
              </w:rPr>
              <w:lastRenderedPageBreak/>
              <w:t>n</w:t>
            </w:r>
          </w:p>
        </w:tc>
        <w:tc>
          <w:tcPr>
            <w:tcW w:w="3938" w:type="pct"/>
            <w:hideMark/>
          </w:tcPr>
          <w:p w:rsidR="00A85830" w:rsidRPr="00DB2B91" w:rsidRDefault="00A85830" w:rsidP="0019576C">
            <w:pPr>
              <w:rPr>
                <w:sz w:val="20"/>
                <w:szCs w:val="20"/>
              </w:rPr>
            </w:pPr>
            <w:r w:rsidRPr="00DB2B91">
              <w:rPr>
                <w:sz w:val="20"/>
                <w:szCs w:val="20"/>
              </w:rPr>
              <w:t>Number</w:t>
            </w:r>
            <w:r w:rsidR="00E873CA" w:rsidRPr="00DB2B91">
              <w:rPr>
                <w:sz w:val="20"/>
                <w:szCs w:val="20"/>
              </w:rPr>
              <w:t xml:space="preserve"> </w:t>
            </w:r>
            <w:r w:rsidRPr="00DB2B91">
              <w:rPr>
                <w:sz w:val="20"/>
                <w:szCs w:val="20"/>
              </w:rPr>
              <w:t>of individuals participating</w:t>
            </w:r>
          </w:p>
        </w:tc>
      </w:tr>
      <w:tr w:rsidR="00A85830" w:rsidTr="00A85830">
        <w:tc>
          <w:tcPr>
            <w:tcW w:w="1062" w:type="pct"/>
            <w:hideMark/>
          </w:tcPr>
          <w:p w:rsidR="00A85830" w:rsidRPr="00DB2B91" w:rsidRDefault="00A85830" w:rsidP="0019576C">
            <w:pPr>
              <w:rPr>
                <w:sz w:val="20"/>
                <w:szCs w:val="20"/>
              </w:rPr>
            </w:pPr>
            <w:r w:rsidRPr="00DB2B91">
              <w:rPr>
                <w:sz w:val="20"/>
                <w:szCs w:val="20"/>
              </w:rPr>
              <w:t>ng</w:t>
            </w:r>
          </w:p>
        </w:tc>
        <w:tc>
          <w:tcPr>
            <w:tcW w:w="3938" w:type="pct"/>
            <w:hideMark/>
          </w:tcPr>
          <w:p w:rsidR="00A85830" w:rsidRPr="00DB2B91" w:rsidRDefault="00A85830" w:rsidP="0019576C">
            <w:pPr>
              <w:rPr>
                <w:sz w:val="20"/>
                <w:szCs w:val="20"/>
              </w:rPr>
            </w:pPr>
            <w:proofErr w:type="spellStart"/>
            <w:r w:rsidRPr="00DB2B91">
              <w:rPr>
                <w:sz w:val="20"/>
                <w:szCs w:val="20"/>
              </w:rPr>
              <w:t>Nanogram</w:t>
            </w:r>
            <w:proofErr w:type="spellEnd"/>
          </w:p>
        </w:tc>
      </w:tr>
      <w:tr w:rsidR="00A85830" w:rsidTr="00A85830">
        <w:tc>
          <w:tcPr>
            <w:tcW w:w="1062" w:type="pct"/>
            <w:hideMark/>
          </w:tcPr>
          <w:p w:rsidR="00A85830" w:rsidRPr="00DB2B91" w:rsidRDefault="00A85830" w:rsidP="0019576C">
            <w:pPr>
              <w:rPr>
                <w:sz w:val="20"/>
                <w:szCs w:val="20"/>
              </w:rPr>
            </w:pPr>
            <w:r w:rsidRPr="00DB2B91">
              <w:rPr>
                <w:sz w:val="20"/>
                <w:szCs w:val="20"/>
              </w:rPr>
              <w:t>NNRTI</w:t>
            </w:r>
          </w:p>
        </w:tc>
        <w:tc>
          <w:tcPr>
            <w:tcW w:w="3938" w:type="pct"/>
            <w:hideMark/>
          </w:tcPr>
          <w:p w:rsidR="00A85830" w:rsidRPr="00DB2B91" w:rsidRDefault="00A85830" w:rsidP="0019576C">
            <w:pPr>
              <w:rPr>
                <w:sz w:val="20"/>
                <w:szCs w:val="20"/>
              </w:rPr>
            </w:pPr>
            <w:r w:rsidRPr="00DB2B91">
              <w:rPr>
                <w:sz w:val="20"/>
                <w:szCs w:val="20"/>
              </w:rPr>
              <w:t>Non-nucleoside reverse transcriptase inhibitors</w:t>
            </w:r>
          </w:p>
        </w:tc>
      </w:tr>
      <w:tr w:rsidR="00A85830" w:rsidTr="00A85830">
        <w:tc>
          <w:tcPr>
            <w:tcW w:w="1062" w:type="pct"/>
            <w:hideMark/>
          </w:tcPr>
          <w:p w:rsidR="00A85830" w:rsidRPr="00DB2B91" w:rsidRDefault="00A85830" w:rsidP="0019576C">
            <w:pPr>
              <w:rPr>
                <w:sz w:val="20"/>
                <w:szCs w:val="20"/>
              </w:rPr>
            </w:pPr>
            <w:r w:rsidRPr="00DB2B91">
              <w:rPr>
                <w:sz w:val="20"/>
                <w:szCs w:val="20"/>
              </w:rPr>
              <w:t>NRTI</w:t>
            </w:r>
          </w:p>
        </w:tc>
        <w:tc>
          <w:tcPr>
            <w:tcW w:w="3938" w:type="pct"/>
            <w:hideMark/>
          </w:tcPr>
          <w:p w:rsidR="00A85830" w:rsidRPr="00DB2B91" w:rsidRDefault="00A85830" w:rsidP="0019576C">
            <w:pPr>
              <w:rPr>
                <w:sz w:val="20"/>
                <w:szCs w:val="20"/>
              </w:rPr>
            </w:pPr>
            <w:r w:rsidRPr="00DB2B91">
              <w:rPr>
                <w:sz w:val="20"/>
                <w:szCs w:val="20"/>
              </w:rPr>
              <w:t>Nucleoside</w:t>
            </w:r>
            <w:r w:rsidR="00E873CA" w:rsidRPr="00DB2B91">
              <w:rPr>
                <w:sz w:val="20"/>
                <w:szCs w:val="20"/>
              </w:rPr>
              <w:t xml:space="preserve"> </w:t>
            </w:r>
            <w:r w:rsidRPr="00DB2B91">
              <w:rPr>
                <w:sz w:val="20"/>
                <w:szCs w:val="20"/>
              </w:rPr>
              <w:t>reverse transcriptase inhibitor</w:t>
            </w:r>
          </w:p>
        </w:tc>
      </w:tr>
      <w:tr w:rsidR="00A85830" w:rsidTr="00A85830">
        <w:tc>
          <w:tcPr>
            <w:tcW w:w="1062" w:type="pct"/>
            <w:hideMark/>
          </w:tcPr>
          <w:p w:rsidR="00A85830" w:rsidRPr="00DB2B91" w:rsidRDefault="00A85830" w:rsidP="0019576C">
            <w:pPr>
              <w:rPr>
                <w:sz w:val="20"/>
                <w:szCs w:val="20"/>
              </w:rPr>
            </w:pPr>
            <w:r w:rsidRPr="00DB2B91">
              <w:rPr>
                <w:sz w:val="20"/>
                <w:szCs w:val="20"/>
              </w:rPr>
              <w:t>PDVF</w:t>
            </w:r>
          </w:p>
        </w:tc>
        <w:tc>
          <w:tcPr>
            <w:tcW w:w="3938" w:type="pct"/>
            <w:hideMark/>
          </w:tcPr>
          <w:p w:rsidR="00A85830" w:rsidRPr="00DB2B91" w:rsidRDefault="00A85830" w:rsidP="0019576C">
            <w:pPr>
              <w:rPr>
                <w:sz w:val="20"/>
                <w:szCs w:val="20"/>
              </w:rPr>
            </w:pPr>
            <w:r w:rsidRPr="00DB2B91">
              <w:rPr>
                <w:sz w:val="20"/>
                <w:szCs w:val="20"/>
              </w:rPr>
              <w:t>Protocol</w:t>
            </w:r>
            <w:r w:rsidR="00E873CA" w:rsidRPr="00DB2B91">
              <w:rPr>
                <w:sz w:val="20"/>
                <w:szCs w:val="20"/>
              </w:rPr>
              <w:t xml:space="preserve"> </w:t>
            </w:r>
            <w:r w:rsidRPr="00DB2B91">
              <w:rPr>
                <w:sz w:val="20"/>
                <w:szCs w:val="20"/>
              </w:rPr>
              <w:t xml:space="preserve">defined </w:t>
            </w:r>
            <w:proofErr w:type="spellStart"/>
            <w:r w:rsidRPr="00DB2B91">
              <w:rPr>
                <w:sz w:val="20"/>
                <w:szCs w:val="20"/>
              </w:rPr>
              <w:t>virologic</w:t>
            </w:r>
            <w:proofErr w:type="spellEnd"/>
            <w:r w:rsidRPr="00DB2B91">
              <w:rPr>
                <w:sz w:val="20"/>
                <w:szCs w:val="20"/>
              </w:rPr>
              <w:t xml:space="preserve"> failure</w:t>
            </w:r>
          </w:p>
        </w:tc>
      </w:tr>
      <w:tr w:rsidR="00A85830" w:rsidTr="00A85830">
        <w:tc>
          <w:tcPr>
            <w:tcW w:w="1062" w:type="pct"/>
            <w:hideMark/>
          </w:tcPr>
          <w:p w:rsidR="00A85830" w:rsidRPr="00DB2B91" w:rsidRDefault="00A85830" w:rsidP="0019576C">
            <w:pPr>
              <w:rPr>
                <w:sz w:val="20"/>
                <w:szCs w:val="20"/>
              </w:rPr>
            </w:pPr>
            <w:r w:rsidRPr="00DB2B91">
              <w:rPr>
                <w:sz w:val="20"/>
                <w:szCs w:val="20"/>
              </w:rPr>
              <w:t>P-gp</w:t>
            </w:r>
          </w:p>
        </w:tc>
        <w:tc>
          <w:tcPr>
            <w:tcW w:w="3938" w:type="pct"/>
            <w:hideMark/>
          </w:tcPr>
          <w:p w:rsidR="00A85830" w:rsidRPr="00DB2B91" w:rsidRDefault="00A85830" w:rsidP="0019576C">
            <w:pPr>
              <w:rPr>
                <w:sz w:val="20"/>
                <w:szCs w:val="20"/>
              </w:rPr>
            </w:pPr>
            <w:r w:rsidRPr="00DB2B91">
              <w:rPr>
                <w:sz w:val="20"/>
                <w:szCs w:val="20"/>
              </w:rPr>
              <w:t>P glycoprotein</w:t>
            </w:r>
          </w:p>
        </w:tc>
      </w:tr>
      <w:tr w:rsidR="00A85830" w:rsidTr="00A85830">
        <w:tc>
          <w:tcPr>
            <w:tcW w:w="1062" w:type="pct"/>
            <w:hideMark/>
          </w:tcPr>
          <w:p w:rsidR="00A85830" w:rsidRPr="00DB2B91" w:rsidRDefault="00A85830" w:rsidP="0019576C">
            <w:pPr>
              <w:rPr>
                <w:sz w:val="20"/>
                <w:szCs w:val="20"/>
              </w:rPr>
            </w:pPr>
            <w:r w:rsidRPr="00DB2B91">
              <w:rPr>
                <w:sz w:val="20"/>
                <w:szCs w:val="20"/>
              </w:rPr>
              <w:t>PK</w:t>
            </w:r>
          </w:p>
        </w:tc>
        <w:tc>
          <w:tcPr>
            <w:tcW w:w="3938" w:type="pct"/>
            <w:hideMark/>
          </w:tcPr>
          <w:p w:rsidR="00A85830" w:rsidRPr="00DB2B91" w:rsidRDefault="00A85830" w:rsidP="0019576C">
            <w:pPr>
              <w:rPr>
                <w:sz w:val="20"/>
                <w:szCs w:val="20"/>
              </w:rPr>
            </w:pPr>
            <w:r w:rsidRPr="00DB2B91">
              <w:rPr>
                <w:sz w:val="20"/>
                <w:szCs w:val="20"/>
              </w:rPr>
              <w:t>Pharmacokinetic</w:t>
            </w:r>
          </w:p>
        </w:tc>
      </w:tr>
      <w:tr w:rsidR="00A85830" w:rsidTr="00A85830">
        <w:tc>
          <w:tcPr>
            <w:tcW w:w="1062" w:type="pct"/>
            <w:hideMark/>
          </w:tcPr>
          <w:p w:rsidR="00A85830" w:rsidRPr="00DB2B91" w:rsidRDefault="00A85830" w:rsidP="0019576C">
            <w:pPr>
              <w:rPr>
                <w:sz w:val="20"/>
                <w:szCs w:val="20"/>
              </w:rPr>
            </w:pPr>
            <w:r w:rsidRPr="00DB2B91">
              <w:rPr>
                <w:sz w:val="20"/>
                <w:szCs w:val="20"/>
              </w:rPr>
              <w:t>PP</w:t>
            </w:r>
          </w:p>
        </w:tc>
        <w:tc>
          <w:tcPr>
            <w:tcW w:w="3938" w:type="pct"/>
            <w:hideMark/>
          </w:tcPr>
          <w:p w:rsidR="00A85830" w:rsidRPr="00DB2B91" w:rsidRDefault="00A85830" w:rsidP="0019576C">
            <w:pPr>
              <w:rPr>
                <w:sz w:val="20"/>
                <w:szCs w:val="20"/>
              </w:rPr>
            </w:pPr>
            <w:r w:rsidRPr="00DB2B91">
              <w:rPr>
                <w:sz w:val="20"/>
                <w:szCs w:val="20"/>
              </w:rPr>
              <w:t>Per</w:t>
            </w:r>
            <w:r w:rsidR="00E873CA" w:rsidRPr="00DB2B91">
              <w:rPr>
                <w:sz w:val="20"/>
                <w:szCs w:val="20"/>
              </w:rPr>
              <w:t xml:space="preserve"> </w:t>
            </w:r>
            <w:r w:rsidRPr="00DB2B91">
              <w:rPr>
                <w:sz w:val="20"/>
                <w:szCs w:val="20"/>
              </w:rPr>
              <w:t>protocol</w:t>
            </w:r>
          </w:p>
        </w:tc>
      </w:tr>
      <w:tr w:rsidR="00A85830" w:rsidTr="00A85830">
        <w:tc>
          <w:tcPr>
            <w:tcW w:w="1062" w:type="pct"/>
            <w:hideMark/>
          </w:tcPr>
          <w:p w:rsidR="00A85830" w:rsidRPr="00DB2B91" w:rsidRDefault="00A85830" w:rsidP="0019576C">
            <w:pPr>
              <w:rPr>
                <w:sz w:val="20"/>
                <w:szCs w:val="20"/>
              </w:rPr>
            </w:pPr>
            <w:r w:rsidRPr="00DB2B91">
              <w:rPr>
                <w:sz w:val="20"/>
                <w:szCs w:val="20"/>
              </w:rPr>
              <w:t>PRO</w:t>
            </w:r>
          </w:p>
        </w:tc>
        <w:tc>
          <w:tcPr>
            <w:tcW w:w="3938" w:type="pct"/>
            <w:hideMark/>
          </w:tcPr>
          <w:p w:rsidR="00A85830" w:rsidRPr="00DB2B91" w:rsidRDefault="00A85830" w:rsidP="0019576C">
            <w:pPr>
              <w:rPr>
                <w:sz w:val="20"/>
                <w:szCs w:val="20"/>
              </w:rPr>
            </w:pPr>
            <w:r w:rsidRPr="00DB2B91">
              <w:rPr>
                <w:sz w:val="20"/>
                <w:szCs w:val="20"/>
              </w:rPr>
              <w:t>Protease</w:t>
            </w:r>
          </w:p>
        </w:tc>
      </w:tr>
      <w:tr w:rsidR="00A85830" w:rsidTr="00A85830">
        <w:tc>
          <w:tcPr>
            <w:tcW w:w="1062" w:type="pct"/>
            <w:hideMark/>
          </w:tcPr>
          <w:p w:rsidR="00A85830" w:rsidRPr="00DB2B91" w:rsidRDefault="00A85830" w:rsidP="0019576C">
            <w:pPr>
              <w:rPr>
                <w:sz w:val="20"/>
                <w:szCs w:val="20"/>
              </w:rPr>
            </w:pPr>
            <w:r w:rsidRPr="00DB2B91">
              <w:rPr>
                <w:sz w:val="20"/>
                <w:szCs w:val="20"/>
              </w:rPr>
              <w:t>PR/RT</w:t>
            </w:r>
          </w:p>
        </w:tc>
        <w:tc>
          <w:tcPr>
            <w:tcW w:w="3938" w:type="pct"/>
            <w:hideMark/>
          </w:tcPr>
          <w:p w:rsidR="00A85830" w:rsidRPr="00DB2B91" w:rsidRDefault="005A1793" w:rsidP="005A1793">
            <w:pPr>
              <w:rPr>
                <w:sz w:val="20"/>
                <w:szCs w:val="20"/>
              </w:rPr>
            </w:pPr>
            <w:r>
              <w:rPr>
                <w:sz w:val="20"/>
                <w:szCs w:val="20"/>
              </w:rPr>
              <w:t>Protease/reverse transcriptase</w:t>
            </w:r>
          </w:p>
        </w:tc>
      </w:tr>
      <w:tr w:rsidR="00A85830" w:rsidTr="00A85830">
        <w:tc>
          <w:tcPr>
            <w:tcW w:w="1062" w:type="pct"/>
            <w:hideMark/>
          </w:tcPr>
          <w:p w:rsidR="00A85830" w:rsidRPr="00DB2B91" w:rsidRDefault="00A85830" w:rsidP="0019576C">
            <w:pPr>
              <w:rPr>
                <w:sz w:val="20"/>
                <w:szCs w:val="20"/>
              </w:rPr>
            </w:pPr>
            <w:r w:rsidRPr="00DB2B91">
              <w:rPr>
                <w:sz w:val="20"/>
                <w:szCs w:val="20"/>
              </w:rPr>
              <w:t>QTcB</w:t>
            </w:r>
          </w:p>
        </w:tc>
        <w:tc>
          <w:tcPr>
            <w:tcW w:w="3938" w:type="pct"/>
            <w:hideMark/>
          </w:tcPr>
          <w:p w:rsidR="00A85830" w:rsidRPr="00DB2B91" w:rsidRDefault="00A85830" w:rsidP="005A1793">
            <w:pPr>
              <w:rPr>
                <w:sz w:val="20"/>
                <w:szCs w:val="20"/>
              </w:rPr>
            </w:pPr>
            <w:r w:rsidRPr="00DB2B91">
              <w:rPr>
                <w:sz w:val="20"/>
                <w:szCs w:val="20"/>
              </w:rPr>
              <w:t xml:space="preserve">Heart rate corrected QT interval using </w:t>
            </w:r>
            <w:proofErr w:type="spellStart"/>
            <w:r w:rsidRPr="00DB2B91">
              <w:rPr>
                <w:sz w:val="20"/>
                <w:szCs w:val="20"/>
              </w:rPr>
              <w:t>Bazett’s</w:t>
            </w:r>
            <w:proofErr w:type="spellEnd"/>
            <w:r w:rsidRPr="00DB2B91">
              <w:rPr>
                <w:sz w:val="20"/>
                <w:szCs w:val="20"/>
              </w:rPr>
              <w:t xml:space="preserve"> formula</w:t>
            </w:r>
          </w:p>
        </w:tc>
      </w:tr>
      <w:tr w:rsidR="00A85830" w:rsidTr="00A85830">
        <w:tc>
          <w:tcPr>
            <w:tcW w:w="1062" w:type="pct"/>
            <w:hideMark/>
          </w:tcPr>
          <w:p w:rsidR="00A85830" w:rsidRPr="00DB2B91" w:rsidRDefault="00A85830" w:rsidP="0019576C">
            <w:pPr>
              <w:rPr>
                <w:sz w:val="20"/>
                <w:szCs w:val="20"/>
              </w:rPr>
            </w:pPr>
            <w:r w:rsidRPr="00DB2B91">
              <w:rPr>
                <w:sz w:val="20"/>
                <w:szCs w:val="20"/>
              </w:rPr>
              <w:t>QTcF</w:t>
            </w:r>
          </w:p>
        </w:tc>
        <w:tc>
          <w:tcPr>
            <w:tcW w:w="3938" w:type="pct"/>
            <w:hideMark/>
          </w:tcPr>
          <w:p w:rsidR="00A85830" w:rsidRPr="00DB2B91" w:rsidRDefault="00A85830" w:rsidP="0019576C">
            <w:pPr>
              <w:rPr>
                <w:sz w:val="20"/>
                <w:szCs w:val="20"/>
              </w:rPr>
            </w:pPr>
            <w:r w:rsidRPr="00DB2B91">
              <w:rPr>
                <w:sz w:val="20"/>
                <w:szCs w:val="20"/>
              </w:rPr>
              <w:t>Heart</w:t>
            </w:r>
            <w:r w:rsidR="00E873CA" w:rsidRPr="00DB2B91">
              <w:rPr>
                <w:sz w:val="20"/>
                <w:szCs w:val="20"/>
              </w:rPr>
              <w:t xml:space="preserve"> </w:t>
            </w:r>
            <w:r w:rsidRPr="00DB2B91">
              <w:rPr>
                <w:sz w:val="20"/>
                <w:szCs w:val="20"/>
              </w:rPr>
              <w:t>rate corrected QT interval using Fridericia’s method</w:t>
            </w:r>
          </w:p>
        </w:tc>
      </w:tr>
      <w:tr w:rsidR="00A85830" w:rsidTr="00A85830">
        <w:tc>
          <w:tcPr>
            <w:tcW w:w="1062" w:type="pct"/>
            <w:hideMark/>
          </w:tcPr>
          <w:p w:rsidR="00A85830" w:rsidRPr="00DB2B91" w:rsidRDefault="00A85830" w:rsidP="0019576C">
            <w:pPr>
              <w:rPr>
                <w:sz w:val="20"/>
                <w:szCs w:val="20"/>
              </w:rPr>
            </w:pPr>
            <w:r w:rsidRPr="00DB2B91">
              <w:rPr>
                <w:sz w:val="20"/>
                <w:szCs w:val="20"/>
              </w:rPr>
              <w:t>RAL</w:t>
            </w:r>
          </w:p>
        </w:tc>
        <w:tc>
          <w:tcPr>
            <w:tcW w:w="3938" w:type="pct"/>
            <w:hideMark/>
          </w:tcPr>
          <w:p w:rsidR="00A85830" w:rsidRPr="00DB2B91" w:rsidRDefault="00A85830" w:rsidP="0019576C">
            <w:pPr>
              <w:rPr>
                <w:sz w:val="20"/>
                <w:szCs w:val="20"/>
              </w:rPr>
            </w:pPr>
            <w:proofErr w:type="spellStart"/>
            <w:r w:rsidRPr="00DB2B91">
              <w:rPr>
                <w:sz w:val="20"/>
                <w:szCs w:val="20"/>
              </w:rPr>
              <w:t>Raltegravir</w:t>
            </w:r>
            <w:proofErr w:type="spellEnd"/>
          </w:p>
        </w:tc>
      </w:tr>
      <w:tr w:rsidR="00A85830" w:rsidTr="00A85830">
        <w:tc>
          <w:tcPr>
            <w:tcW w:w="1062" w:type="pct"/>
            <w:hideMark/>
          </w:tcPr>
          <w:p w:rsidR="00A85830" w:rsidRPr="00DB2B91" w:rsidRDefault="00A85830" w:rsidP="0019576C">
            <w:pPr>
              <w:rPr>
                <w:sz w:val="20"/>
                <w:szCs w:val="20"/>
              </w:rPr>
            </w:pPr>
            <w:r w:rsidRPr="00DB2B91">
              <w:rPr>
                <w:sz w:val="20"/>
                <w:szCs w:val="20"/>
              </w:rPr>
              <w:t>RAP</w:t>
            </w:r>
          </w:p>
        </w:tc>
        <w:tc>
          <w:tcPr>
            <w:tcW w:w="3938" w:type="pct"/>
            <w:hideMark/>
          </w:tcPr>
          <w:p w:rsidR="00A85830" w:rsidRPr="00DB2B91" w:rsidRDefault="00A85830" w:rsidP="0019576C">
            <w:pPr>
              <w:rPr>
                <w:sz w:val="20"/>
                <w:szCs w:val="20"/>
              </w:rPr>
            </w:pPr>
            <w:r w:rsidRPr="00DB2B91">
              <w:rPr>
                <w:sz w:val="20"/>
                <w:szCs w:val="20"/>
              </w:rPr>
              <w:t>Reporting</w:t>
            </w:r>
            <w:r w:rsidR="00E873CA" w:rsidRPr="00DB2B91">
              <w:rPr>
                <w:sz w:val="20"/>
                <w:szCs w:val="20"/>
              </w:rPr>
              <w:t xml:space="preserve"> </w:t>
            </w:r>
            <w:r w:rsidRPr="00DB2B91">
              <w:rPr>
                <w:sz w:val="20"/>
                <w:szCs w:val="20"/>
              </w:rPr>
              <w:t>analysis plan</w:t>
            </w:r>
          </w:p>
        </w:tc>
      </w:tr>
      <w:tr w:rsidR="00A85830" w:rsidTr="00A85830">
        <w:tc>
          <w:tcPr>
            <w:tcW w:w="1062" w:type="pct"/>
            <w:hideMark/>
          </w:tcPr>
          <w:p w:rsidR="00A85830" w:rsidRPr="00DB2B91" w:rsidRDefault="00A85830" w:rsidP="0019576C">
            <w:pPr>
              <w:rPr>
                <w:sz w:val="20"/>
                <w:szCs w:val="20"/>
              </w:rPr>
            </w:pPr>
            <w:r w:rsidRPr="00DB2B91">
              <w:rPr>
                <w:sz w:val="20"/>
                <w:szCs w:val="20"/>
              </w:rPr>
              <w:t>RNA</w:t>
            </w:r>
          </w:p>
        </w:tc>
        <w:tc>
          <w:tcPr>
            <w:tcW w:w="3938" w:type="pct"/>
            <w:hideMark/>
          </w:tcPr>
          <w:p w:rsidR="00A85830" w:rsidRPr="00DB2B91" w:rsidRDefault="00A85830" w:rsidP="0019576C">
            <w:pPr>
              <w:rPr>
                <w:sz w:val="20"/>
                <w:szCs w:val="20"/>
              </w:rPr>
            </w:pPr>
            <w:r w:rsidRPr="00DB2B91">
              <w:rPr>
                <w:sz w:val="20"/>
                <w:szCs w:val="20"/>
              </w:rPr>
              <w:t>Ribonucleic</w:t>
            </w:r>
            <w:r w:rsidR="00E873CA" w:rsidRPr="00DB2B91">
              <w:rPr>
                <w:sz w:val="20"/>
                <w:szCs w:val="20"/>
              </w:rPr>
              <w:t xml:space="preserve"> </w:t>
            </w:r>
            <w:r w:rsidRPr="00DB2B91">
              <w:rPr>
                <w:sz w:val="20"/>
                <w:szCs w:val="20"/>
              </w:rPr>
              <w:t>acid</w:t>
            </w:r>
          </w:p>
        </w:tc>
      </w:tr>
      <w:tr w:rsidR="00A85830" w:rsidTr="00A85830">
        <w:tc>
          <w:tcPr>
            <w:tcW w:w="1062" w:type="pct"/>
            <w:hideMark/>
          </w:tcPr>
          <w:p w:rsidR="00A85830" w:rsidRPr="00DB2B91" w:rsidRDefault="00A85830" w:rsidP="0019576C">
            <w:pPr>
              <w:rPr>
                <w:sz w:val="20"/>
                <w:szCs w:val="20"/>
              </w:rPr>
            </w:pPr>
            <w:r w:rsidRPr="00DB2B91">
              <w:rPr>
                <w:sz w:val="20"/>
                <w:szCs w:val="20"/>
              </w:rPr>
              <w:t>RR</w:t>
            </w:r>
          </w:p>
        </w:tc>
        <w:tc>
          <w:tcPr>
            <w:tcW w:w="3938" w:type="pct"/>
            <w:hideMark/>
          </w:tcPr>
          <w:p w:rsidR="00A85830" w:rsidRPr="00DB2B91" w:rsidRDefault="00A85830" w:rsidP="0019576C">
            <w:pPr>
              <w:rPr>
                <w:sz w:val="20"/>
                <w:szCs w:val="20"/>
              </w:rPr>
            </w:pPr>
            <w:r w:rsidRPr="00DB2B91">
              <w:rPr>
                <w:sz w:val="20"/>
                <w:szCs w:val="20"/>
              </w:rPr>
              <w:t>Relative</w:t>
            </w:r>
            <w:r w:rsidR="00E873CA" w:rsidRPr="00DB2B91">
              <w:rPr>
                <w:sz w:val="20"/>
                <w:szCs w:val="20"/>
              </w:rPr>
              <w:t xml:space="preserve"> </w:t>
            </w:r>
            <w:r w:rsidRPr="00DB2B91">
              <w:rPr>
                <w:sz w:val="20"/>
                <w:szCs w:val="20"/>
              </w:rPr>
              <w:t>risk</w:t>
            </w:r>
          </w:p>
        </w:tc>
      </w:tr>
      <w:tr w:rsidR="00A85830" w:rsidTr="00A85830">
        <w:tc>
          <w:tcPr>
            <w:tcW w:w="1062" w:type="pct"/>
            <w:hideMark/>
          </w:tcPr>
          <w:p w:rsidR="00A85830" w:rsidRPr="00DB2B91" w:rsidRDefault="00A85830" w:rsidP="0019576C">
            <w:pPr>
              <w:rPr>
                <w:sz w:val="20"/>
                <w:szCs w:val="20"/>
              </w:rPr>
            </w:pPr>
            <w:r w:rsidRPr="00DB2B91">
              <w:rPr>
                <w:sz w:val="20"/>
                <w:szCs w:val="20"/>
              </w:rPr>
              <w:t>RT</w:t>
            </w:r>
          </w:p>
        </w:tc>
        <w:tc>
          <w:tcPr>
            <w:tcW w:w="3938" w:type="pct"/>
            <w:hideMark/>
          </w:tcPr>
          <w:p w:rsidR="00A85830" w:rsidRPr="00DB2B91" w:rsidRDefault="00A85830" w:rsidP="0019576C">
            <w:pPr>
              <w:rPr>
                <w:sz w:val="20"/>
                <w:szCs w:val="20"/>
              </w:rPr>
            </w:pPr>
            <w:r w:rsidRPr="00DB2B91">
              <w:rPr>
                <w:sz w:val="20"/>
                <w:szCs w:val="20"/>
              </w:rPr>
              <w:t>Reverse</w:t>
            </w:r>
            <w:r w:rsidR="00E873CA" w:rsidRPr="00DB2B91">
              <w:rPr>
                <w:sz w:val="20"/>
                <w:szCs w:val="20"/>
              </w:rPr>
              <w:t xml:space="preserve"> </w:t>
            </w:r>
            <w:r w:rsidRPr="00DB2B91">
              <w:rPr>
                <w:sz w:val="20"/>
                <w:szCs w:val="20"/>
              </w:rPr>
              <w:t>transcriptase</w:t>
            </w:r>
          </w:p>
        </w:tc>
      </w:tr>
      <w:tr w:rsidR="00A85830" w:rsidTr="00A85830">
        <w:tc>
          <w:tcPr>
            <w:tcW w:w="1062" w:type="pct"/>
            <w:hideMark/>
          </w:tcPr>
          <w:p w:rsidR="00A85830" w:rsidRPr="00DB2B91" w:rsidRDefault="00A85830" w:rsidP="0019576C">
            <w:pPr>
              <w:rPr>
                <w:sz w:val="20"/>
                <w:szCs w:val="20"/>
              </w:rPr>
            </w:pPr>
            <w:r w:rsidRPr="00DB2B91">
              <w:rPr>
                <w:sz w:val="20"/>
                <w:szCs w:val="20"/>
              </w:rPr>
              <w:t>RTV</w:t>
            </w:r>
          </w:p>
        </w:tc>
        <w:tc>
          <w:tcPr>
            <w:tcW w:w="3938" w:type="pct"/>
            <w:hideMark/>
          </w:tcPr>
          <w:p w:rsidR="00A85830" w:rsidRPr="00DB2B91" w:rsidRDefault="00A85830" w:rsidP="0019576C">
            <w:pPr>
              <w:rPr>
                <w:sz w:val="20"/>
                <w:szCs w:val="20"/>
              </w:rPr>
            </w:pPr>
            <w:r w:rsidRPr="00DB2B91">
              <w:rPr>
                <w:sz w:val="20"/>
                <w:szCs w:val="20"/>
              </w:rPr>
              <w:t>Ritonavir</w:t>
            </w:r>
          </w:p>
        </w:tc>
      </w:tr>
      <w:tr w:rsidR="00A85830" w:rsidTr="00A85830">
        <w:tc>
          <w:tcPr>
            <w:tcW w:w="1062" w:type="pct"/>
            <w:hideMark/>
          </w:tcPr>
          <w:p w:rsidR="00A85830" w:rsidRPr="00DB2B91" w:rsidRDefault="00A85830" w:rsidP="0019576C">
            <w:pPr>
              <w:rPr>
                <w:sz w:val="20"/>
                <w:szCs w:val="20"/>
              </w:rPr>
            </w:pPr>
            <w:r w:rsidRPr="00DB2B91">
              <w:rPr>
                <w:sz w:val="20"/>
                <w:szCs w:val="20"/>
              </w:rPr>
              <w:t>SAE</w:t>
            </w:r>
          </w:p>
        </w:tc>
        <w:tc>
          <w:tcPr>
            <w:tcW w:w="3938" w:type="pct"/>
            <w:hideMark/>
          </w:tcPr>
          <w:p w:rsidR="00A85830" w:rsidRPr="00DB2B91" w:rsidRDefault="00A85830" w:rsidP="0019576C">
            <w:pPr>
              <w:rPr>
                <w:sz w:val="20"/>
                <w:szCs w:val="20"/>
              </w:rPr>
            </w:pPr>
            <w:r w:rsidRPr="00DB2B91">
              <w:rPr>
                <w:sz w:val="20"/>
                <w:szCs w:val="20"/>
              </w:rPr>
              <w:t>Serious</w:t>
            </w:r>
            <w:r w:rsidR="00E873CA" w:rsidRPr="00DB2B91">
              <w:rPr>
                <w:sz w:val="20"/>
                <w:szCs w:val="20"/>
              </w:rPr>
              <w:t xml:space="preserve"> </w:t>
            </w:r>
            <w:r w:rsidRPr="00DB2B91">
              <w:rPr>
                <w:sz w:val="20"/>
                <w:szCs w:val="20"/>
              </w:rPr>
              <w:t>adverse event</w:t>
            </w:r>
          </w:p>
        </w:tc>
      </w:tr>
      <w:tr w:rsidR="00A85830" w:rsidTr="00A85830">
        <w:tc>
          <w:tcPr>
            <w:tcW w:w="1062" w:type="pct"/>
            <w:hideMark/>
          </w:tcPr>
          <w:p w:rsidR="00A85830" w:rsidRPr="00DB2B91" w:rsidRDefault="00A85830" w:rsidP="0019576C">
            <w:pPr>
              <w:rPr>
                <w:sz w:val="20"/>
                <w:szCs w:val="20"/>
              </w:rPr>
            </w:pPr>
            <w:r w:rsidRPr="00DB2B91">
              <w:rPr>
                <w:sz w:val="20"/>
                <w:szCs w:val="20"/>
              </w:rPr>
              <w:t>SOC</w:t>
            </w:r>
          </w:p>
        </w:tc>
        <w:tc>
          <w:tcPr>
            <w:tcW w:w="3938" w:type="pct"/>
            <w:hideMark/>
          </w:tcPr>
          <w:p w:rsidR="00A85830" w:rsidRPr="00DB2B91" w:rsidRDefault="00A85830" w:rsidP="0019576C">
            <w:pPr>
              <w:rPr>
                <w:sz w:val="20"/>
                <w:szCs w:val="20"/>
              </w:rPr>
            </w:pPr>
            <w:r w:rsidRPr="00DB2B91">
              <w:rPr>
                <w:sz w:val="20"/>
                <w:szCs w:val="20"/>
              </w:rPr>
              <w:t>System</w:t>
            </w:r>
            <w:r w:rsidR="00E873CA" w:rsidRPr="00DB2B91">
              <w:rPr>
                <w:sz w:val="20"/>
                <w:szCs w:val="20"/>
              </w:rPr>
              <w:t xml:space="preserve"> </w:t>
            </w:r>
            <w:r w:rsidRPr="00DB2B91">
              <w:rPr>
                <w:sz w:val="20"/>
                <w:szCs w:val="20"/>
              </w:rPr>
              <w:t>organ class</w:t>
            </w:r>
          </w:p>
        </w:tc>
      </w:tr>
      <w:tr w:rsidR="00A85830" w:rsidTr="00A85830">
        <w:tc>
          <w:tcPr>
            <w:tcW w:w="1062" w:type="pct"/>
            <w:hideMark/>
          </w:tcPr>
          <w:p w:rsidR="00A85830" w:rsidRPr="00DB2B91" w:rsidRDefault="00A85830" w:rsidP="0019576C">
            <w:pPr>
              <w:rPr>
                <w:sz w:val="20"/>
                <w:szCs w:val="20"/>
              </w:rPr>
            </w:pPr>
            <w:r w:rsidRPr="00DB2B91">
              <w:rPr>
                <w:sz w:val="20"/>
                <w:szCs w:val="20"/>
              </w:rPr>
              <w:t>τ</w:t>
            </w:r>
          </w:p>
        </w:tc>
        <w:tc>
          <w:tcPr>
            <w:tcW w:w="3938" w:type="pct"/>
            <w:hideMark/>
          </w:tcPr>
          <w:p w:rsidR="00A85830" w:rsidRPr="00DB2B91" w:rsidRDefault="00A85830" w:rsidP="0019576C">
            <w:pPr>
              <w:rPr>
                <w:sz w:val="20"/>
                <w:szCs w:val="20"/>
              </w:rPr>
            </w:pPr>
            <w:r w:rsidRPr="00DB2B91">
              <w:rPr>
                <w:sz w:val="20"/>
                <w:szCs w:val="20"/>
              </w:rPr>
              <w:t>Dosing interval, time between consecutive doses</w:t>
            </w:r>
          </w:p>
        </w:tc>
      </w:tr>
      <w:tr w:rsidR="00A85830" w:rsidTr="00A85830">
        <w:tc>
          <w:tcPr>
            <w:tcW w:w="1062" w:type="pct"/>
            <w:hideMark/>
          </w:tcPr>
          <w:p w:rsidR="00A85830" w:rsidRPr="00DB2B91" w:rsidRDefault="00A85830" w:rsidP="0019576C">
            <w:pPr>
              <w:rPr>
                <w:sz w:val="20"/>
                <w:szCs w:val="20"/>
              </w:rPr>
            </w:pPr>
            <w:r w:rsidRPr="00DB2B91">
              <w:rPr>
                <w:sz w:val="20"/>
                <w:szCs w:val="20"/>
              </w:rPr>
              <w:t>TDF</w:t>
            </w:r>
          </w:p>
        </w:tc>
        <w:tc>
          <w:tcPr>
            <w:tcW w:w="3938" w:type="pct"/>
            <w:hideMark/>
          </w:tcPr>
          <w:p w:rsidR="00A85830" w:rsidRPr="00DB2B91" w:rsidRDefault="00A85830" w:rsidP="0019576C">
            <w:pPr>
              <w:rPr>
                <w:sz w:val="20"/>
                <w:szCs w:val="20"/>
              </w:rPr>
            </w:pPr>
            <w:proofErr w:type="spellStart"/>
            <w:r w:rsidRPr="00DB2B91">
              <w:rPr>
                <w:sz w:val="20"/>
                <w:szCs w:val="20"/>
              </w:rPr>
              <w:t>Tenofovir</w:t>
            </w:r>
            <w:proofErr w:type="spellEnd"/>
          </w:p>
        </w:tc>
      </w:tr>
      <w:tr w:rsidR="00A85830" w:rsidTr="00A85830">
        <w:tc>
          <w:tcPr>
            <w:tcW w:w="1062" w:type="pct"/>
            <w:hideMark/>
          </w:tcPr>
          <w:p w:rsidR="00A85830" w:rsidRPr="00DB2B91" w:rsidRDefault="00A85830" w:rsidP="0019576C">
            <w:pPr>
              <w:rPr>
                <w:sz w:val="20"/>
                <w:szCs w:val="20"/>
              </w:rPr>
            </w:pPr>
            <w:proofErr w:type="spellStart"/>
            <w:r w:rsidRPr="00DB2B91">
              <w:rPr>
                <w:sz w:val="20"/>
                <w:szCs w:val="20"/>
              </w:rPr>
              <w:t>TdP</w:t>
            </w:r>
            <w:proofErr w:type="spellEnd"/>
          </w:p>
        </w:tc>
        <w:tc>
          <w:tcPr>
            <w:tcW w:w="3938" w:type="pct"/>
            <w:hideMark/>
          </w:tcPr>
          <w:p w:rsidR="00A85830" w:rsidRPr="00DB2B91" w:rsidRDefault="00A85830" w:rsidP="0019576C">
            <w:pPr>
              <w:rPr>
                <w:sz w:val="20"/>
                <w:szCs w:val="20"/>
              </w:rPr>
            </w:pPr>
            <w:r w:rsidRPr="00DB2B91">
              <w:rPr>
                <w:sz w:val="20"/>
                <w:szCs w:val="20"/>
              </w:rPr>
              <w:t>Torsade</w:t>
            </w:r>
            <w:r w:rsidR="00E873CA" w:rsidRPr="00DB2B91">
              <w:rPr>
                <w:sz w:val="20"/>
                <w:szCs w:val="20"/>
              </w:rPr>
              <w:t xml:space="preserve"> </w:t>
            </w:r>
            <w:r w:rsidRPr="00DB2B91">
              <w:rPr>
                <w:sz w:val="20"/>
                <w:szCs w:val="20"/>
              </w:rPr>
              <w:t>de pointes</w:t>
            </w:r>
          </w:p>
        </w:tc>
      </w:tr>
      <w:tr w:rsidR="00A85830" w:rsidTr="00A85830">
        <w:tc>
          <w:tcPr>
            <w:tcW w:w="1062" w:type="pct"/>
            <w:hideMark/>
          </w:tcPr>
          <w:p w:rsidR="00A85830" w:rsidRPr="00DB2B91" w:rsidRDefault="00A85830" w:rsidP="0019576C">
            <w:pPr>
              <w:rPr>
                <w:sz w:val="20"/>
                <w:szCs w:val="20"/>
              </w:rPr>
            </w:pPr>
            <w:proofErr w:type="spellStart"/>
            <w:r w:rsidRPr="00DB2B91">
              <w:rPr>
                <w:sz w:val="20"/>
                <w:szCs w:val="20"/>
              </w:rPr>
              <w:t>tlag</w:t>
            </w:r>
            <w:proofErr w:type="spellEnd"/>
          </w:p>
        </w:tc>
        <w:tc>
          <w:tcPr>
            <w:tcW w:w="3938" w:type="pct"/>
            <w:hideMark/>
          </w:tcPr>
          <w:p w:rsidR="00A85830" w:rsidRPr="00DB2B91" w:rsidRDefault="00A85830" w:rsidP="0019576C">
            <w:pPr>
              <w:rPr>
                <w:sz w:val="20"/>
                <w:szCs w:val="20"/>
              </w:rPr>
            </w:pPr>
            <w:r w:rsidRPr="00DB2B91">
              <w:rPr>
                <w:sz w:val="20"/>
                <w:szCs w:val="20"/>
              </w:rPr>
              <w:t>Lag</w:t>
            </w:r>
            <w:r w:rsidR="00E873CA" w:rsidRPr="00DB2B91">
              <w:rPr>
                <w:sz w:val="20"/>
                <w:szCs w:val="20"/>
              </w:rPr>
              <w:t xml:space="preserve"> </w:t>
            </w:r>
            <w:r w:rsidRPr="00DB2B91">
              <w:rPr>
                <w:sz w:val="20"/>
                <w:szCs w:val="20"/>
              </w:rPr>
              <w:t>time before observation of drug concentrations in sampled matrix</w:t>
            </w:r>
          </w:p>
        </w:tc>
      </w:tr>
      <w:tr w:rsidR="00A85830" w:rsidTr="00A85830">
        <w:tc>
          <w:tcPr>
            <w:tcW w:w="1062" w:type="pct"/>
            <w:hideMark/>
          </w:tcPr>
          <w:p w:rsidR="00A85830" w:rsidRPr="00DB2B91" w:rsidRDefault="00A85830" w:rsidP="0019576C">
            <w:pPr>
              <w:rPr>
                <w:sz w:val="20"/>
                <w:szCs w:val="20"/>
              </w:rPr>
            </w:pPr>
            <w:proofErr w:type="spellStart"/>
            <w:r w:rsidRPr="00DB2B91">
              <w:rPr>
                <w:sz w:val="20"/>
                <w:szCs w:val="20"/>
              </w:rPr>
              <w:t>tmax</w:t>
            </w:r>
            <w:proofErr w:type="spellEnd"/>
          </w:p>
        </w:tc>
        <w:tc>
          <w:tcPr>
            <w:tcW w:w="3938" w:type="pct"/>
            <w:hideMark/>
          </w:tcPr>
          <w:p w:rsidR="00A85830" w:rsidRPr="00DB2B91" w:rsidRDefault="00A85830" w:rsidP="0019576C">
            <w:pPr>
              <w:rPr>
                <w:sz w:val="20"/>
                <w:szCs w:val="20"/>
              </w:rPr>
            </w:pPr>
            <w:r w:rsidRPr="00DB2B91">
              <w:rPr>
                <w:sz w:val="20"/>
                <w:szCs w:val="20"/>
              </w:rPr>
              <w:t>Time</w:t>
            </w:r>
            <w:r w:rsidR="00E873CA" w:rsidRPr="00DB2B91">
              <w:rPr>
                <w:sz w:val="20"/>
                <w:szCs w:val="20"/>
              </w:rPr>
              <w:t xml:space="preserve"> </w:t>
            </w:r>
            <w:r w:rsidRPr="00DB2B91">
              <w:rPr>
                <w:sz w:val="20"/>
                <w:szCs w:val="20"/>
              </w:rPr>
              <w:t>of occurrence of Cmax</w:t>
            </w:r>
          </w:p>
        </w:tc>
      </w:tr>
      <w:tr w:rsidR="00A85830" w:rsidTr="00A85830">
        <w:tc>
          <w:tcPr>
            <w:tcW w:w="1062" w:type="pct"/>
            <w:hideMark/>
          </w:tcPr>
          <w:p w:rsidR="00A85830" w:rsidRPr="00DB2B91" w:rsidRDefault="00A85830" w:rsidP="0019576C">
            <w:pPr>
              <w:rPr>
                <w:sz w:val="20"/>
                <w:szCs w:val="20"/>
              </w:rPr>
            </w:pPr>
            <w:r w:rsidRPr="00DB2B91">
              <w:rPr>
                <w:sz w:val="20"/>
                <w:szCs w:val="20"/>
              </w:rPr>
              <w:t>t</w:t>
            </w:r>
            <w:r w:rsidRPr="00D25BDD">
              <w:rPr>
                <w:sz w:val="20"/>
                <w:szCs w:val="20"/>
                <w:vertAlign w:val="subscript"/>
              </w:rPr>
              <w:t>½</w:t>
            </w:r>
          </w:p>
        </w:tc>
        <w:tc>
          <w:tcPr>
            <w:tcW w:w="3938" w:type="pct"/>
            <w:hideMark/>
          </w:tcPr>
          <w:p w:rsidR="00A85830" w:rsidRPr="00DB2B91" w:rsidRDefault="00A85830" w:rsidP="0019576C">
            <w:pPr>
              <w:rPr>
                <w:sz w:val="20"/>
                <w:szCs w:val="20"/>
              </w:rPr>
            </w:pPr>
            <w:r w:rsidRPr="00DB2B91">
              <w:rPr>
                <w:sz w:val="20"/>
                <w:szCs w:val="20"/>
              </w:rPr>
              <w:t>Terminal half life</w:t>
            </w:r>
          </w:p>
        </w:tc>
      </w:tr>
      <w:tr w:rsidR="00A85830" w:rsidTr="00A85830">
        <w:tc>
          <w:tcPr>
            <w:tcW w:w="1062" w:type="pct"/>
            <w:hideMark/>
          </w:tcPr>
          <w:p w:rsidR="00A85830" w:rsidRPr="00DB2B91" w:rsidRDefault="00A85830" w:rsidP="0019576C">
            <w:pPr>
              <w:rPr>
                <w:sz w:val="20"/>
                <w:szCs w:val="20"/>
              </w:rPr>
            </w:pPr>
            <w:r w:rsidRPr="00DB2B91">
              <w:rPr>
                <w:sz w:val="20"/>
                <w:szCs w:val="20"/>
              </w:rPr>
              <w:t>TRDF</w:t>
            </w:r>
          </w:p>
        </w:tc>
        <w:tc>
          <w:tcPr>
            <w:tcW w:w="3938" w:type="pct"/>
            <w:hideMark/>
          </w:tcPr>
          <w:p w:rsidR="00A85830" w:rsidRPr="00DB2B91" w:rsidRDefault="00A85830" w:rsidP="0019576C">
            <w:pPr>
              <w:rPr>
                <w:sz w:val="20"/>
                <w:szCs w:val="20"/>
              </w:rPr>
            </w:pPr>
            <w:r w:rsidRPr="00DB2B91">
              <w:rPr>
                <w:sz w:val="20"/>
                <w:szCs w:val="20"/>
              </w:rPr>
              <w:t>Treatment related discontinuation = failure</w:t>
            </w:r>
          </w:p>
        </w:tc>
      </w:tr>
      <w:tr w:rsidR="00A85830" w:rsidTr="00A85830">
        <w:tc>
          <w:tcPr>
            <w:tcW w:w="1062" w:type="pct"/>
            <w:hideMark/>
          </w:tcPr>
          <w:p w:rsidR="00A85830" w:rsidRPr="00DB2B91" w:rsidRDefault="00A85830" w:rsidP="0019576C">
            <w:pPr>
              <w:rPr>
                <w:sz w:val="20"/>
                <w:szCs w:val="20"/>
              </w:rPr>
            </w:pPr>
            <w:r w:rsidRPr="00DB2B91">
              <w:rPr>
                <w:sz w:val="20"/>
                <w:szCs w:val="20"/>
              </w:rPr>
              <w:lastRenderedPageBreak/>
              <w:t>TGA</w:t>
            </w:r>
          </w:p>
        </w:tc>
        <w:tc>
          <w:tcPr>
            <w:tcW w:w="3938" w:type="pct"/>
            <w:hideMark/>
          </w:tcPr>
          <w:p w:rsidR="00A85830" w:rsidRPr="00DB2B91" w:rsidRDefault="00A85830" w:rsidP="0019576C">
            <w:pPr>
              <w:rPr>
                <w:sz w:val="20"/>
                <w:szCs w:val="20"/>
              </w:rPr>
            </w:pPr>
            <w:r w:rsidRPr="00DB2B91">
              <w:rPr>
                <w:sz w:val="20"/>
                <w:szCs w:val="20"/>
              </w:rPr>
              <w:t>Therapeutic Goods Administration</w:t>
            </w:r>
          </w:p>
        </w:tc>
      </w:tr>
      <w:tr w:rsidR="00A85830" w:rsidTr="00A85830">
        <w:tc>
          <w:tcPr>
            <w:tcW w:w="1062" w:type="pct"/>
            <w:hideMark/>
          </w:tcPr>
          <w:p w:rsidR="00A85830" w:rsidRPr="00DB2B91" w:rsidRDefault="00A85830" w:rsidP="0019576C">
            <w:pPr>
              <w:rPr>
                <w:sz w:val="20"/>
                <w:szCs w:val="20"/>
              </w:rPr>
            </w:pPr>
            <w:r w:rsidRPr="00DB2B91">
              <w:rPr>
                <w:sz w:val="20"/>
                <w:szCs w:val="20"/>
              </w:rPr>
              <w:t>ULN</w:t>
            </w:r>
          </w:p>
        </w:tc>
        <w:tc>
          <w:tcPr>
            <w:tcW w:w="3938" w:type="pct"/>
            <w:hideMark/>
          </w:tcPr>
          <w:p w:rsidR="00A85830" w:rsidRPr="00DB2B91" w:rsidRDefault="00A85830" w:rsidP="0019576C">
            <w:pPr>
              <w:rPr>
                <w:sz w:val="20"/>
                <w:szCs w:val="20"/>
              </w:rPr>
            </w:pPr>
            <w:r w:rsidRPr="00DB2B91">
              <w:rPr>
                <w:sz w:val="20"/>
                <w:szCs w:val="20"/>
              </w:rPr>
              <w:t>Upper</w:t>
            </w:r>
            <w:r w:rsidR="00E873CA" w:rsidRPr="00DB2B91">
              <w:rPr>
                <w:sz w:val="20"/>
                <w:szCs w:val="20"/>
              </w:rPr>
              <w:t xml:space="preserve"> </w:t>
            </w:r>
            <w:r w:rsidRPr="00DB2B91">
              <w:rPr>
                <w:sz w:val="20"/>
                <w:szCs w:val="20"/>
              </w:rPr>
              <w:t>limit of normal</w:t>
            </w:r>
          </w:p>
        </w:tc>
      </w:tr>
      <w:tr w:rsidR="00A85830" w:rsidTr="00A85830">
        <w:tc>
          <w:tcPr>
            <w:tcW w:w="1062" w:type="pct"/>
            <w:hideMark/>
          </w:tcPr>
          <w:p w:rsidR="00A85830" w:rsidRPr="00DB2B91" w:rsidRDefault="00A85830" w:rsidP="0019576C">
            <w:pPr>
              <w:rPr>
                <w:sz w:val="20"/>
                <w:szCs w:val="20"/>
              </w:rPr>
            </w:pPr>
            <w:r w:rsidRPr="00DB2B91">
              <w:rPr>
                <w:sz w:val="20"/>
                <w:szCs w:val="20"/>
              </w:rPr>
              <w:t>USA</w:t>
            </w:r>
          </w:p>
        </w:tc>
        <w:tc>
          <w:tcPr>
            <w:tcW w:w="3938" w:type="pct"/>
            <w:hideMark/>
          </w:tcPr>
          <w:p w:rsidR="00A85830" w:rsidRPr="00DB2B91" w:rsidRDefault="00A85830" w:rsidP="0019576C">
            <w:pPr>
              <w:rPr>
                <w:sz w:val="20"/>
                <w:szCs w:val="20"/>
              </w:rPr>
            </w:pPr>
            <w:r w:rsidRPr="00DB2B91">
              <w:rPr>
                <w:sz w:val="20"/>
                <w:szCs w:val="20"/>
              </w:rPr>
              <w:t>United States of America</w:t>
            </w:r>
          </w:p>
        </w:tc>
      </w:tr>
      <w:tr w:rsidR="00A85830" w:rsidTr="00A85830">
        <w:tc>
          <w:tcPr>
            <w:tcW w:w="1062" w:type="pct"/>
            <w:hideMark/>
          </w:tcPr>
          <w:p w:rsidR="00A85830" w:rsidRPr="00DB2B91" w:rsidRDefault="00A85830" w:rsidP="0019576C">
            <w:pPr>
              <w:rPr>
                <w:sz w:val="20"/>
                <w:szCs w:val="20"/>
              </w:rPr>
            </w:pPr>
            <w:r w:rsidRPr="00DB2B91">
              <w:rPr>
                <w:sz w:val="20"/>
                <w:szCs w:val="20"/>
              </w:rPr>
              <w:t>VF</w:t>
            </w:r>
          </w:p>
        </w:tc>
        <w:tc>
          <w:tcPr>
            <w:tcW w:w="3938" w:type="pct"/>
            <w:hideMark/>
          </w:tcPr>
          <w:p w:rsidR="00A85830" w:rsidRPr="00DB2B91" w:rsidRDefault="00A85830" w:rsidP="0019576C">
            <w:pPr>
              <w:rPr>
                <w:sz w:val="20"/>
                <w:szCs w:val="20"/>
              </w:rPr>
            </w:pPr>
            <w:proofErr w:type="spellStart"/>
            <w:r w:rsidRPr="00DB2B91">
              <w:rPr>
                <w:sz w:val="20"/>
                <w:szCs w:val="20"/>
              </w:rPr>
              <w:t>Virologic</w:t>
            </w:r>
            <w:proofErr w:type="spellEnd"/>
            <w:r w:rsidR="00E873CA" w:rsidRPr="00DB2B91">
              <w:rPr>
                <w:sz w:val="20"/>
                <w:szCs w:val="20"/>
              </w:rPr>
              <w:t xml:space="preserve"> </w:t>
            </w:r>
            <w:r w:rsidRPr="00DB2B91">
              <w:rPr>
                <w:sz w:val="20"/>
                <w:szCs w:val="20"/>
              </w:rPr>
              <w:t>failure</w:t>
            </w:r>
          </w:p>
        </w:tc>
      </w:tr>
      <w:tr w:rsidR="00A85830" w:rsidTr="00A85830">
        <w:tc>
          <w:tcPr>
            <w:tcW w:w="1062" w:type="pct"/>
            <w:hideMark/>
          </w:tcPr>
          <w:p w:rsidR="00A85830" w:rsidRPr="00DB2B91" w:rsidRDefault="00A85830" w:rsidP="0019576C">
            <w:pPr>
              <w:rPr>
                <w:sz w:val="20"/>
                <w:szCs w:val="20"/>
              </w:rPr>
            </w:pPr>
            <w:proofErr w:type="spellStart"/>
            <w:r w:rsidRPr="00DB2B91">
              <w:rPr>
                <w:sz w:val="20"/>
                <w:szCs w:val="20"/>
              </w:rPr>
              <w:t>ViiV</w:t>
            </w:r>
            <w:proofErr w:type="spellEnd"/>
          </w:p>
        </w:tc>
        <w:tc>
          <w:tcPr>
            <w:tcW w:w="3938" w:type="pct"/>
            <w:hideMark/>
          </w:tcPr>
          <w:p w:rsidR="00A85830" w:rsidRPr="00DB2B91" w:rsidRDefault="00A85830" w:rsidP="0019576C">
            <w:pPr>
              <w:rPr>
                <w:sz w:val="20"/>
                <w:szCs w:val="20"/>
              </w:rPr>
            </w:pPr>
            <w:proofErr w:type="spellStart"/>
            <w:r w:rsidRPr="00DB2B91">
              <w:rPr>
                <w:sz w:val="20"/>
                <w:szCs w:val="20"/>
              </w:rPr>
              <w:t>ViiV</w:t>
            </w:r>
            <w:proofErr w:type="spellEnd"/>
            <w:r w:rsidRPr="00DB2B91">
              <w:rPr>
                <w:sz w:val="20"/>
                <w:szCs w:val="20"/>
              </w:rPr>
              <w:t xml:space="preserve"> Healthcare Pty Ltd</w:t>
            </w:r>
          </w:p>
        </w:tc>
      </w:tr>
      <w:tr w:rsidR="00A85830" w:rsidTr="00A85830">
        <w:tc>
          <w:tcPr>
            <w:tcW w:w="1062" w:type="pct"/>
            <w:hideMark/>
          </w:tcPr>
          <w:p w:rsidR="00A85830" w:rsidRPr="00DB2B91" w:rsidRDefault="00A85830" w:rsidP="0019576C">
            <w:pPr>
              <w:rPr>
                <w:sz w:val="20"/>
                <w:szCs w:val="20"/>
              </w:rPr>
            </w:pPr>
            <w:r w:rsidRPr="00DB2B91">
              <w:rPr>
                <w:sz w:val="20"/>
                <w:szCs w:val="20"/>
              </w:rPr>
              <w:t>Vz/F</w:t>
            </w:r>
          </w:p>
        </w:tc>
        <w:tc>
          <w:tcPr>
            <w:tcW w:w="3938" w:type="pct"/>
            <w:hideMark/>
          </w:tcPr>
          <w:p w:rsidR="00A85830" w:rsidRPr="00DB2B91" w:rsidRDefault="00A85830" w:rsidP="0019576C">
            <w:pPr>
              <w:rPr>
                <w:sz w:val="20"/>
                <w:szCs w:val="20"/>
              </w:rPr>
            </w:pPr>
            <w:r w:rsidRPr="00DB2B91">
              <w:rPr>
                <w:sz w:val="20"/>
                <w:szCs w:val="20"/>
              </w:rPr>
              <w:t>Apparent</w:t>
            </w:r>
            <w:r w:rsidR="00E873CA" w:rsidRPr="00DB2B91">
              <w:rPr>
                <w:sz w:val="20"/>
                <w:szCs w:val="20"/>
              </w:rPr>
              <w:t xml:space="preserve"> </w:t>
            </w:r>
            <w:r w:rsidRPr="00DB2B91">
              <w:rPr>
                <w:sz w:val="20"/>
                <w:szCs w:val="20"/>
              </w:rPr>
              <w:t>volume of distribution after oral administration</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774A97">
      <w:pPr>
        <w:pStyle w:val="Heading2"/>
      </w:pPr>
      <w:bookmarkStart w:id="9" w:name="_Toc423434280"/>
      <w:r>
        <w:lastRenderedPageBreak/>
        <w:t>I.</w:t>
      </w:r>
      <w:r w:rsidR="008E7846">
        <w:t xml:space="preserve"> Introduction to product submission</w:t>
      </w:r>
      <w:bookmarkEnd w:id="9"/>
      <w:bookmarkEnd w:id="1"/>
      <w:bookmarkEnd w:id="3"/>
    </w:p>
    <w:p w:rsidR="008E7846" w:rsidRDefault="008E7846" w:rsidP="008E7846">
      <w:pPr>
        <w:pStyle w:val="Heading3"/>
        <w:rPr>
          <w:lang w:eastAsia="en-AU"/>
        </w:rPr>
      </w:pPr>
      <w:bookmarkStart w:id="10" w:name="_Toc247691502"/>
      <w:bookmarkStart w:id="11" w:name="_Toc314842483"/>
      <w:bookmarkStart w:id="12" w:name="_Toc423434281"/>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83"/>
        <w:gridCol w:w="6224"/>
      </w:tblGrid>
      <w:tr w:rsidR="008E7846" w:rsidRPr="003D1E62" w:rsidTr="002757A7">
        <w:trPr>
          <w:trHeight w:hRule="exact" w:val="794"/>
        </w:trPr>
        <w:tc>
          <w:tcPr>
            <w:tcW w:w="2990" w:type="dxa"/>
            <w:gridSpan w:val="2"/>
          </w:tcPr>
          <w:p w:rsidR="008E7846" w:rsidRPr="003D1E62" w:rsidRDefault="001B5C90" w:rsidP="001B5C90">
            <w:pPr>
              <w:rPr>
                <w:i/>
              </w:rPr>
            </w:pPr>
            <w:r>
              <w:rPr>
                <w:i/>
              </w:rPr>
              <w:t>Type of s</w:t>
            </w:r>
            <w:r w:rsidR="008E7846" w:rsidRPr="003D1E62">
              <w:rPr>
                <w:i/>
              </w:rPr>
              <w:t>ubmission</w:t>
            </w:r>
            <w:r>
              <w:rPr>
                <w:i/>
              </w:rPr>
              <w:t>:</w:t>
            </w:r>
          </w:p>
        </w:tc>
        <w:tc>
          <w:tcPr>
            <w:tcW w:w="6224" w:type="dxa"/>
          </w:tcPr>
          <w:p w:rsidR="008E7846" w:rsidRPr="003D1E62" w:rsidRDefault="00CB5329" w:rsidP="00E44711">
            <w:r>
              <w:rPr>
                <w:rFonts w:asciiTheme="minorHAnsi" w:hAnsiTheme="minorHAnsi"/>
              </w:rPr>
              <w:t>New fixed dose combination tablet of previously registered active ingredients</w:t>
            </w:r>
          </w:p>
        </w:tc>
      </w:tr>
      <w:tr w:rsidR="008E7846" w:rsidRPr="003D1E62" w:rsidTr="002757A7">
        <w:trPr>
          <w:trHeight w:hRule="exact" w:val="535"/>
        </w:trPr>
        <w:tc>
          <w:tcPr>
            <w:tcW w:w="2990" w:type="dxa"/>
            <w:gridSpan w:val="2"/>
          </w:tcPr>
          <w:p w:rsidR="008E7846" w:rsidRPr="003D1E62" w:rsidRDefault="008E7846" w:rsidP="003D1E62">
            <w:r w:rsidRPr="003D1E62">
              <w:rPr>
                <w:i/>
              </w:rPr>
              <w:t>Decision</w:t>
            </w:r>
            <w:r w:rsidRPr="003D1E62">
              <w:t>:</w:t>
            </w:r>
          </w:p>
        </w:tc>
        <w:tc>
          <w:tcPr>
            <w:tcW w:w="6224" w:type="dxa"/>
          </w:tcPr>
          <w:p w:rsidR="008E7846" w:rsidRPr="003D1E62" w:rsidRDefault="008E7846" w:rsidP="00F54795">
            <w:r w:rsidRPr="003D1E62">
              <w:t xml:space="preserve">Approved </w:t>
            </w:r>
          </w:p>
        </w:tc>
      </w:tr>
      <w:tr w:rsidR="008E7846" w:rsidRPr="003D1E62" w:rsidTr="002757A7">
        <w:trPr>
          <w:trHeight w:hRule="exact" w:val="535"/>
        </w:trPr>
        <w:tc>
          <w:tcPr>
            <w:tcW w:w="2990" w:type="dxa"/>
            <w:gridSpan w:val="2"/>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224" w:type="dxa"/>
          </w:tcPr>
          <w:p w:rsidR="008E7846" w:rsidRPr="003D1E62" w:rsidRDefault="00F54795" w:rsidP="001B5C90">
            <w:r>
              <w:t>8 January 2015</w:t>
            </w:r>
          </w:p>
        </w:tc>
      </w:tr>
      <w:tr w:rsidR="008E7846" w:rsidRPr="00487162" w:rsidTr="002757A7">
        <w:tc>
          <w:tcPr>
            <w:tcW w:w="2907" w:type="dxa"/>
          </w:tcPr>
          <w:p w:rsidR="008E7846" w:rsidRPr="00487162" w:rsidRDefault="001B5C90" w:rsidP="002757A7">
            <w:pPr>
              <w:rPr>
                <w:i/>
              </w:rPr>
            </w:pPr>
            <w:r>
              <w:rPr>
                <w:i/>
              </w:rPr>
              <w:t>Active ingredients:</w:t>
            </w:r>
          </w:p>
        </w:tc>
        <w:tc>
          <w:tcPr>
            <w:tcW w:w="6307" w:type="dxa"/>
            <w:gridSpan w:val="2"/>
          </w:tcPr>
          <w:p w:rsidR="008E7846" w:rsidRPr="00487162" w:rsidRDefault="00C47D6B" w:rsidP="00B44424">
            <w:pPr>
              <w:ind w:left="104"/>
            </w:pPr>
            <w:proofErr w:type="spellStart"/>
            <w:r>
              <w:rPr>
                <w:rFonts w:asciiTheme="minorHAnsi" w:hAnsiTheme="minorHAnsi" w:cstheme="minorHAnsi"/>
                <w:szCs w:val="24"/>
              </w:rPr>
              <w:t>Dolutegravir</w:t>
            </w:r>
            <w:proofErr w:type="spellEnd"/>
            <w:r>
              <w:rPr>
                <w:rFonts w:asciiTheme="minorHAnsi" w:hAnsiTheme="minorHAnsi" w:cstheme="minorHAnsi"/>
                <w:szCs w:val="24"/>
              </w:rPr>
              <w:t xml:space="preserve"> sodium/</w:t>
            </w:r>
            <w:proofErr w:type="spellStart"/>
            <w:r w:rsidR="00B44424">
              <w:rPr>
                <w:rFonts w:asciiTheme="minorHAnsi" w:hAnsiTheme="minorHAnsi" w:cstheme="minorHAnsi"/>
                <w:szCs w:val="24"/>
              </w:rPr>
              <w:t>Abacavir</w:t>
            </w:r>
            <w:proofErr w:type="spellEnd"/>
            <w:r w:rsidR="00B44424">
              <w:rPr>
                <w:rFonts w:asciiTheme="minorHAnsi" w:hAnsiTheme="minorHAnsi" w:cstheme="minorHAnsi"/>
                <w:szCs w:val="24"/>
              </w:rPr>
              <w:t xml:space="preserve"> </w:t>
            </w:r>
            <w:proofErr w:type="spellStart"/>
            <w:r w:rsidR="00B44424">
              <w:rPr>
                <w:rFonts w:asciiTheme="minorHAnsi" w:hAnsiTheme="minorHAnsi" w:cstheme="minorHAnsi"/>
                <w:szCs w:val="24"/>
              </w:rPr>
              <w:t>sulfate</w:t>
            </w:r>
            <w:proofErr w:type="spellEnd"/>
            <w:r w:rsidR="00B44424">
              <w:rPr>
                <w:rFonts w:asciiTheme="minorHAnsi" w:hAnsiTheme="minorHAnsi" w:cstheme="minorHAnsi"/>
                <w:szCs w:val="24"/>
              </w:rPr>
              <w:t>/L</w:t>
            </w:r>
            <w:r>
              <w:rPr>
                <w:rFonts w:asciiTheme="minorHAnsi" w:hAnsiTheme="minorHAnsi" w:cstheme="minorHAnsi"/>
                <w:szCs w:val="24"/>
              </w:rPr>
              <w:t>amivudine</w:t>
            </w:r>
          </w:p>
        </w:tc>
      </w:tr>
      <w:tr w:rsidR="008E7846" w:rsidRPr="00487162" w:rsidTr="002757A7">
        <w:tc>
          <w:tcPr>
            <w:tcW w:w="2907" w:type="dxa"/>
          </w:tcPr>
          <w:p w:rsidR="008E7846" w:rsidRPr="00487162" w:rsidRDefault="008E7846" w:rsidP="00F54795">
            <w:pPr>
              <w:rPr>
                <w:i/>
              </w:rPr>
            </w:pPr>
            <w:r w:rsidRPr="00487162">
              <w:rPr>
                <w:i/>
              </w:rPr>
              <w:t>Product</w:t>
            </w:r>
            <w:r w:rsidR="001B5C90">
              <w:rPr>
                <w:i/>
              </w:rPr>
              <w:t xml:space="preserve"> name:</w:t>
            </w:r>
          </w:p>
        </w:tc>
        <w:tc>
          <w:tcPr>
            <w:tcW w:w="6307" w:type="dxa"/>
            <w:gridSpan w:val="2"/>
          </w:tcPr>
          <w:p w:rsidR="008E7846" w:rsidRPr="00487162" w:rsidRDefault="00C47D6B" w:rsidP="00B44424">
            <w:pPr>
              <w:ind w:left="104"/>
            </w:pPr>
            <w:proofErr w:type="spellStart"/>
            <w:r>
              <w:rPr>
                <w:rFonts w:asciiTheme="minorHAnsi" w:hAnsiTheme="minorHAnsi" w:cstheme="minorHAnsi"/>
                <w:bCs/>
                <w:szCs w:val="24"/>
              </w:rPr>
              <w:t>Triumeq</w:t>
            </w:r>
            <w:proofErr w:type="spellEnd"/>
          </w:p>
        </w:tc>
      </w:tr>
      <w:tr w:rsidR="008E7846" w:rsidRPr="00487162" w:rsidTr="002757A7">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gridSpan w:val="2"/>
          </w:tcPr>
          <w:p w:rsidR="00B44424" w:rsidRPr="00487162" w:rsidRDefault="00C47D6B" w:rsidP="002757A7">
            <w:pPr>
              <w:ind w:left="104"/>
            </w:pPr>
            <w:proofErr w:type="spellStart"/>
            <w:r w:rsidRPr="00B44424">
              <w:rPr>
                <w:rFonts w:asciiTheme="minorHAnsi" w:hAnsiTheme="minorHAnsi" w:cstheme="minorHAnsi"/>
              </w:rPr>
              <w:t>ViiV</w:t>
            </w:r>
            <w:proofErr w:type="spellEnd"/>
            <w:r w:rsidRPr="00B44424">
              <w:rPr>
                <w:rFonts w:asciiTheme="minorHAnsi" w:hAnsiTheme="minorHAnsi" w:cstheme="minorHAnsi"/>
              </w:rPr>
              <w:t xml:space="preserve"> Healthcare Pty Ltd</w:t>
            </w:r>
            <w:r w:rsidR="002757A7">
              <w:rPr>
                <w:rFonts w:asciiTheme="minorHAnsi" w:hAnsiTheme="minorHAnsi" w:cstheme="minorHAnsi"/>
              </w:rPr>
              <w:br/>
            </w:r>
            <w:r w:rsidR="00B44424" w:rsidRPr="00B44424">
              <w:rPr>
                <w:rFonts w:asciiTheme="minorHAnsi" w:hAnsiTheme="minorHAnsi"/>
              </w:rPr>
              <w:t>PO B</w:t>
            </w:r>
            <w:r w:rsidR="00B44424">
              <w:rPr>
                <w:rFonts w:asciiTheme="minorHAnsi" w:hAnsiTheme="minorHAnsi"/>
              </w:rPr>
              <w:t>ox</w:t>
            </w:r>
            <w:r w:rsidR="00B44424" w:rsidRPr="00B44424">
              <w:rPr>
                <w:rFonts w:asciiTheme="minorHAnsi" w:hAnsiTheme="minorHAnsi"/>
              </w:rPr>
              <w:t xml:space="preserve"> 18079</w:t>
            </w:r>
            <w:r w:rsidR="002757A7">
              <w:rPr>
                <w:rFonts w:asciiTheme="minorHAnsi" w:hAnsiTheme="minorHAnsi"/>
              </w:rPr>
              <w:br/>
            </w:r>
            <w:r w:rsidR="00B44424" w:rsidRPr="00B44424">
              <w:rPr>
                <w:rFonts w:asciiTheme="minorHAnsi" w:hAnsiTheme="minorHAnsi"/>
              </w:rPr>
              <w:t>Melbourne</w:t>
            </w:r>
            <w:r w:rsidR="002757A7">
              <w:rPr>
                <w:rFonts w:asciiTheme="minorHAnsi" w:hAnsiTheme="minorHAnsi"/>
              </w:rPr>
              <w:t xml:space="preserve"> </w:t>
            </w:r>
            <w:r w:rsidR="00B44424" w:rsidRPr="00B44424">
              <w:rPr>
                <w:rFonts w:asciiTheme="minorHAnsi" w:hAnsiTheme="minorHAnsi"/>
              </w:rPr>
              <w:t xml:space="preserve"> VIC</w:t>
            </w:r>
            <w:r w:rsidR="002757A7">
              <w:rPr>
                <w:rFonts w:asciiTheme="minorHAnsi" w:hAnsiTheme="minorHAnsi"/>
              </w:rPr>
              <w:t xml:space="preserve"> </w:t>
            </w:r>
            <w:r w:rsidR="00B44424" w:rsidRPr="00B44424">
              <w:rPr>
                <w:rFonts w:asciiTheme="minorHAnsi" w:hAnsiTheme="minorHAnsi"/>
              </w:rPr>
              <w:t xml:space="preserve"> 8003</w:t>
            </w:r>
          </w:p>
        </w:tc>
      </w:tr>
      <w:tr w:rsidR="008E7846" w:rsidRPr="00487162" w:rsidTr="002757A7">
        <w:tc>
          <w:tcPr>
            <w:tcW w:w="2907" w:type="dxa"/>
          </w:tcPr>
          <w:p w:rsidR="008E7846" w:rsidRPr="00487162" w:rsidRDefault="001B5C90" w:rsidP="00F54795">
            <w:pPr>
              <w:rPr>
                <w:i/>
              </w:rPr>
            </w:pPr>
            <w:r>
              <w:rPr>
                <w:i/>
              </w:rPr>
              <w:t>Dose form:</w:t>
            </w:r>
          </w:p>
        </w:tc>
        <w:tc>
          <w:tcPr>
            <w:tcW w:w="6307" w:type="dxa"/>
            <w:gridSpan w:val="2"/>
          </w:tcPr>
          <w:p w:rsidR="008E7846" w:rsidRPr="00487162" w:rsidRDefault="00C47D6B" w:rsidP="00B44424">
            <w:pPr>
              <w:ind w:left="104"/>
            </w:pPr>
            <w:r>
              <w:t>Tablets</w:t>
            </w:r>
          </w:p>
        </w:tc>
      </w:tr>
      <w:tr w:rsidR="008E7846" w:rsidRPr="00487162" w:rsidTr="002757A7">
        <w:tc>
          <w:tcPr>
            <w:tcW w:w="2907" w:type="dxa"/>
          </w:tcPr>
          <w:p w:rsidR="008E7846" w:rsidRPr="00487162" w:rsidRDefault="008E7846" w:rsidP="00F54795">
            <w:pPr>
              <w:rPr>
                <w:i/>
              </w:rPr>
            </w:pPr>
            <w:r w:rsidRPr="00487162">
              <w:rPr>
                <w:i/>
              </w:rPr>
              <w:t xml:space="preserve">Strength: </w:t>
            </w:r>
          </w:p>
        </w:tc>
        <w:tc>
          <w:tcPr>
            <w:tcW w:w="6307" w:type="dxa"/>
            <w:gridSpan w:val="2"/>
          </w:tcPr>
          <w:p w:rsidR="008E7846" w:rsidRPr="00487162" w:rsidRDefault="00C47D6B" w:rsidP="002757A7">
            <w:pPr>
              <w:ind w:left="104"/>
            </w:pPr>
            <w:r w:rsidRPr="00F463B3">
              <w:rPr>
                <w:rFonts w:asciiTheme="minorHAnsi" w:hAnsiTheme="minorHAnsi" w:cstheme="minorHAnsi"/>
                <w:szCs w:val="24"/>
              </w:rPr>
              <w:t xml:space="preserve">50 mg </w:t>
            </w:r>
            <w:proofErr w:type="spellStart"/>
            <w:r>
              <w:rPr>
                <w:rFonts w:asciiTheme="minorHAnsi" w:hAnsiTheme="minorHAnsi" w:cstheme="minorHAnsi"/>
                <w:szCs w:val="24"/>
              </w:rPr>
              <w:t>d</w:t>
            </w:r>
            <w:r w:rsidRPr="00F463B3">
              <w:rPr>
                <w:rFonts w:asciiTheme="minorHAnsi" w:hAnsiTheme="minorHAnsi" w:cstheme="minorHAnsi"/>
                <w:szCs w:val="24"/>
              </w:rPr>
              <w:t>olutegravir</w:t>
            </w:r>
            <w:proofErr w:type="spellEnd"/>
            <w:r w:rsidRPr="00F463B3">
              <w:rPr>
                <w:rFonts w:asciiTheme="minorHAnsi" w:hAnsiTheme="minorHAnsi" w:cstheme="minorHAnsi"/>
                <w:szCs w:val="24"/>
              </w:rPr>
              <w:t xml:space="preserve"> (as sodium)/ 600 mg </w:t>
            </w:r>
            <w:proofErr w:type="spellStart"/>
            <w:r w:rsidRPr="00F463B3">
              <w:rPr>
                <w:rFonts w:asciiTheme="minorHAnsi" w:hAnsiTheme="minorHAnsi" w:cstheme="minorHAnsi"/>
                <w:szCs w:val="24"/>
              </w:rPr>
              <w:t>abacavir</w:t>
            </w:r>
            <w:proofErr w:type="spellEnd"/>
            <w:r w:rsidRPr="00F463B3">
              <w:rPr>
                <w:rFonts w:asciiTheme="minorHAnsi" w:hAnsiTheme="minorHAnsi" w:cstheme="minorHAnsi"/>
                <w:szCs w:val="24"/>
              </w:rPr>
              <w:t xml:space="preserve"> (as </w:t>
            </w:r>
            <w:proofErr w:type="spellStart"/>
            <w:r w:rsidRPr="00F463B3">
              <w:rPr>
                <w:rFonts w:asciiTheme="minorHAnsi" w:hAnsiTheme="minorHAnsi" w:cstheme="minorHAnsi"/>
                <w:szCs w:val="24"/>
              </w:rPr>
              <w:t>sulfate</w:t>
            </w:r>
            <w:proofErr w:type="spellEnd"/>
            <w:r w:rsidRPr="00F463B3">
              <w:rPr>
                <w:rFonts w:asciiTheme="minorHAnsi" w:hAnsiTheme="minorHAnsi" w:cstheme="minorHAnsi"/>
                <w:szCs w:val="24"/>
              </w:rPr>
              <w:t>)/300 mg lamivudine</w:t>
            </w:r>
          </w:p>
        </w:tc>
      </w:tr>
      <w:tr w:rsidR="008E7846" w:rsidRPr="00487162" w:rsidTr="002757A7">
        <w:tc>
          <w:tcPr>
            <w:tcW w:w="2907" w:type="dxa"/>
          </w:tcPr>
          <w:p w:rsidR="008E7846" w:rsidRPr="00487162" w:rsidRDefault="008E7846" w:rsidP="00F54795">
            <w:pPr>
              <w:rPr>
                <w:i/>
              </w:rPr>
            </w:pPr>
            <w:r w:rsidRPr="00487162">
              <w:rPr>
                <w:i/>
              </w:rPr>
              <w:t>Container:</w:t>
            </w:r>
          </w:p>
        </w:tc>
        <w:tc>
          <w:tcPr>
            <w:tcW w:w="6307" w:type="dxa"/>
            <w:gridSpan w:val="2"/>
          </w:tcPr>
          <w:p w:rsidR="008E7846" w:rsidRPr="00487162" w:rsidRDefault="00C47D6B" w:rsidP="00B44424">
            <w:pPr>
              <w:ind w:left="104"/>
            </w:pPr>
            <w:r>
              <w:t>Bottle</w:t>
            </w:r>
          </w:p>
        </w:tc>
      </w:tr>
      <w:tr w:rsidR="008E7846" w:rsidRPr="00487162" w:rsidTr="002757A7">
        <w:tc>
          <w:tcPr>
            <w:tcW w:w="2907" w:type="dxa"/>
          </w:tcPr>
          <w:p w:rsidR="008E7846" w:rsidRPr="00487162" w:rsidRDefault="008E7846" w:rsidP="00F54795">
            <w:pPr>
              <w:rPr>
                <w:i/>
              </w:rPr>
            </w:pPr>
            <w:r w:rsidRPr="00487162">
              <w:rPr>
                <w:i/>
              </w:rPr>
              <w:t>Pack size:</w:t>
            </w:r>
          </w:p>
        </w:tc>
        <w:tc>
          <w:tcPr>
            <w:tcW w:w="6307" w:type="dxa"/>
            <w:gridSpan w:val="2"/>
          </w:tcPr>
          <w:p w:rsidR="008E7846" w:rsidRPr="00487162" w:rsidRDefault="00C47D6B" w:rsidP="00B44424">
            <w:pPr>
              <w:ind w:left="104"/>
            </w:pPr>
            <w:r>
              <w:t>30</w:t>
            </w:r>
          </w:p>
        </w:tc>
      </w:tr>
      <w:tr w:rsidR="008E7846" w:rsidRPr="00487162" w:rsidTr="002757A7">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gridSpan w:val="2"/>
          </w:tcPr>
          <w:p w:rsidR="008E7846" w:rsidRPr="00F54795" w:rsidRDefault="00F54795" w:rsidP="00B44424">
            <w:pPr>
              <w:ind w:left="104"/>
              <w:rPr>
                <w:i/>
              </w:rPr>
            </w:pPr>
            <w:proofErr w:type="spellStart"/>
            <w:r>
              <w:rPr>
                <w:i/>
              </w:rPr>
              <w:t>Triumeq</w:t>
            </w:r>
            <w:proofErr w:type="spellEnd"/>
            <w:r>
              <w:rPr>
                <w:i/>
              </w:rPr>
              <w:t xml:space="preserve"> is indicated for the treatment of Human Immunodeficiency Virus (HIV) infection in adults and adolescents from 12 years of </w:t>
            </w:r>
            <w:proofErr w:type="gramStart"/>
            <w:r>
              <w:rPr>
                <w:i/>
              </w:rPr>
              <w:t>age who are</w:t>
            </w:r>
            <w:proofErr w:type="gramEnd"/>
            <w:r>
              <w:rPr>
                <w:i/>
              </w:rPr>
              <w:t xml:space="preserve"> antiretroviral treatment-naive or are infected with HIV without documented or clinicalIy suspected resistance to any of the three antiretroviral agents (</w:t>
            </w:r>
            <w:proofErr w:type="spellStart"/>
            <w:r>
              <w:rPr>
                <w:i/>
              </w:rPr>
              <w:t>dolutegravir</w:t>
            </w:r>
            <w:proofErr w:type="spellEnd"/>
            <w:r>
              <w:rPr>
                <w:i/>
              </w:rPr>
              <w:t xml:space="preserve">, </w:t>
            </w:r>
            <w:proofErr w:type="spellStart"/>
            <w:r>
              <w:rPr>
                <w:i/>
              </w:rPr>
              <w:t>abacavir</w:t>
            </w:r>
            <w:proofErr w:type="spellEnd"/>
            <w:r>
              <w:rPr>
                <w:i/>
              </w:rPr>
              <w:t xml:space="preserve"> or </w:t>
            </w:r>
            <w:proofErr w:type="spellStart"/>
            <w:r>
              <w:rPr>
                <w:i/>
              </w:rPr>
              <w:t>lainivudine</w:t>
            </w:r>
            <w:proofErr w:type="spellEnd"/>
            <w:r>
              <w:rPr>
                <w:i/>
              </w:rPr>
              <w:t xml:space="preserve">) in </w:t>
            </w:r>
            <w:proofErr w:type="spellStart"/>
            <w:r>
              <w:rPr>
                <w:i/>
              </w:rPr>
              <w:t>Triumeq</w:t>
            </w:r>
            <w:proofErr w:type="spellEnd"/>
            <w:r>
              <w:rPr>
                <w:i/>
              </w:rPr>
              <w:t>.</w:t>
            </w:r>
          </w:p>
        </w:tc>
      </w:tr>
      <w:tr w:rsidR="008E7846" w:rsidRPr="00487162" w:rsidTr="002757A7">
        <w:tc>
          <w:tcPr>
            <w:tcW w:w="2907" w:type="dxa"/>
          </w:tcPr>
          <w:p w:rsidR="008E7846" w:rsidRPr="00487162" w:rsidRDefault="008E7846" w:rsidP="00F54795">
            <w:pPr>
              <w:rPr>
                <w:i/>
              </w:rPr>
            </w:pPr>
            <w:r w:rsidRPr="00487162">
              <w:rPr>
                <w:i/>
              </w:rPr>
              <w:t>Route of administration:</w:t>
            </w:r>
          </w:p>
        </w:tc>
        <w:tc>
          <w:tcPr>
            <w:tcW w:w="6307" w:type="dxa"/>
            <w:gridSpan w:val="2"/>
          </w:tcPr>
          <w:p w:rsidR="008E7846" w:rsidRPr="00487162" w:rsidRDefault="00C47D6B" w:rsidP="00B44424">
            <w:pPr>
              <w:ind w:left="104"/>
            </w:pPr>
            <w:r>
              <w:t>Oral (PO)</w:t>
            </w:r>
          </w:p>
        </w:tc>
      </w:tr>
      <w:tr w:rsidR="008E7846" w:rsidRPr="00487162" w:rsidTr="002757A7">
        <w:tc>
          <w:tcPr>
            <w:tcW w:w="2907" w:type="dxa"/>
          </w:tcPr>
          <w:p w:rsidR="008E7846" w:rsidRPr="00487162" w:rsidRDefault="008E7846" w:rsidP="00E45619">
            <w:pPr>
              <w:rPr>
                <w:i/>
              </w:rPr>
            </w:pPr>
            <w:r w:rsidRPr="00487162">
              <w:rPr>
                <w:i/>
              </w:rPr>
              <w:t>Dosage:</w:t>
            </w:r>
          </w:p>
        </w:tc>
        <w:tc>
          <w:tcPr>
            <w:tcW w:w="6307" w:type="dxa"/>
            <w:gridSpan w:val="2"/>
          </w:tcPr>
          <w:p w:rsidR="008E7846" w:rsidRPr="00487162" w:rsidRDefault="00F54795" w:rsidP="00B44424">
            <w:pPr>
              <w:ind w:left="104"/>
            </w:pPr>
            <w:r>
              <w:t xml:space="preserve">Therapy should be initiated by a physician experienced in the management of HIV </w:t>
            </w:r>
            <w:r>
              <w:rPr>
                <w:sz w:val="18"/>
                <w:szCs w:val="18"/>
              </w:rPr>
              <w:t xml:space="preserve">infection. </w:t>
            </w:r>
            <w:r>
              <w:t xml:space="preserve">The recommended dose of </w:t>
            </w:r>
            <w:proofErr w:type="spellStart"/>
            <w:r>
              <w:t>Triumeq</w:t>
            </w:r>
            <w:proofErr w:type="spellEnd"/>
            <w:r>
              <w:t xml:space="preserve"> in adults and adolescents weighing at least 40 kg is one tablet once daily, taken with or without food.</w:t>
            </w:r>
          </w:p>
        </w:tc>
      </w:tr>
      <w:tr w:rsidR="008E7846" w:rsidRPr="00487162" w:rsidTr="002757A7">
        <w:tc>
          <w:tcPr>
            <w:tcW w:w="2907" w:type="dxa"/>
          </w:tcPr>
          <w:p w:rsidR="008E7846" w:rsidRPr="00487162" w:rsidRDefault="008E7846" w:rsidP="00F54795">
            <w:pPr>
              <w:rPr>
                <w:i/>
              </w:rPr>
            </w:pPr>
            <w:r w:rsidRPr="00487162">
              <w:rPr>
                <w:i/>
              </w:rPr>
              <w:t xml:space="preserve">ARTG </w:t>
            </w:r>
            <w:r w:rsidR="001B5C90">
              <w:rPr>
                <w:i/>
              </w:rPr>
              <w:t>n</w:t>
            </w:r>
            <w:r w:rsidRPr="00487162">
              <w:rPr>
                <w:i/>
              </w:rPr>
              <w:t xml:space="preserve">umber </w:t>
            </w:r>
            <w:r w:rsidR="001B5C90">
              <w:rPr>
                <w:i/>
              </w:rPr>
              <w:t>:</w:t>
            </w:r>
          </w:p>
        </w:tc>
        <w:tc>
          <w:tcPr>
            <w:tcW w:w="6307" w:type="dxa"/>
            <w:gridSpan w:val="2"/>
          </w:tcPr>
          <w:p w:rsidR="008E7846" w:rsidRPr="00487162" w:rsidRDefault="00F54795" w:rsidP="00B44424">
            <w:pPr>
              <w:ind w:left="104"/>
            </w:pPr>
            <w:r>
              <w:t>218644</w:t>
            </w:r>
          </w:p>
        </w:tc>
      </w:tr>
    </w:tbl>
    <w:p w:rsidR="008E7846" w:rsidRDefault="008E7846" w:rsidP="00774A97">
      <w:pPr>
        <w:pStyle w:val="Heading3"/>
      </w:pPr>
      <w:bookmarkStart w:id="13" w:name="_Toc247691503"/>
      <w:bookmarkStart w:id="14" w:name="_Toc314842484"/>
      <w:bookmarkStart w:id="15" w:name="_Toc423434282"/>
      <w:r>
        <w:t>Product background</w:t>
      </w:r>
      <w:bookmarkEnd w:id="13"/>
      <w:bookmarkEnd w:id="14"/>
      <w:bookmarkEnd w:id="15"/>
    </w:p>
    <w:p w:rsidR="00B44424" w:rsidRDefault="00940A89" w:rsidP="00774A97">
      <w:r w:rsidRPr="00940A89">
        <w:t>This AusPAR describes the application by the sponsor</w:t>
      </w:r>
      <w:r w:rsidR="00B44424">
        <w:t>,</w:t>
      </w:r>
      <w:r w:rsidRPr="00940A89">
        <w:t xml:space="preserve"> </w:t>
      </w:r>
      <w:proofErr w:type="spellStart"/>
      <w:r w:rsidR="00B44424" w:rsidRPr="00E06FCB">
        <w:t>ViiV</w:t>
      </w:r>
      <w:proofErr w:type="spellEnd"/>
      <w:r w:rsidR="00B44424" w:rsidRPr="00E06FCB">
        <w:t xml:space="preserve"> Healthcare</w:t>
      </w:r>
      <w:r w:rsidR="00B44424">
        <w:t>,</w:t>
      </w:r>
      <w:r w:rsidR="00B44424" w:rsidRPr="00E06FCB">
        <w:t xml:space="preserve"> </w:t>
      </w:r>
      <w:r w:rsidRPr="00940A89">
        <w:t xml:space="preserve">to register </w:t>
      </w:r>
      <w:bookmarkStart w:id="16" w:name="_Toc314842485"/>
      <w:bookmarkStart w:id="17" w:name="_Toc247691504"/>
      <w:r w:rsidR="00C47D6B" w:rsidRPr="00E06FCB">
        <w:t xml:space="preserve">a new combination tablet </w:t>
      </w:r>
      <w:r w:rsidR="00B44424">
        <w:t>for the following indication:</w:t>
      </w:r>
    </w:p>
    <w:p w:rsidR="00B44424" w:rsidRDefault="00B44424" w:rsidP="00B44424">
      <w:pPr>
        <w:ind w:left="720"/>
        <w:rPr>
          <w:i/>
        </w:rPr>
      </w:pPr>
      <w:proofErr w:type="spellStart"/>
      <w:r>
        <w:rPr>
          <w:i/>
        </w:rPr>
        <w:t>Triumeq</w:t>
      </w:r>
      <w:proofErr w:type="spellEnd"/>
      <w:r>
        <w:rPr>
          <w:i/>
        </w:rPr>
        <w:t xml:space="preserve"> is indicated as a</w:t>
      </w:r>
      <w:r w:rsidRPr="00B44424">
        <w:rPr>
          <w:i/>
        </w:rPr>
        <w:t xml:space="preserve"> complete regimen for the treatment of Human</w:t>
      </w:r>
      <w:r>
        <w:rPr>
          <w:i/>
        </w:rPr>
        <w:t xml:space="preserve"> </w:t>
      </w:r>
      <w:r w:rsidRPr="00B44424">
        <w:rPr>
          <w:i/>
        </w:rPr>
        <w:t>Immunodeficiency Virus (HIV) infection in adults and adolescents from 12 years of age</w:t>
      </w:r>
      <w:r>
        <w:rPr>
          <w:i/>
        </w:rPr>
        <w:t xml:space="preserve"> </w:t>
      </w:r>
      <w:r w:rsidRPr="00B44424">
        <w:rPr>
          <w:i/>
        </w:rPr>
        <w:t>who are antiretroviral treatment-naïve or are infected with HIV without documented or</w:t>
      </w:r>
      <w:r>
        <w:rPr>
          <w:i/>
        </w:rPr>
        <w:t xml:space="preserve"> </w:t>
      </w:r>
      <w:r w:rsidRPr="00B44424">
        <w:rPr>
          <w:i/>
        </w:rPr>
        <w:t xml:space="preserve">clinically suspected resistance to any of the three antiretroviral agents in </w:t>
      </w:r>
      <w:proofErr w:type="spellStart"/>
      <w:r w:rsidRPr="00B44424">
        <w:rPr>
          <w:i/>
        </w:rPr>
        <w:t>Triumeq</w:t>
      </w:r>
      <w:proofErr w:type="spellEnd"/>
      <w:r w:rsidRPr="00B44424">
        <w:rPr>
          <w:i/>
        </w:rPr>
        <w:t>.</w:t>
      </w:r>
    </w:p>
    <w:p w:rsidR="00B44424" w:rsidRDefault="00B44424" w:rsidP="000D7FEE">
      <w:r>
        <w:lastRenderedPageBreak/>
        <w:t>This indication was modified during the TGA’s evaluation process to</w:t>
      </w:r>
      <w:r w:rsidR="009862C1">
        <w:t>:</w:t>
      </w:r>
    </w:p>
    <w:p w:rsidR="00B44424" w:rsidRPr="00B44424" w:rsidRDefault="00B44424" w:rsidP="00B44424">
      <w:pPr>
        <w:ind w:left="720"/>
        <w:rPr>
          <w:i/>
        </w:rPr>
      </w:pPr>
      <w:proofErr w:type="spellStart"/>
      <w:r w:rsidRPr="00B44424">
        <w:rPr>
          <w:i/>
        </w:rPr>
        <w:t>Triumeq</w:t>
      </w:r>
      <w:proofErr w:type="spellEnd"/>
      <w:r w:rsidRPr="00B44424">
        <w:rPr>
          <w:i/>
        </w:rPr>
        <w:t xml:space="preserve"> is indicated for the treatment of Human Immunodeficiency Virus (HIV) infection in adults and adolescents from 12 years of age who are antiretroviral treatment-naïve or are infected with HIV without documented or clinically suspected resistance to any of the three antiretroviral agents (</w:t>
      </w:r>
      <w:proofErr w:type="spellStart"/>
      <w:r w:rsidRPr="00B44424">
        <w:rPr>
          <w:i/>
        </w:rPr>
        <w:t>dolutegravir</w:t>
      </w:r>
      <w:proofErr w:type="spellEnd"/>
      <w:r w:rsidRPr="00B44424">
        <w:rPr>
          <w:i/>
        </w:rPr>
        <w:t xml:space="preserve">, </w:t>
      </w:r>
      <w:proofErr w:type="spellStart"/>
      <w:r w:rsidRPr="00B44424">
        <w:rPr>
          <w:i/>
        </w:rPr>
        <w:t>abacavir</w:t>
      </w:r>
      <w:proofErr w:type="spellEnd"/>
      <w:r w:rsidRPr="00B44424">
        <w:rPr>
          <w:i/>
        </w:rPr>
        <w:t xml:space="preserve"> or lamivudine) in </w:t>
      </w:r>
      <w:proofErr w:type="spellStart"/>
      <w:r w:rsidRPr="00B44424">
        <w:rPr>
          <w:i/>
        </w:rPr>
        <w:t>Triumeq</w:t>
      </w:r>
      <w:proofErr w:type="spellEnd"/>
      <w:r w:rsidRPr="00B44424">
        <w:rPr>
          <w:i/>
        </w:rPr>
        <w:t>.</w:t>
      </w:r>
    </w:p>
    <w:p w:rsidR="00CB7617" w:rsidRDefault="00C47D6B" w:rsidP="000D7FEE">
      <w:r>
        <w:t>The new combination tablet</w:t>
      </w:r>
      <w:r w:rsidRPr="00E06FCB">
        <w:t xml:space="preserve"> consists of three anti-retroviral drugs (</w:t>
      </w:r>
      <w:proofErr w:type="spellStart"/>
      <w:r w:rsidRPr="00E06FCB">
        <w:t>abacavir</w:t>
      </w:r>
      <w:proofErr w:type="spellEnd"/>
      <w:r w:rsidRPr="00E06FCB">
        <w:t xml:space="preserve"> sulphate</w:t>
      </w:r>
      <w:r w:rsidR="00B44424">
        <w:t xml:space="preserve"> </w:t>
      </w:r>
      <w:r w:rsidR="00B44424">
        <w:rPr>
          <w:kern w:val="2"/>
        </w:rPr>
        <w:t>(ABC)</w:t>
      </w:r>
      <w:r w:rsidRPr="00E06FCB">
        <w:t xml:space="preserve">, </w:t>
      </w:r>
      <w:r w:rsidRPr="004F5AC3">
        <w:t xml:space="preserve">lamivudine </w:t>
      </w:r>
      <w:r w:rsidR="00B44424">
        <w:rPr>
          <w:kern w:val="2"/>
        </w:rPr>
        <w:t xml:space="preserve">(3TC) </w:t>
      </w:r>
      <w:r w:rsidRPr="004F5AC3">
        <w:t xml:space="preserve">and </w:t>
      </w:r>
      <w:proofErr w:type="spellStart"/>
      <w:r w:rsidRPr="004F5AC3">
        <w:rPr>
          <w:szCs w:val="24"/>
        </w:rPr>
        <w:t>dolutegravir</w:t>
      </w:r>
      <w:proofErr w:type="spellEnd"/>
      <w:r w:rsidRPr="004F5AC3">
        <w:rPr>
          <w:szCs w:val="24"/>
        </w:rPr>
        <w:t xml:space="preserve"> sodium</w:t>
      </w:r>
      <w:r w:rsidR="00B44424">
        <w:rPr>
          <w:szCs w:val="24"/>
        </w:rPr>
        <w:t xml:space="preserve"> </w:t>
      </w:r>
      <w:r w:rsidR="00B44424">
        <w:rPr>
          <w:kern w:val="2"/>
        </w:rPr>
        <w:t>(DTG)</w:t>
      </w:r>
      <w:r w:rsidRPr="004F5AC3">
        <w:t xml:space="preserve">) all of which are contained in currently registered </w:t>
      </w:r>
      <w:proofErr w:type="spellStart"/>
      <w:r w:rsidRPr="004F5AC3">
        <w:t>ViiV</w:t>
      </w:r>
      <w:proofErr w:type="spellEnd"/>
      <w:r w:rsidRPr="004F5AC3">
        <w:t xml:space="preserve"> Healthcare products</w:t>
      </w:r>
      <w:r w:rsidR="00B44424" w:rsidRPr="00B44424">
        <w:rPr>
          <w:kern w:val="2"/>
        </w:rPr>
        <w:t xml:space="preserve"> </w:t>
      </w:r>
      <w:r w:rsidR="00B44424">
        <w:rPr>
          <w:kern w:val="2"/>
        </w:rPr>
        <w:t>as single agents</w:t>
      </w:r>
      <w:r w:rsidRPr="004F5AC3">
        <w:t>.</w:t>
      </w:r>
    </w:p>
    <w:p w:rsidR="00C47D6B" w:rsidRDefault="00CB7617" w:rsidP="000D7FEE">
      <w:r>
        <w:t xml:space="preserve">DTG is a low </w:t>
      </w:r>
      <w:proofErr w:type="spellStart"/>
      <w:r>
        <w:t>nanomolar</w:t>
      </w:r>
      <w:proofErr w:type="spellEnd"/>
      <w:r>
        <w:t xml:space="preserve"> inhibitor of HIV integrase which requires once-daily dosing. ABC and 3TC are established nucleoside reverse transcriptase inhibitors.</w:t>
      </w:r>
    </w:p>
    <w:p w:rsidR="00C47D6B" w:rsidRDefault="00C47D6B" w:rsidP="000D7FEE">
      <w:r>
        <w:t xml:space="preserve">The approved indications for DTG and ABC stipulate that they should be used as part of antiretroviral combination therapy. </w:t>
      </w:r>
      <w:proofErr w:type="spellStart"/>
      <w:r>
        <w:t>Abacavir</w:t>
      </w:r>
      <w:proofErr w:type="spellEnd"/>
      <w:r>
        <w:t xml:space="preserve"> and 3TC are already available as a fixed dose combination therapy at the same dose levels as are being proposed in the current application (</w:t>
      </w:r>
      <w:proofErr w:type="spellStart"/>
      <w:r w:rsidR="00B44424">
        <w:t>Kivexa</w:t>
      </w:r>
      <w:proofErr w:type="spellEnd"/>
      <w:r>
        <w:t xml:space="preserve">) and as triple combination therapy with </w:t>
      </w:r>
      <w:r w:rsidRPr="00B44424">
        <w:t xml:space="preserve">the </w:t>
      </w:r>
      <w:r w:rsidR="00B44424" w:rsidRPr="00B44424">
        <w:t>nucleoside reverse transcriptase inhibitor (</w:t>
      </w:r>
      <w:r w:rsidRPr="00B44424">
        <w:t>NRTI</w:t>
      </w:r>
      <w:r w:rsidR="00B44424" w:rsidRPr="00B44424">
        <w:t>)</w:t>
      </w:r>
      <w:r w:rsidRPr="00B44424">
        <w:t xml:space="preserve"> </w:t>
      </w:r>
      <w:proofErr w:type="spellStart"/>
      <w:r w:rsidRPr="00B44424">
        <w:t>zidovudine</w:t>
      </w:r>
      <w:proofErr w:type="spellEnd"/>
      <w:r w:rsidRPr="00B44424">
        <w:t xml:space="preserve"> (</w:t>
      </w:r>
      <w:proofErr w:type="spellStart"/>
      <w:r w:rsidR="00B44424" w:rsidRPr="00B44424">
        <w:t>Trizivir</w:t>
      </w:r>
      <w:proofErr w:type="spellEnd"/>
      <w:r w:rsidRPr="00B44424">
        <w:t>). Thus, the proposed daily dosages and the use of the three individual agents in combination are consistent with</w:t>
      </w:r>
      <w:r>
        <w:t xml:space="preserve"> their current registered use.</w:t>
      </w:r>
    </w:p>
    <w:p w:rsidR="00F54795" w:rsidRDefault="009862C1" w:rsidP="000D7FEE">
      <w:r w:rsidRPr="00223C6D">
        <w:t xml:space="preserve">The proposed dosing regimen involves oral administration of one tablet </w:t>
      </w:r>
      <w:r>
        <w:t>once daily, providing a</w:t>
      </w:r>
      <w:r w:rsidRPr="00223C6D">
        <w:t xml:space="preserve"> maximum recommended dai</w:t>
      </w:r>
      <w:r>
        <w:t>ly dose of 50 mg of DTG, 600 mg ABC and 300 mg 3TC</w:t>
      </w:r>
      <w:r w:rsidRPr="00223C6D">
        <w:t xml:space="preserve">. </w:t>
      </w:r>
      <w:r w:rsidR="00CB5329" w:rsidRPr="00E56233">
        <w:t xml:space="preserve">Because </w:t>
      </w:r>
      <w:proofErr w:type="spellStart"/>
      <w:r w:rsidR="00B44424" w:rsidRPr="00E56233">
        <w:t>Triumeq</w:t>
      </w:r>
      <w:proofErr w:type="spellEnd"/>
      <w:r w:rsidR="00B44424" w:rsidRPr="00E56233">
        <w:t xml:space="preserve"> </w:t>
      </w:r>
      <w:r w:rsidR="00CB5329" w:rsidRPr="00E56233">
        <w:t>is a fixed dose tablet, it should not be prescribed for patients requiring dose adjustment</w:t>
      </w:r>
      <w:r>
        <w:t>, that is</w:t>
      </w:r>
      <w:r w:rsidR="00CB5329" w:rsidRPr="00E56233">
        <w:t>:</w:t>
      </w:r>
    </w:p>
    <w:p w:rsidR="00F54795" w:rsidRPr="00B44424" w:rsidRDefault="00F54795" w:rsidP="000D7FEE">
      <w:pPr>
        <w:pStyle w:val="ListBullet"/>
      </w:pPr>
      <w:r w:rsidRPr="00B44424">
        <w:t>A</w:t>
      </w:r>
      <w:r w:rsidR="00CB5329" w:rsidRPr="00B44424">
        <w:t>dults or adolescents who weighing &lt;40 kg</w:t>
      </w:r>
    </w:p>
    <w:p w:rsidR="00F54795" w:rsidRPr="00B44424" w:rsidRDefault="00CB5329" w:rsidP="000D7FEE">
      <w:pPr>
        <w:pStyle w:val="ListBullet"/>
      </w:pPr>
      <w:r w:rsidRPr="00B44424">
        <w:t>Children &lt; 12 years of age</w:t>
      </w:r>
    </w:p>
    <w:p w:rsidR="00F54795" w:rsidRPr="00B44424" w:rsidRDefault="00F54795" w:rsidP="000D7FEE">
      <w:pPr>
        <w:pStyle w:val="ListBullet"/>
      </w:pPr>
      <w:r w:rsidRPr="00B44424">
        <w:t>P</w:t>
      </w:r>
      <w:r w:rsidR="00CB5329" w:rsidRPr="00B44424">
        <w:t>atients with creatinine clearance &lt;50 mL/min</w:t>
      </w:r>
    </w:p>
    <w:p w:rsidR="00F54795" w:rsidRPr="00B44424" w:rsidRDefault="00CB5329" w:rsidP="000D7FEE">
      <w:pPr>
        <w:pStyle w:val="ListBullet"/>
      </w:pPr>
      <w:r w:rsidRPr="00B44424">
        <w:t>Patients with mild hepatic impairment</w:t>
      </w:r>
    </w:p>
    <w:p w:rsidR="00CB5329" w:rsidRPr="00B44424" w:rsidRDefault="00CB5329" w:rsidP="000D7FEE">
      <w:pPr>
        <w:pStyle w:val="ListBullet"/>
      </w:pPr>
      <w:r w:rsidRPr="00B44424">
        <w:t>Patients resistant to integrase inhibitors</w:t>
      </w:r>
    </w:p>
    <w:p w:rsidR="008E7846" w:rsidRPr="003F31A2" w:rsidRDefault="00386150" w:rsidP="000D7FEE">
      <w:pPr>
        <w:pStyle w:val="Heading3"/>
      </w:pPr>
      <w:bookmarkStart w:id="18" w:name="_Toc423434283"/>
      <w:r>
        <w:t>Regulatory s</w:t>
      </w:r>
      <w:r w:rsidR="008E7846">
        <w:t>tatus</w:t>
      </w:r>
      <w:bookmarkEnd w:id="16"/>
      <w:bookmarkEnd w:id="17"/>
      <w:bookmarkEnd w:id="18"/>
    </w:p>
    <w:p w:rsidR="00940A89" w:rsidRPr="00940A89" w:rsidRDefault="00940A89" w:rsidP="000D7FEE">
      <w:bookmarkStart w:id="19" w:name="_Toc247691505"/>
      <w:bookmarkStart w:id="20" w:name="_Toc314842486"/>
      <w:r w:rsidRPr="00940A89">
        <w:t>Th</w:t>
      </w:r>
      <w:r w:rsidR="003401D1">
        <w:t xml:space="preserve">is active ingredient combination has not been registered in Australia previously. </w:t>
      </w:r>
      <w:proofErr w:type="spellStart"/>
      <w:r w:rsidR="003401D1">
        <w:t>Trizivir</w:t>
      </w:r>
      <w:proofErr w:type="spellEnd"/>
      <w:r w:rsidR="003401D1">
        <w:t xml:space="preserve"> has been registered in Australia since April 2001, </w:t>
      </w:r>
      <w:proofErr w:type="spellStart"/>
      <w:r w:rsidR="003401D1">
        <w:t>Kivexa</w:t>
      </w:r>
      <w:proofErr w:type="spellEnd"/>
      <w:r w:rsidR="003401D1">
        <w:t xml:space="preserve"> since March 2005 and 3TC lamivudine since February 1996.</w:t>
      </w:r>
    </w:p>
    <w:p w:rsidR="00940A89" w:rsidRDefault="00940A89" w:rsidP="000D7FEE">
      <w:r w:rsidRPr="00940A89">
        <w:t xml:space="preserve">At the time the TGA considered this application, a similar application had been approved </w:t>
      </w:r>
      <w:r w:rsidR="00B44424">
        <w:t>in the USA, European Union (EU) and Canada (see Table 1)</w:t>
      </w:r>
      <w:r>
        <w:t>.</w:t>
      </w:r>
    </w:p>
    <w:p w:rsidR="00B44424" w:rsidRDefault="00B44424" w:rsidP="000D7FEE">
      <w:pPr>
        <w:pStyle w:val="TableTitle"/>
      </w:pPr>
      <w:r>
        <w:t>Table 1: International regulatory status</w:t>
      </w:r>
    </w:p>
    <w:tbl>
      <w:tblPr>
        <w:tblStyle w:val="TableTGAblue"/>
        <w:tblW w:w="8789" w:type="dxa"/>
        <w:tblLayout w:type="fixed"/>
        <w:tblLook w:val="0000" w:firstRow="0" w:lastRow="0" w:firstColumn="0" w:lastColumn="0" w:noHBand="0" w:noVBand="0"/>
      </w:tblPr>
      <w:tblGrid>
        <w:gridCol w:w="1242"/>
        <w:gridCol w:w="1735"/>
        <w:gridCol w:w="5812"/>
      </w:tblGrid>
      <w:tr w:rsidR="000D7FEE" w:rsidRPr="000D7FEE" w:rsidTr="000D7FEE">
        <w:trPr>
          <w:trHeight w:val="454"/>
          <w:tblHeader/>
        </w:trPr>
        <w:tc>
          <w:tcPr>
            <w:tcW w:w="1242" w:type="dxa"/>
            <w:shd w:val="clear" w:color="auto" w:fill="006DA7"/>
          </w:tcPr>
          <w:p w:rsidR="00F54795" w:rsidRPr="000D7FEE" w:rsidRDefault="00F54795" w:rsidP="000D7FEE">
            <w:pPr>
              <w:ind w:left="0"/>
              <w:rPr>
                <w:color w:val="FFFFFF" w:themeColor="background1"/>
              </w:rPr>
            </w:pPr>
            <w:r w:rsidRPr="000D7FEE">
              <w:rPr>
                <w:color w:val="FFFFFF" w:themeColor="background1"/>
              </w:rPr>
              <w:t>Country</w:t>
            </w:r>
          </w:p>
        </w:tc>
        <w:tc>
          <w:tcPr>
            <w:tcW w:w="1735" w:type="dxa"/>
            <w:shd w:val="clear" w:color="auto" w:fill="006DA7"/>
          </w:tcPr>
          <w:p w:rsidR="00F54795" w:rsidRPr="000D7FEE" w:rsidRDefault="00F54795" w:rsidP="000D7FEE">
            <w:pPr>
              <w:ind w:left="0"/>
              <w:rPr>
                <w:color w:val="FFFFFF" w:themeColor="background1"/>
              </w:rPr>
            </w:pPr>
            <w:r w:rsidRPr="000D7FEE">
              <w:rPr>
                <w:color w:val="FFFFFF" w:themeColor="background1"/>
              </w:rPr>
              <w:t>Date of approval</w:t>
            </w:r>
          </w:p>
        </w:tc>
        <w:tc>
          <w:tcPr>
            <w:tcW w:w="5812" w:type="dxa"/>
            <w:shd w:val="clear" w:color="auto" w:fill="006DA7"/>
          </w:tcPr>
          <w:p w:rsidR="00F54795" w:rsidRPr="000D7FEE" w:rsidRDefault="00F54795" w:rsidP="000D7FEE">
            <w:pPr>
              <w:ind w:left="0"/>
              <w:rPr>
                <w:color w:val="FFFFFF" w:themeColor="background1"/>
              </w:rPr>
            </w:pPr>
            <w:r w:rsidRPr="000D7FEE">
              <w:rPr>
                <w:color w:val="FFFFFF" w:themeColor="background1"/>
              </w:rPr>
              <w:t>Approved indications</w:t>
            </w:r>
          </w:p>
        </w:tc>
      </w:tr>
      <w:tr w:rsidR="006A2113" w:rsidRPr="006A2113" w:rsidTr="000D7FEE">
        <w:trPr>
          <w:trHeight w:val="227"/>
        </w:trPr>
        <w:tc>
          <w:tcPr>
            <w:tcW w:w="1242" w:type="dxa"/>
          </w:tcPr>
          <w:p w:rsidR="006A2113" w:rsidRPr="003401D1" w:rsidRDefault="000D7FEE" w:rsidP="000D7FEE">
            <w:pPr>
              <w:ind w:left="0"/>
              <w:rPr>
                <w:color w:val="000000"/>
              </w:rPr>
            </w:pPr>
            <w:r>
              <w:rPr>
                <w:color w:val="000000"/>
              </w:rPr>
              <w:t>USA</w:t>
            </w:r>
          </w:p>
        </w:tc>
        <w:tc>
          <w:tcPr>
            <w:tcW w:w="1735" w:type="dxa"/>
          </w:tcPr>
          <w:p w:rsidR="006A2113" w:rsidRPr="003401D1" w:rsidRDefault="006A2113" w:rsidP="000D7FEE">
            <w:pPr>
              <w:ind w:left="0"/>
              <w:rPr>
                <w:color w:val="000000"/>
              </w:rPr>
            </w:pPr>
            <w:r w:rsidRPr="003401D1">
              <w:rPr>
                <w:color w:val="000000"/>
              </w:rPr>
              <w:t xml:space="preserve">22 August 2014 </w:t>
            </w:r>
          </w:p>
        </w:tc>
        <w:tc>
          <w:tcPr>
            <w:tcW w:w="5812" w:type="dxa"/>
          </w:tcPr>
          <w:p w:rsidR="006A2113" w:rsidRPr="003401D1" w:rsidRDefault="003401D1" w:rsidP="000D7FEE">
            <w:pPr>
              <w:ind w:left="0"/>
              <w:rPr>
                <w:color w:val="000000"/>
              </w:rPr>
            </w:pPr>
            <w:proofErr w:type="spellStart"/>
            <w:r w:rsidRPr="003401D1">
              <w:rPr>
                <w:color w:val="000000"/>
              </w:rPr>
              <w:t>Triumeq</w:t>
            </w:r>
            <w:proofErr w:type="spellEnd"/>
            <w:r w:rsidR="006A2113" w:rsidRPr="003401D1">
              <w:rPr>
                <w:color w:val="000000"/>
              </w:rPr>
              <w:t xml:space="preserve"> is indicated for the treatment of human immunodeficiency </w:t>
            </w:r>
            <w:r w:rsidR="002757A7">
              <w:rPr>
                <w:color w:val="000000"/>
              </w:rPr>
              <w:t>virus type 1 (HIV-1) infection.</w:t>
            </w:r>
          </w:p>
          <w:p w:rsidR="006A2113" w:rsidRPr="003401D1" w:rsidRDefault="006A2113" w:rsidP="000D7FEE">
            <w:pPr>
              <w:ind w:left="0"/>
              <w:rPr>
                <w:color w:val="000000"/>
              </w:rPr>
            </w:pPr>
            <w:r w:rsidRPr="000D7FEE">
              <w:rPr>
                <w:b/>
                <w:color w:val="000000"/>
              </w:rPr>
              <w:t>Limitations of Use</w:t>
            </w:r>
            <w:r w:rsidR="002757A7">
              <w:rPr>
                <w:color w:val="000000"/>
              </w:rPr>
              <w:t>:</w:t>
            </w:r>
          </w:p>
          <w:p w:rsidR="006A2113" w:rsidRPr="003401D1" w:rsidRDefault="003401D1" w:rsidP="000D7FEE">
            <w:pPr>
              <w:ind w:left="0"/>
              <w:rPr>
                <w:color w:val="000000"/>
              </w:rPr>
            </w:pPr>
            <w:proofErr w:type="spellStart"/>
            <w:r w:rsidRPr="003401D1">
              <w:rPr>
                <w:color w:val="000000"/>
              </w:rPr>
              <w:t>Triumeq</w:t>
            </w:r>
            <w:proofErr w:type="spellEnd"/>
            <w:r w:rsidR="006A2113" w:rsidRPr="003401D1">
              <w:rPr>
                <w:color w:val="000000"/>
              </w:rPr>
              <w:t xml:space="preserve"> alone is not recommended for use in patients with current or past history of resistance to any components of </w:t>
            </w:r>
            <w:proofErr w:type="spellStart"/>
            <w:r w:rsidRPr="003401D1">
              <w:rPr>
                <w:color w:val="000000"/>
              </w:rPr>
              <w:t>Triumeq</w:t>
            </w:r>
            <w:proofErr w:type="spellEnd"/>
            <w:r w:rsidR="002757A7">
              <w:rPr>
                <w:color w:val="000000"/>
              </w:rPr>
              <w:t xml:space="preserve"> [see Microbiology (12.4)].</w:t>
            </w:r>
          </w:p>
          <w:p w:rsidR="006A2113" w:rsidRPr="003401D1" w:rsidRDefault="003401D1" w:rsidP="000D7FEE">
            <w:pPr>
              <w:ind w:left="0"/>
              <w:rPr>
                <w:color w:val="000000"/>
              </w:rPr>
            </w:pPr>
            <w:proofErr w:type="spellStart"/>
            <w:r w:rsidRPr="003401D1">
              <w:rPr>
                <w:color w:val="000000"/>
              </w:rPr>
              <w:t>Triumeq</w:t>
            </w:r>
            <w:proofErr w:type="spellEnd"/>
            <w:r w:rsidR="006A2113" w:rsidRPr="003401D1">
              <w:rPr>
                <w:color w:val="000000"/>
              </w:rPr>
              <w:t xml:space="preserve"> alone is not recommended in patients with </w:t>
            </w:r>
            <w:r w:rsidR="006A2113" w:rsidRPr="003401D1">
              <w:rPr>
                <w:color w:val="000000"/>
              </w:rPr>
              <w:lastRenderedPageBreak/>
              <w:t xml:space="preserve">resistance-associated integrase substitutions or clinically suspected integrase strand transfer inhibitor resistance because the dose of </w:t>
            </w:r>
            <w:proofErr w:type="spellStart"/>
            <w:r w:rsidR="006A2113" w:rsidRPr="003401D1">
              <w:rPr>
                <w:color w:val="000000"/>
              </w:rPr>
              <w:t>dolutegravir</w:t>
            </w:r>
            <w:proofErr w:type="spellEnd"/>
            <w:r w:rsidR="006A2113" w:rsidRPr="003401D1">
              <w:rPr>
                <w:color w:val="000000"/>
              </w:rPr>
              <w:t xml:space="preserve"> in </w:t>
            </w:r>
            <w:proofErr w:type="spellStart"/>
            <w:r w:rsidRPr="003401D1">
              <w:rPr>
                <w:color w:val="000000"/>
              </w:rPr>
              <w:t>Triumeq</w:t>
            </w:r>
            <w:proofErr w:type="spellEnd"/>
            <w:r w:rsidR="006A2113" w:rsidRPr="003401D1">
              <w:rPr>
                <w:color w:val="000000"/>
              </w:rPr>
              <w:t xml:space="preserve"> is insufficient in these subpopulations. See full prescribing information for </w:t>
            </w:r>
            <w:proofErr w:type="spellStart"/>
            <w:r w:rsidR="006A2113" w:rsidRPr="003401D1">
              <w:rPr>
                <w:color w:val="000000"/>
              </w:rPr>
              <w:t>dolutegravir</w:t>
            </w:r>
            <w:proofErr w:type="spellEnd"/>
            <w:r w:rsidR="006A2113" w:rsidRPr="003401D1">
              <w:rPr>
                <w:color w:val="000000"/>
              </w:rPr>
              <w:t>.</w:t>
            </w:r>
          </w:p>
        </w:tc>
      </w:tr>
      <w:tr w:rsidR="006A2113" w:rsidRPr="006A2113" w:rsidTr="000D7FEE">
        <w:trPr>
          <w:trHeight w:val="1730"/>
        </w:trPr>
        <w:tc>
          <w:tcPr>
            <w:tcW w:w="1242" w:type="dxa"/>
          </w:tcPr>
          <w:p w:rsidR="006A2113" w:rsidRPr="003401D1" w:rsidRDefault="000D7FEE" w:rsidP="000D7FEE">
            <w:pPr>
              <w:ind w:left="0"/>
              <w:rPr>
                <w:color w:val="000000"/>
              </w:rPr>
            </w:pPr>
            <w:r>
              <w:rPr>
                <w:color w:val="000000"/>
              </w:rPr>
              <w:lastRenderedPageBreak/>
              <w:t>EU</w:t>
            </w:r>
          </w:p>
        </w:tc>
        <w:tc>
          <w:tcPr>
            <w:tcW w:w="1735" w:type="dxa"/>
          </w:tcPr>
          <w:p w:rsidR="006A2113" w:rsidRPr="003401D1" w:rsidRDefault="000D7FEE" w:rsidP="000D7FEE">
            <w:pPr>
              <w:ind w:left="0"/>
              <w:rPr>
                <w:color w:val="000000"/>
              </w:rPr>
            </w:pPr>
            <w:r>
              <w:rPr>
                <w:color w:val="000000"/>
              </w:rPr>
              <w:t>2 September 2014</w:t>
            </w:r>
          </w:p>
        </w:tc>
        <w:tc>
          <w:tcPr>
            <w:tcW w:w="5812" w:type="dxa"/>
          </w:tcPr>
          <w:p w:rsidR="006A2113" w:rsidRPr="003401D1" w:rsidRDefault="006A2113" w:rsidP="000D7FEE">
            <w:pPr>
              <w:ind w:left="0"/>
              <w:rPr>
                <w:color w:val="000000"/>
              </w:rPr>
            </w:pPr>
            <w:proofErr w:type="spellStart"/>
            <w:r w:rsidRPr="003401D1">
              <w:rPr>
                <w:color w:val="000000"/>
              </w:rPr>
              <w:t>Triumeq</w:t>
            </w:r>
            <w:proofErr w:type="spellEnd"/>
            <w:r w:rsidRPr="003401D1">
              <w:rPr>
                <w:color w:val="000000"/>
              </w:rPr>
              <w:t xml:space="preserve"> is indicated for the treatment of Human Immunodeficiency Virus (HIV) infected adults and adolescents above 12 years of age weighing at least 40</w:t>
            </w:r>
            <w:r w:rsidR="002757A7">
              <w:rPr>
                <w:color w:val="000000"/>
              </w:rPr>
              <w:t xml:space="preserve"> kg (see sections 4.4 and 5.1).</w:t>
            </w:r>
          </w:p>
          <w:p w:rsidR="006A2113" w:rsidRPr="003401D1" w:rsidRDefault="006A2113" w:rsidP="000D7FEE">
            <w:pPr>
              <w:ind w:left="0"/>
              <w:rPr>
                <w:color w:val="000000"/>
              </w:rPr>
            </w:pPr>
            <w:r w:rsidRPr="003401D1">
              <w:rPr>
                <w:color w:val="000000"/>
              </w:rPr>
              <w:t xml:space="preserve">Before initiating treatment with </w:t>
            </w:r>
            <w:proofErr w:type="spellStart"/>
            <w:r w:rsidRPr="003401D1">
              <w:rPr>
                <w:color w:val="000000"/>
              </w:rPr>
              <w:t>abacavir</w:t>
            </w:r>
            <w:proofErr w:type="spellEnd"/>
            <w:r w:rsidRPr="003401D1">
              <w:rPr>
                <w:color w:val="000000"/>
              </w:rPr>
              <w:t xml:space="preserve">-containing products, screening for carriage of the HLA-B*5701 allele should be performed in any HIV-infected patient, irrespective of racial origin (see section 4.4). </w:t>
            </w:r>
            <w:proofErr w:type="spellStart"/>
            <w:r w:rsidRPr="003401D1">
              <w:rPr>
                <w:color w:val="000000"/>
              </w:rPr>
              <w:t>Abacavir</w:t>
            </w:r>
            <w:proofErr w:type="spellEnd"/>
            <w:r w:rsidRPr="003401D1">
              <w:rPr>
                <w:color w:val="000000"/>
              </w:rPr>
              <w:t xml:space="preserve"> should not be used in patients known </w:t>
            </w:r>
            <w:r w:rsidR="002757A7">
              <w:rPr>
                <w:color w:val="000000"/>
              </w:rPr>
              <w:t>to carry the HLA-B*5701 allele.</w:t>
            </w:r>
          </w:p>
        </w:tc>
      </w:tr>
      <w:tr w:rsidR="006A2113" w:rsidRPr="006A2113" w:rsidTr="000D7FEE">
        <w:trPr>
          <w:trHeight w:val="1741"/>
        </w:trPr>
        <w:tc>
          <w:tcPr>
            <w:tcW w:w="1242" w:type="dxa"/>
          </w:tcPr>
          <w:p w:rsidR="006A2113" w:rsidRPr="003401D1" w:rsidRDefault="000D7FEE" w:rsidP="000D7FEE">
            <w:pPr>
              <w:ind w:left="0"/>
              <w:rPr>
                <w:color w:val="000000"/>
              </w:rPr>
            </w:pPr>
            <w:r>
              <w:rPr>
                <w:color w:val="000000"/>
              </w:rPr>
              <w:t>Canada</w:t>
            </w:r>
          </w:p>
        </w:tc>
        <w:tc>
          <w:tcPr>
            <w:tcW w:w="1735" w:type="dxa"/>
          </w:tcPr>
          <w:p w:rsidR="006A2113" w:rsidRPr="003401D1" w:rsidRDefault="000D7FEE" w:rsidP="000D7FEE">
            <w:pPr>
              <w:ind w:left="0"/>
              <w:rPr>
                <w:color w:val="000000"/>
              </w:rPr>
            </w:pPr>
            <w:r>
              <w:rPr>
                <w:color w:val="000000"/>
              </w:rPr>
              <w:t>9 October 2014</w:t>
            </w:r>
          </w:p>
        </w:tc>
        <w:tc>
          <w:tcPr>
            <w:tcW w:w="5812" w:type="dxa"/>
          </w:tcPr>
          <w:p w:rsidR="006A2113" w:rsidRPr="003401D1" w:rsidRDefault="003401D1" w:rsidP="000D7FEE">
            <w:pPr>
              <w:ind w:left="0"/>
              <w:rPr>
                <w:color w:val="000000"/>
              </w:rPr>
            </w:pPr>
            <w:proofErr w:type="spellStart"/>
            <w:r w:rsidRPr="003401D1">
              <w:rPr>
                <w:color w:val="000000"/>
              </w:rPr>
              <w:t>Triumeq</w:t>
            </w:r>
            <w:proofErr w:type="spellEnd"/>
            <w:r w:rsidR="006A2113" w:rsidRPr="003401D1">
              <w:rPr>
                <w:color w:val="000000"/>
              </w:rPr>
              <w:t>™ (</w:t>
            </w:r>
            <w:proofErr w:type="spellStart"/>
            <w:r w:rsidR="006A2113" w:rsidRPr="003401D1">
              <w:rPr>
                <w:color w:val="000000"/>
              </w:rPr>
              <w:t>dolutegravir</w:t>
            </w:r>
            <w:proofErr w:type="spellEnd"/>
            <w:r w:rsidR="006A2113" w:rsidRPr="003401D1">
              <w:rPr>
                <w:color w:val="000000"/>
              </w:rPr>
              <w:t>/</w:t>
            </w:r>
            <w:proofErr w:type="spellStart"/>
            <w:r w:rsidR="006A2113" w:rsidRPr="003401D1">
              <w:rPr>
                <w:color w:val="000000"/>
              </w:rPr>
              <w:t>abacavir</w:t>
            </w:r>
            <w:proofErr w:type="spellEnd"/>
            <w:r w:rsidR="006A2113" w:rsidRPr="003401D1">
              <w:rPr>
                <w:color w:val="000000"/>
              </w:rPr>
              <w:t>/lamivudine) is indicated for the treatment of Human Immunodeficiency Vir</w:t>
            </w:r>
            <w:r w:rsidR="002757A7">
              <w:rPr>
                <w:color w:val="000000"/>
              </w:rPr>
              <w:t>us (HIV-1) infection in adults.</w:t>
            </w:r>
          </w:p>
          <w:p w:rsidR="006A2113" w:rsidRPr="003401D1" w:rsidRDefault="006A2113" w:rsidP="000D7FEE">
            <w:pPr>
              <w:ind w:left="0"/>
              <w:rPr>
                <w:color w:val="000000"/>
              </w:rPr>
            </w:pPr>
            <w:r w:rsidRPr="000D7FEE">
              <w:rPr>
                <w:b/>
                <w:color w:val="000000"/>
              </w:rPr>
              <w:t>Pediatrics (&lt;18 years of age)</w:t>
            </w:r>
            <w:r w:rsidR="002757A7">
              <w:rPr>
                <w:color w:val="000000"/>
              </w:rPr>
              <w:t>:</w:t>
            </w:r>
          </w:p>
          <w:p w:rsidR="006A2113" w:rsidRPr="003401D1" w:rsidRDefault="006A2113" w:rsidP="000D7FEE">
            <w:pPr>
              <w:ind w:left="0"/>
              <w:rPr>
                <w:color w:val="000000"/>
              </w:rPr>
            </w:pPr>
            <w:r w:rsidRPr="003401D1">
              <w:rPr>
                <w:color w:val="000000"/>
              </w:rPr>
              <w:t xml:space="preserve">The safety and effectiveness of </w:t>
            </w:r>
            <w:proofErr w:type="spellStart"/>
            <w:r w:rsidR="003401D1" w:rsidRPr="003401D1">
              <w:rPr>
                <w:color w:val="000000"/>
              </w:rPr>
              <w:t>Triumeq</w:t>
            </w:r>
            <w:proofErr w:type="spellEnd"/>
            <w:r w:rsidRPr="003401D1">
              <w:rPr>
                <w:color w:val="000000"/>
              </w:rPr>
              <w:t xml:space="preserve">™ in </w:t>
            </w:r>
            <w:proofErr w:type="spellStart"/>
            <w:r w:rsidRPr="003401D1">
              <w:rPr>
                <w:color w:val="000000"/>
              </w:rPr>
              <w:t>pediatric</w:t>
            </w:r>
            <w:proofErr w:type="spellEnd"/>
            <w:r w:rsidRPr="003401D1">
              <w:rPr>
                <w:color w:val="000000"/>
              </w:rPr>
              <w:t xml:space="preserve"> patients has not bee</w:t>
            </w:r>
            <w:r w:rsidR="002757A7">
              <w:rPr>
                <w:color w:val="000000"/>
              </w:rPr>
              <w:t>n established.</w:t>
            </w:r>
          </w:p>
          <w:p w:rsidR="006A2113" w:rsidRPr="003401D1" w:rsidRDefault="006A2113" w:rsidP="000D7FEE">
            <w:pPr>
              <w:ind w:left="0"/>
              <w:rPr>
                <w:color w:val="000000"/>
              </w:rPr>
            </w:pPr>
            <w:r w:rsidRPr="000D7FEE">
              <w:rPr>
                <w:b/>
                <w:color w:val="000000"/>
              </w:rPr>
              <w:t>Geriatrics (&gt; 65 years of age)</w:t>
            </w:r>
            <w:r w:rsidR="002757A7">
              <w:rPr>
                <w:color w:val="000000"/>
              </w:rPr>
              <w:t>:</w:t>
            </w:r>
          </w:p>
          <w:p w:rsidR="006A2113" w:rsidRPr="003401D1" w:rsidRDefault="006A2113" w:rsidP="000D7FEE">
            <w:pPr>
              <w:ind w:left="0"/>
            </w:pPr>
            <w:r w:rsidRPr="003401D1">
              <w:rPr>
                <w:color w:val="000000"/>
              </w:rPr>
              <w:t xml:space="preserve">Clinical studies of </w:t>
            </w:r>
            <w:proofErr w:type="spellStart"/>
            <w:r w:rsidR="003401D1" w:rsidRPr="003401D1">
              <w:rPr>
                <w:color w:val="000000"/>
              </w:rPr>
              <w:t>Triumeq</w:t>
            </w:r>
            <w:proofErr w:type="spellEnd"/>
            <w:r w:rsidR="002757A7">
              <w:rPr>
                <w:color w:val="000000"/>
              </w:rPr>
              <w:t>™ did not include</w:t>
            </w:r>
            <w:r w:rsidR="000D7FEE">
              <w:rPr>
                <w:color w:val="000000"/>
              </w:rPr>
              <w:t xml:space="preserve"> </w:t>
            </w:r>
            <w:r w:rsidRPr="003401D1">
              <w:t xml:space="preserve">sufficient numbers of patients aged 65 and over to determine whether they respond differently from younger patients. In general, caution should be exercised in the administration and monitoring of </w:t>
            </w:r>
            <w:proofErr w:type="spellStart"/>
            <w:r w:rsidR="003401D1" w:rsidRPr="003401D1">
              <w:t>Triumeq</w:t>
            </w:r>
            <w:proofErr w:type="spellEnd"/>
            <w:r w:rsidRPr="003401D1">
              <w:t>™ in elderly patients, reflecting the greater frequency of decreased hepatic, renal or cardiac function and of concomitant disease or other drug therapy.</w:t>
            </w:r>
          </w:p>
        </w:tc>
      </w:tr>
    </w:tbl>
    <w:p w:rsidR="008E7846" w:rsidRDefault="008E7846" w:rsidP="000D7FEE">
      <w:pPr>
        <w:pStyle w:val="Heading3"/>
      </w:pPr>
      <w:bookmarkStart w:id="21" w:name="_Toc423434284"/>
      <w:r>
        <w:t>Product Information</w:t>
      </w:r>
      <w:bookmarkEnd w:id="19"/>
      <w:bookmarkEnd w:id="20"/>
      <w:bookmarkEnd w:id="21"/>
    </w:p>
    <w:p w:rsidR="00940A89" w:rsidRDefault="00940A89" w:rsidP="000D7FEE">
      <w:pPr>
        <w:rPr>
          <w:b/>
          <w:bCs/>
        </w:rPr>
      </w:pPr>
      <w:bookmarkStart w:id="22" w:name="_Toc247691506"/>
      <w:bookmarkStart w:id="23" w:name="_Toc314842487"/>
      <w:r w:rsidRPr="00940A89">
        <w:t>The approved Product Information (PI) current at the time this AusPAR was prepared can be found as Attachment 1. For the most recent Product Information please refer to the TGA website at &lt;</w:t>
      </w:r>
      <w:hyperlink r:id="rId17" w:history="1">
        <w:r w:rsidR="00383221">
          <w:rPr>
            <w:rStyle w:val="Hyperlink"/>
          </w:rPr>
          <w:t>https://www.tga.gov.au/product-information-pi</w:t>
        </w:r>
      </w:hyperlink>
      <w:r w:rsidRPr="00940A89">
        <w:t>&gt;.</w:t>
      </w:r>
    </w:p>
    <w:p w:rsidR="008E7846" w:rsidRPr="003602A9" w:rsidRDefault="008E7846" w:rsidP="000D7FEE">
      <w:pPr>
        <w:pStyle w:val="Heading2"/>
      </w:pPr>
      <w:bookmarkStart w:id="24" w:name="_Toc423434285"/>
      <w:r>
        <w:t>II. Quality</w:t>
      </w:r>
      <w:bookmarkEnd w:id="2"/>
      <w:r>
        <w:t xml:space="preserve"> findings</w:t>
      </w:r>
      <w:bookmarkEnd w:id="22"/>
      <w:bookmarkEnd w:id="23"/>
      <w:bookmarkEnd w:id="24"/>
    </w:p>
    <w:p w:rsidR="008E7846" w:rsidRPr="00F54795" w:rsidRDefault="008E7846" w:rsidP="000D7FEE">
      <w:pPr>
        <w:pStyle w:val="Heading3"/>
      </w:pPr>
      <w:bookmarkStart w:id="25" w:name="_Toc247691507"/>
      <w:bookmarkStart w:id="26" w:name="_Toc314842488"/>
      <w:bookmarkStart w:id="27" w:name="_Toc423434286"/>
      <w:r w:rsidRPr="008751DC">
        <w:t xml:space="preserve">Drug </w:t>
      </w:r>
      <w:r>
        <w:t>s</w:t>
      </w:r>
      <w:r w:rsidRPr="008751DC">
        <w:t>ubstance</w:t>
      </w:r>
      <w:r w:rsidR="00C47D6B">
        <w:t>s</w:t>
      </w:r>
      <w:r>
        <w:t xml:space="preserve"> (active ingredient</w:t>
      </w:r>
      <w:r w:rsidR="00C47D6B">
        <w:t>s</w:t>
      </w:r>
      <w:r>
        <w:t>)</w:t>
      </w:r>
      <w:bookmarkEnd w:id="25"/>
      <w:bookmarkEnd w:id="26"/>
      <w:bookmarkEnd w:id="27"/>
    </w:p>
    <w:p w:rsidR="00C47D6B" w:rsidRDefault="00C47D6B" w:rsidP="000D7FEE">
      <w:proofErr w:type="spellStart"/>
      <w:r w:rsidRPr="004F5AC3">
        <w:rPr>
          <w:lang w:eastAsia="en-AU"/>
        </w:rPr>
        <w:t>Dolutegravir</w:t>
      </w:r>
      <w:proofErr w:type="spellEnd"/>
      <w:r w:rsidRPr="004F5AC3">
        <w:rPr>
          <w:lang w:eastAsia="en-AU"/>
        </w:rPr>
        <w:t xml:space="preserve"> inhibits HIV integrase by binding to the integrase active site and blocking the strand transfer step </w:t>
      </w:r>
      <w:r w:rsidRPr="00121F5C">
        <w:rPr>
          <w:lang w:eastAsia="en-AU"/>
        </w:rPr>
        <w:t>of retroviral deoxyribonucleic acid (DNA) integration which is essential for the HIV replication cycle.</w:t>
      </w:r>
      <w:r w:rsidRPr="00121F5C">
        <w:t xml:space="preserve"> </w:t>
      </w:r>
      <w:proofErr w:type="spellStart"/>
      <w:r w:rsidRPr="00121F5C">
        <w:t>Abacavir</w:t>
      </w:r>
      <w:proofErr w:type="spellEnd"/>
      <w:r w:rsidRPr="00121F5C">
        <w:t xml:space="preserve"> and lamivudine are nucleoside analogue </w:t>
      </w:r>
      <w:r w:rsidRPr="00121F5C">
        <w:lastRenderedPageBreak/>
        <w:t>reverse transcriptase inhibitors, inhibiting the formation of viral DNA. The structures of the three drugs are shown below.</w:t>
      </w:r>
    </w:p>
    <w:p w:rsidR="000D7FEE" w:rsidRDefault="00F54795" w:rsidP="000D7FEE">
      <w:pPr>
        <w:pStyle w:val="FigureTitle"/>
      </w:pPr>
      <w:r>
        <w:t xml:space="preserve">Figure 1: </w:t>
      </w:r>
      <w:r w:rsidR="003401D1">
        <w:t>Chemical s</w:t>
      </w:r>
      <w:r>
        <w:t>tructure of the active ingredients</w:t>
      </w:r>
    </w:p>
    <w:p w:rsidR="003401D1" w:rsidRPr="00121F5C" w:rsidRDefault="003401D1" w:rsidP="000D7FEE">
      <w:r>
        <w:rPr>
          <w:noProof/>
          <w:lang w:eastAsia="en-AU"/>
        </w:rPr>
        <w:drawing>
          <wp:inline distT="0" distB="0" distL="0" distR="0" wp14:anchorId="3F7B15ED" wp14:editId="7004ECE0">
            <wp:extent cx="4400465" cy="1471961"/>
            <wp:effectExtent l="0" t="0" r="635" b="0"/>
            <wp:docPr id="2" name="Picture 2" descr="Figure 1: Chemical structure of the active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t="9589"/>
                    <a:stretch/>
                  </pic:blipFill>
                  <pic:spPr bwMode="auto">
                    <a:xfrm>
                      <a:off x="0" y="0"/>
                      <a:ext cx="4418215" cy="1477898"/>
                    </a:xfrm>
                    <a:prstGeom prst="rect">
                      <a:avLst/>
                    </a:prstGeom>
                    <a:ln>
                      <a:noFill/>
                    </a:ln>
                    <a:extLst>
                      <a:ext uri="{53640926-AAD7-44D8-BBD7-CCE9431645EC}">
                        <a14:shadowObscured xmlns:a14="http://schemas.microsoft.com/office/drawing/2010/main"/>
                      </a:ext>
                    </a:extLst>
                  </pic:spPr>
                </pic:pic>
              </a:graphicData>
            </a:graphic>
          </wp:inline>
        </w:drawing>
      </w:r>
    </w:p>
    <w:p w:rsidR="00C47D6B" w:rsidRPr="004F5AC3" w:rsidRDefault="00C47D6B" w:rsidP="000D7FEE">
      <w:r w:rsidRPr="004F5AC3">
        <w:t xml:space="preserve">The active raw materials are </w:t>
      </w:r>
      <w:r>
        <w:t xml:space="preserve">stated to be </w:t>
      </w:r>
      <w:r w:rsidRPr="004F5AC3">
        <w:t xml:space="preserve">identical to the actives used in the currently registered </w:t>
      </w:r>
      <w:proofErr w:type="spellStart"/>
      <w:r w:rsidRPr="004F5AC3">
        <w:t>ViiV</w:t>
      </w:r>
      <w:proofErr w:type="spellEnd"/>
      <w:r w:rsidRPr="004F5AC3">
        <w:t xml:space="preserve"> Healthcare products.</w:t>
      </w:r>
    </w:p>
    <w:p w:rsidR="008E7846" w:rsidRPr="00F54795" w:rsidRDefault="008E7846" w:rsidP="000D7FEE">
      <w:pPr>
        <w:pStyle w:val="Heading3"/>
      </w:pPr>
      <w:bookmarkStart w:id="28" w:name="_Toc247691508"/>
      <w:bookmarkStart w:id="29" w:name="_Toc314842490"/>
      <w:bookmarkStart w:id="30" w:name="_Toc423434287"/>
      <w:r w:rsidRPr="008751DC">
        <w:t xml:space="preserve">Drug </w:t>
      </w:r>
      <w:r>
        <w:t>p</w:t>
      </w:r>
      <w:r w:rsidRPr="008751DC">
        <w:t>roduct</w:t>
      </w:r>
      <w:bookmarkEnd w:id="28"/>
      <w:bookmarkEnd w:id="29"/>
      <w:bookmarkEnd w:id="30"/>
    </w:p>
    <w:p w:rsidR="00C47D6B" w:rsidRDefault="00C47D6B" w:rsidP="000D7FEE">
      <w:proofErr w:type="spellStart"/>
      <w:r w:rsidRPr="009035A1">
        <w:t>Dolutegravir</w:t>
      </w:r>
      <w:proofErr w:type="spellEnd"/>
      <w:r w:rsidRPr="009035A1">
        <w:t>/</w:t>
      </w:r>
      <w:proofErr w:type="spellStart"/>
      <w:r w:rsidRPr="009035A1">
        <w:t>abacavir</w:t>
      </w:r>
      <w:proofErr w:type="spellEnd"/>
      <w:r w:rsidRPr="009035A1">
        <w:t>/lamivudine tablets are purple, biconvex, film coated oval tablets debossed with ‘572 Tr</w:t>
      </w:r>
      <w:r>
        <w:rPr>
          <w:szCs w:val="24"/>
        </w:rPr>
        <w:t>ı</w:t>
      </w:r>
      <w:r w:rsidRPr="009035A1">
        <w:t xml:space="preserve">’ </w:t>
      </w:r>
      <w:r>
        <w:t>on one face.</w:t>
      </w:r>
      <w:r w:rsidRPr="009035A1">
        <w:t xml:space="preserve"> They are formulated as immediate release tablets.</w:t>
      </w:r>
      <w:r>
        <w:t xml:space="preserve"> </w:t>
      </w:r>
      <w:r w:rsidRPr="00A3435A">
        <w:t xml:space="preserve">The tablet size is </w:t>
      </w:r>
      <w:r w:rsidR="00562CB1">
        <w:t xml:space="preserve">approximately </w:t>
      </w:r>
      <w:r w:rsidRPr="00A3435A">
        <w:t>22 x 11 mm, with a total tablet weight of 1720.8 mg.</w:t>
      </w:r>
    </w:p>
    <w:p w:rsidR="00C47D6B" w:rsidRDefault="00C47D6B" w:rsidP="000D7FEE">
      <w:r>
        <w:t>The</w:t>
      </w:r>
      <w:r w:rsidRPr="001C02BB">
        <w:t xml:space="preserve"> strengths are the same as those approved for registration for the re</w:t>
      </w:r>
      <w:r w:rsidR="002757A7">
        <w:t>spective single active tablets.</w:t>
      </w:r>
    </w:p>
    <w:p w:rsidR="00C47D6B" w:rsidRPr="00A24194" w:rsidRDefault="00C47D6B" w:rsidP="000D7FEE">
      <w:r w:rsidRPr="00A24194">
        <w:t>The proposed finished product specifications adequately control identity, potency and other physical, chemical and microbiological properties relevant to t</w:t>
      </w:r>
      <w:r w:rsidR="002757A7">
        <w:t>he clinical use of the product.</w:t>
      </w:r>
    </w:p>
    <w:p w:rsidR="00C47D6B" w:rsidRPr="00A24194" w:rsidRDefault="00C47D6B" w:rsidP="000D7FEE">
      <w:pPr>
        <w:rPr>
          <w:lang w:eastAsia="en-AU"/>
        </w:rPr>
      </w:pPr>
      <w:r w:rsidRPr="00A24194">
        <w:t>Satisfactory data was provided to support a shelf life of 15 months when stored at 30°</w:t>
      </w:r>
      <w:r>
        <w:t>C w</w:t>
      </w:r>
      <w:r w:rsidRPr="00A24194">
        <w:t>ith the additional storage conditions ‘</w:t>
      </w:r>
      <w:r w:rsidRPr="00562CB1">
        <w:rPr>
          <w:rFonts w:eastAsia="ArialMT"/>
          <w:i/>
          <w:lang w:eastAsia="en-AU"/>
        </w:rPr>
        <w:t>Store in the original package in order to protect from moisture. Keep the bottle tightly closed. Do not remove the desiccant</w:t>
      </w:r>
      <w:r w:rsidRPr="00A24194">
        <w:rPr>
          <w:rFonts w:eastAsia="ArialMT"/>
          <w:lang w:eastAsia="en-AU"/>
        </w:rPr>
        <w:t>.’</w:t>
      </w:r>
    </w:p>
    <w:p w:rsidR="008E7846" w:rsidRPr="00F54795" w:rsidRDefault="008E7846" w:rsidP="000D7FEE">
      <w:pPr>
        <w:pStyle w:val="Heading3"/>
      </w:pPr>
      <w:bookmarkStart w:id="31" w:name="_Toc314842491"/>
      <w:bookmarkStart w:id="32" w:name="_Toc423434288"/>
      <w:r>
        <w:t>Biopharmaceutics</w:t>
      </w:r>
      <w:bookmarkEnd w:id="31"/>
      <w:bookmarkEnd w:id="32"/>
    </w:p>
    <w:p w:rsidR="00C47D6B" w:rsidRPr="00EF51BF" w:rsidRDefault="00562CB1" w:rsidP="000D7FEE">
      <w:pPr>
        <w:pStyle w:val="Heading4"/>
        <w:rPr>
          <w:szCs w:val="24"/>
        </w:rPr>
      </w:pPr>
      <w:bookmarkStart w:id="33" w:name="_Toc314842492"/>
      <w:r w:rsidRPr="00EF51BF">
        <w:rPr>
          <w:szCs w:val="24"/>
        </w:rPr>
        <w:t xml:space="preserve">Study No: </w:t>
      </w:r>
      <w:r w:rsidRPr="00EF51BF">
        <w:t>ING114580</w:t>
      </w:r>
      <w:r>
        <w:t xml:space="preserve">: </w:t>
      </w:r>
      <w:r w:rsidR="00C47D6B" w:rsidRPr="00EF51BF">
        <w:rPr>
          <w:rFonts w:eastAsia="TimesNewRoman"/>
          <w:szCs w:val="24"/>
          <w:lang w:eastAsia="en-AU"/>
        </w:rPr>
        <w:t>Relative bioavailability</w:t>
      </w:r>
      <w:r w:rsidR="00C47D6B" w:rsidRPr="00EF51BF">
        <w:t xml:space="preserve"> of the commercial formulation against co-administered single active 50 mg </w:t>
      </w:r>
      <w:proofErr w:type="spellStart"/>
      <w:r w:rsidR="00C47D6B" w:rsidRPr="00EF51BF">
        <w:t>dolutegravir</w:t>
      </w:r>
      <w:proofErr w:type="spellEnd"/>
      <w:r w:rsidR="00C47D6B" w:rsidRPr="00EF51BF">
        <w:t xml:space="preserve"> tablet and 300 mg lamivudine/600 mg </w:t>
      </w:r>
      <w:proofErr w:type="spellStart"/>
      <w:r w:rsidR="00C47D6B" w:rsidRPr="00EF51BF">
        <w:t>abacavir</w:t>
      </w:r>
      <w:proofErr w:type="spellEnd"/>
      <w:r w:rsidR="00C47D6B" w:rsidRPr="00EF51BF">
        <w:t xml:space="preserve"> tablet</w:t>
      </w:r>
      <w:r w:rsidR="002757A7">
        <w:rPr>
          <w:szCs w:val="24"/>
        </w:rPr>
        <w:t>.</w:t>
      </w:r>
    </w:p>
    <w:p w:rsidR="00C47D6B" w:rsidRDefault="00C47D6B" w:rsidP="000D7FEE">
      <w:r w:rsidRPr="00EF51BF">
        <w:t xml:space="preserve">Bioequivalence was demonstrated between the proposed 50 mg </w:t>
      </w:r>
      <w:proofErr w:type="spellStart"/>
      <w:r w:rsidRPr="00EF51BF">
        <w:t>dolutegravir</w:t>
      </w:r>
      <w:proofErr w:type="spellEnd"/>
      <w:r w:rsidRPr="00EF51BF">
        <w:t xml:space="preserve">/600 mg </w:t>
      </w:r>
      <w:proofErr w:type="spellStart"/>
      <w:r w:rsidRPr="00EF51BF">
        <w:t>abacavir</w:t>
      </w:r>
      <w:proofErr w:type="spellEnd"/>
      <w:r w:rsidRPr="00EF51BF">
        <w:t xml:space="preserve">/300 mg lamivudine fixed dose combination tablet and co-administered 50 mg </w:t>
      </w:r>
      <w:proofErr w:type="spellStart"/>
      <w:r w:rsidRPr="00EF51BF">
        <w:t>dolutegravir</w:t>
      </w:r>
      <w:proofErr w:type="spellEnd"/>
      <w:r w:rsidRPr="00EF51BF">
        <w:t xml:space="preserve"> tablet and 600 mg </w:t>
      </w:r>
      <w:proofErr w:type="spellStart"/>
      <w:r w:rsidRPr="00EF51BF">
        <w:t>abacavir</w:t>
      </w:r>
      <w:proofErr w:type="spellEnd"/>
      <w:r w:rsidRPr="00EF51BF">
        <w:t>/300 mg lamivudine tablet</w:t>
      </w:r>
      <w:r>
        <w:t xml:space="preserve"> in healthy fasting subjects (Part A of the study)</w:t>
      </w:r>
      <w:r w:rsidRPr="00EF51BF">
        <w:t>.</w:t>
      </w:r>
    </w:p>
    <w:p w:rsidR="00C47D6B" w:rsidRPr="003B6EE3" w:rsidRDefault="00C47D6B" w:rsidP="000D7FEE">
      <w:r w:rsidRPr="003B6EE3">
        <w:t>The effect of food on bioavailability of the combined formulation was also investigated</w:t>
      </w:r>
      <w:r>
        <w:t xml:space="preserve"> (Part B of the study)</w:t>
      </w:r>
      <w:r w:rsidRPr="003B6EE3">
        <w:t>.</w:t>
      </w:r>
    </w:p>
    <w:p w:rsidR="00C47D6B" w:rsidRPr="00EF51BF" w:rsidRDefault="00C47D6B" w:rsidP="000D7FEE">
      <w:r w:rsidRPr="00EF51BF">
        <w:t xml:space="preserve">Administration of the proposed fixed dose combination tablet with a high fat meal resulted in a 37% increase in </w:t>
      </w:r>
      <w:r w:rsidR="00562CB1">
        <w:t>the peak plasma concentration (</w:t>
      </w:r>
      <w:r w:rsidRPr="00EF51BF">
        <w:t>C</w:t>
      </w:r>
      <w:r w:rsidRPr="00562CB1">
        <w:rPr>
          <w:vertAlign w:val="subscript"/>
        </w:rPr>
        <w:t>max</w:t>
      </w:r>
      <w:r w:rsidR="00562CB1">
        <w:t>)</w:t>
      </w:r>
      <w:r w:rsidRPr="00EF51BF">
        <w:t xml:space="preserve"> and a 48% increase in </w:t>
      </w:r>
      <w:r w:rsidR="00562CB1">
        <w:t>the area under the plasma concentration versus time curve (</w:t>
      </w:r>
      <w:r w:rsidRPr="00EF51BF">
        <w:t>AUC</w:t>
      </w:r>
      <w:r w:rsidR="00562CB1">
        <w:t>)</w:t>
      </w:r>
      <w:r w:rsidRPr="00EF51BF">
        <w:t xml:space="preserve"> for </w:t>
      </w:r>
      <w:proofErr w:type="spellStart"/>
      <w:r w:rsidRPr="00EF51BF">
        <w:t>dolutegravir</w:t>
      </w:r>
      <w:proofErr w:type="spellEnd"/>
      <w:r w:rsidRPr="00EF51BF">
        <w:t>.</w:t>
      </w:r>
      <w:r w:rsidR="00E873CA">
        <w:t xml:space="preserve"> </w:t>
      </w:r>
      <w:r w:rsidRPr="00EF51BF">
        <w:t xml:space="preserve">This was consistent with the findings of the fed/fasted study provided in support of the registration of the single active 50 mg </w:t>
      </w:r>
      <w:proofErr w:type="spellStart"/>
      <w:r w:rsidRPr="00EF51BF">
        <w:t>dolutegravir</w:t>
      </w:r>
      <w:proofErr w:type="spellEnd"/>
      <w:r w:rsidRPr="00EF51BF">
        <w:t xml:space="preserve"> tablet (</w:t>
      </w:r>
      <w:r w:rsidR="00562CB1">
        <w:t>S</w:t>
      </w:r>
      <w:r w:rsidRPr="00EF51BF">
        <w:t xml:space="preserve">tudy ING113574). The company considers this not clinically significant based on the accumulated safety data on Phase </w:t>
      </w:r>
      <w:proofErr w:type="spellStart"/>
      <w:r w:rsidR="00562CB1">
        <w:t>II</w:t>
      </w:r>
      <w:r w:rsidRPr="00EF51BF">
        <w:t>b</w:t>
      </w:r>
      <w:proofErr w:type="spellEnd"/>
      <w:r w:rsidRPr="00EF51BF">
        <w:t xml:space="preserve"> and Phase </w:t>
      </w:r>
      <w:r w:rsidR="00562CB1">
        <w:t>III</w:t>
      </w:r>
      <w:r w:rsidRPr="00EF51BF">
        <w:t xml:space="preserve"> studies which permitted </w:t>
      </w:r>
      <w:proofErr w:type="spellStart"/>
      <w:r w:rsidRPr="00EF51BF">
        <w:t>dolutegravir</w:t>
      </w:r>
      <w:proofErr w:type="spellEnd"/>
      <w:r w:rsidRPr="00EF51BF">
        <w:t xml:space="preserve"> dosing without restriction to food or food content.</w:t>
      </w:r>
    </w:p>
    <w:p w:rsidR="00C47D6B" w:rsidRPr="00EF51BF" w:rsidRDefault="00C47D6B" w:rsidP="000D7FEE">
      <w:r w:rsidRPr="00EF51BF">
        <w:lastRenderedPageBreak/>
        <w:t xml:space="preserve">Administration of the proposed fixed dose combination tablet with a high fat meal did not affect </w:t>
      </w:r>
      <w:r w:rsidR="00562CB1">
        <w:t xml:space="preserve">the AUC of </w:t>
      </w:r>
      <w:proofErr w:type="spellStart"/>
      <w:r w:rsidRPr="00EF51BF">
        <w:t>abacavir</w:t>
      </w:r>
      <w:proofErr w:type="spellEnd"/>
      <w:r w:rsidRPr="00EF51BF">
        <w:t>.</w:t>
      </w:r>
      <w:r w:rsidR="00E873CA">
        <w:t xml:space="preserve"> </w:t>
      </w:r>
      <w:r w:rsidR="00562CB1">
        <w:t xml:space="preserve">The </w:t>
      </w:r>
      <w:proofErr w:type="spellStart"/>
      <w:r w:rsidRPr="00EF51BF">
        <w:t>Abacavir</w:t>
      </w:r>
      <w:proofErr w:type="spellEnd"/>
      <w:r w:rsidRPr="00EF51BF">
        <w:t xml:space="preserve"> </w:t>
      </w:r>
      <w:proofErr w:type="spellStart"/>
      <w:r w:rsidRPr="00EF51BF">
        <w:t>C</w:t>
      </w:r>
      <w:r w:rsidRPr="00562CB1">
        <w:rPr>
          <w:vertAlign w:val="subscript"/>
        </w:rPr>
        <w:t>max</w:t>
      </w:r>
      <w:proofErr w:type="spellEnd"/>
      <w:r w:rsidRPr="00EF51BF">
        <w:t xml:space="preserve"> decreased by about 23% when administered with a high fat meal.</w:t>
      </w:r>
      <w:r w:rsidR="00E873CA">
        <w:t xml:space="preserve"> </w:t>
      </w:r>
      <w:r w:rsidRPr="00EF51BF">
        <w:t xml:space="preserve">This was consistent with previous finding of the fed/fasted study provided in support of the registration of the </w:t>
      </w:r>
      <w:proofErr w:type="spellStart"/>
      <w:r w:rsidRPr="00EF51BF">
        <w:t>abacavir</w:t>
      </w:r>
      <w:proofErr w:type="spellEnd"/>
      <w:r w:rsidRPr="00EF51BF">
        <w:t>/lamivudine fixed dose combination tablet.</w:t>
      </w:r>
    </w:p>
    <w:p w:rsidR="00C47D6B" w:rsidRPr="00EF51BF" w:rsidRDefault="00C47D6B" w:rsidP="000D7FEE">
      <w:r w:rsidRPr="00EF51BF">
        <w:t>Lamivudine AUC and C</w:t>
      </w:r>
      <w:r w:rsidRPr="00562CB1">
        <w:rPr>
          <w:vertAlign w:val="subscript"/>
        </w:rPr>
        <w:t>max</w:t>
      </w:r>
      <w:r w:rsidRPr="00EF51BF">
        <w:t xml:space="preserve"> were not affected by the administration with a high fat meal.</w:t>
      </w:r>
    </w:p>
    <w:p w:rsidR="00C47D6B" w:rsidRPr="00EF51BF" w:rsidRDefault="00C47D6B" w:rsidP="000D7FEE">
      <w:r w:rsidRPr="00EF51BF">
        <w:t xml:space="preserve">The </w:t>
      </w:r>
      <w:r w:rsidR="00562CB1">
        <w:t>sponsor</w:t>
      </w:r>
      <w:r w:rsidRPr="00EF51BF">
        <w:t xml:space="preserve"> considers the results support the recommendation that the proposed fixed dose combination tablet can be given without regard to food.</w:t>
      </w:r>
    </w:p>
    <w:p w:rsidR="008E7846" w:rsidRPr="00F54795" w:rsidRDefault="008E7846" w:rsidP="000D7FEE">
      <w:pPr>
        <w:pStyle w:val="Heading3"/>
      </w:pPr>
      <w:bookmarkStart w:id="34" w:name="_Toc247691509"/>
      <w:bookmarkStart w:id="35" w:name="_Toc314842493"/>
      <w:bookmarkStart w:id="36" w:name="_Toc423434289"/>
      <w:bookmarkEnd w:id="33"/>
      <w:r>
        <w:t>Quality s</w:t>
      </w:r>
      <w:r w:rsidRPr="008751DC">
        <w:t>ummary</w:t>
      </w:r>
      <w:r>
        <w:t xml:space="preserve"> and conclusions</w:t>
      </w:r>
      <w:bookmarkEnd w:id="34"/>
      <w:bookmarkEnd w:id="35"/>
      <w:bookmarkEnd w:id="36"/>
    </w:p>
    <w:p w:rsidR="00C47D6B" w:rsidRPr="003B6EE3" w:rsidRDefault="00C47D6B" w:rsidP="000D7FEE">
      <w:r>
        <w:t>T</w:t>
      </w:r>
      <w:r w:rsidRPr="003B6EE3">
        <w:t xml:space="preserve">here are no objections on chemistry and quality control grounds to registration of </w:t>
      </w:r>
      <w:proofErr w:type="spellStart"/>
      <w:r w:rsidRPr="003B6EE3">
        <w:t>Triumeq</w:t>
      </w:r>
      <w:proofErr w:type="spellEnd"/>
      <w:r w:rsidRPr="003B6EE3">
        <w:t xml:space="preserve"> tablets.</w:t>
      </w:r>
    </w:p>
    <w:p w:rsidR="008E7846" w:rsidRDefault="008E7846" w:rsidP="000D7FEE">
      <w:pPr>
        <w:pStyle w:val="Heading2"/>
      </w:pPr>
      <w:bookmarkStart w:id="37" w:name="_Toc196046439"/>
      <w:bookmarkStart w:id="38" w:name="_Toc247691510"/>
      <w:bookmarkStart w:id="39" w:name="_Toc314842494"/>
      <w:bookmarkStart w:id="40" w:name="_Toc423434290"/>
      <w:r>
        <w:t>III. Nonclinical</w:t>
      </w:r>
      <w:bookmarkEnd w:id="37"/>
      <w:r>
        <w:t xml:space="preserve"> findings</w:t>
      </w:r>
      <w:bookmarkEnd w:id="38"/>
      <w:bookmarkEnd w:id="39"/>
      <w:bookmarkEnd w:id="40"/>
    </w:p>
    <w:p w:rsidR="008E7846" w:rsidRDefault="008E7846" w:rsidP="000D7FEE">
      <w:pPr>
        <w:pStyle w:val="Heading3"/>
      </w:pPr>
      <w:bookmarkStart w:id="41" w:name="_Toc247691511"/>
      <w:bookmarkStart w:id="42" w:name="_Toc314842495"/>
      <w:bookmarkStart w:id="43" w:name="_Toc423434291"/>
      <w:r>
        <w:t>Introduction</w:t>
      </w:r>
      <w:bookmarkEnd w:id="41"/>
      <w:bookmarkEnd w:id="42"/>
      <w:bookmarkEnd w:id="43"/>
    </w:p>
    <w:p w:rsidR="00C47D6B" w:rsidRPr="00F54795" w:rsidRDefault="00562CB1" w:rsidP="000D7FEE">
      <w:r>
        <w:t>The nonclinical submission</w:t>
      </w:r>
      <w:r w:rsidR="00C47D6B" w:rsidRPr="008C18CF">
        <w:t xml:space="preserve"> comprised two new pharmacokinetic studies</w:t>
      </w:r>
      <w:r w:rsidR="00C47D6B">
        <w:t xml:space="preserve"> investigating potential </w:t>
      </w:r>
      <w:r w:rsidR="00C47D6B" w:rsidRPr="00F54795">
        <w:t>pharmacokinetic interactions between DTG and substrates of a range of membrane transporters. No new studies have been submitted assessing potential pharmacodynamic, pharmacokinetic and toxicological interactions of DTG in combination with ABC and 3TC, although the potential for pharmacodynamic and pharmacokinetic interactions was addressed in the original evaluation of DTG. The applicant cites the ICH guideline</w:t>
      </w:r>
      <w:r w:rsidR="007B78D3">
        <w:rPr>
          <w:rStyle w:val="FootnoteReference"/>
        </w:rPr>
        <w:footnoteReference w:id="1"/>
      </w:r>
      <w:r w:rsidR="00C47D6B" w:rsidRPr="00F54795">
        <w:t xml:space="preserve"> as justification for lack of new </w:t>
      </w:r>
      <w:r w:rsidR="007B78D3">
        <w:t>nonclin</w:t>
      </w:r>
      <w:r w:rsidR="009862C1">
        <w:t>i</w:t>
      </w:r>
      <w:r w:rsidR="007B78D3">
        <w:t>cal</w:t>
      </w:r>
      <w:r w:rsidR="00C47D6B" w:rsidRPr="00F54795">
        <w:t xml:space="preserve"> data, which states that pharmaceuticals under development for indications in life-threatening or serious diseases (</w:t>
      </w:r>
      <w:r w:rsidR="007B78D3">
        <w:t>such as</w:t>
      </w:r>
      <w:r w:rsidR="00C47D6B" w:rsidRPr="00F54795">
        <w:t xml:space="preserve"> advanced cancer, resistant HIV infection, and congenital enzyme deficiency diseases) without current effective therapy warrant a case-by case approach to toxicological evaluation.</w:t>
      </w:r>
    </w:p>
    <w:p w:rsidR="008E7846" w:rsidRPr="00F54795" w:rsidRDefault="008E7846" w:rsidP="000D7FEE">
      <w:pPr>
        <w:pStyle w:val="Heading3"/>
      </w:pPr>
      <w:bookmarkStart w:id="44" w:name="_Toc247691512"/>
      <w:bookmarkStart w:id="45" w:name="_Toc314842496"/>
      <w:bookmarkStart w:id="46" w:name="_Toc423434292"/>
      <w:r w:rsidRPr="00020030">
        <w:t>Pharmacology</w:t>
      </w:r>
      <w:bookmarkEnd w:id="44"/>
      <w:bookmarkEnd w:id="45"/>
      <w:bookmarkEnd w:id="46"/>
    </w:p>
    <w:p w:rsidR="00C47D6B" w:rsidRDefault="00C47D6B" w:rsidP="000D7FEE">
      <w:r>
        <w:t xml:space="preserve">The sponsor claims that </w:t>
      </w:r>
      <w:r w:rsidRPr="007B78D3">
        <w:t>in vitro</w:t>
      </w:r>
      <w:r>
        <w:rPr>
          <w:i/>
        </w:rPr>
        <w:t xml:space="preserve"> </w:t>
      </w:r>
      <w:r>
        <w:t xml:space="preserve">checkerboard experiments have shown that DTG, ABC and 3TC are additive to synergistic in their activity. This statement presumably refers to data previously submitted to support the registration of DTG. In this study, DTG was additive to synergistic with </w:t>
      </w:r>
      <w:proofErr w:type="spellStart"/>
      <w:r>
        <w:t>maraviroc</w:t>
      </w:r>
      <w:proofErr w:type="spellEnd"/>
      <w:r>
        <w:t xml:space="preserve">, </w:t>
      </w:r>
      <w:proofErr w:type="spellStart"/>
      <w:r>
        <w:t>adefovir</w:t>
      </w:r>
      <w:proofErr w:type="spellEnd"/>
      <w:r>
        <w:t xml:space="preserve">, </w:t>
      </w:r>
      <w:proofErr w:type="spellStart"/>
      <w:r>
        <w:t>raltegravir</w:t>
      </w:r>
      <w:proofErr w:type="spellEnd"/>
      <w:r>
        <w:t xml:space="preserve">, </w:t>
      </w:r>
      <w:proofErr w:type="spellStart"/>
      <w:r>
        <w:t>stavudine</w:t>
      </w:r>
      <w:proofErr w:type="spellEnd"/>
      <w:r>
        <w:t xml:space="preserve">, </w:t>
      </w:r>
      <w:proofErr w:type="spellStart"/>
      <w:r>
        <w:t>abacavir</w:t>
      </w:r>
      <w:proofErr w:type="spellEnd"/>
      <w:r>
        <w:t xml:space="preserve">, </w:t>
      </w:r>
      <w:proofErr w:type="spellStart"/>
      <w:r>
        <w:t>efavirenz</w:t>
      </w:r>
      <w:proofErr w:type="spellEnd"/>
      <w:r>
        <w:t xml:space="preserve">, </w:t>
      </w:r>
      <w:proofErr w:type="spellStart"/>
      <w:r>
        <w:t>nevirapine</w:t>
      </w:r>
      <w:proofErr w:type="spellEnd"/>
      <w:r>
        <w:t xml:space="preserve">, </w:t>
      </w:r>
      <w:proofErr w:type="spellStart"/>
      <w:r>
        <w:t>lopinavir</w:t>
      </w:r>
      <w:proofErr w:type="spellEnd"/>
      <w:r>
        <w:t xml:space="preserve">, </w:t>
      </w:r>
      <w:proofErr w:type="spellStart"/>
      <w:r>
        <w:t>amprenavir</w:t>
      </w:r>
      <w:proofErr w:type="spellEnd"/>
      <w:r>
        <w:t xml:space="preserve"> and </w:t>
      </w:r>
      <w:proofErr w:type="spellStart"/>
      <w:r>
        <w:t>enfuvirtide</w:t>
      </w:r>
      <w:proofErr w:type="spellEnd"/>
      <w:r>
        <w:t xml:space="preserve">, the </w:t>
      </w:r>
      <w:proofErr w:type="spellStart"/>
      <w:r>
        <w:t>antihepatitis</w:t>
      </w:r>
      <w:proofErr w:type="spellEnd"/>
      <w:r>
        <w:t xml:space="preserve"> B agent </w:t>
      </w:r>
      <w:proofErr w:type="spellStart"/>
      <w:r>
        <w:t>adefovir</w:t>
      </w:r>
      <w:proofErr w:type="spellEnd"/>
      <w:r>
        <w:t xml:space="preserve"> and ribavirin. The combination of DTG and 3TC was not investigated in this study but a </w:t>
      </w:r>
      <w:r w:rsidRPr="00BF6B53">
        <w:t xml:space="preserve">lack of antagonism has previously been demonstrated between DTG and two different members of the NRTI class (ABC and </w:t>
      </w:r>
      <w:proofErr w:type="spellStart"/>
      <w:r w:rsidRPr="00BF6B53">
        <w:t>stavudine</w:t>
      </w:r>
      <w:proofErr w:type="spellEnd"/>
      <w:r w:rsidRPr="00BF6B53">
        <w:t>). This is acceptable</w:t>
      </w:r>
      <w:r>
        <w:t>.</w:t>
      </w:r>
    </w:p>
    <w:p w:rsidR="008E7846" w:rsidRDefault="008E7846" w:rsidP="000D7FEE">
      <w:pPr>
        <w:pStyle w:val="Heading3"/>
      </w:pPr>
      <w:bookmarkStart w:id="47" w:name="_Toc247691513"/>
      <w:bookmarkStart w:id="48" w:name="_Toc314842497"/>
      <w:bookmarkStart w:id="49" w:name="_Toc423434293"/>
      <w:r>
        <w:t>Pharmacokinetics</w:t>
      </w:r>
      <w:bookmarkEnd w:id="47"/>
      <w:bookmarkEnd w:id="48"/>
      <w:bookmarkEnd w:id="49"/>
    </w:p>
    <w:p w:rsidR="00C47D6B" w:rsidRDefault="007B78D3" w:rsidP="000D7FEE">
      <w:bookmarkStart w:id="50" w:name="_Toc247691514"/>
      <w:bookmarkStart w:id="51" w:name="_Toc314842498"/>
      <w:r>
        <w:t>In order to provide further information on potential pharmacokinetic interactions, n</w:t>
      </w:r>
      <w:r w:rsidR="00C47D6B">
        <w:t xml:space="preserve">ew </w:t>
      </w:r>
      <w:r w:rsidR="00C47D6B" w:rsidRPr="007B78D3">
        <w:t>in vitro</w:t>
      </w:r>
      <w:r w:rsidR="00C47D6B">
        <w:t xml:space="preserve"> </w:t>
      </w:r>
      <w:r w:rsidR="00C47D6B" w:rsidRPr="00707346">
        <w:t>studies</w:t>
      </w:r>
      <w:r w:rsidR="00C47D6B">
        <w:t xml:space="preserve"> were submitted to investigate the effects of DTG on various membrane transporters.</w:t>
      </w:r>
      <w:r w:rsidR="00E873CA">
        <w:t xml:space="preserve"> </w:t>
      </w:r>
      <w:r w:rsidR="00C47D6B">
        <w:t xml:space="preserve">Based on these results, DTG may potentially interact with co-administered agents that are substrates for the organic anion transporters </w:t>
      </w:r>
      <w:r>
        <w:t>1 and 3 (</w:t>
      </w:r>
      <w:r w:rsidR="00C47D6B">
        <w:t>OAT1 and OAT3</w:t>
      </w:r>
      <w:r>
        <w:t>)</w:t>
      </w:r>
      <w:r w:rsidR="00C47D6B">
        <w:t xml:space="preserve"> (</w:t>
      </w:r>
      <w:r>
        <w:t>50% inhibitory values (</w:t>
      </w:r>
      <w:r w:rsidR="00C47D6B">
        <w:t>IC</w:t>
      </w:r>
      <w:r w:rsidR="00C47D6B" w:rsidRPr="00D538F8">
        <w:rPr>
          <w:vertAlign w:val="subscript"/>
        </w:rPr>
        <w:t>50</w:t>
      </w:r>
      <w:r>
        <w:t xml:space="preserve">) </w:t>
      </w:r>
      <w:r w:rsidR="00C47D6B">
        <w:t xml:space="preserve">values of 2.12 and 1.97 μM, respectively), as well as </w:t>
      </w:r>
      <w:r w:rsidR="00C47D6B">
        <w:lastRenderedPageBreak/>
        <w:t xml:space="preserve">substrates of the multidrug and toxin extrusion transporter </w:t>
      </w:r>
      <w:r>
        <w:t>1 (</w:t>
      </w:r>
      <w:r w:rsidR="00C47D6B">
        <w:t>MATE1</w:t>
      </w:r>
      <w:r>
        <w:t>)</w:t>
      </w:r>
      <w:r w:rsidR="00C47D6B">
        <w:t xml:space="preserve"> (IC</w:t>
      </w:r>
      <w:r w:rsidR="00C47D6B" w:rsidRPr="00D538F8">
        <w:rPr>
          <w:vertAlign w:val="subscript"/>
        </w:rPr>
        <w:t>50</w:t>
      </w:r>
      <w:r w:rsidR="00C47D6B">
        <w:t xml:space="preserve"> = 6.34 μM). Interactions with substrates of the MATE2-K transporter are less likely, since DTG concentrations an order of magnitude higher were associated with its inhibition (IC</w:t>
      </w:r>
      <w:r w:rsidR="00C47D6B" w:rsidRPr="0022243C">
        <w:rPr>
          <w:vertAlign w:val="subscript"/>
        </w:rPr>
        <w:t>50</w:t>
      </w:r>
      <w:r>
        <w:rPr>
          <w:vertAlign w:val="subscript"/>
        </w:rPr>
        <w:t> </w:t>
      </w:r>
      <w:r w:rsidR="00C47D6B">
        <w:t>=</w:t>
      </w:r>
      <w:r w:rsidR="00E873CA">
        <w:t xml:space="preserve"> </w:t>
      </w:r>
      <w:r w:rsidR="00C47D6B">
        <w:t xml:space="preserve">4.8 μM). Interactions with substrates for the multidrug resistance protein 4 (MRP4) and the hepatic </w:t>
      </w:r>
      <w:proofErr w:type="spellStart"/>
      <w:r w:rsidR="00C47D6B">
        <w:t>cannilicular</w:t>
      </w:r>
      <w:proofErr w:type="spellEnd"/>
      <w:r w:rsidR="00C47D6B">
        <w:t xml:space="preserve"> transporter bile salt export pump (BSEP) are considered to be unlikely based on the data provided.</w:t>
      </w:r>
    </w:p>
    <w:p w:rsidR="00C47D6B" w:rsidRDefault="00C47D6B" w:rsidP="000D7FEE">
      <w:proofErr w:type="spellStart"/>
      <w:r w:rsidRPr="003A7184">
        <w:t>Tenofovir</w:t>
      </w:r>
      <w:proofErr w:type="spellEnd"/>
      <w:r w:rsidRPr="003A7184">
        <w:t xml:space="preserve"> is eliminated by a combination of glomerular filtration and proximal tubular secretion</w:t>
      </w:r>
      <w:r w:rsidRPr="003A7184">
        <w:rPr>
          <w:rStyle w:val="FootnoteReference"/>
        </w:rPr>
        <w:footnoteReference w:id="2"/>
      </w:r>
      <w:r w:rsidRPr="003A7184">
        <w:t xml:space="preserve"> involving the organic anion transporters OAT1</w:t>
      </w:r>
      <w:r>
        <w:t xml:space="preserve"> (and to a lesser extent, OAT3), and so based on the data described above, co-administration of </w:t>
      </w:r>
      <w:proofErr w:type="spellStart"/>
      <w:r>
        <w:t>tenofovir</w:t>
      </w:r>
      <w:proofErr w:type="spellEnd"/>
      <w:r>
        <w:t xml:space="preserve"> with DTG may result in increased plasma concentrations of the former. </w:t>
      </w:r>
      <w:proofErr w:type="spellStart"/>
      <w:r>
        <w:t>Tenofovir</w:t>
      </w:r>
      <w:proofErr w:type="spellEnd"/>
      <w:r>
        <w:t>-associated k</w:t>
      </w:r>
      <w:r w:rsidRPr="003A7184">
        <w:t xml:space="preserve">idney toxicity in humans is believed to be influenced by the exposure of </w:t>
      </w:r>
      <w:proofErr w:type="spellStart"/>
      <w:r w:rsidRPr="003A7184">
        <w:t>tenofovir</w:t>
      </w:r>
      <w:proofErr w:type="spellEnd"/>
      <w:r w:rsidRPr="003A7184">
        <w:t xml:space="preserve"> within the proximal </w:t>
      </w:r>
      <w:r>
        <w:t xml:space="preserve">tubule cells of the kidney. This </w:t>
      </w:r>
      <w:r w:rsidRPr="003A7184">
        <w:t xml:space="preserve">might be expected to be increased by concomitant administration of DTG </w:t>
      </w:r>
      <w:r>
        <w:t>through the latter agent’s inhibition of</w:t>
      </w:r>
      <w:r w:rsidRPr="003A7184">
        <w:t xml:space="preserve"> renal OAT 1, OAT 3 and MRP4. However, this was not anticipated based</w:t>
      </w:r>
      <w:r>
        <w:t xml:space="preserve"> on newly submitted pharmacokinetic modelling data </w:t>
      </w:r>
      <w:r w:rsidRPr="003A7184">
        <w:t xml:space="preserve">using the </w:t>
      </w:r>
      <w:proofErr w:type="spellStart"/>
      <w:r w:rsidRPr="003A7184">
        <w:t>SimCYP</w:t>
      </w:r>
      <w:proofErr w:type="spellEnd"/>
      <w:r w:rsidRPr="003A7184">
        <w:t xml:space="preserve"> population based simulator. The PI statement for DTG reports that there were no clinically relevant interactions between DTG and </w:t>
      </w:r>
      <w:proofErr w:type="spellStart"/>
      <w:r w:rsidRPr="003A7184">
        <w:t>tenofovir</w:t>
      </w:r>
      <w:proofErr w:type="spellEnd"/>
      <w:r w:rsidRPr="003A7184">
        <w:t>, which is in agreement with the predicted lack of interaction.</w:t>
      </w:r>
    </w:p>
    <w:p w:rsidR="00C47D6B" w:rsidRDefault="00C47D6B" w:rsidP="000D7FEE">
      <w:r>
        <w:t xml:space="preserve">From previously submitted data to support the registration of DTG it was found that this agent inhibited the </w:t>
      </w:r>
      <w:proofErr w:type="spellStart"/>
      <w:r>
        <w:t>basolateral</w:t>
      </w:r>
      <w:proofErr w:type="spellEnd"/>
      <w:r>
        <w:t xml:space="preserve"> renal organic </w:t>
      </w:r>
      <w:proofErr w:type="spellStart"/>
      <w:r>
        <w:t>cation</w:t>
      </w:r>
      <w:proofErr w:type="spellEnd"/>
      <w:r>
        <w:t xml:space="preserve"> transporter 2 (OCT2; IC</w:t>
      </w:r>
      <w:r w:rsidRPr="00097530">
        <w:rPr>
          <w:vertAlign w:val="subscript"/>
        </w:rPr>
        <w:t>50</w:t>
      </w:r>
      <w:r>
        <w:t xml:space="preserve"> = 1.93 μM) and the renal apical multidrug and toxin extrusion transporters MATE 1 </w:t>
      </w:r>
      <w:r w:rsidRPr="00693BE8">
        <w:t>(IC</w:t>
      </w:r>
      <w:r w:rsidRPr="00693BE8">
        <w:rPr>
          <w:vertAlign w:val="subscript"/>
        </w:rPr>
        <w:t>50</w:t>
      </w:r>
      <w:r w:rsidRPr="00693BE8">
        <w:t xml:space="preserve"> = 6.34 </w:t>
      </w:r>
      <w:r>
        <w:t>μ</w:t>
      </w:r>
      <w:r w:rsidRPr="00693BE8">
        <w:t>M) and MATE2-K (IC</w:t>
      </w:r>
      <w:r w:rsidRPr="00693BE8">
        <w:rPr>
          <w:vertAlign w:val="subscript"/>
        </w:rPr>
        <w:t>50</w:t>
      </w:r>
      <w:r>
        <w:t xml:space="preserve"> = 24.8 μ</w:t>
      </w:r>
      <w:r w:rsidRPr="00693BE8">
        <w:t>M)</w:t>
      </w:r>
      <w:r>
        <w:t>. This action provided a mechanistic basis for mild increases in serum concentrations of creatinine in clinical studies.</w:t>
      </w:r>
      <w:r w:rsidR="00E873CA">
        <w:t xml:space="preserve"> </w:t>
      </w:r>
      <w:r>
        <w:t xml:space="preserve">A potential for interaction between lamivudine and other agents whose elimination is predominantly renal is </w:t>
      </w:r>
      <w:r>
        <w:rPr>
          <w:bCs/>
        </w:rPr>
        <w:t xml:space="preserve">referred to in the approved PI documents for lamivudine and </w:t>
      </w:r>
      <w:proofErr w:type="spellStart"/>
      <w:r w:rsidR="007B78D3">
        <w:rPr>
          <w:bCs/>
        </w:rPr>
        <w:t>Kivexa</w:t>
      </w:r>
      <w:proofErr w:type="spellEnd"/>
      <w:r>
        <w:rPr>
          <w:bCs/>
        </w:rPr>
        <w:t>. I</w:t>
      </w:r>
      <w:r>
        <w:t xml:space="preserve">nhibition of OCT2 mediated transport by </w:t>
      </w:r>
      <w:proofErr w:type="spellStart"/>
      <w:r>
        <w:t>dolutegravir</w:t>
      </w:r>
      <w:proofErr w:type="spellEnd"/>
      <w:r>
        <w:t xml:space="preserve"> is likely to reduce the plasma clearance of lamivudine, and hence lead to increases in plasma concentrations of this agent. While the sponsor did submit a plasma kinetic study with the c</w:t>
      </w:r>
      <w:r w:rsidR="007B78D3">
        <w:t>ombination</w:t>
      </w:r>
      <w:r>
        <w:t xml:space="preserve">, there are no data comparing the effects of DTG on the plasma kinetics of </w:t>
      </w:r>
      <w:proofErr w:type="gramStart"/>
      <w:r>
        <w:t>3TC.</w:t>
      </w:r>
      <w:proofErr w:type="gramEnd"/>
      <w:r>
        <w:t xml:space="preserve"> In addition, the submitted kinetic study measured plasma concentrations of DTG, ABC and 3TC after administration of a single dose, and did not provide data on the steady state plasma kinetics of the three agents. The observation that DTG administration was associated with increases in serum concentrations of creatinine confirms that the </w:t>
      </w:r>
      <w:r w:rsidRPr="007B78D3">
        <w:t>in vitro</w:t>
      </w:r>
      <w:r>
        <w:rPr>
          <w:i/>
        </w:rPr>
        <w:t xml:space="preserve"> </w:t>
      </w:r>
      <w:r>
        <w:t xml:space="preserve">inhibition of OCT2 and MATE 1 is clinically relevant, and </w:t>
      </w:r>
      <w:r w:rsidRPr="00E62F98">
        <w:t>hence the sponsor was asked to comment on the safety implications of the proposed combination with respect to the possible increase of plasma concentrations of 3TC.</w:t>
      </w:r>
      <w:r>
        <w:t xml:space="preserve"> This effect may be exacerbated in patients who are renally impaired. DTG is contraindicated for co-administration with the OCT2 substrates </w:t>
      </w:r>
      <w:proofErr w:type="spellStart"/>
      <w:r>
        <w:t>dofetilide</w:t>
      </w:r>
      <w:proofErr w:type="spellEnd"/>
      <w:r>
        <w:t xml:space="preserve"> and </w:t>
      </w:r>
      <w:proofErr w:type="spellStart"/>
      <w:r>
        <w:t>pilsicainide</w:t>
      </w:r>
      <w:proofErr w:type="spellEnd"/>
      <w:r>
        <w:t xml:space="preserve"> as these agents have narrow therapeutic indices.</w:t>
      </w:r>
    </w:p>
    <w:p w:rsidR="00C47D6B" w:rsidRDefault="00C47D6B" w:rsidP="000D7FEE">
      <w:r>
        <w:t>To address the potential for DTG to reduce the clearance of 3TC by inhibition of active tubular secretion, the sponsor estimated the active tubular secretion (CL</w:t>
      </w:r>
      <w:r w:rsidRPr="00E62F98">
        <w:rPr>
          <w:vertAlign w:val="subscript"/>
        </w:rPr>
        <w:t>ATS</w:t>
      </w:r>
      <w:r>
        <w:t>) of 3TC to be190 mL/min which is 47.5% of the total plasma clearance (399 mL/min). Based on the sponsor’s calculations, the maximum increase in 3TC exposure due to complete inhibition of active renal secretion is predicted to be 1.9</w:t>
      </w:r>
      <w:r w:rsidR="007B78D3">
        <w:t xml:space="preserve"> times</w:t>
      </w:r>
      <w:r>
        <w:t>. Using a worst case scenario, drug interaction calculations were made assuming that DTG inhibited OCT2 with an IC</w:t>
      </w:r>
      <w:r w:rsidRPr="00E62F98">
        <w:rPr>
          <w:vertAlign w:val="subscript"/>
        </w:rPr>
        <w:t>50</w:t>
      </w:r>
      <w:r>
        <w:t xml:space="preserve"> = 0.1 μM, (</w:t>
      </w:r>
      <w:r w:rsidR="007B78D3">
        <w:t xml:space="preserve">that is, </w:t>
      </w:r>
      <w:r>
        <w:t>approximately ten</w:t>
      </w:r>
      <w:r w:rsidR="007B78D3">
        <w:t xml:space="preserve"> times</w:t>
      </w:r>
      <w:r>
        <w:t xml:space="preserve"> lower than the value determined experimentally), which indicated that 3TC exposure would increase by 28% as a result of DTG inhibition of OCT2. To put this in a clinical context, the same theoretical considerations applied to the combination of 3TC and the MATE2-K, MATE1 and OCT2 inhibitor trimethoprim</w:t>
      </w:r>
      <w:r>
        <w:rPr>
          <w:rStyle w:val="FootnoteReference"/>
        </w:rPr>
        <w:footnoteReference w:id="3"/>
      </w:r>
      <w:r>
        <w:t xml:space="preserve"> predict that 3TC exposure would be increased by 70% when co-administered with trimethoprim. </w:t>
      </w:r>
      <w:r>
        <w:lastRenderedPageBreak/>
        <w:t>In a clinical interaction study, the reported increase in 3TC AUC was 35%</w:t>
      </w:r>
      <w:r w:rsidR="007B78D3">
        <w:t>.</w:t>
      </w:r>
      <w:r>
        <w:rPr>
          <w:rStyle w:val="FootnoteReference"/>
        </w:rPr>
        <w:footnoteReference w:id="4"/>
      </w:r>
      <w:r>
        <w:t xml:space="preserve"> The approved PI statement for 3TC states the following:</w:t>
      </w:r>
    </w:p>
    <w:p w:rsidR="00C47D6B" w:rsidRPr="007B78D3" w:rsidRDefault="00C47D6B" w:rsidP="007B78D3">
      <w:pPr>
        <w:ind w:left="720"/>
        <w:rPr>
          <w:i/>
        </w:rPr>
      </w:pPr>
      <w:proofErr w:type="gramStart"/>
      <w:r w:rsidRPr="007B78D3">
        <w:rPr>
          <w:i/>
        </w:rPr>
        <w:t>‘Administration of trimethoprim, as trimethoprim/</w:t>
      </w:r>
      <w:proofErr w:type="spellStart"/>
      <w:r w:rsidRPr="007B78D3">
        <w:rPr>
          <w:i/>
        </w:rPr>
        <w:t>sulfamethoxazole</w:t>
      </w:r>
      <w:proofErr w:type="spellEnd"/>
      <w:r w:rsidRPr="007B78D3">
        <w:rPr>
          <w:i/>
        </w:rPr>
        <w:t xml:space="preserve"> 160 mg/800 mg increased lamivudine exposure by about 40%.</w:t>
      </w:r>
      <w:proofErr w:type="gramEnd"/>
      <w:r w:rsidRPr="007B78D3">
        <w:rPr>
          <w:i/>
        </w:rPr>
        <w:t xml:space="preserve"> However, unless the patient already has renal impairment, no dosage adjustment of lamivudine is necessary. Lamivudine has no effect on the pharmacokinetics of trimethoprim/</w:t>
      </w:r>
      <w:proofErr w:type="spellStart"/>
      <w:r w:rsidRPr="007B78D3">
        <w:rPr>
          <w:i/>
        </w:rPr>
        <w:t>sulfamethoxazole</w:t>
      </w:r>
      <w:proofErr w:type="spellEnd"/>
      <w:r w:rsidRPr="007B78D3">
        <w:rPr>
          <w:i/>
        </w:rPr>
        <w:t>. Administration of lamivudine in patients with renal impairment should be assessed carefully.’</w:t>
      </w:r>
    </w:p>
    <w:p w:rsidR="00C47D6B" w:rsidRPr="00423C97" w:rsidRDefault="00C47D6B" w:rsidP="000D7FEE">
      <w:r>
        <w:t xml:space="preserve">The sponsor’s arguments are accepted, and it is noted that the proposed PI statement states that </w:t>
      </w:r>
      <w:proofErr w:type="spellStart"/>
      <w:r w:rsidR="003401D1">
        <w:t>Triumeq</w:t>
      </w:r>
      <w:proofErr w:type="spellEnd"/>
      <w:r>
        <w:t xml:space="preserve"> is not suitable for patients with renal impairment (creatinine clearance &lt; 50 mL/min), since they require a 3TC dose adjustment.</w:t>
      </w:r>
    </w:p>
    <w:p w:rsidR="001B5C90" w:rsidRDefault="008E7846" w:rsidP="000D7FEE">
      <w:pPr>
        <w:pStyle w:val="Heading3"/>
      </w:pPr>
      <w:bookmarkStart w:id="52" w:name="_Toc423434294"/>
      <w:r>
        <w:t>Toxicology</w:t>
      </w:r>
      <w:bookmarkEnd w:id="50"/>
      <w:bookmarkEnd w:id="51"/>
      <w:bookmarkEnd w:id="52"/>
    </w:p>
    <w:p w:rsidR="00C47D6B" w:rsidRDefault="00C47D6B" w:rsidP="000D7FEE">
      <w:bookmarkStart w:id="53" w:name="_Toc247691515"/>
      <w:bookmarkStart w:id="54" w:name="_Toc314842499"/>
      <w:r w:rsidRPr="003A7184">
        <w:t xml:space="preserve">The </w:t>
      </w:r>
      <w:r w:rsidR="007B78D3">
        <w:t>sponsor</w:t>
      </w:r>
      <w:r w:rsidRPr="003A7184">
        <w:t xml:space="preserve"> did not submit any toxicity studies with the proposed combination. The justification for the absence of such studies was based on the relevant </w:t>
      </w:r>
      <w:r>
        <w:t>ICH guidance document</w:t>
      </w:r>
      <w:r>
        <w:rPr>
          <w:rStyle w:val="FootnoteReference"/>
        </w:rPr>
        <w:footnoteReference w:id="5"/>
      </w:r>
      <w:r>
        <w:t xml:space="preserve"> which states:</w:t>
      </w:r>
    </w:p>
    <w:p w:rsidR="00C47D6B" w:rsidRPr="007B78D3" w:rsidRDefault="00C47D6B" w:rsidP="007B78D3">
      <w:pPr>
        <w:ind w:left="720"/>
        <w:rPr>
          <w:rFonts w:asciiTheme="minorHAnsi" w:hAnsiTheme="minorHAnsi"/>
          <w:i/>
        </w:rPr>
      </w:pPr>
      <w:r w:rsidRPr="007B78D3">
        <w:rPr>
          <w:rFonts w:asciiTheme="minorHAnsi" w:eastAsia="TimesNewRoman" w:hAnsiTheme="minorHAnsi" w:cs="TimesNewRoman"/>
          <w:i/>
          <w:color w:val="000000"/>
        </w:rPr>
        <w:t>‘</w:t>
      </w:r>
      <w:r w:rsidRPr="007B78D3">
        <w:rPr>
          <w:rFonts w:asciiTheme="minorHAnsi" w:hAnsiTheme="minorHAnsi"/>
          <w:i/>
        </w:rPr>
        <w:t>For most combinations which involve two late stage entities and for which there is adequate clinical experience with co-administration, combination toxicity studies would generally not be recommended to support clinical studies or marketing unless there is significant toxicological concern (e.g., similar target organ toxicity).’</w:t>
      </w:r>
    </w:p>
    <w:p w:rsidR="00C47D6B" w:rsidRDefault="00C47D6B" w:rsidP="000D7FEE">
      <w:r>
        <w:t xml:space="preserve">In addition, </w:t>
      </w:r>
      <w:r w:rsidR="007B78D3">
        <w:t>Q</w:t>
      </w:r>
      <w:r>
        <w:t>uestion 9 of the ‘Questions and Answers’ section of this guideline states that c</w:t>
      </w:r>
      <w:r w:rsidRPr="007369E2">
        <w:t>ombination toxicity studies are not generally wa</w:t>
      </w:r>
      <w:r>
        <w:t xml:space="preserve">rranted for HIV products unless </w:t>
      </w:r>
      <w:r w:rsidRPr="007369E2">
        <w:t>there is a specific cause for concern under clinically relevant conditions.</w:t>
      </w:r>
    </w:p>
    <w:p w:rsidR="00C47D6B" w:rsidRDefault="00C47D6B" w:rsidP="000D7FEE">
      <w:r>
        <w:t xml:space="preserve">The sponsor submitted a plasma kinetic study in healthy human subjects given a single dose of the proposed </w:t>
      </w:r>
      <w:r w:rsidR="007B78D3">
        <w:t>fixed</w:t>
      </w:r>
      <w:r w:rsidR="00E873CA">
        <w:t xml:space="preserve"> </w:t>
      </w:r>
      <w:r w:rsidR="007B78D3">
        <w:t>dose combination (</w:t>
      </w:r>
      <w:r>
        <w:t>FDC</w:t>
      </w:r>
      <w:r w:rsidR="007B78D3">
        <w:t>)</w:t>
      </w:r>
      <w:r>
        <w:t xml:space="preserve"> formulation of DTG, ABC and 3TC (</w:t>
      </w:r>
      <w:proofErr w:type="spellStart"/>
      <w:r w:rsidR="003401D1">
        <w:t>Triumeq</w:t>
      </w:r>
      <w:proofErr w:type="spellEnd"/>
      <w:r>
        <w:t>). These data have been used to determine relative levels of systemic exposure in previously submitted toxicity studies with the individual components, as shown below.</w:t>
      </w:r>
    </w:p>
    <w:p w:rsidR="00C47D6B" w:rsidRDefault="00C47D6B" w:rsidP="000D7FEE">
      <w:pPr>
        <w:pStyle w:val="Heading4"/>
      </w:pPr>
      <w:r w:rsidRPr="00DE7CDB">
        <w:t>Relative exposure</w:t>
      </w:r>
    </w:p>
    <w:p w:rsidR="007B78D3" w:rsidRPr="007B78D3" w:rsidRDefault="007B78D3" w:rsidP="000D7FEE">
      <w:r>
        <w:t>The following table</w:t>
      </w:r>
      <w:r w:rsidR="009A5AAE">
        <w:t>s</w:t>
      </w:r>
      <w:r>
        <w:t xml:space="preserve"> (Table 2) show the relative exposure in repeat dose toxicity and carcinogenicity studies with DTG</w:t>
      </w:r>
      <w:r w:rsidR="009A5AAE">
        <w:t>, ABC and 3TC</w:t>
      </w:r>
      <w:r>
        <w:t>.</w:t>
      </w:r>
    </w:p>
    <w:p w:rsidR="00C47D6B" w:rsidRPr="0068453C" w:rsidRDefault="007B78D3" w:rsidP="000D7FEE">
      <w:pPr>
        <w:pStyle w:val="TableTitle"/>
      </w:pPr>
      <w:r>
        <w:t xml:space="preserve">Table 2: </w:t>
      </w:r>
      <w:r w:rsidR="00C47D6B" w:rsidRPr="00EC511E">
        <w:t xml:space="preserve">Relative exposure </w:t>
      </w:r>
      <w:r w:rsidR="00C47D6B">
        <w:t xml:space="preserve">(combined sexes) </w:t>
      </w:r>
      <w:r w:rsidR="00C47D6B" w:rsidRPr="00EC511E">
        <w:t>in repeat-dose toxicity and carcinogenicity studies</w:t>
      </w:r>
      <w:r w:rsidR="00C47D6B">
        <w:t xml:space="preserve"> with DTG</w:t>
      </w:r>
    </w:p>
    <w:tbl>
      <w:tblPr>
        <w:tblStyle w:val="TableTGAblue"/>
        <w:tblW w:w="8931" w:type="dxa"/>
        <w:tblLayout w:type="fixed"/>
        <w:tblLook w:val="01E0" w:firstRow="1" w:lastRow="1" w:firstColumn="1" w:lastColumn="1" w:noHBand="0" w:noVBand="0"/>
      </w:tblPr>
      <w:tblGrid>
        <w:gridCol w:w="1276"/>
        <w:gridCol w:w="1418"/>
        <w:gridCol w:w="1134"/>
        <w:gridCol w:w="970"/>
        <w:gridCol w:w="872"/>
        <w:gridCol w:w="1276"/>
        <w:gridCol w:w="992"/>
        <w:gridCol w:w="993"/>
      </w:tblGrid>
      <w:tr w:rsidR="00C47D6B" w:rsidRPr="00B55EE1" w:rsidTr="000D7FEE">
        <w:trPr>
          <w:cnfStyle w:val="100000000000" w:firstRow="1" w:lastRow="0" w:firstColumn="0" w:lastColumn="0" w:oddVBand="0" w:evenVBand="0" w:oddHBand="0" w:evenHBand="0" w:firstRowFirstColumn="0" w:firstRowLastColumn="0" w:lastRowFirstColumn="0" w:lastRowLastColumn="0"/>
        </w:trPr>
        <w:tc>
          <w:tcPr>
            <w:tcW w:w="1276" w:type="dxa"/>
          </w:tcPr>
          <w:p w:rsidR="00C47D6B" w:rsidRPr="00B55EE1" w:rsidRDefault="00C47D6B" w:rsidP="00B55EE1">
            <w:pPr>
              <w:ind w:left="0"/>
              <w:rPr>
                <w:szCs w:val="22"/>
              </w:rPr>
            </w:pPr>
            <w:r w:rsidRPr="00B55EE1">
              <w:rPr>
                <w:szCs w:val="22"/>
              </w:rPr>
              <w:t>Species</w:t>
            </w:r>
          </w:p>
        </w:tc>
        <w:tc>
          <w:tcPr>
            <w:tcW w:w="1418" w:type="dxa"/>
          </w:tcPr>
          <w:p w:rsidR="00C47D6B" w:rsidRPr="00B55EE1" w:rsidRDefault="00C47D6B" w:rsidP="00B55EE1">
            <w:pPr>
              <w:ind w:left="0"/>
              <w:rPr>
                <w:szCs w:val="22"/>
              </w:rPr>
            </w:pPr>
            <w:r w:rsidRPr="00B55EE1">
              <w:rPr>
                <w:szCs w:val="22"/>
              </w:rPr>
              <w:t>Study duration</w:t>
            </w:r>
          </w:p>
        </w:tc>
        <w:tc>
          <w:tcPr>
            <w:tcW w:w="1134" w:type="dxa"/>
          </w:tcPr>
          <w:p w:rsidR="00C47D6B" w:rsidRPr="00B55EE1" w:rsidRDefault="00C47D6B" w:rsidP="00B55EE1">
            <w:pPr>
              <w:ind w:left="0"/>
              <w:rPr>
                <w:szCs w:val="22"/>
              </w:rPr>
            </w:pPr>
            <w:r w:rsidRPr="00B55EE1">
              <w:rPr>
                <w:szCs w:val="22"/>
              </w:rPr>
              <w:t>Dose</w:t>
            </w:r>
            <w:r w:rsidR="000D7FEE" w:rsidRPr="00B55EE1">
              <w:rPr>
                <w:szCs w:val="22"/>
              </w:rPr>
              <w:t xml:space="preserve"> </w:t>
            </w:r>
            <w:r w:rsidRPr="00B55EE1">
              <w:rPr>
                <w:szCs w:val="22"/>
              </w:rPr>
              <w:t>mg/kg/day</w:t>
            </w:r>
          </w:p>
        </w:tc>
        <w:tc>
          <w:tcPr>
            <w:tcW w:w="970" w:type="dxa"/>
          </w:tcPr>
          <w:p w:rsidR="00C47D6B" w:rsidRPr="00B55EE1" w:rsidRDefault="00C47D6B" w:rsidP="00B55EE1">
            <w:pPr>
              <w:ind w:left="0"/>
              <w:rPr>
                <w:szCs w:val="22"/>
              </w:rPr>
            </w:pPr>
            <w:r w:rsidRPr="00B55EE1">
              <w:rPr>
                <w:szCs w:val="22"/>
              </w:rPr>
              <w:t>Dose</w:t>
            </w:r>
            <w:r w:rsidR="000D7FEE" w:rsidRPr="00B55EE1">
              <w:rPr>
                <w:szCs w:val="22"/>
              </w:rPr>
              <w:t xml:space="preserve"> </w:t>
            </w:r>
            <w:r w:rsidRPr="00B55EE1">
              <w:rPr>
                <w:szCs w:val="22"/>
              </w:rPr>
              <w:t>mg/m</w:t>
            </w:r>
            <w:r w:rsidRPr="00B55EE1">
              <w:rPr>
                <w:szCs w:val="22"/>
                <w:vertAlign w:val="superscript"/>
              </w:rPr>
              <w:t>2†</w:t>
            </w:r>
          </w:p>
        </w:tc>
        <w:tc>
          <w:tcPr>
            <w:tcW w:w="872" w:type="dxa"/>
          </w:tcPr>
          <w:p w:rsidR="00C47D6B" w:rsidRPr="00B55EE1" w:rsidRDefault="00C47D6B" w:rsidP="00B55EE1">
            <w:pPr>
              <w:ind w:left="22"/>
              <w:rPr>
                <w:szCs w:val="22"/>
              </w:rPr>
            </w:pPr>
            <w:r w:rsidRPr="00B55EE1">
              <w:rPr>
                <w:szCs w:val="22"/>
              </w:rPr>
              <w:t>Day</w:t>
            </w:r>
          </w:p>
        </w:tc>
        <w:tc>
          <w:tcPr>
            <w:tcW w:w="1276" w:type="dxa"/>
          </w:tcPr>
          <w:p w:rsidR="00C47D6B" w:rsidRPr="00B55EE1" w:rsidRDefault="00C47D6B" w:rsidP="00B55EE1">
            <w:pPr>
              <w:ind w:left="0"/>
              <w:rPr>
                <w:szCs w:val="22"/>
              </w:rPr>
            </w:pPr>
            <w:r w:rsidRPr="00B55EE1">
              <w:rPr>
                <w:szCs w:val="22"/>
              </w:rPr>
              <w:t>AUC</w:t>
            </w:r>
            <w:r w:rsidRPr="00B55EE1">
              <w:rPr>
                <w:b w:val="0"/>
                <w:szCs w:val="22"/>
                <w:vertAlign w:val="subscript"/>
              </w:rPr>
              <w:t>0–24</w:t>
            </w:r>
            <w:r w:rsidRPr="00B55EE1">
              <w:rPr>
                <w:b w:val="0"/>
                <w:w w:val="50"/>
                <w:szCs w:val="22"/>
                <w:vertAlign w:val="subscript"/>
              </w:rPr>
              <w:t> </w:t>
            </w:r>
            <w:r w:rsidRPr="00B55EE1">
              <w:rPr>
                <w:b w:val="0"/>
                <w:szCs w:val="22"/>
                <w:vertAlign w:val="subscript"/>
              </w:rPr>
              <w:t>h</w:t>
            </w:r>
            <w:r w:rsidR="000D7FEE" w:rsidRPr="00B55EE1">
              <w:rPr>
                <w:b w:val="0"/>
                <w:szCs w:val="22"/>
                <w:vertAlign w:val="subscript"/>
              </w:rPr>
              <w:t xml:space="preserve"> </w:t>
            </w:r>
            <w:proofErr w:type="spellStart"/>
            <w:r w:rsidRPr="00B55EE1">
              <w:rPr>
                <w:szCs w:val="22"/>
              </w:rPr>
              <w:t>μg∙h</w:t>
            </w:r>
            <w:proofErr w:type="spellEnd"/>
            <w:r w:rsidRPr="00B55EE1">
              <w:rPr>
                <w:szCs w:val="22"/>
              </w:rPr>
              <w:t>/mL</w:t>
            </w:r>
          </w:p>
        </w:tc>
        <w:tc>
          <w:tcPr>
            <w:tcW w:w="992" w:type="dxa"/>
          </w:tcPr>
          <w:p w:rsidR="00C47D6B" w:rsidRPr="00B55EE1" w:rsidRDefault="00C47D6B" w:rsidP="00B55EE1">
            <w:pPr>
              <w:ind w:left="0"/>
              <w:rPr>
                <w:szCs w:val="22"/>
              </w:rPr>
            </w:pPr>
            <w:r w:rsidRPr="00B55EE1">
              <w:rPr>
                <w:szCs w:val="22"/>
              </w:rPr>
              <w:t>Expo</w:t>
            </w:r>
            <w:r w:rsidR="009A5AAE" w:rsidRPr="00B55EE1">
              <w:rPr>
                <w:szCs w:val="22"/>
              </w:rPr>
              <w:t>-</w:t>
            </w:r>
            <w:r w:rsidRPr="00B55EE1">
              <w:rPr>
                <w:szCs w:val="22"/>
              </w:rPr>
              <w:t>sure ratio</w:t>
            </w:r>
            <w:r w:rsidRPr="00B55EE1">
              <w:rPr>
                <w:szCs w:val="22"/>
                <w:vertAlign w:val="superscript"/>
              </w:rPr>
              <w:t>#</w:t>
            </w:r>
          </w:p>
        </w:tc>
        <w:tc>
          <w:tcPr>
            <w:tcW w:w="993" w:type="dxa"/>
          </w:tcPr>
          <w:p w:rsidR="00C47D6B" w:rsidRPr="00B55EE1" w:rsidRDefault="00C47D6B" w:rsidP="00B55EE1">
            <w:pPr>
              <w:ind w:left="0"/>
              <w:rPr>
                <w:szCs w:val="22"/>
              </w:rPr>
            </w:pPr>
            <w:r w:rsidRPr="00B55EE1">
              <w:rPr>
                <w:szCs w:val="22"/>
              </w:rPr>
              <w:t>Expo</w:t>
            </w:r>
            <w:r w:rsidR="009A5AAE" w:rsidRPr="00B55EE1">
              <w:rPr>
                <w:szCs w:val="22"/>
              </w:rPr>
              <w:t>-</w:t>
            </w:r>
            <w:r w:rsidRPr="00B55EE1">
              <w:rPr>
                <w:szCs w:val="22"/>
              </w:rPr>
              <w:t>sure ratio</w:t>
            </w:r>
            <w:r w:rsidRPr="00B55EE1">
              <w:rPr>
                <w:szCs w:val="22"/>
                <w:vertAlign w:val="superscript"/>
              </w:rPr>
              <w:t>†</w:t>
            </w:r>
          </w:p>
        </w:tc>
      </w:tr>
      <w:tr w:rsidR="00C47D6B" w:rsidRPr="00B55EE1" w:rsidTr="000D7FEE">
        <w:trPr>
          <w:trHeight w:val="227"/>
        </w:trPr>
        <w:tc>
          <w:tcPr>
            <w:tcW w:w="1276" w:type="dxa"/>
            <w:vMerge w:val="restart"/>
          </w:tcPr>
          <w:p w:rsidR="00C47D6B" w:rsidRPr="00B55EE1" w:rsidRDefault="00C47D6B" w:rsidP="00B55EE1">
            <w:pPr>
              <w:ind w:left="0"/>
              <w:rPr>
                <w:rFonts w:eastAsia="Times New Roman"/>
                <w:snapToGrid w:val="0"/>
                <w:szCs w:val="22"/>
              </w:rPr>
            </w:pPr>
            <w:r w:rsidRPr="00B55EE1">
              <w:rPr>
                <w:rFonts w:eastAsia="Times New Roman"/>
                <w:snapToGrid w:val="0"/>
                <w:szCs w:val="22"/>
              </w:rPr>
              <w:t>Mouse (CD-1)</w:t>
            </w:r>
          </w:p>
        </w:tc>
        <w:tc>
          <w:tcPr>
            <w:tcW w:w="1418" w:type="dxa"/>
            <w:vMerge w:val="restart"/>
          </w:tcPr>
          <w:p w:rsidR="00C47D6B" w:rsidRPr="00B55EE1" w:rsidRDefault="00C47D6B" w:rsidP="00B55EE1">
            <w:pPr>
              <w:ind w:left="0"/>
              <w:rPr>
                <w:rFonts w:eastAsia="Times New Roman"/>
                <w:snapToGrid w:val="0"/>
                <w:szCs w:val="22"/>
              </w:rPr>
            </w:pPr>
            <w:r w:rsidRPr="00B55EE1">
              <w:rPr>
                <w:rFonts w:eastAsia="Times New Roman"/>
                <w:snapToGrid w:val="0"/>
                <w:szCs w:val="22"/>
              </w:rPr>
              <w:t>2 years</w:t>
            </w:r>
            <w:r w:rsidR="000D7FEE" w:rsidRPr="00B55EE1">
              <w:rPr>
                <w:rFonts w:eastAsia="Times New Roman"/>
                <w:snapToGrid w:val="0"/>
                <w:szCs w:val="22"/>
              </w:rPr>
              <w:t xml:space="preserve"> </w:t>
            </w:r>
            <w:r w:rsidRPr="00B55EE1">
              <w:rPr>
                <w:rFonts w:eastAsia="Times New Roman"/>
                <w:snapToGrid w:val="0"/>
                <w:szCs w:val="22"/>
              </w:rPr>
              <w:t>[</w:t>
            </w:r>
            <w:proofErr w:type="spellStart"/>
            <w:r w:rsidRPr="00B55EE1">
              <w:rPr>
                <w:rFonts w:eastAsia="Times New Roman"/>
                <w:snapToGrid w:val="0"/>
                <w:szCs w:val="22"/>
              </w:rPr>
              <w:t>carcinog</w:t>
            </w:r>
            <w:r w:rsidR="009A5AAE" w:rsidRPr="00B55EE1">
              <w:rPr>
                <w:rFonts w:eastAsia="Times New Roman"/>
                <w:snapToGrid w:val="0"/>
                <w:szCs w:val="22"/>
              </w:rPr>
              <w:t>-</w:t>
            </w:r>
            <w:r w:rsidRPr="00B55EE1">
              <w:rPr>
                <w:rFonts w:eastAsia="Times New Roman"/>
                <w:snapToGrid w:val="0"/>
                <w:szCs w:val="22"/>
              </w:rPr>
              <w:t>enicity</w:t>
            </w:r>
            <w:proofErr w:type="spellEnd"/>
            <w:r w:rsidRPr="00B55EE1">
              <w:rPr>
                <w:rFonts w:eastAsia="Times New Roman"/>
                <w:snapToGrid w:val="0"/>
                <w:szCs w:val="22"/>
              </w:rPr>
              <w:t>]</w:t>
            </w: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7.5</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22.5</w:t>
            </w:r>
          </w:p>
        </w:tc>
        <w:tc>
          <w:tcPr>
            <w:tcW w:w="872" w:type="dxa"/>
            <w:vMerge w:val="restart"/>
          </w:tcPr>
          <w:p w:rsidR="00C47D6B" w:rsidRPr="00B55EE1" w:rsidRDefault="00C47D6B" w:rsidP="00B55EE1">
            <w:pPr>
              <w:ind w:left="22"/>
              <w:rPr>
                <w:rFonts w:eastAsia="Times New Roman"/>
                <w:snapToGrid w:val="0"/>
                <w:szCs w:val="22"/>
              </w:rPr>
            </w:pPr>
            <w:r w:rsidRPr="00B55EE1">
              <w:rPr>
                <w:rFonts w:eastAsia="Times New Roman"/>
                <w:snapToGrid w:val="0"/>
                <w:szCs w:val="22"/>
              </w:rPr>
              <w:t>182</w:t>
            </w: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153</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3.7</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0.7</w:t>
            </w:r>
          </w:p>
        </w:tc>
      </w:tr>
      <w:tr w:rsidR="00C47D6B" w:rsidRPr="00B55EE1" w:rsidTr="000D7FEE">
        <w:trPr>
          <w:trHeight w:val="227"/>
        </w:trPr>
        <w:tc>
          <w:tcPr>
            <w:tcW w:w="1276" w:type="dxa"/>
            <w:vMerge/>
          </w:tcPr>
          <w:p w:rsidR="00C47D6B" w:rsidRPr="00B55EE1" w:rsidRDefault="00C47D6B" w:rsidP="00B55EE1">
            <w:pPr>
              <w:ind w:left="0"/>
              <w:rPr>
                <w:rFonts w:eastAsia="Times New Roman"/>
                <w:snapToGrid w:val="0"/>
                <w:szCs w:val="22"/>
              </w:rPr>
            </w:pPr>
          </w:p>
        </w:tc>
        <w:tc>
          <w:tcPr>
            <w:tcW w:w="1418" w:type="dxa"/>
            <w:vMerge/>
          </w:tcPr>
          <w:p w:rsidR="00C47D6B" w:rsidRPr="00B55EE1" w:rsidRDefault="00C47D6B" w:rsidP="00B55EE1">
            <w:pPr>
              <w:ind w:left="0"/>
              <w:rPr>
                <w:rFonts w:eastAsia="Times New Roman"/>
                <w:snapToGrid w:val="0"/>
                <w:szCs w:val="22"/>
              </w:rPr>
            </w:pP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25</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75</w:t>
            </w:r>
          </w:p>
        </w:tc>
        <w:tc>
          <w:tcPr>
            <w:tcW w:w="872" w:type="dxa"/>
            <w:vMerge/>
          </w:tcPr>
          <w:p w:rsidR="00C47D6B" w:rsidRPr="00B55EE1" w:rsidRDefault="00C47D6B" w:rsidP="00B55EE1">
            <w:pPr>
              <w:ind w:left="22"/>
              <w:rPr>
                <w:rFonts w:eastAsia="Times New Roman"/>
                <w:snapToGrid w:val="0"/>
                <w:szCs w:val="22"/>
              </w:rPr>
            </w:pP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411</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10</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2</w:t>
            </w:r>
          </w:p>
        </w:tc>
      </w:tr>
      <w:tr w:rsidR="00C47D6B" w:rsidRPr="00B55EE1" w:rsidTr="000D7FEE">
        <w:trPr>
          <w:trHeight w:val="227"/>
        </w:trPr>
        <w:tc>
          <w:tcPr>
            <w:tcW w:w="1276" w:type="dxa"/>
            <w:vMerge/>
          </w:tcPr>
          <w:p w:rsidR="00C47D6B" w:rsidRPr="00B55EE1" w:rsidRDefault="00C47D6B" w:rsidP="00B55EE1">
            <w:pPr>
              <w:ind w:left="0"/>
              <w:rPr>
                <w:rFonts w:eastAsia="Times New Roman"/>
                <w:snapToGrid w:val="0"/>
                <w:szCs w:val="22"/>
              </w:rPr>
            </w:pPr>
          </w:p>
        </w:tc>
        <w:tc>
          <w:tcPr>
            <w:tcW w:w="1418" w:type="dxa"/>
            <w:vMerge/>
          </w:tcPr>
          <w:p w:rsidR="00C47D6B" w:rsidRPr="00B55EE1" w:rsidRDefault="00C47D6B" w:rsidP="00B55EE1">
            <w:pPr>
              <w:ind w:left="0"/>
              <w:rPr>
                <w:rFonts w:eastAsia="Times New Roman"/>
                <w:snapToGrid w:val="0"/>
                <w:szCs w:val="22"/>
              </w:rPr>
            </w:pP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500</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1500</w:t>
            </w:r>
          </w:p>
        </w:tc>
        <w:tc>
          <w:tcPr>
            <w:tcW w:w="872" w:type="dxa"/>
            <w:vMerge/>
          </w:tcPr>
          <w:p w:rsidR="00C47D6B" w:rsidRPr="00B55EE1" w:rsidRDefault="00C47D6B" w:rsidP="00B55EE1">
            <w:pPr>
              <w:ind w:left="22"/>
              <w:rPr>
                <w:rFonts w:eastAsia="Times New Roman"/>
                <w:snapToGrid w:val="0"/>
                <w:szCs w:val="22"/>
              </w:rPr>
            </w:pP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1082</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27</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45</w:t>
            </w:r>
          </w:p>
        </w:tc>
      </w:tr>
      <w:tr w:rsidR="00C47D6B" w:rsidRPr="00B55EE1" w:rsidTr="000D7FEE">
        <w:trPr>
          <w:trHeight w:val="227"/>
        </w:trPr>
        <w:tc>
          <w:tcPr>
            <w:tcW w:w="1276" w:type="dxa"/>
            <w:vMerge w:val="restart"/>
          </w:tcPr>
          <w:p w:rsidR="00C47D6B" w:rsidRPr="00B55EE1" w:rsidRDefault="00C47D6B" w:rsidP="005078C9">
            <w:pPr>
              <w:ind w:left="0"/>
              <w:rPr>
                <w:rFonts w:eastAsia="Times New Roman"/>
                <w:snapToGrid w:val="0"/>
                <w:szCs w:val="22"/>
              </w:rPr>
            </w:pPr>
            <w:r w:rsidRPr="00B55EE1">
              <w:rPr>
                <w:rFonts w:eastAsia="Times New Roman"/>
                <w:snapToGrid w:val="0"/>
                <w:szCs w:val="22"/>
              </w:rPr>
              <w:t>Rat</w:t>
            </w:r>
            <w:r w:rsidR="005078C9">
              <w:rPr>
                <w:rFonts w:eastAsia="Times New Roman"/>
                <w:snapToGrid w:val="0"/>
                <w:szCs w:val="22"/>
              </w:rPr>
              <w:t xml:space="preserve"> </w:t>
            </w:r>
            <w:r w:rsidRPr="00B55EE1">
              <w:rPr>
                <w:rFonts w:eastAsia="Times New Roman"/>
                <w:snapToGrid w:val="0"/>
                <w:szCs w:val="22"/>
              </w:rPr>
              <w:t>(SD)</w:t>
            </w:r>
          </w:p>
        </w:tc>
        <w:tc>
          <w:tcPr>
            <w:tcW w:w="1418" w:type="dxa"/>
            <w:vMerge w:val="restart"/>
          </w:tcPr>
          <w:p w:rsidR="00C47D6B" w:rsidRPr="00B55EE1" w:rsidRDefault="00C47D6B" w:rsidP="00B55EE1">
            <w:pPr>
              <w:ind w:left="0"/>
              <w:rPr>
                <w:rFonts w:eastAsia="Times New Roman"/>
                <w:snapToGrid w:val="0"/>
                <w:szCs w:val="22"/>
              </w:rPr>
            </w:pPr>
            <w:r w:rsidRPr="00B55EE1">
              <w:rPr>
                <w:rFonts w:eastAsia="Times New Roman"/>
                <w:snapToGrid w:val="0"/>
                <w:szCs w:val="22"/>
              </w:rPr>
              <w:t>26 weeks</w:t>
            </w: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5</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30</w:t>
            </w:r>
          </w:p>
        </w:tc>
        <w:tc>
          <w:tcPr>
            <w:tcW w:w="872" w:type="dxa"/>
            <w:vMerge w:val="restart"/>
          </w:tcPr>
          <w:p w:rsidR="00C47D6B" w:rsidRPr="00B55EE1" w:rsidRDefault="00C47D6B" w:rsidP="00B55EE1">
            <w:pPr>
              <w:ind w:left="22"/>
              <w:rPr>
                <w:rFonts w:eastAsia="Times New Roman"/>
                <w:snapToGrid w:val="0"/>
                <w:szCs w:val="22"/>
              </w:rPr>
            </w:pPr>
            <w:r w:rsidRPr="00B55EE1">
              <w:rPr>
                <w:rFonts w:eastAsia="Times New Roman"/>
                <w:snapToGrid w:val="0"/>
                <w:szCs w:val="22"/>
              </w:rPr>
              <w:t>180</w:t>
            </w: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203</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5</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0.9</w:t>
            </w:r>
          </w:p>
        </w:tc>
      </w:tr>
      <w:tr w:rsidR="00C47D6B" w:rsidRPr="00B55EE1" w:rsidTr="000D7FEE">
        <w:trPr>
          <w:trHeight w:val="227"/>
        </w:trPr>
        <w:tc>
          <w:tcPr>
            <w:tcW w:w="1276" w:type="dxa"/>
            <w:vMerge/>
          </w:tcPr>
          <w:p w:rsidR="00C47D6B" w:rsidRPr="00B55EE1" w:rsidRDefault="00C47D6B" w:rsidP="00B55EE1">
            <w:pPr>
              <w:ind w:left="0"/>
              <w:rPr>
                <w:rFonts w:eastAsia="Times New Roman"/>
                <w:snapToGrid w:val="0"/>
                <w:szCs w:val="22"/>
              </w:rPr>
            </w:pPr>
          </w:p>
        </w:tc>
        <w:tc>
          <w:tcPr>
            <w:tcW w:w="1418" w:type="dxa"/>
            <w:vMerge/>
          </w:tcPr>
          <w:p w:rsidR="00C47D6B" w:rsidRPr="00B55EE1" w:rsidRDefault="00C47D6B" w:rsidP="00B55EE1">
            <w:pPr>
              <w:ind w:left="0"/>
              <w:rPr>
                <w:rFonts w:eastAsia="Times New Roman"/>
                <w:snapToGrid w:val="0"/>
                <w:szCs w:val="22"/>
              </w:rPr>
            </w:pP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50</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300</w:t>
            </w:r>
          </w:p>
        </w:tc>
        <w:tc>
          <w:tcPr>
            <w:tcW w:w="872" w:type="dxa"/>
            <w:vMerge/>
          </w:tcPr>
          <w:p w:rsidR="00C47D6B" w:rsidRPr="00B55EE1" w:rsidRDefault="00C47D6B" w:rsidP="00B55EE1">
            <w:pPr>
              <w:ind w:left="22"/>
              <w:rPr>
                <w:rFonts w:eastAsia="Times New Roman"/>
                <w:snapToGrid w:val="0"/>
                <w:szCs w:val="22"/>
              </w:rPr>
            </w:pP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764</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13</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9</w:t>
            </w:r>
          </w:p>
        </w:tc>
      </w:tr>
      <w:tr w:rsidR="00C47D6B" w:rsidRPr="00B55EE1" w:rsidTr="000D7FEE">
        <w:trPr>
          <w:trHeight w:val="227"/>
        </w:trPr>
        <w:tc>
          <w:tcPr>
            <w:tcW w:w="1276" w:type="dxa"/>
            <w:vMerge/>
          </w:tcPr>
          <w:p w:rsidR="00C47D6B" w:rsidRPr="00B55EE1" w:rsidRDefault="00C47D6B" w:rsidP="00B55EE1">
            <w:pPr>
              <w:ind w:left="0"/>
              <w:rPr>
                <w:rFonts w:eastAsia="Times New Roman"/>
                <w:snapToGrid w:val="0"/>
                <w:szCs w:val="22"/>
              </w:rPr>
            </w:pPr>
          </w:p>
        </w:tc>
        <w:tc>
          <w:tcPr>
            <w:tcW w:w="1418" w:type="dxa"/>
            <w:vMerge/>
          </w:tcPr>
          <w:p w:rsidR="00C47D6B" w:rsidRPr="00B55EE1" w:rsidRDefault="00C47D6B" w:rsidP="00B55EE1">
            <w:pPr>
              <w:ind w:left="0"/>
              <w:rPr>
                <w:rFonts w:eastAsia="Times New Roman"/>
                <w:snapToGrid w:val="0"/>
                <w:szCs w:val="22"/>
              </w:rPr>
            </w:pP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500</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3000</w:t>
            </w:r>
          </w:p>
        </w:tc>
        <w:tc>
          <w:tcPr>
            <w:tcW w:w="872" w:type="dxa"/>
            <w:vMerge/>
          </w:tcPr>
          <w:p w:rsidR="00C47D6B" w:rsidRPr="00B55EE1" w:rsidRDefault="00C47D6B" w:rsidP="00B55EE1">
            <w:pPr>
              <w:ind w:left="22"/>
              <w:rPr>
                <w:rFonts w:eastAsia="Times New Roman"/>
                <w:snapToGrid w:val="0"/>
                <w:szCs w:val="22"/>
              </w:rPr>
            </w:pP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1557</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38</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91</w:t>
            </w:r>
          </w:p>
        </w:tc>
      </w:tr>
      <w:tr w:rsidR="00C47D6B" w:rsidRPr="00B55EE1" w:rsidTr="000D7FEE">
        <w:trPr>
          <w:trHeight w:val="227"/>
        </w:trPr>
        <w:tc>
          <w:tcPr>
            <w:tcW w:w="1276" w:type="dxa"/>
            <w:vMerge w:val="restart"/>
          </w:tcPr>
          <w:p w:rsidR="00C47D6B" w:rsidRPr="00B55EE1" w:rsidRDefault="00C47D6B" w:rsidP="00B55EE1">
            <w:pPr>
              <w:ind w:left="0"/>
              <w:rPr>
                <w:rFonts w:eastAsia="Times New Roman"/>
                <w:snapToGrid w:val="0"/>
                <w:szCs w:val="22"/>
              </w:rPr>
            </w:pPr>
            <w:r w:rsidRPr="00B55EE1">
              <w:rPr>
                <w:rFonts w:eastAsia="Times New Roman"/>
                <w:snapToGrid w:val="0"/>
                <w:szCs w:val="22"/>
              </w:rPr>
              <w:t>Rat</w:t>
            </w:r>
            <w:r w:rsidR="002757A7" w:rsidRPr="00B55EE1">
              <w:rPr>
                <w:rFonts w:eastAsia="Times New Roman"/>
                <w:snapToGrid w:val="0"/>
                <w:szCs w:val="22"/>
              </w:rPr>
              <w:t xml:space="preserve"> </w:t>
            </w:r>
            <w:r w:rsidRPr="00B55EE1">
              <w:rPr>
                <w:rFonts w:eastAsia="Times New Roman"/>
                <w:snapToGrid w:val="0"/>
                <w:szCs w:val="22"/>
              </w:rPr>
              <w:t>(SD)</w:t>
            </w:r>
          </w:p>
        </w:tc>
        <w:tc>
          <w:tcPr>
            <w:tcW w:w="1418" w:type="dxa"/>
            <w:vMerge w:val="restart"/>
          </w:tcPr>
          <w:p w:rsidR="00C47D6B" w:rsidRPr="00B55EE1" w:rsidRDefault="00C47D6B" w:rsidP="005078C9">
            <w:pPr>
              <w:ind w:left="0"/>
              <w:rPr>
                <w:rFonts w:eastAsia="Times New Roman"/>
                <w:snapToGrid w:val="0"/>
                <w:szCs w:val="22"/>
              </w:rPr>
            </w:pPr>
            <w:r w:rsidRPr="00B55EE1">
              <w:rPr>
                <w:rFonts w:eastAsia="Times New Roman"/>
                <w:snapToGrid w:val="0"/>
                <w:szCs w:val="22"/>
              </w:rPr>
              <w:t>2 years</w:t>
            </w:r>
            <w:r w:rsidR="005078C9">
              <w:rPr>
                <w:rFonts w:eastAsia="Times New Roman"/>
                <w:snapToGrid w:val="0"/>
                <w:szCs w:val="22"/>
              </w:rPr>
              <w:t xml:space="preserve"> </w:t>
            </w:r>
            <w:r w:rsidRPr="00B55EE1">
              <w:rPr>
                <w:rFonts w:eastAsia="Times New Roman"/>
                <w:snapToGrid w:val="0"/>
                <w:szCs w:val="22"/>
              </w:rPr>
              <w:t>[</w:t>
            </w:r>
            <w:proofErr w:type="spellStart"/>
            <w:r w:rsidRPr="00B55EE1">
              <w:rPr>
                <w:rFonts w:eastAsia="Times New Roman"/>
                <w:snapToGrid w:val="0"/>
                <w:szCs w:val="22"/>
              </w:rPr>
              <w:t>carcinog</w:t>
            </w:r>
            <w:r w:rsidR="009A5AAE" w:rsidRPr="00B55EE1">
              <w:rPr>
                <w:rFonts w:eastAsia="Times New Roman"/>
                <w:snapToGrid w:val="0"/>
                <w:szCs w:val="22"/>
              </w:rPr>
              <w:t>-</w:t>
            </w:r>
            <w:r w:rsidRPr="00B55EE1">
              <w:rPr>
                <w:rFonts w:eastAsia="Times New Roman"/>
                <w:snapToGrid w:val="0"/>
                <w:szCs w:val="22"/>
              </w:rPr>
              <w:t>enicity</w:t>
            </w:r>
            <w:proofErr w:type="spellEnd"/>
            <w:r w:rsidRPr="00B55EE1">
              <w:rPr>
                <w:rFonts w:eastAsia="Times New Roman"/>
                <w:snapToGrid w:val="0"/>
                <w:szCs w:val="22"/>
              </w:rPr>
              <w:t>]</w:t>
            </w: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2</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12</w:t>
            </w:r>
          </w:p>
        </w:tc>
        <w:tc>
          <w:tcPr>
            <w:tcW w:w="872" w:type="dxa"/>
            <w:vMerge w:val="restart"/>
          </w:tcPr>
          <w:p w:rsidR="00C47D6B" w:rsidRPr="00B55EE1" w:rsidRDefault="00C47D6B" w:rsidP="00B55EE1">
            <w:pPr>
              <w:ind w:left="22"/>
              <w:rPr>
                <w:rFonts w:eastAsia="Times New Roman"/>
                <w:snapToGrid w:val="0"/>
                <w:szCs w:val="22"/>
              </w:rPr>
            </w:pPr>
            <w:r w:rsidRPr="00B55EE1">
              <w:rPr>
                <w:rFonts w:eastAsia="Times New Roman"/>
                <w:snapToGrid w:val="0"/>
                <w:szCs w:val="22"/>
              </w:rPr>
              <w:t>182</w:t>
            </w: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190</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4.6</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0.36</w:t>
            </w:r>
          </w:p>
        </w:tc>
      </w:tr>
      <w:tr w:rsidR="00C47D6B" w:rsidRPr="00B55EE1" w:rsidTr="000D7FEE">
        <w:trPr>
          <w:trHeight w:val="227"/>
        </w:trPr>
        <w:tc>
          <w:tcPr>
            <w:tcW w:w="1276" w:type="dxa"/>
            <w:vMerge/>
          </w:tcPr>
          <w:p w:rsidR="00C47D6B" w:rsidRPr="00B55EE1" w:rsidRDefault="00C47D6B" w:rsidP="00B55EE1">
            <w:pPr>
              <w:ind w:left="0"/>
              <w:rPr>
                <w:rFonts w:eastAsia="Times New Roman"/>
                <w:snapToGrid w:val="0"/>
                <w:szCs w:val="22"/>
              </w:rPr>
            </w:pPr>
          </w:p>
        </w:tc>
        <w:tc>
          <w:tcPr>
            <w:tcW w:w="1418" w:type="dxa"/>
            <w:vMerge/>
          </w:tcPr>
          <w:p w:rsidR="00C47D6B" w:rsidRPr="00B55EE1" w:rsidRDefault="00C47D6B" w:rsidP="00B55EE1">
            <w:pPr>
              <w:ind w:left="0"/>
              <w:rPr>
                <w:rFonts w:eastAsia="Times New Roman"/>
                <w:snapToGrid w:val="0"/>
                <w:szCs w:val="22"/>
              </w:rPr>
            </w:pP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10</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60</w:t>
            </w:r>
          </w:p>
        </w:tc>
        <w:tc>
          <w:tcPr>
            <w:tcW w:w="872" w:type="dxa"/>
            <w:vMerge/>
          </w:tcPr>
          <w:p w:rsidR="00C47D6B" w:rsidRPr="00B55EE1" w:rsidRDefault="00C47D6B" w:rsidP="00B55EE1">
            <w:pPr>
              <w:ind w:left="22"/>
              <w:rPr>
                <w:rFonts w:eastAsia="Times New Roman"/>
                <w:snapToGrid w:val="0"/>
                <w:szCs w:val="22"/>
              </w:rPr>
            </w:pP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536</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13</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2</w:t>
            </w:r>
          </w:p>
        </w:tc>
      </w:tr>
      <w:tr w:rsidR="00C47D6B" w:rsidRPr="00B55EE1" w:rsidTr="000D7FEE">
        <w:trPr>
          <w:trHeight w:val="227"/>
        </w:trPr>
        <w:tc>
          <w:tcPr>
            <w:tcW w:w="1276" w:type="dxa"/>
            <w:vMerge/>
          </w:tcPr>
          <w:p w:rsidR="00C47D6B" w:rsidRPr="00B55EE1" w:rsidRDefault="00C47D6B" w:rsidP="00B55EE1">
            <w:pPr>
              <w:ind w:left="0"/>
              <w:rPr>
                <w:rFonts w:eastAsia="Times New Roman"/>
                <w:snapToGrid w:val="0"/>
                <w:szCs w:val="22"/>
              </w:rPr>
            </w:pPr>
          </w:p>
        </w:tc>
        <w:tc>
          <w:tcPr>
            <w:tcW w:w="1418" w:type="dxa"/>
            <w:vMerge/>
          </w:tcPr>
          <w:p w:rsidR="00C47D6B" w:rsidRPr="00B55EE1" w:rsidRDefault="00C47D6B" w:rsidP="00B55EE1">
            <w:pPr>
              <w:ind w:left="0"/>
              <w:rPr>
                <w:rFonts w:eastAsia="Times New Roman"/>
                <w:snapToGrid w:val="0"/>
                <w:szCs w:val="22"/>
              </w:rPr>
            </w:pP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50</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300</w:t>
            </w:r>
          </w:p>
        </w:tc>
        <w:tc>
          <w:tcPr>
            <w:tcW w:w="872" w:type="dxa"/>
            <w:vMerge/>
          </w:tcPr>
          <w:p w:rsidR="00C47D6B" w:rsidRPr="00B55EE1" w:rsidRDefault="00C47D6B" w:rsidP="00B55EE1">
            <w:pPr>
              <w:ind w:left="22"/>
              <w:rPr>
                <w:rFonts w:eastAsia="Times New Roman"/>
                <w:snapToGrid w:val="0"/>
                <w:szCs w:val="22"/>
              </w:rPr>
            </w:pP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927</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23</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9</w:t>
            </w:r>
          </w:p>
        </w:tc>
      </w:tr>
      <w:tr w:rsidR="00C47D6B" w:rsidRPr="00B55EE1" w:rsidTr="000D7FEE">
        <w:trPr>
          <w:trHeight w:val="227"/>
        </w:trPr>
        <w:tc>
          <w:tcPr>
            <w:tcW w:w="1276" w:type="dxa"/>
            <w:vMerge w:val="restart"/>
          </w:tcPr>
          <w:p w:rsidR="00C47D6B" w:rsidRPr="00B55EE1" w:rsidRDefault="00C47D6B" w:rsidP="00B55EE1">
            <w:pPr>
              <w:ind w:left="0"/>
              <w:rPr>
                <w:rFonts w:eastAsia="Times New Roman"/>
                <w:snapToGrid w:val="0"/>
                <w:szCs w:val="22"/>
              </w:rPr>
            </w:pPr>
            <w:r w:rsidRPr="00B55EE1">
              <w:rPr>
                <w:rFonts w:eastAsia="Times New Roman"/>
                <w:snapToGrid w:val="0"/>
                <w:szCs w:val="22"/>
              </w:rPr>
              <w:t>Monkey</w:t>
            </w:r>
            <w:r w:rsidR="002757A7" w:rsidRPr="00B55EE1">
              <w:rPr>
                <w:rFonts w:eastAsia="Times New Roman"/>
                <w:snapToGrid w:val="0"/>
                <w:szCs w:val="22"/>
              </w:rPr>
              <w:t xml:space="preserve"> </w:t>
            </w:r>
            <w:r w:rsidRPr="00B55EE1">
              <w:rPr>
                <w:rFonts w:eastAsia="Times New Roman"/>
                <w:snapToGrid w:val="0"/>
                <w:szCs w:val="22"/>
              </w:rPr>
              <w:t>(</w:t>
            </w:r>
            <w:proofErr w:type="spellStart"/>
            <w:r w:rsidRPr="00B55EE1">
              <w:rPr>
                <w:rFonts w:eastAsia="Times New Roman"/>
                <w:snapToGrid w:val="0"/>
                <w:szCs w:val="22"/>
              </w:rPr>
              <w:t>Cynomolgus</w:t>
            </w:r>
            <w:proofErr w:type="spellEnd"/>
            <w:r w:rsidRPr="00B55EE1">
              <w:rPr>
                <w:rFonts w:eastAsia="Times New Roman"/>
                <w:snapToGrid w:val="0"/>
                <w:szCs w:val="22"/>
              </w:rPr>
              <w:t>)</w:t>
            </w:r>
          </w:p>
        </w:tc>
        <w:tc>
          <w:tcPr>
            <w:tcW w:w="1418" w:type="dxa"/>
            <w:vMerge w:val="restart"/>
          </w:tcPr>
          <w:p w:rsidR="00C47D6B" w:rsidRPr="00B55EE1" w:rsidRDefault="00C47D6B" w:rsidP="00B55EE1">
            <w:pPr>
              <w:ind w:left="0"/>
              <w:rPr>
                <w:rFonts w:eastAsia="Times New Roman"/>
                <w:snapToGrid w:val="0"/>
                <w:szCs w:val="22"/>
              </w:rPr>
            </w:pPr>
            <w:r w:rsidRPr="00B55EE1">
              <w:rPr>
                <w:rFonts w:eastAsia="Times New Roman"/>
                <w:snapToGrid w:val="0"/>
                <w:szCs w:val="22"/>
              </w:rPr>
              <w:t>9 months</w:t>
            </w: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36</w:t>
            </w:r>
          </w:p>
        </w:tc>
        <w:tc>
          <w:tcPr>
            <w:tcW w:w="872" w:type="dxa"/>
            <w:vMerge w:val="restart"/>
          </w:tcPr>
          <w:p w:rsidR="00C47D6B" w:rsidRPr="00B55EE1" w:rsidRDefault="00C47D6B" w:rsidP="00B55EE1">
            <w:pPr>
              <w:ind w:left="22"/>
              <w:rPr>
                <w:rFonts w:eastAsia="Times New Roman"/>
                <w:snapToGrid w:val="0"/>
                <w:szCs w:val="22"/>
              </w:rPr>
            </w:pPr>
            <w:r w:rsidRPr="00B55EE1">
              <w:rPr>
                <w:rFonts w:eastAsia="Times New Roman"/>
                <w:snapToGrid w:val="0"/>
                <w:szCs w:val="22"/>
              </w:rPr>
              <w:t>270</w:t>
            </w: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17</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0.4</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w:t>
            </w:r>
          </w:p>
        </w:tc>
      </w:tr>
      <w:tr w:rsidR="00C47D6B" w:rsidRPr="00B55EE1" w:rsidTr="000D7FEE">
        <w:trPr>
          <w:trHeight w:val="227"/>
        </w:trPr>
        <w:tc>
          <w:tcPr>
            <w:tcW w:w="1276" w:type="dxa"/>
            <w:vMerge/>
          </w:tcPr>
          <w:p w:rsidR="00C47D6B" w:rsidRPr="00B55EE1" w:rsidRDefault="00C47D6B" w:rsidP="00B55EE1">
            <w:pPr>
              <w:ind w:left="0"/>
              <w:rPr>
                <w:rFonts w:eastAsia="Times New Roman"/>
                <w:snapToGrid w:val="0"/>
                <w:szCs w:val="22"/>
              </w:rPr>
            </w:pPr>
          </w:p>
        </w:tc>
        <w:tc>
          <w:tcPr>
            <w:tcW w:w="1418" w:type="dxa"/>
            <w:vMerge/>
          </w:tcPr>
          <w:p w:rsidR="00C47D6B" w:rsidRPr="00B55EE1" w:rsidRDefault="00C47D6B" w:rsidP="00B55EE1">
            <w:pPr>
              <w:ind w:left="0"/>
              <w:rPr>
                <w:rFonts w:eastAsia="Times New Roman"/>
                <w:snapToGrid w:val="0"/>
                <w:szCs w:val="22"/>
              </w:rPr>
            </w:pP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10</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120</w:t>
            </w:r>
          </w:p>
        </w:tc>
        <w:tc>
          <w:tcPr>
            <w:tcW w:w="872" w:type="dxa"/>
            <w:vMerge/>
          </w:tcPr>
          <w:p w:rsidR="00C47D6B" w:rsidRPr="00B55EE1" w:rsidRDefault="00C47D6B" w:rsidP="00B55EE1">
            <w:pPr>
              <w:ind w:left="22"/>
              <w:rPr>
                <w:rFonts w:eastAsia="Times New Roman"/>
                <w:snapToGrid w:val="0"/>
                <w:szCs w:val="22"/>
              </w:rPr>
            </w:pP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35</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0.9</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4</w:t>
            </w:r>
          </w:p>
        </w:tc>
      </w:tr>
      <w:tr w:rsidR="00C47D6B" w:rsidRPr="00B55EE1" w:rsidTr="000D7FEE">
        <w:trPr>
          <w:trHeight w:val="227"/>
        </w:trPr>
        <w:tc>
          <w:tcPr>
            <w:tcW w:w="1276" w:type="dxa"/>
            <w:vMerge/>
          </w:tcPr>
          <w:p w:rsidR="00C47D6B" w:rsidRPr="00B55EE1" w:rsidRDefault="00C47D6B" w:rsidP="00B55EE1">
            <w:pPr>
              <w:ind w:left="0"/>
              <w:rPr>
                <w:rFonts w:eastAsia="Times New Roman"/>
                <w:snapToGrid w:val="0"/>
                <w:szCs w:val="22"/>
              </w:rPr>
            </w:pPr>
          </w:p>
        </w:tc>
        <w:tc>
          <w:tcPr>
            <w:tcW w:w="1418" w:type="dxa"/>
            <w:vMerge/>
          </w:tcPr>
          <w:p w:rsidR="00C47D6B" w:rsidRPr="00B55EE1" w:rsidRDefault="00C47D6B" w:rsidP="00B55EE1">
            <w:pPr>
              <w:ind w:left="0"/>
              <w:rPr>
                <w:rFonts w:eastAsia="Times New Roman"/>
                <w:snapToGrid w:val="0"/>
                <w:szCs w:val="22"/>
              </w:rPr>
            </w:pP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15</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180</w:t>
            </w:r>
          </w:p>
        </w:tc>
        <w:tc>
          <w:tcPr>
            <w:tcW w:w="872" w:type="dxa"/>
            <w:vMerge/>
          </w:tcPr>
          <w:p w:rsidR="00C47D6B" w:rsidRPr="00B55EE1" w:rsidRDefault="00C47D6B" w:rsidP="00B55EE1">
            <w:pPr>
              <w:ind w:left="22"/>
              <w:rPr>
                <w:rFonts w:eastAsia="Times New Roman"/>
                <w:snapToGrid w:val="0"/>
                <w:szCs w:val="22"/>
              </w:rPr>
            </w:pP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39</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1.0</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6</w:t>
            </w:r>
          </w:p>
        </w:tc>
      </w:tr>
      <w:tr w:rsidR="00C47D6B" w:rsidRPr="00B55EE1" w:rsidTr="000D7FEE">
        <w:trPr>
          <w:trHeight w:val="227"/>
        </w:trPr>
        <w:tc>
          <w:tcPr>
            <w:tcW w:w="1276" w:type="dxa"/>
            <w:vMerge/>
          </w:tcPr>
          <w:p w:rsidR="00C47D6B" w:rsidRPr="00B55EE1" w:rsidRDefault="00C47D6B" w:rsidP="00B55EE1">
            <w:pPr>
              <w:ind w:left="0"/>
              <w:rPr>
                <w:rFonts w:eastAsia="Times New Roman"/>
                <w:snapToGrid w:val="0"/>
                <w:szCs w:val="22"/>
              </w:rPr>
            </w:pPr>
          </w:p>
        </w:tc>
        <w:tc>
          <w:tcPr>
            <w:tcW w:w="1418" w:type="dxa"/>
            <w:vMerge/>
          </w:tcPr>
          <w:p w:rsidR="00C47D6B" w:rsidRPr="00B55EE1" w:rsidRDefault="00C47D6B" w:rsidP="00B55EE1">
            <w:pPr>
              <w:ind w:left="0"/>
              <w:rPr>
                <w:rFonts w:eastAsia="Times New Roman"/>
                <w:snapToGrid w:val="0"/>
                <w:szCs w:val="22"/>
              </w:rPr>
            </w:pP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30</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360</w:t>
            </w:r>
          </w:p>
        </w:tc>
        <w:tc>
          <w:tcPr>
            <w:tcW w:w="872" w:type="dxa"/>
            <w:vMerge/>
          </w:tcPr>
          <w:p w:rsidR="00C47D6B" w:rsidRPr="00B55EE1" w:rsidRDefault="00C47D6B" w:rsidP="00B55EE1">
            <w:pPr>
              <w:ind w:left="22"/>
              <w:rPr>
                <w:rFonts w:eastAsia="Times New Roman"/>
                <w:snapToGrid w:val="0"/>
                <w:szCs w:val="22"/>
              </w:rPr>
            </w:pP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62</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1.5</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11</w:t>
            </w:r>
          </w:p>
        </w:tc>
      </w:tr>
      <w:tr w:rsidR="00C47D6B" w:rsidRPr="00B55EE1" w:rsidTr="000D7FEE">
        <w:trPr>
          <w:trHeight w:val="227"/>
        </w:trPr>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Human</w:t>
            </w:r>
            <w:r w:rsidRPr="00B55EE1">
              <w:rPr>
                <w:rFonts w:eastAsia="Times New Roman"/>
                <w:snapToGrid w:val="0"/>
                <w:szCs w:val="22"/>
                <w:vertAlign w:val="superscript"/>
              </w:rPr>
              <w:t>‡</w:t>
            </w:r>
          </w:p>
        </w:tc>
        <w:tc>
          <w:tcPr>
            <w:tcW w:w="1418"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Single dose</w:t>
            </w:r>
          </w:p>
        </w:tc>
        <w:tc>
          <w:tcPr>
            <w:tcW w:w="1134"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50 mg/day</w:t>
            </w:r>
          </w:p>
        </w:tc>
        <w:tc>
          <w:tcPr>
            <w:tcW w:w="970"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33</w:t>
            </w:r>
          </w:p>
        </w:tc>
        <w:tc>
          <w:tcPr>
            <w:tcW w:w="872" w:type="dxa"/>
          </w:tcPr>
          <w:p w:rsidR="00C47D6B" w:rsidRPr="00B55EE1" w:rsidRDefault="00C47D6B" w:rsidP="00B55EE1">
            <w:pPr>
              <w:ind w:left="22"/>
              <w:rPr>
                <w:rFonts w:eastAsia="Times New Roman"/>
                <w:snapToGrid w:val="0"/>
                <w:szCs w:val="22"/>
              </w:rPr>
            </w:pPr>
            <w:r w:rsidRPr="00B55EE1">
              <w:rPr>
                <w:rFonts w:eastAsia="Times New Roman"/>
                <w:snapToGrid w:val="0"/>
                <w:szCs w:val="22"/>
              </w:rPr>
              <w:t>-</w:t>
            </w:r>
          </w:p>
        </w:tc>
        <w:tc>
          <w:tcPr>
            <w:tcW w:w="1276"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40.9</w:t>
            </w:r>
          </w:p>
        </w:tc>
        <w:tc>
          <w:tcPr>
            <w:tcW w:w="992"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w:t>
            </w:r>
          </w:p>
        </w:tc>
        <w:tc>
          <w:tcPr>
            <w:tcW w:w="993" w:type="dxa"/>
          </w:tcPr>
          <w:p w:rsidR="00C47D6B" w:rsidRPr="00B55EE1" w:rsidRDefault="00C47D6B" w:rsidP="00B55EE1">
            <w:pPr>
              <w:ind w:left="0"/>
              <w:rPr>
                <w:rFonts w:eastAsia="Times New Roman"/>
                <w:snapToGrid w:val="0"/>
                <w:szCs w:val="22"/>
              </w:rPr>
            </w:pPr>
            <w:r w:rsidRPr="00B55EE1">
              <w:rPr>
                <w:rFonts w:eastAsia="Times New Roman"/>
                <w:snapToGrid w:val="0"/>
                <w:szCs w:val="22"/>
              </w:rPr>
              <w:t>-</w:t>
            </w:r>
          </w:p>
        </w:tc>
      </w:tr>
    </w:tbl>
    <w:p w:rsidR="00C47D6B" w:rsidRPr="009A5AAE" w:rsidRDefault="00C47D6B" w:rsidP="002757A7">
      <w:pPr>
        <w:pStyle w:val="TableDescription"/>
      </w:pPr>
      <w:proofErr w:type="spellStart"/>
      <w:r w:rsidRPr="009A5AAE">
        <w:rPr>
          <w:vertAlign w:val="superscript"/>
        </w:rPr>
        <w:t>a</w:t>
      </w:r>
      <w:r w:rsidRPr="009A5AAE">
        <w:t>Animals</w:t>
      </w:r>
      <w:proofErr w:type="spellEnd"/>
      <w:r w:rsidRPr="009A5AAE">
        <w:t xml:space="preserve"> received the sodium salt (correction factor = 1.07); # = animal:</w:t>
      </w:r>
      <w:r w:rsidR="009A5AAE">
        <w:t xml:space="preserve"> </w:t>
      </w:r>
      <w:r w:rsidRPr="009A5AAE">
        <w:t>human plasma AUC</w:t>
      </w:r>
      <w:r w:rsidRPr="009A5AAE">
        <w:rPr>
          <w:vertAlign w:val="subscript"/>
        </w:rPr>
        <w:t>0–24 h</w:t>
      </w:r>
      <w:r w:rsidRPr="009A5AAE">
        <w:t>; †animal to human mg/m</w:t>
      </w:r>
      <w:r w:rsidRPr="009A5AAE">
        <w:rPr>
          <w:vertAlign w:val="superscript"/>
        </w:rPr>
        <w:t>2</w:t>
      </w:r>
      <w:r w:rsidRPr="009A5AAE">
        <w:t xml:space="preserve"> dose ratio, based on conversion factors (from mg/kg) of 3, 6, 12 and 33 for mouse, rat, monkey and human, respectively, or using A = KW2/3 for juvenile rats, based on mean body weight data from the study; ‡50 kg body weight; AUC</w:t>
      </w:r>
      <w:r w:rsidRPr="009A5AAE">
        <w:rPr>
          <w:vertAlign w:val="subscript"/>
        </w:rPr>
        <w:t>0-t</w:t>
      </w:r>
      <w:r w:rsidRPr="009A5AAE">
        <w:t xml:space="preserve"> taken from Study ING114580, bioequivalence of </w:t>
      </w:r>
      <w:proofErr w:type="spellStart"/>
      <w:r w:rsidR="003401D1" w:rsidRPr="009A5AAE">
        <w:t>Triumeq</w:t>
      </w:r>
      <w:proofErr w:type="spellEnd"/>
      <w:r w:rsidRPr="009A5AAE">
        <w:t xml:space="preserve"> tablet compared to DTG plus </w:t>
      </w:r>
      <w:proofErr w:type="spellStart"/>
      <w:r w:rsidR="009A5AAE" w:rsidRPr="009A5AAE">
        <w:t>Epzicom</w:t>
      </w:r>
      <w:proofErr w:type="spellEnd"/>
      <w:r w:rsidR="009A5AAE" w:rsidRPr="009A5AAE">
        <w:t xml:space="preserve"> </w:t>
      </w:r>
      <w:r w:rsidRPr="009A5AAE">
        <w:t>(combined 600 mg/300 mg ABC/3TC); t= last quantifiable concentration.</w:t>
      </w:r>
    </w:p>
    <w:p w:rsidR="00C47D6B" w:rsidRPr="0068453C" w:rsidRDefault="000F5822" w:rsidP="005078C9">
      <w:pPr>
        <w:pStyle w:val="TableTitle"/>
      </w:pPr>
      <w:r>
        <w:t xml:space="preserve">Table 3: </w:t>
      </w:r>
      <w:r w:rsidR="00C47D6B">
        <w:t xml:space="preserve">Relative exposure in carcinogenicity </w:t>
      </w:r>
      <w:r w:rsidR="00C47D6B" w:rsidRPr="00EC511E">
        <w:t>studies</w:t>
      </w:r>
      <w:r w:rsidR="00C47D6B">
        <w:t xml:space="preserve"> with ABC</w:t>
      </w:r>
    </w:p>
    <w:p w:rsidR="00C47D6B" w:rsidRDefault="00C47D6B" w:rsidP="002757A7">
      <w:pPr>
        <w:rPr>
          <w:color w:val="3366CC"/>
          <w:kern w:val="2"/>
          <w:szCs w:val="20"/>
        </w:rPr>
      </w:pPr>
      <w:r w:rsidRPr="00DC3620">
        <w:rPr>
          <w:noProof/>
          <w:lang w:eastAsia="en-AU"/>
        </w:rPr>
        <w:drawing>
          <wp:inline distT="0" distB="0" distL="0" distR="0" wp14:anchorId="20572903" wp14:editId="4ACD227E">
            <wp:extent cx="4326673" cy="3439452"/>
            <wp:effectExtent l="0" t="0" r="0" b="8890"/>
            <wp:docPr id="1" name="Picture 1" descr="Table 3: Relative exposure in carcinogenicity studies with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lum bright="-20000" contrast="40000"/>
                      <a:extLst>
                        <a:ext uri="{28A0092B-C50C-407E-A947-70E740481C1C}">
                          <a14:useLocalDpi xmlns:a14="http://schemas.microsoft.com/office/drawing/2010/main" val="0"/>
                        </a:ext>
                      </a:extLst>
                    </a:blip>
                    <a:srcRect/>
                    <a:stretch>
                      <a:fillRect/>
                    </a:stretch>
                  </pic:blipFill>
                  <pic:spPr bwMode="auto">
                    <a:xfrm>
                      <a:off x="0" y="0"/>
                      <a:ext cx="4330162" cy="3442226"/>
                    </a:xfrm>
                    <a:prstGeom prst="rect">
                      <a:avLst/>
                    </a:prstGeom>
                    <a:noFill/>
                    <a:ln>
                      <a:noFill/>
                    </a:ln>
                  </pic:spPr>
                </pic:pic>
              </a:graphicData>
            </a:graphic>
          </wp:inline>
        </w:drawing>
      </w:r>
    </w:p>
    <w:p w:rsidR="00C47D6B" w:rsidRDefault="000F5822" w:rsidP="005078C9">
      <w:pPr>
        <w:pStyle w:val="TableTitle"/>
      </w:pPr>
      <w:r>
        <w:lastRenderedPageBreak/>
        <w:t xml:space="preserve">Table 4: </w:t>
      </w:r>
      <w:r w:rsidR="00C47D6B">
        <w:t xml:space="preserve">Relative exposure in carcinogenicity </w:t>
      </w:r>
      <w:r w:rsidR="00C47D6B" w:rsidRPr="00EC511E">
        <w:t>studies</w:t>
      </w:r>
      <w:r w:rsidR="00C47D6B">
        <w:t xml:space="preserve"> with 3TC</w:t>
      </w:r>
    </w:p>
    <w:tbl>
      <w:tblPr>
        <w:tblStyle w:val="TableTGAblue"/>
        <w:tblW w:w="0" w:type="auto"/>
        <w:tblLayout w:type="fixed"/>
        <w:tblLook w:val="04A0" w:firstRow="1" w:lastRow="0" w:firstColumn="1" w:lastColumn="0" w:noHBand="0" w:noVBand="1"/>
      </w:tblPr>
      <w:tblGrid>
        <w:gridCol w:w="1264"/>
        <w:gridCol w:w="1963"/>
        <w:gridCol w:w="1204"/>
        <w:gridCol w:w="1064"/>
        <w:gridCol w:w="1417"/>
        <w:gridCol w:w="1452"/>
      </w:tblGrid>
      <w:tr w:rsidR="00C47D6B" w:rsidTr="005078C9">
        <w:trPr>
          <w:cnfStyle w:val="100000000000" w:firstRow="1" w:lastRow="0" w:firstColumn="0" w:lastColumn="0" w:oddVBand="0" w:evenVBand="0" w:oddHBand="0" w:evenHBand="0" w:firstRowFirstColumn="0" w:firstRowLastColumn="0" w:lastRowFirstColumn="0" w:lastRowLastColumn="0"/>
          <w:trHeight w:val="283"/>
        </w:trPr>
        <w:tc>
          <w:tcPr>
            <w:tcW w:w="1264" w:type="dxa"/>
          </w:tcPr>
          <w:p w:rsidR="00C47D6B" w:rsidRPr="000F5822" w:rsidRDefault="00C47D6B" w:rsidP="005078C9">
            <w:pPr>
              <w:ind w:left="0"/>
            </w:pPr>
            <w:r w:rsidRPr="000F5822">
              <w:t>Species</w:t>
            </w:r>
          </w:p>
        </w:tc>
        <w:tc>
          <w:tcPr>
            <w:tcW w:w="1963" w:type="dxa"/>
          </w:tcPr>
          <w:p w:rsidR="00C47D6B" w:rsidRPr="000F5822" w:rsidRDefault="00C47D6B" w:rsidP="005078C9">
            <w:pPr>
              <w:ind w:left="12"/>
            </w:pPr>
            <w:r w:rsidRPr="000F5822">
              <w:t>Study Duration</w:t>
            </w:r>
          </w:p>
        </w:tc>
        <w:tc>
          <w:tcPr>
            <w:tcW w:w="1204" w:type="dxa"/>
          </w:tcPr>
          <w:p w:rsidR="00C47D6B" w:rsidRPr="000F5822" w:rsidRDefault="00C47D6B" w:rsidP="005078C9">
            <w:pPr>
              <w:ind w:left="61"/>
            </w:pPr>
            <w:r w:rsidRPr="000F5822">
              <w:t>Dose mg/kg</w:t>
            </w:r>
          </w:p>
        </w:tc>
        <w:tc>
          <w:tcPr>
            <w:tcW w:w="1064" w:type="dxa"/>
          </w:tcPr>
          <w:p w:rsidR="00C47D6B" w:rsidRPr="000F5822" w:rsidRDefault="00C47D6B" w:rsidP="005078C9">
            <w:pPr>
              <w:ind w:left="0"/>
              <w:rPr>
                <w:vertAlign w:val="superscript"/>
              </w:rPr>
            </w:pPr>
            <w:r w:rsidRPr="000F5822">
              <w:t>C</w:t>
            </w:r>
            <w:r w:rsidRPr="000F5822">
              <w:rPr>
                <w:vertAlign w:val="subscript"/>
              </w:rPr>
              <w:t>max</w:t>
            </w:r>
            <w:r w:rsidRPr="000F5822">
              <w:t xml:space="preserve"> μg/L</w:t>
            </w:r>
            <w:r w:rsidRPr="000F5822">
              <w:rPr>
                <w:vertAlign w:val="superscript"/>
              </w:rPr>
              <w:t>a</w:t>
            </w:r>
          </w:p>
        </w:tc>
        <w:tc>
          <w:tcPr>
            <w:tcW w:w="1417" w:type="dxa"/>
          </w:tcPr>
          <w:p w:rsidR="00C47D6B" w:rsidRPr="000F5822" w:rsidRDefault="00C47D6B" w:rsidP="005078C9">
            <w:pPr>
              <w:ind w:left="0"/>
            </w:pPr>
            <w:r w:rsidRPr="000F5822">
              <w:t>AUC</w:t>
            </w:r>
            <w:r w:rsidRPr="000F5822">
              <w:rPr>
                <w:vertAlign w:val="subscript"/>
              </w:rPr>
              <w:t>0-t</w:t>
            </w:r>
            <w:r w:rsidRPr="000F5822">
              <w:t xml:space="preserve"> μg.h/mL</w:t>
            </w:r>
          </w:p>
        </w:tc>
        <w:tc>
          <w:tcPr>
            <w:tcW w:w="1452" w:type="dxa"/>
          </w:tcPr>
          <w:p w:rsidR="00C47D6B" w:rsidRPr="000F5822" w:rsidRDefault="00C47D6B" w:rsidP="005078C9">
            <w:pPr>
              <w:ind w:left="0"/>
            </w:pPr>
            <w:r w:rsidRPr="000F5822">
              <w:t>Exposure ratio</w:t>
            </w:r>
            <w:r w:rsidRPr="000F5822">
              <w:rPr>
                <w:vertAlign w:val="superscript"/>
              </w:rPr>
              <w:t>#</w:t>
            </w:r>
          </w:p>
        </w:tc>
      </w:tr>
      <w:tr w:rsidR="00C47D6B" w:rsidTr="005078C9">
        <w:trPr>
          <w:trHeight w:val="283"/>
        </w:trPr>
        <w:tc>
          <w:tcPr>
            <w:tcW w:w="1264" w:type="dxa"/>
            <w:vMerge w:val="restart"/>
          </w:tcPr>
          <w:p w:rsidR="00C47D6B" w:rsidRPr="00C73EDE" w:rsidRDefault="00C47D6B" w:rsidP="005078C9">
            <w:pPr>
              <w:ind w:left="0"/>
            </w:pPr>
            <w:r w:rsidRPr="00C73EDE">
              <w:t>Mouse</w:t>
            </w:r>
          </w:p>
        </w:tc>
        <w:tc>
          <w:tcPr>
            <w:tcW w:w="1963" w:type="dxa"/>
            <w:vMerge w:val="restart"/>
          </w:tcPr>
          <w:p w:rsidR="00C47D6B" w:rsidRPr="00C73EDE" w:rsidRDefault="00C47D6B" w:rsidP="005078C9">
            <w:pPr>
              <w:ind w:left="12"/>
            </w:pPr>
            <w:r>
              <w:t>carcinogenicity</w:t>
            </w:r>
          </w:p>
        </w:tc>
        <w:tc>
          <w:tcPr>
            <w:tcW w:w="1204" w:type="dxa"/>
          </w:tcPr>
          <w:p w:rsidR="00C47D6B" w:rsidRPr="00C73EDE" w:rsidRDefault="00C47D6B" w:rsidP="005078C9">
            <w:pPr>
              <w:ind w:left="61"/>
            </w:pPr>
            <w:r>
              <w:t>180</w:t>
            </w:r>
          </w:p>
        </w:tc>
        <w:tc>
          <w:tcPr>
            <w:tcW w:w="1064" w:type="dxa"/>
          </w:tcPr>
          <w:p w:rsidR="00C47D6B" w:rsidRPr="00C73EDE" w:rsidRDefault="00C47D6B" w:rsidP="005078C9">
            <w:pPr>
              <w:ind w:left="0"/>
            </w:pPr>
            <w:r>
              <w:t>1.1</w:t>
            </w:r>
          </w:p>
        </w:tc>
        <w:tc>
          <w:tcPr>
            <w:tcW w:w="1417" w:type="dxa"/>
          </w:tcPr>
          <w:p w:rsidR="00C47D6B" w:rsidRPr="00C73EDE" w:rsidRDefault="00C47D6B" w:rsidP="005078C9">
            <w:pPr>
              <w:ind w:left="0"/>
            </w:pPr>
            <w:r>
              <w:t>16.4</w:t>
            </w:r>
          </w:p>
        </w:tc>
        <w:tc>
          <w:tcPr>
            <w:tcW w:w="1452" w:type="dxa"/>
          </w:tcPr>
          <w:p w:rsidR="00C47D6B" w:rsidRPr="00C73EDE" w:rsidRDefault="00C47D6B" w:rsidP="005078C9">
            <w:pPr>
              <w:ind w:left="0"/>
            </w:pPr>
            <w:r>
              <w:t>1.3</w:t>
            </w:r>
          </w:p>
        </w:tc>
      </w:tr>
      <w:tr w:rsidR="00C47D6B" w:rsidTr="005078C9">
        <w:trPr>
          <w:trHeight w:val="283"/>
        </w:trPr>
        <w:tc>
          <w:tcPr>
            <w:tcW w:w="1264" w:type="dxa"/>
            <w:vMerge/>
          </w:tcPr>
          <w:p w:rsidR="00C47D6B" w:rsidRPr="00C73EDE" w:rsidRDefault="00C47D6B" w:rsidP="005078C9">
            <w:pPr>
              <w:ind w:left="0"/>
            </w:pPr>
          </w:p>
        </w:tc>
        <w:tc>
          <w:tcPr>
            <w:tcW w:w="1963" w:type="dxa"/>
            <w:vMerge/>
          </w:tcPr>
          <w:p w:rsidR="00C47D6B" w:rsidRPr="00C73EDE" w:rsidRDefault="00C47D6B" w:rsidP="005078C9">
            <w:pPr>
              <w:ind w:left="12"/>
            </w:pPr>
          </w:p>
        </w:tc>
        <w:tc>
          <w:tcPr>
            <w:tcW w:w="1204" w:type="dxa"/>
          </w:tcPr>
          <w:p w:rsidR="00C47D6B" w:rsidRPr="00C73EDE" w:rsidRDefault="00C47D6B" w:rsidP="005078C9">
            <w:pPr>
              <w:ind w:left="61"/>
            </w:pPr>
            <w:r>
              <w:t>600</w:t>
            </w:r>
          </w:p>
        </w:tc>
        <w:tc>
          <w:tcPr>
            <w:tcW w:w="1064" w:type="dxa"/>
          </w:tcPr>
          <w:p w:rsidR="00C47D6B" w:rsidRPr="00C73EDE" w:rsidRDefault="00C47D6B" w:rsidP="005078C9">
            <w:pPr>
              <w:ind w:left="0"/>
            </w:pPr>
            <w:r>
              <w:t>3.4</w:t>
            </w:r>
          </w:p>
        </w:tc>
        <w:tc>
          <w:tcPr>
            <w:tcW w:w="1417" w:type="dxa"/>
          </w:tcPr>
          <w:p w:rsidR="00C47D6B" w:rsidRPr="00C73EDE" w:rsidRDefault="00C47D6B" w:rsidP="005078C9">
            <w:pPr>
              <w:ind w:left="0"/>
            </w:pPr>
            <w:r>
              <w:t>47.6</w:t>
            </w:r>
          </w:p>
        </w:tc>
        <w:tc>
          <w:tcPr>
            <w:tcW w:w="1452" w:type="dxa"/>
          </w:tcPr>
          <w:p w:rsidR="00C47D6B" w:rsidRPr="00C73EDE" w:rsidRDefault="00C47D6B" w:rsidP="005078C9">
            <w:pPr>
              <w:ind w:left="0"/>
            </w:pPr>
            <w:r>
              <w:t>3.9</w:t>
            </w:r>
          </w:p>
        </w:tc>
      </w:tr>
      <w:tr w:rsidR="00C47D6B" w:rsidTr="005078C9">
        <w:trPr>
          <w:trHeight w:val="283"/>
        </w:trPr>
        <w:tc>
          <w:tcPr>
            <w:tcW w:w="1264" w:type="dxa"/>
            <w:vMerge/>
          </w:tcPr>
          <w:p w:rsidR="00C47D6B" w:rsidRPr="00C73EDE" w:rsidRDefault="00C47D6B" w:rsidP="005078C9">
            <w:pPr>
              <w:ind w:left="0"/>
            </w:pPr>
          </w:p>
        </w:tc>
        <w:tc>
          <w:tcPr>
            <w:tcW w:w="1963" w:type="dxa"/>
            <w:vMerge/>
          </w:tcPr>
          <w:p w:rsidR="00C47D6B" w:rsidRPr="00C73EDE" w:rsidRDefault="00C47D6B" w:rsidP="005078C9">
            <w:pPr>
              <w:ind w:left="12"/>
            </w:pPr>
          </w:p>
        </w:tc>
        <w:tc>
          <w:tcPr>
            <w:tcW w:w="1204" w:type="dxa"/>
          </w:tcPr>
          <w:p w:rsidR="00C47D6B" w:rsidRPr="00C73EDE" w:rsidRDefault="00C47D6B" w:rsidP="005078C9">
            <w:pPr>
              <w:ind w:left="61"/>
            </w:pPr>
            <w:r>
              <w:t>2000</w:t>
            </w:r>
          </w:p>
        </w:tc>
        <w:tc>
          <w:tcPr>
            <w:tcW w:w="1064" w:type="dxa"/>
          </w:tcPr>
          <w:p w:rsidR="00C47D6B" w:rsidRPr="00C73EDE" w:rsidRDefault="00C47D6B" w:rsidP="005078C9">
            <w:pPr>
              <w:ind w:left="0"/>
            </w:pPr>
            <w:r>
              <w:t>9.7</w:t>
            </w:r>
          </w:p>
        </w:tc>
        <w:tc>
          <w:tcPr>
            <w:tcW w:w="1417" w:type="dxa"/>
          </w:tcPr>
          <w:p w:rsidR="00C47D6B" w:rsidRPr="00C73EDE" w:rsidRDefault="00C47D6B" w:rsidP="005078C9">
            <w:pPr>
              <w:ind w:left="0"/>
            </w:pPr>
            <w:r>
              <w:t>151</w:t>
            </w:r>
          </w:p>
        </w:tc>
        <w:tc>
          <w:tcPr>
            <w:tcW w:w="1452" w:type="dxa"/>
          </w:tcPr>
          <w:p w:rsidR="00C47D6B" w:rsidRPr="00C73EDE" w:rsidRDefault="00C47D6B" w:rsidP="005078C9">
            <w:pPr>
              <w:ind w:left="0"/>
            </w:pPr>
            <w:r>
              <w:t>12.3</w:t>
            </w:r>
          </w:p>
        </w:tc>
      </w:tr>
      <w:tr w:rsidR="00C47D6B" w:rsidTr="005078C9">
        <w:trPr>
          <w:trHeight w:val="283"/>
        </w:trPr>
        <w:tc>
          <w:tcPr>
            <w:tcW w:w="1264" w:type="dxa"/>
            <w:vMerge w:val="restart"/>
          </w:tcPr>
          <w:p w:rsidR="00C47D6B" w:rsidRPr="00C73EDE" w:rsidRDefault="00C47D6B" w:rsidP="005078C9">
            <w:pPr>
              <w:ind w:left="0"/>
            </w:pPr>
            <w:r>
              <w:t>Rat</w:t>
            </w:r>
          </w:p>
        </w:tc>
        <w:tc>
          <w:tcPr>
            <w:tcW w:w="1963" w:type="dxa"/>
            <w:vMerge w:val="restart"/>
          </w:tcPr>
          <w:p w:rsidR="00C47D6B" w:rsidRPr="00C73EDE" w:rsidRDefault="00C47D6B" w:rsidP="005078C9">
            <w:pPr>
              <w:ind w:left="12"/>
            </w:pPr>
            <w:r>
              <w:t>carcinogenicity</w:t>
            </w:r>
          </w:p>
        </w:tc>
        <w:tc>
          <w:tcPr>
            <w:tcW w:w="1204" w:type="dxa"/>
          </w:tcPr>
          <w:p w:rsidR="00C47D6B" w:rsidRPr="00C73EDE" w:rsidRDefault="00C47D6B" w:rsidP="005078C9">
            <w:pPr>
              <w:ind w:left="61"/>
            </w:pPr>
            <w:r>
              <w:t>200</w:t>
            </w:r>
          </w:p>
        </w:tc>
        <w:tc>
          <w:tcPr>
            <w:tcW w:w="1064" w:type="dxa"/>
          </w:tcPr>
          <w:p w:rsidR="00C47D6B" w:rsidRPr="00C73EDE" w:rsidRDefault="00C47D6B" w:rsidP="005078C9">
            <w:pPr>
              <w:ind w:left="0"/>
            </w:pPr>
            <w:r>
              <w:t>4.5</w:t>
            </w:r>
          </w:p>
        </w:tc>
        <w:tc>
          <w:tcPr>
            <w:tcW w:w="1417" w:type="dxa"/>
          </w:tcPr>
          <w:p w:rsidR="00C47D6B" w:rsidRPr="00C73EDE" w:rsidRDefault="00C47D6B" w:rsidP="005078C9">
            <w:pPr>
              <w:ind w:left="0"/>
            </w:pPr>
            <w:r>
              <w:t>75</w:t>
            </w:r>
          </w:p>
        </w:tc>
        <w:tc>
          <w:tcPr>
            <w:tcW w:w="1452" w:type="dxa"/>
          </w:tcPr>
          <w:p w:rsidR="00C47D6B" w:rsidRPr="00C73EDE" w:rsidRDefault="00C47D6B" w:rsidP="005078C9">
            <w:pPr>
              <w:ind w:left="0"/>
            </w:pPr>
            <w:r>
              <w:t>6</w:t>
            </w:r>
          </w:p>
        </w:tc>
      </w:tr>
      <w:tr w:rsidR="00C47D6B" w:rsidTr="005078C9">
        <w:trPr>
          <w:trHeight w:val="283"/>
        </w:trPr>
        <w:tc>
          <w:tcPr>
            <w:tcW w:w="1264" w:type="dxa"/>
            <w:vMerge/>
          </w:tcPr>
          <w:p w:rsidR="00C47D6B" w:rsidRPr="00C73EDE" w:rsidRDefault="00C47D6B" w:rsidP="005078C9">
            <w:pPr>
              <w:ind w:left="0"/>
            </w:pPr>
          </w:p>
        </w:tc>
        <w:tc>
          <w:tcPr>
            <w:tcW w:w="1963" w:type="dxa"/>
            <w:vMerge/>
          </w:tcPr>
          <w:p w:rsidR="00C47D6B" w:rsidRPr="00C73EDE" w:rsidRDefault="00C47D6B" w:rsidP="005078C9">
            <w:pPr>
              <w:ind w:left="12"/>
            </w:pPr>
          </w:p>
        </w:tc>
        <w:tc>
          <w:tcPr>
            <w:tcW w:w="1204" w:type="dxa"/>
          </w:tcPr>
          <w:p w:rsidR="00C47D6B" w:rsidRPr="00C73EDE" w:rsidRDefault="00C47D6B" w:rsidP="005078C9">
            <w:pPr>
              <w:ind w:left="61"/>
            </w:pPr>
            <w:r>
              <w:t>1000</w:t>
            </w:r>
          </w:p>
        </w:tc>
        <w:tc>
          <w:tcPr>
            <w:tcW w:w="1064" w:type="dxa"/>
          </w:tcPr>
          <w:p w:rsidR="00C47D6B" w:rsidRPr="00C73EDE" w:rsidRDefault="00C47D6B" w:rsidP="005078C9">
            <w:pPr>
              <w:ind w:left="0"/>
            </w:pPr>
            <w:r>
              <w:t>15</w:t>
            </w:r>
          </w:p>
        </w:tc>
        <w:tc>
          <w:tcPr>
            <w:tcW w:w="1417" w:type="dxa"/>
          </w:tcPr>
          <w:p w:rsidR="00C47D6B" w:rsidRPr="00C73EDE" w:rsidRDefault="00C47D6B" w:rsidP="005078C9">
            <w:pPr>
              <w:ind w:left="0"/>
            </w:pPr>
            <w:r>
              <w:t>242</w:t>
            </w:r>
          </w:p>
        </w:tc>
        <w:tc>
          <w:tcPr>
            <w:tcW w:w="1452" w:type="dxa"/>
          </w:tcPr>
          <w:p w:rsidR="00C47D6B" w:rsidRPr="00C73EDE" w:rsidRDefault="00C47D6B" w:rsidP="005078C9">
            <w:pPr>
              <w:ind w:left="0"/>
            </w:pPr>
            <w:r>
              <w:t>20</w:t>
            </w:r>
          </w:p>
        </w:tc>
      </w:tr>
      <w:tr w:rsidR="00C47D6B" w:rsidTr="005078C9">
        <w:trPr>
          <w:trHeight w:val="283"/>
        </w:trPr>
        <w:tc>
          <w:tcPr>
            <w:tcW w:w="1264" w:type="dxa"/>
            <w:vMerge/>
          </w:tcPr>
          <w:p w:rsidR="00C47D6B" w:rsidRPr="00C73EDE" w:rsidRDefault="00C47D6B" w:rsidP="005078C9">
            <w:pPr>
              <w:ind w:left="0"/>
            </w:pPr>
          </w:p>
        </w:tc>
        <w:tc>
          <w:tcPr>
            <w:tcW w:w="1963" w:type="dxa"/>
            <w:vMerge/>
          </w:tcPr>
          <w:p w:rsidR="00C47D6B" w:rsidRPr="00C73EDE" w:rsidRDefault="00C47D6B" w:rsidP="005078C9">
            <w:pPr>
              <w:ind w:left="12"/>
            </w:pPr>
          </w:p>
        </w:tc>
        <w:tc>
          <w:tcPr>
            <w:tcW w:w="1204" w:type="dxa"/>
          </w:tcPr>
          <w:p w:rsidR="00C47D6B" w:rsidRPr="00C73EDE" w:rsidRDefault="00C47D6B" w:rsidP="005078C9">
            <w:pPr>
              <w:ind w:left="61"/>
            </w:pPr>
            <w:r>
              <w:t>2000</w:t>
            </w:r>
          </w:p>
        </w:tc>
        <w:tc>
          <w:tcPr>
            <w:tcW w:w="1064" w:type="dxa"/>
          </w:tcPr>
          <w:p w:rsidR="00C47D6B" w:rsidRPr="00C73EDE" w:rsidRDefault="00C47D6B" w:rsidP="005078C9">
            <w:pPr>
              <w:ind w:left="0"/>
            </w:pPr>
            <w:r>
              <w:t>28</w:t>
            </w:r>
          </w:p>
        </w:tc>
        <w:tc>
          <w:tcPr>
            <w:tcW w:w="1417" w:type="dxa"/>
          </w:tcPr>
          <w:p w:rsidR="00C47D6B" w:rsidRPr="00C73EDE" w:rsidRDefault="00C47D6B" w:rsidP="005078C9">
            <w:pPr>
              <w:ind w:left="0"/>
            </w:pPr>
            <w:r>
              <w:t>533</w:t>
            </w:r>
          </w:p>
        </w:tc>
        <w:tc>
          <w:tcPr>
            <w:tcW w:w="1452" w:type="dxa"/>
          </w:tcPr>
          <w:p w:rsidR="00C47D6B" w:rsidRPr="00C73EDE" w:rsidRDefault="00C47D6B" w:rsidP="005078C9">
            <w:pPr>
              <w:ind w:left="0"/>
            </w:pPr>
            <w:r>
              <w:t>43</w:t>
            </w:r>
          </w:p>
        </w:tc>
      </w:tr>
      <w:tr w:rsidR="00C47D6B" w:rsidTr="005078C9">
        <w:trPr>
          <w:trHeight w:val="283"/>
        </w:trPr>
        <w:tc>
          <w:tcPr>
            <w:tcW w:w="1264" w:type="dxa"/>
            <w:vMerge/>
          </w:tcPr>
          <w:p w:rsidR="00C47D6B" w:rsidRPr="00C73EDE" w:rsidRDefault="00C47D6B" w:rsidP="005078C9">
            <w:pPr>
              <w:ind w:left="0"/>
            </w:pPr>
          </w:p>
        </w:tc>
        <w:tc>
          <w:tcPr>
            <w:tcW w:w="1963" w:type="dxa"/>
            <w:vMerge/>
          </w:tcPr>
          <w:p w:rsidR="00C47D6B" w:rsidRPr="00C73EDE" w:rsidRDefault="00C47D6B" w:rsidP="005078C9">
            <w:pPr>
              <w:ind w:left="12"/>
            </w:pPr>
          </w:p>
        </w:tc>
        <w:tc>
          <w:tcPr>
            <w:tcW w:w="1204" w:type="dxa"/>
          </w:tcPr>
          <w:p w:rsidR="00C47D6B" w:rsidRPr="00C73EDE" w:rsidRDefault="00C47D6B" w:rsidP="005078C9">
            <w:pPr>
              <w:ind w:left="61"/>
            </w:pPr>
            <w:r>
              <w:t>3000</w:t>
            </w:r>
          </w:p>
        </w:tc>
        <w:tc>
          <w:tcPr>
            <w:tcW w:w="1064" w:type="dxa"/>
          </w:tcPr>
          <w:p w:rsidR="00C47D6B" w:rsidRPr="00C73EDE" w:rsidRDefault="00C47D6B" w:rsidP="005078C9">
            <w:pPr>
              <w:ind w:left="0"/>
            </w:pPr>
            <w:r>
              <w:t>38</w:t>
            </w:r>
          </w:p>
        </w:tc>
        <w:tc>
          <w:tcPr>
            <w:tcW w:w="1417" w:type="dxa"/>
          </w:tcPr>
          <w:p w:rsidR="00C47D6B" w:rsidRPr="00C73EDE" w:rsidRDefault="00C47D6B" w:rsidP="005078C9">
            <w:pPr>
              <w:ind w:left="0"/>
            </w:pPr>
            <w:r>
              <w:t>880</w:t>
            </w:r>
          </w:p>
        </w:tc>
        <w:tc>
          <w:tcPr>
            <w:tcW w:w="1452" w:type="dxa"/>
          </w:tcPr>
          <w:p w:rsidR="00C47D6B" w:rsidRPr="00C73EDE" w:rsidRDefault="00C47D6B" w:rsidP="005078C9">
            <w:pPr>
              <w:ind w:left="0"/>
            </w:pPr>
            <w:r>
              <w:t>72</w:t>
            </w:r>
          </w:p>
        </w:tc>
      </w:tr>
      <w:tr w:rsidR="00C47D6B" w:rsidTr="005078C9">
        <w:trPr>
          <w:trHeight w:val="283"/>
        </w:trPr>
        <w:tc>
          <w:tcPr>
            <w:tcW w:w="1264" w:type="dxa"/>
          </w:tcPr>
          <w:p w:rsidR="00C47D6B" w:rsidRPr="00C73EDE" w:rsidRDefault="00C47D6B" w:rsidP="005078C9">
            <w:pPr>
              <w:ind w:left="0"/>
            </w:pPr>
            <w:proofErr w:type="spellStart"/>
            <w:r w:rsidRPr="00AA15EE">
              <w:rPr>
                <w:vertAlign w:val="superscript"/>
              </w:rPr>
              <w:t>b</w:t>
            </w:r>
            <w:r>
              <w:t>Human</w:t>
            </w:r>
            <w:proofErr w:type="spellEnd"/>
          </w:p>
        </w:tc>
        <w:tc>
          <w:tcPr>
            <w:tcW w:w="1963" w:type="dxa"/>
          </w:tcPr>
          <w:p w:rsidR="00C47D6B" w:rsidRPr="00660D8F" w:rsidRDefault="00C47D6B" w:rsidP="005078C9">
            <w:pPr>
              <w:ind w:left="12"/>
            </w:pPr>
            <w:r>
              <w:t>single dose</w:t>
            </w:r>
          </w:p>
        </w:tc>
        <w:tc>
          <w:tcPr>
            <w:tcW w:w="1204" w:type="dxa"/>
          </w:tcPr>
          <w:p w:rsidR="00C47D6B" w:rsidRPr="00C73EDE" w:rsidRDefault="00C47D6B" w:rsidP="005078C9">
            <w:pPr>
              <w:ind w:left="61"/>
            </w:pPr>
            <w:r>
              <w:t>300 mg</w:t>
            </w:r>
          </w:p>
        </w:tc>
        <w:tc>
          <w:tcPr>
            <w:tcW w:w="1064" w:type="dxa"/>
          </w:tcPr>
          <w:p w:rsidR="00C47D6B" w:rsidRPr="00C73EDE" w:rsidRDefault="00C47D6B" w:rsidP="005078C9">
            <w:pPr>
              <w:ind w:left="0"/>
            </w:pPr>
            <w:r>
              <w:t>2.1</w:t>
            </w:r>
          </w:p>
        </w:tc>
        <w:tc>
          <w:tcPr>
            <w:tcW w:w="1417" w:type="dxa"/>
          </w:tcPr>
          <w:p w:rsidR="00C47D6B" w:rsidRPr="00C73EDE" w:rsidRDefault="00C47D6B" w:rsidP="005078C9">
            <w:pPr>
              <w:ind w:left="0"/>
            </w:pPr>
            <w:r>
              <w:t>12.3</w:t>
            </w:r>
          </w:p>
        </w:tc>
        <w:tc>
          <w:tcPr>
            <w:tcW w:w="1452" w:type="dxa"/>
          </w:tcPr>
          <w:p w:rsidR="00C47D6B" w:rsidRPr="00C73EDE" w:rsidRDefault="00C47D6B" w:rsidP="005078C9">
            <w:pPr>
              <w:ind w:left="0"/>
            </w:pPr>
            <w:r>
              <w:t>-</w:t>
            </w:r>
          </w:p>
        </w:tc>
      </w:tr>
    </w:tbl>
    <w:p w:rsidR="00C47D6B" w:rsidRPr="000F5822" w:rsidRDefault="00C47D6B" w:rsidP="002757A7">
      <w:pPr>
        <w:pStyle w:val="TableDescription"/>
      </w:pPr>
      <w:proofErr w:type="spellStart"/>
      <w:r w:rsidRPr="000F5822">
        <w:rPr>
          <w:vertAlign w:val="superscript"/>
        </w:rPr>
        <w:t>a</w:t>
      </w:r>
      <w:r w:rsidRPr="000F5822">
        <w:t>Approximate</w:t>
      </w:r>
      <w:proofErr w:type="spellEnd"/>
      <w:r w:rsidRPr="000F5822">
        <w:t xml:space="preserve"> </w:t>
      </w:r>
      <w:proofErr w:type="spellStart"/>
      <w:r w:rsidRPr="000F5822">
        <w:t>C</w:t>
      </w:r>
      <w:r w:rsidRPr="000F5822">
        <w:rPr>
          <w:vertAlign w:val="subscript"/>
        </w:rPr>
        <w:t>max</w:t>
      </w:r>
      <w:proofErr w:type="spellEnd"/>
      <w:r w:rsidRPr="000F5822">
        <w:t xml:space="preserve"> values either 1 or 2</w:t>
      </w:r>
      <w:r w:rsidR="000F5822">
        <w:t xml:space="preserve"> </w:t>
      </w:r>
      <w:r w:rsidRPr="000F5822">
        <w:t xml:space="preserve">h post dose in </w:t>
      </w:r>
      <w:r w:rsidR="000F5822">
        <w:t>W</w:t>
      </w:r>
      <w:r w:rsidRPr="000F5822">
        <w:t>eek 5; bAUC</w:t>
      </w:r>
      <w:r w:rsidRPr="000F5822">
        <w:rPr>
          <w:vertAlign w:val="subscript"/>
        </w:rPr>
        <w:t>0-t</w:t>
      </w:r>
      <w:r w:rsidRPr="000F5822">
        <w:t xml:space="preserve"> taken from Study ING114580, bioequivalence of </w:t>
      </w:r>
      <w:proofErr w:type="spellStart"/>
      <w:r w:rsidR="003401D1" w:rsidRPr="000F5822">
        <w:t>Triumeq</w:t>
      </w:r>
      <w:proofErr w:type="spellEnd"/>
      <w:r w:rsidRPr="000F5822">
        <w:t xml:space="preserve"> tablet compared to DTG plus EPZICOM (combined 600 mg/300 mg ABC/3TC); t= last quantifiable concentration; # = </w:t>
      </w:r>
      <w:proofErr w:type="spellStart"/>
      <w:r w:rsidRPr="000F5822">
        <w:t>animal:human</w:t>
      </w:r>
      <w:proofErr w:type="spellEnd"/>
      <w:r w:rsidRPr="000F5822">
        <w:t xml:space="preserve"> plasma AUC</w:t>
      </w:r>
      <w:r w:rsidRPr="000F5822">
        <w:rPr>
          <w:vertAlign w:val="subscript"/>
        </w:rPr>
        <w:t>0–24 h</w:t>
      </w:r>
      <w:r w:rsidRPr="000F5822">
        <w:t>.</w:t>
      </w:r>
    </w:p>
    <w:p w:rsidR="00C47D6B" w:rsidRDefault="00C47D6B" w:rsidP="005078C9">
      <w:r>
        <w:t xml:space="preserve">The major target organs for toxicity in the repeat dose toxicity studies with DTG were the gastrointestinal tract (in rodents and monkeys), liver, (mouse and monkey) and renal and bone marrow toxicity in monkeys. The </w:t>
      </w:r>
      <w:r w:rsidR="000F5822">
        <w:t>No observable adverse effect level (</w:t>
      </w:r>
      <w:r>
        <w:t>NOAEL</w:t>
      </w:r>
      <w:r w:rsidR="000F5822">
        <w:t>)</w:t>
      </w:r>
      <w:r>
        <w:t xml:space="preserve"> and </w:t>
      </w:r>
      <w:r w:rsidR="000F5822">
        <w:t>Lowest observable adverse effect level (</w:t>
      </w:r>
      <w:r>
        <w:t>LOAEL</w:t>
      </w:r>
      <w:r w:rsidR="000F5822">
        <w:t>)</w:t>
      </w:r>
      <w:r>
        <w:t xml:space="preserve"> for gastrointestinal toxicity in the rat (50 and 500 mg/kg, respectively) correspond to relative exposures of 13 and 38, respectively, based on AUC, or 9 and 91, respectively, based on body surface area (BSA; mg/m</w:t>
      </w:r>
      <w:r w:rsidRPr="003911AE">
        <w:rPr>
          <w:vertAlign w:val="superscript"/>
        </w:rPr>
        <w:t>2</w:t>
      </w:r>
      <w:r>
        <w:t>). In the monkey, the NOAEL of 15 mg/kg/day corresponds to a relative exposure of 1 based on AUC and 6 based on mg/m</w:t>
      </w:r>
      <w:r w:rsidRPr="00902FED">
        <w:rPr>
          <w:vertAlign w:val="superscript"/>
        </w:rPr>
        <w:t>2</w:t>
      </w:r>
      <w:r>
        <w:t>. The LOAEL for gastrointestinal toxicity in the monkey corresponds to a relative exposure of 2 based on AUC and 11 based BSA.</w:t>
      </w:r>
    </w:p>
    <w:p w:rsidR="00C47D6B" w:rsidRDefault="00C47D6B" w:rsidP="00442246">
      <w:r>
        <w:t xml:space="preserve">Data submitted to support the registration of </w:t>
      </w:r>
      <w:proofErr w:type="spellStart"/>
      <w:r>
        <w:t>abacavir</w:t>
      </w:r>
      <w:proofErr w:type="spellEnd"/>
      <w:r>
        <w:t xml:space="preserve"> showed that the liver was a target organ for this compound in mice, rats and monkeys. However, the </w:t>
      </w:r>
      <w:r w:rsidR="000F5822">
        <w:t>sponsor</w:t>
      </w:r>
      <w:r>
        <w:t xml:space="preserve"> claim</w:t>
      </w:r>
      <w:r w:rsidR="000F5822">
        <w:t>s</w:t>
      </w:r>
      <w:r>
        <w:t xml:space="preserve"> that these effects represent hepatic adaptive responses to metabolic enzyme induction rather than overt toxicity is in agreement with the nonclinical evaluator and the potential for additive or synergistic toxicity at clinically relevant concentrations is considered to be low.</w:t>
      </w:r>
    </w:p>
    <w:p w:rsidR="00C47D6B" w:rsidRDefault="00C47D6B" w:rsidP="00442246">
      <w:r>
        <w:t>In conclusion</w:t>
      </w:r>
      <w:r w:rsidRPr="007369E2">
        <w:t xml:space="preserve">, the sponsor’s </w:t>
      </w:r>
      <w:r>
        <w:t>justification for not conducting combination toxicity studies is accepted.</w:t>
      </w:r>
    </w:p>
    <w:p w:rsidR="00C47D6B" w:rsidRDefault="00C47D6B" w:rsidP="00442246">
      <w:pPr>
        <w:pStyle w:val="Heading4"/>
      </w:pPr>
      <w:r>
        <w:t>Genotoxicity</w:t>
      </w:r>
    </w:p>
    <w:p w:rsidR="00C47D6B" w:rsidRPr="00DE0F2C" w:rsidRDefault="00C47D6B" w:rsidP="00442246">
      <w:r>
        <w:t xml:space="preserve">The </w:t>
      </w:r>
      <w:proofErr w:type="spellStart"/>
      <w:r>
        <w:t>clastogenicity</w:t>
      </w:r>
      <w:proofErr w:type="spellEnd"/>
      <w:r>
        <w:t xml:space="preserve"> of ABC in combination with 3TC was examined in a rat micronucleus assay </w:t>
      </w:r>
      <w:r w:rsidRPr="000F5822">
        <w:t>in vivo</w:t>
      </w:r>
      <w:r>
        <w:t xml:space="preserve">, which was </w:t>
      </w:r>
      <w:r w:rsidR="000F5822">
        <w:t>Good Laboratory Practice (</w:t>
      </w:r>
      <w:r>
        <w:t>GLP</w:t>
      </w:r>
      <w:r w:rsidR="000F5822">
        <w:t>)</w:t>
      </w:r>
      <w:r>
        <w:t xml:space="preserve"> compliant and in accordance with the relevant E</w:t>
      </w:r>
      <w:r w:rsidR="000F5822">
        <w:t>U</w:t>
      </w:r>
      <w:r>
        <w:t xml:space="preserve"> guideline</w:t>
      </w:r>
      <w:r>
        <w:rPr>
          <w:rStyle w:val="FootnoteReference"/>
        </w:rPr>
        <w:footnoteReference w:id="6"/>
      </w:r>
      <w:r>
        <w:t xml:space="preserve">. This study was originally conducted to support the registration of </w:t>
      </w:r>
      <w:proofErr w:type="spellStart"/>
      <w:r w:rsidR="000F5822">
        <w:t>Kivexa</w:t>
      </w:r>
      <w:proofErr w:type="spellEnd"/>
      <w:r>
        <w:t xml:space="preserve"> but had not previously been evaluated by the TGA. Oral administration of ABC and 3TC to male SD rats at doses of up to 2000 mg/kg/day for two days, either alone or in combination, did not provide any evidence of a clastogenic effect in the bone marrow. The systemic exposures for ABC and 3TC achieved in this study were, </w:t>
      </w:r>
      <w:r>
        <w:lastRenderedPageBreak/>
        <w:t>respectively, 86 and 31</w:t>
      </w:r>
      <w:r w:rsidR="00EA1FA7">
        <w:t xml:space="preserve"> </w:t>
      </w:r>
      <w:proofErr w:type="gramStart"/>
      <w:r>
        <w:t>times</w:t>
      </w:r>
      <w:proofErr w:type="gramEnd"/>
      <w:r>
        <w:t xml:space="preserve"> the clinical exposure level (using the human plasma kinetic data presented above).</w:t>
      </w:r>
    </w:p>
    <w:p w:rsidR="00C47D6B" w:rsidRPr="001258AE" w:rsidRDefault="00C47D6B" w:rsidP="00442246">
      <w:pPr>
        <w:pStyle w:val="Heading4"/>
      </w:pPr>
      <w:r>
        <w:t>Reproductive toxicity</w:t>
      </w:r>
    </w:p>
    <w:p w:rsidR="00C47D6B" w:rsidRDefault="00C47D6B" w:rsidP="00442246">
      <w:r>
        <w:t xml:space="preserve">No new reproductive toxicity studies were submitted either for the combination or for the individual components. However, new estimates of relative systemic exposure have been calculated from previously evaluated reproductive toxicity studies with the individual components of </w:t>
      </w:r>
      <w:proofErr w:type="spellStart"/>
      <w:r w:rsidR="003401D1">
        <w:t>Triumeq</w:t>
      </w:r>
      <w:proofErr w:type="spellEnd"/>
      <w:r>
        <w:t xml:space="preserve"> based on new plasma kinetic data with the proposed fixed dose combination </w:t>
      </w:r>
      <w:proofErr w:type="spellStart"/>
      <w:r w:rsidR="003401D1">
        <w:t>Triumeq</w:t>
      </w:r>
      <w:proofErr w:type="spellEnd"/>
      <w:r w:rsidR="000F5822">
        <w:t>.</w:t>
      </w:r>
    </w:p>
    <w:p w:rsidR="00C47D6B" w:rsidRPr="0068453C" w:rsidRDefault="000F5822" w:rsidP="00442246">
      <w:pPr>
        <w:pStyle w:val="TableTitle"/>
      </w:pPr>
      <w:r>
        <w:t xml:space="preserve">Table 5: </w:t>
      </w:r>
      <w:r w:rsidR="00C47D6B" w:rsidRPr="00EC511E">
        <w:t xml:space="preserve">Relative exposure </w:t>
      </w:r>
      <w:r w:rsidR="00C47D6B">
        <w:t>in reproductive toxicity</w:t>
      </w:r>
      <w:r w:rsidR="00C47D6B" w:rsidRPr="00EC511E">
        <w:t xml:space="preserve"> studies</w:t>
      </w:r>
      <w:r w:rsidR="00C47D6B">
        <w:t xml:space="preserve"> with DTG</w:t>
      </w:r>
    </w:p>
    <w:tbl>
      <w:tblPr>
        <w:tblStyle w:val="TableTGAblue"/>
        <w:tblW w:w="8647" w:type="dxa"/>
        <w:tblLayout w:type="fixed"/>
        <w:tblLook w:val="01E0" w:firstRow="1" w:lastRow="1" w:firstColumn="1" w:lastColumn="1" w:noHBand="0" w:noVBand="0"/>
      </w:tblPr>
      <w:tblGrid>
        <w:gridCol w:w="1453"/>
        <w:gridCol w:w="1701"/>
        <w:gridCol w:w="1559"/>
        <w:gridCol w:w="1099"/>
        <w:gridCol w:w="1418"/>
        <w:gridCol w:w="1417"/>
      </w:tblGrid>
      <w:tr w:rsidR="00C47D6B" w:rsidRPr="00921F44" w:rsidTr="00442246">
        <w:trPr>
          <w:cnfStyle w:val="100000000000" w:firstRow="1" w:lastRow="0" w:firstColumn="0" w:lastColumn="0" w:oddVBand="0" w:evenVBand="0" w:oddHBand="0" w:evenHBand="0" w:firstRowFirstColumn="0" w:firstRowLastColumn="0" w:lastRowFirstColumn="0" w:lastRowLastColumn="0"/>
        </w:trPr>
        <w:tc>
          <w:tcPr>
            <w:tcW w:w="1453" w:type="dxa"/>
          </w:tcPr>
          <w:p w:rsidR="00C47D6B" w:rsidRPr="000F5822" w:rsidRDefault="00C47D6B" w:rsidP="00442246">
            <w:pPr>
              <w:ind w:left="0"/>
            </w:pPr>
            <w:r w:rsidRPr="000F5822">
              <w:t>Species</w:t>
            </w:r>
          </w:p>
        </w:tc>
        <w:tc>
          <w:tcPr>
            <w:tcW w:w="1701" w:type="dxa"/>
          </w:tcPr>
          <w:p w:rsidR="00C47D6B" w:rsidRPr="000F5822" w:rsidRDefault="00C47D6B" w:rsidP="00442246">
            <w:pPr>
              <w:ind w:left="0"/>
            </w:pPr>
            <w:r w:rsidRPr="000F5822">
              <w:t>Study</w:t>
            </w:r>
          </w:p>
        </w:tc>
        <w:tc>
          <w:tcPr>
            <w:tcW w:w="1559" w:type="dxa"/>
          </w:tcPr>
          <w:p w:rsidR="00C47D6B" w:rsidRPr="000F5822" w:rsidRDefault="00C47D6B" w:rsidP="00442246">
            <w:pPr>
              <w:ind w:left="0"/>
            </w:pPr>
            <w:r w:rsidRPr="000F5822">
              <w:t>Dose</w:t>
            </w:r>
            <w:r w:rsidR="00442246">
              <w:t xml:space="preserve"> </w:t>
            </w:r>
            <w:r w:rsidRPr="000F5822">
              <w:t>mg/kg/day</w:t>
            </w:r>
          </w:p>
        </w:tc>
        <w:tc>
          <w:tcPr>
            <w:tcW w:w="1099" w:type="dxa"/>
          </w:tcPr>
          <w:p w:rsidR="00C47D6B" w:rsidRPr="000F5822" w:rsidRDefault="00C47D6B" w:rsidP="00442246">
            <w:pPr>
              <w:ind w:left="0"/>
            </w:pPr>
            <w:r w:rsidRPr="000F5822">
              <w:t>Day</w:t>
            </w:r>
          </w:p>
        </w:tc>
        <w:tc>
          <w:tcPr>
            <w:tcW w:w="1418" w:type="dxa"/>
          </w:tcPr>
          <w:p w:rsidR="00C47D6B" w:rsidRPr="000F5822" w:rsidRDefault="00C47D6B" w:rsidP="00442246">
            <w:pPr>
              <w:ind w:left="0"/>
            </w:pPr>
            <w:r w:rsidRPr="000F5822">
              <w:t>AUC</w:t>
            </w:r>
            <w:r w:rsidRPr="000F5822">
              <w:rPr>
                <w:vertAlign w:val="subscript"/>
              </w:rPr>
              <w:t>0–24</w:t>
            </w:r>
            <w:r w:rsidRPr="000F5822">
              <w:rPr>
                <w:w w:val="50"/>
                <w:vertAlign w:val="subscript"/>
              </w:rPr>
              <w:t> </w:t>
            </w:r>
            <w:r w:rsidRPr="000F5822">
              <w:rPr>
                <w:vertAlign w:val="subscript"/>
              </w:rPr>
              <w:t>h</w:t>
            </w:r>
            <w:r w:rsidR="00442246">
              <w:rPr>
                <w:vertAlign w:val="subscript"/>
              </w:rPr>
              <w:t xml:space="preserve"> </w:t>
            </w:r>
            <w:proofErr w:type="spellStart"/>
            <w:r w:rsidRPr="000F5822">
              <w:t>μg∙h</w:t>
            </w:r>
            <w:proofErr w:type="spellEnd"/>
            <w:r w:rsidRPr="000F5822">
              <w:t>/mL</w:t>
            </w:r>
          </w:p>
        </w:tc>
        <w:tc>
          <w:tcPr>
            <w:tcW w:w="1417" w:type="dxa"/>
          </w:tcPr>
          <w:p w:rsidR="00C47D6B" w:rsidRPr="000F5822" w:rsidRDefault="00C47D6B" w:rsidP="00442246">
            <w:pPr>
              <w:ind w:left="0"/>
            </w:pPr>
            <w:r w:rsidRPr="000F5822">
              <w:t>Exposure ratio</w:t>
            </w:r>
            <w:r w:rsidRPr="000F5822">
              <w:rPr>
                <w:vertAlign w:val="superscript"/>
              </w:rPr>
              <w:t>#</w:t>
            </w:r>
          </w:p>
        </w:tc>
      </w:tr>
      <w:tr w:rsidR="00C47D6B" w:rsidRPr="007068A9" w:rsidTr="00442246">
        <w:trPr>
          <w:trHeight w:val="227"/>
        </w:trPr>
        <w:tc>
          <w:tcPr>
            <w:tcW w:w="1453" w:type="dxa"/>
            <w:vMerge w:val="restart"/>
          </w:tcPr>
          <w:p w:rsidR="00C47D6B" w:rsidRPr="000F5822" w:rsidRDefault="00C47D6B" w:rsidP="00442246">
            <w:pPr>
              <w:ind w:left="0"/>
            </w:pPr>
            <w:r w:rsidRPr="000F5822">
              <w:t>Rat (SD)</w:t>
            </w:r>
          </w:p>
        </w:tc>
        <w:tc>
          <w:tcPr>
            <w:tcW w:w="1701" w:type="dxa"/>
            <w:vMerge w:val="restart"/>
          </w:tcPr>
          <w:p w:rsidR="00C47D6B" w:rsidRPr="000F5822" w:rsidRDefault="00C47D6B" w:rsidP="00442246">
            <w:pPr>
              <w:ind w:left="0"/>
            </w:pPr>
            <w:r w:rsidRPr="000F5822">
              <w:rPr>
                <w:vertAlign w:val="superscript"/>
              </w:rPr>
              <w:t>†</w:t>
            </w:r>
            <w:r w:rsidRPr="000F5822">
              <w:t>Fertility &amp; early embryonic development</w:t>
            </w:r>
          </w:p>
        </w:tc>
        <w:tc>
          <w:tcPr>
            <w:tcW w:w="1559" w:type="dxa"/>
          </w:tcPr>
          <w:p w:rsidR="00C47D6B" w:rsidRPr="000F5822" w:rsidRDefault="00C47D6B" w:rsidP="00442246">
            <w:pPr>
              <w:ind w:left="0"/>
            </w:pPr>
            <w:r w:rsidRPr="000F5822">
              <w:t>100</w:t>
            </w:r>
          </w:p>
        </w:tc>
        <w:tc>
          <w:tcPr>
            <w:tcW w:w="1099" w:type="dxa"/>
            <w:vMerge w:val="restart"/>
          </w:tcPr>
          <w:p w:rsidR="00C47D6B" w:rsidRPr="000F5822" w:rsidRDefault="00C47D6B" w:rsidP="00442246">
            <w:pPr>
              <w:ind w:left="0"/>
            </w:pPr>
            <w:r w:rsidRPr="000F5822">
              <w:t>N/A</w:t>
            </w:r>
          </w:p>
        </w:tc>
        <w:tc>
          <w:tcPr>
            <w:tcW w:w="1418" w:type="dxa"/>
          </w:tcPr>
          <w:p w:rsidR="00C47D6B" w:rsidRPr="000F5822" w:rsidRDefault="00C47D6B" w:rsidP="00442246">
            <w:pPr>
              <w:ind w:left="0"/>
              <w:rPr>
                <w:rFonts w:eastAsia="Times New Roman"/>
                <w:snapToGrid w:val="0"/>
              </w:rPr>
            </w:pPr>
            <w:r w:rsidRPr="000F5822">
              <w:rPr>
                <w:rFonts w:eastAsia="Times New Roman"/>
                <w:snapToGrid w:val="0"/>
              </w:rPr>
              <w:t>751</w:t>
            </w:r>
          </w:p>
        </w:tc>
        <w:tc>
          <w:tcPr>
            <w:tcW w:w="1417" w:type="dxa"/>
          </w:tcPr>
          <w:p w:rsidR="00C47D6B" w:rsidRPr="000F5822" w:rsidRDefault="00C47D6B" w:rsidP="00442246">
            <w:pPr>
              <w:ind w:left="0"/>
            </w:pPr>
            <w:r w:rsidRPr="000F5822">
              <w:t>18</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1559" w:type="dxa"/>
          </w:tcPr>
          <w:p w:rsidR="00C47D6B" w:rsidRPr="000F5822" w:rsidRDefault="00C47D6B" w:rsidP="00442246">
            <w:pPr>
              <w:ind w:left="0"/>
            </w:pPr>
            <w:r w:rsidRPr="000F5822">
              <w:t>300</w:t>
            </w:r>
          </w:p>
        </w:tc>
        <w:tc>
          <w:tcPr>
            <w:tcW w:w="1099" w:type="dxa"/>
            <w:vMerge/>
          </w:tcPr>
          <w:p w:rsidR="00C47D6B" w:rsidRPr="000F5822" w:rsidRDefault="00C47D6B" w:rsidP="00442246">
            <w:pPr>
              <w:ind w:left="0"/>
            </w:pPr>
          </w:p>
        </w:tc>
        <w:tc>
          <w:tcPr>
            <w:tcW w:w="1418" w:type="dxa"/>
          </w:tcPr>
          <w:p w:rsidR="00C47D6B" w:rsidRPr="000F5822" w:rsidRDefault="00C47D6B" w:rsidP="00442246">
            <w:pPr>
              <w:ind w:left="0"/>
              <w:rPr>
                <w:rFonts w:eastAsia="Times New Roman"/>
                <w:snapToGrid w:val="0"/>
              </w:rPr>
            </w:pPr>
            <w:r w:rsidRPr="000F5822">
              <w:rPr>
                <w:rFonts w:eastAsia="Times New Roman"/>
                <w:snapToGrid w:val="0"/>
              </w:rPr>
              <w:t>-</w:t>
            </w:r>
          </w:p>
        </w:tc>
        <w:tc>
          <w:tcPr>
            <w:tcW w:w="1417" w:type="dxa"/>
          </w:tcPr>
          <w:p w:rsidR="00C47D6B" w:rsidRPr="000F5822" w:rsidRDefault="00C47D6B" w:rsidP="00442246">
            <w:pPr>
              <w:ind w:left="0"/>
            </w:pPr>
            <w:r w:rsidRPr="000F5822">
              <w:t>-</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1559" w:type="dxa"/>
          </w:tcPr>
          <w:p w:rsidR="00C47D6B" w:rsidRPr="000F5822" w:rsidRDefault="00C47D6B" w:rsidP="00442246">
            <w:pPr>
              <w:ind w:left="0"/>
            </w:pPr>
            <w:r w:rsidRPr="000F5822">
              <w:t>1000</w:t>
            </w:r>
          </w:p>
        </w:tc>
        <w:tc>
          <w:tcPr>
            <w:tcW w:w="1099" w:type="dxa"/>
            <w:vMerge/>
          </w:tcPr>
          <w:p w:rsidR="00C47D6B" w:rsidRPr="000F5822" w:rsidRDefault="00C47D6B" w:rsidP="00442246">
            <w:pPr>
              <w:ind w:left="0"/>
            </w:pPr>
          </w:p>
        </w:tc>
        <w:tc>
          <w:tcPr>
            <w:tcW w:w="1418" w:type="dxa"/>
          </w:tcPr>
          <w:p w:rsidR="00C47D6B" w:rsidRPr="000F5822" w:rsidRDefault="00C47D6B" w:rsidP="00442246">
            <w:pPr>
              <w:ind w:left="0"/>
            </w:pPr>
            <w:r w:rsidRPr="000F5822">
              <w:t>1787</w:t>
            </w:r>
          </w:p>
        </w:tc>
        <w:tc>
          <w:tcPr>
            <w:tcW w:w="1417" w:type="dxa"/>
          </w:tcPr>
          <w:p w:rsidR="00C47D6B" w:rsidRPr="000F5822" w:rsidRDefault="00C47D6B" w:rsidP="00442246">
            <w:pPr>
              <w:ind w:left="0"/>
            </w:pPr>
            <w:r w:rsidRPr="000F5822">
              <w:t>44</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val="restart"/>
          </w:tcPr>
          <w:p w:rsidR="00C47D6B" w:rsidRPr="000F5822" w:rsidRDefault="00C47D6B" w:rsidP="00442246">
            <w:pPr>
              <w:ind w:left="0"/>
            </w:pPr>
            <w:r w:rsidRPr="000F5822">
              <w:t>Embryofetal development</w:t>
            </w:r>
          </w:p>
        </w:tc>
        <w:tc>
          <w:tcPr>
            <w:tcW w:w="1559" w:type="dxa"/>
          </w:tcPr>
          <w:p w:rsidR="00C47D6B" w:rsidRPr="000F5822" w:rsidRDefault="00C47D6B" w:rsidP="00442246">
            <w:pPr>
              <w:ind w:left="0"/>
            </w:pPr>
            <w:r w:rsidRPr="000F5822">
              <w:t>100</w:t>
            </w:r>
          </w:p>
        </w:tc>
        <w:tc>
          <w:tcPr>
            <w:tcW w:w="1099" w:type="dxa"/>
            <w:vMerge w:val="restart"/>
          </w:tcPr>
          <w:p w:rsidR="00C47D6B" w:rsidRPr="000F5822" w:rsidRDefault="00C47D6B" w:rsidP="00442246">
            <w:pPr>
              <w:ind w:left="0"/>
            </w:pPr>
            <w:r w:rsidRPr="000F5822">
              <w:t>GD 17</w:t>
            </w:r>
          </w:p>
        </w:tc>
        <w:tc>
          <w:tcPr>
            <w:tcW w:w="1418" w:type="dxa"/>
          </w:tcPr>
          <w:p w:rsidR="00C47D6B" w:rsidRPr="000F5822" w:rsidRDefault="00C47D6B" w:rsidP="00442246">
            <w:pPr>
              <w:ind w:left="0"/>
            </w:pPr>
            <w:r w:rsidRPr="000F5822">
              <w:t>1251.8</w:t>
            </w:r>
          </w:p>
        </w:tc>
        <w:tc>
          <w:tcPr>
            <w:tcW w:w="1417" w:type="dxa"/>
          </w:tcPr>
          <w:p w:rsidR="00C47D6B" w:rsidRPr="000F5822" w:rsidRDefault="00C47D6B" w:rsidP="00442246">
            <w:pPr>
              <w:ind w:left="0"/>
            </w:pPr>
            <w:r w:rsidRPr="000F5822">
              <w:t>31</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1559" w:type="dxa"/>
          </w:tcPr>
          <w:p w:rsidR="00C47D6B" w:rsidRPr="000F5822" w:rsidRDefault="00C47D6B" w:rsidP="00442246">
            <w:pPr>
              <w:ind w:left="0"/>
            </w:pPr>
            <w:r w:rsidRPr="000F5822">
              <w:t>300</w:t>
            </w:r>
          </w:p>
        </w:tc>
        <w:tc>
          <w:tcPr>
            <w:tcW w:w="1099" w:type="dxa"/>
            <w:vMerge/>
          </w:tcPr>
          <w:p w:rsidR="00C47D6B" w:rsidRPr="000F5822" w:rsidRDefault="00C47D6B" w:rsidP="00442246">
            <w:pPr>
              <w:ind w:left="0"/>
            </w:pPr>
          </w:p>
        </w:tc>
        <w:tc>
          <w:tcPr>
            <w:tcW w:w="1418" w:type="dxa"/>
          </w:tcPr>
          <w:p w:rsidR="00C47D6B" w:rsidRPr="000F5822" w:rsidRDefault="00C47D6B" w:rsidP="00442246">
            <w:pPr>
              <w:ind w:left="0"/>
            </w:pPr>
            <w:r w:rsidRPr="000F5822">
              <w:t>1409.2</w:t>
            </w:r>
          </w:p>
        </w:tc>
        <w:tc>
          <w:tcPr>
            <w:tcW w:w="1417" w:type="dxa"/>
          </w:tcPr>
          <w:p w:rsidR="00C47D6B" w:rsidRPr="000F5822" w:rsidRDefault="00C47D6B" w:rsidP="00442246">
            <w:pPr>
              <w:ind w:left="0"/>
            </w:pPr>
            <w:r w:rsidRPr="000F5822">
              <w:t>34</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1559" w:type="dxa"/>
          </w:tcPr>
          <w:p w:rsidR="00C47D6B" w:rsidRPr="000F5822" w:rsidRDefault="00C47D6B" w:rsidP="00442246">
            <w:pPr>
              <w:ind w:left="0"/>
            </w:pPr>
            <w:r w:rsidRPr="000F5822">
              <w:t>1000</w:t>
            </w:r>
          </w:p>
        </w:tc>
        <w:tc>
          <w:tcPr>
            <w:tcW w:w="1099" w:type="dxa"/>
            <w:vMerge/>
          </w:tcPr>
          <w:p w:rsidR="00C47D6B" w:rsidRPr="000F5822" w:rsidRDefault="00C47D6B" w:rsidP="00442246">
            <w:pPr>
              <w:ind w:left="0"/>
            </w:pPr>
          </w:p>
        </w:tc>
        <w:tc>
          <w:tcPr>
            <w:tcW w:w="1418" w:type="dxa"/>
          </w:tcPr>
          <w:p w:rsidR="00C47D6B" w:rsidRPr="000F5822" w:rsidRDefault="00C47D6B" w:rsidP="00442246">
            <w:pPr>
              <w:ind w:left="0"/>
            </w:pPr>
            <w:r w:rsidRPr="000F5822">
              <w:t>2031.8</w:t>
            </w:r>
          </w:p>
        </w:tc>
        <w:tc>
          <w:tcPr>
            <w:tcW w:w="1417" w:type="dxa"/>
          </w:tcPr>
          <w:p w:rsidR="00C47D6B" w:rsidRPr="000F5822" w:rsidRDefault="00C47D6B" w:rsidP="00442246">
            <w:pPr>
              <w:ind w:left="0"/>
            </w:pPr>
            <w:r w:rsidRPr="000F5822">
              <w:t>50</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val="restart"/>
          </w:tcPr>
          <w:p w:rsidR="00C47D6B" w:rsidRPr="000F5822" w:rsidRDefault="00C47D6B" w:rsidP="00442246">
            <w:pPr>
              <w:ind w:left="0"/>
            </w:pPr>
            <w:r w:rsidRPr="000F5822">
              <w:rPr>
                <w:vertAlign w:val="superscript"/>
              </w:rPr>
              <w:t>‡</w:t>
            </w:r>
            <w:r w:rsidRPr="000F5822">
              <w:t>Pre- &amp; Postnatal toxicity</w:t>
            </w:r>
          </w:p>
        </w:tc>
        <w:tc>
          <w:tcPr>
            <w:tcW w:w="1559" w:type="dxa"/>
          </w:tcPr>
          <w:p w:rsidR="00C47D6B" w:rsidRPr="000F5822" w:rsidRDefault="00C47D6B" w:rsidP="00442246">
            <w:pPr>
              <w:ind w:left="0"/>
            </w:pPr>
            <w:r w:rsidRPr="000F5822">
              <w:t>5</w:t>
            </w:r>
          </w:p>
        </w:tc>
        <w:tc>
          <w:tcPr>
            <w:tcW w:w="1099" w:type="dxa"/>
            <w:vMerge w:val="restart"/>
          </w:tcPr>
          <w:p w:rsidR="00C47D6B" w:rsidRPr="000F5822" w:rsidRDefault="00C47D6B" w:rsidP="00442246">
            <w:pPr>
              <w:ind w:left="0"/>
            </w:pPr>
            <w:r w:rsidRPr="000F5822">
              <w:t>N/A</w:t>
            </w:r>
          </w:p>
        </w:tc>
        <w:tc>
          <w:tcPr>
            <w:tcW w:w="1418" w:type="dxa"/>
          </w:tcPr>
          <w:p w:rsidR="00C47D6B" w:rsidRPr="000F5822" w:rsidRDefault="00C47D6B" w:rsidP="00442246">
            <w:pPr>
              <w:ind w:left="0"/>
            </w:pPr>
            <w:r w:rsidRPr="000F5822">
              <w:t>-</w:t>
            </w:r>
          </w:p>
        </w:tc>
        <w:tc>
          <w:tcPr>
            <w:tcW w:w="1417" w:type="dxa"/>
          </w:tcPr>
          <w:p w:rsidR="00C47D6B" w:rsidRPr="000F5822" w:rsidRDefault="00C47D6B" w:rsidP="00442246">
            <w:pPr>
              <w:ind w:left="0"/>
            </w:pPr>
            <w:r w:rsidRPr="000F5822">
              <w:t>-</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1559" w:type="dxa"/>
          </w:tcPr>
          <w:p w:rsidR="00C47D6B" w:rsidRPr="000F5822" w:rsidRDefault="00C47D6B" w:rsidP="00442246">
            <w:pPr>
              <w:ind w:left="0"/>
            </w:pPr>
            <w:r w:rsidRPr="000F5822">
              <w:t>50</w:t>
            </w:r>
          </w:p>
        </w:tc>
        <w:tc>
          <w:tcPr>
            <w:tcW w:w="1099" w:type="dxa"/>
            <w:vMerge/>
          </w:tcPr>
          <w:p w:rsidR="00C47D6B" w:rsidRPr="000F5822" w:rsidRDefault="00C47D6B" w:rsidP="00442246">
            <w:pPr>
              <w:ind w:left="0"/>
            </w:pPr>
          </w:p>
        </w:tc>
        <w:tc>
          <w:tcPr>
            <w:tcW w:w="1418" w:type="dxa"/>
          </w:tcPr>
          <w:p w:rsidR="00C47D6B" w:rsidRPr="000F5822" w:rsidRDefault="00C47D6B" w:rsidP="00442246">
            <w:pPr>
              <w:ind w:left="0"/>
            </w:pPr>
            <w:r w:rsidRPr="000F5822">
              <w:t>-</w:t>
            </w:r>
          </w:p>
        </w:tc>
        <w:tc>
          <w:tcPr>
            <w:tcW w:w="1417" w:type="dxa"/>
          </w:tcPr>
          <w:p w:rsidR="00C47D6B" w:rsidRPr="000F5822" w:rsidRDefault="00C47D6B" w:rsidP="00442246">
            <w:pPr>
              <w:ind w:left="0"/>
            </w:pPr>
            <w:r w:rsidRPr="000F5822">
              <w:t>-</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1559" w:type="dxa"/>
          </w:tcPr>
          <w:p w:rsidR="00C47D6B" w:rsidRPr="000F5822" w:rsidRDefault="00C47D6B" w:rsidP="00442246">
            <w:pPr>
              <w:ind w:left="0"/>
            </w:pPr>
            <w:r w:rsidRPr="000F5822">
              <w:t>1000</w:t>
            </w:r>
          </w:p>
        </w:tc>
        <w:tc>
          <w:tcPr>
            <w:tcW w:w="1099" w:type="dxa"/>
            <w:vMerge/>
          </w:tcPr>
          <w:p w:rsidR="00C47D6B" w:rsidRPr="000F5822" w:rsidRDefault="00C47D6B" w:rsidP="00442246">
            <w:pPr>
              <w:ind w:left="0"/>
            </w:pPr>
          </w:p>
        </w:tc>
        <w:tc>
          <w:tcPr>
            <w:tcW w:w="1418" w:type="dxa"/>
          </w:tcPr>
          <w:p w:rsidR="00C47D6B" w:rsidRPr="000F5822" w:rsidRDefault="00C47D6B" w:rsidP="00442246">
            <w:pPr>
              <w:ind w:left="0"/>
            </w:pPr>
            <w:r w:rsidRPr="000F5822">
              <w:t>2031.8</w:t>
            </w:r>
          </w:p>
        </w:tc>
        <w:tc>
          <w:tcPr>
            <w:tcW w:w="1417" w:type="dxa"/>
          </w:tcPr>
          <w:p w:rsidR="00C47D6B" w:rsidRPr="000F5822" w:rsidRDefault="00C47D6B" w:rsidP="00442246">
            <w:pPr>
              <w:ind w:left="0"/>
            </w:pPr>
            <w:r w:rsidRPr="000F5822">
              <w:t>50</w:t>
            </w:r>
          </w:p>
        </w:tc>
      </w:tr>
      <w:tr w:rsidR="00C47D6B" w:rsidRPr="007068A9" w:rsidTr="00442246">
        <w:trPr>
          <w:trHeight w:val="227"/>
        </w:trPr>
        <w:tc>
          <w:tcPr>
            <w:tcW w:w="1453" w:type="dxa"/>
            <w:vMerge w:val="restart"/>
          </w:tcPr>
          <w:p w:rsidR="00C47D6B" w:rsidRPr="000F5822" w:rsidRDefault="00C47D6B" w:rsidP="00442246">
            <w:pPr>
              <w:ind w:left="0"/>
            </w:pPr>
            <w:r w:rsidRPr="000F5822">
              <w:t>Rabbit</w:t>
            </w:r>
            <w:r w:rsidR="002757A7">
              <w:t xml:space="preserve"> </w:t>
            </w:r>
            <w:r w:rsidRPr="000F5822">
              <w:t>(Japanese white)</w:t>
            </w:r>
          </w:p>
        </w:tc>
        <w:tc>
          <w:tcPr>
            <w:tcW w:w="1701" w:type="dxa"/>
            <w:vMerge w:val="restart"/>
          </w:tcPr>
          <w:p w:rsidR="00C47D6B" w:rsidRPr="000F5822" w:rsidRDefault="00C47D6B" w:rsidP="00442246">
            <w:pPr>
              <w:ind w:left="0"/>
            </w:pPr>
            <w:r w:rsidRPr="000F5822">
              <w:t>Embryofetal development</w:t>
            </w:r>
          </w:p>
        </w:tc>
        <w:tc>
          <w:tcPr>
            <w:tcW w:w="1559" w:type="dxa"/>
          </w:tcPr>
          <w:p w:rsidR="00C47D6B" w:rsidRPr="000F5822" w:rsidRDefault="00C47D6B" w:rsidP="00442246">
            <w:pPr>
              <w:ind w:left="0"/>
            </w:pPr>
            <w:r w:rsidRPr="000F5822">
              <w:t>40</w:t>
            </w:r>
          </w:p>
        </w:tc>
        <w:tc>
          <w:tcPr>
            <w:tcW w:w="1099" w:type="dxa"/>
            <w:vMerge w:val="restart"/>
          </w:tcPr>
          <w:p w:rsidR="00C47D6B" w:rsidRPr="000F5822" w:rsidRDefault="00C47D6B" w:rsidP="00442246">
            <w:pPr>
              <w:ind w:left="0"/>
            </w:pPr>
            <w:r w:rsidRPr="000F5822">
              <w:t>GD 18</w:t>
            </w:r>
          </w:p>
        </w:tc>
        <w:tc>
          <w:tcPr>
            <w:tcW w:w="1418" w:type="dxa"/>
          </w:tcPr>
          <w:p w:rsidR="00C47D6B" w:rsidRPr="000F5822" w:rsidRDefault="00C47D6B" w:rsidP="00442246">
            <w:pPr>
              <w:ind w:left="0"/>
            </w:pPr>
            <w:r w:rsidRPr="000F5822">
              <w:t>2.6</w:t>
            </w:r>
          </w:p>
        </w:tc>
        <w:tc>
          <w:tcPr>
            <w:tcW w:w="1417" w:type="dxa"/>
          </w:tcPr>
          <w:p w:rsidR="00C47D6B" w:rsidRPr="000F5822" w:rsidRDefault="00C47D6B" w:rsidP="00442246">
            <w:pPr>
              <w:ind w:left="0"/>
            </w:pPr>
            <w:r w:rsidRPr="000F5822">
              <w:t>0.06</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1559" w:type="dxa"/>
          </w:tcPr>
          <w:p w:rsidR="00C47D6B" w:rsidRPr="000F5822" w:rsidRDefault="00C47D6B" w:rsidP="00442246">
            <w:pPr>
              <w:ind w:left="0"/>
            </w:pPr>
            <w:r w:rsidRPr="000F5822">
              <w:t>200</w:t>
            </w:r>
          </w:p>
        </w:tc>
        <w:tc>
          <w:tcPr>
            <w:tcW w:w="1099" w:type="dxa"/>
            <w:vMerge/>
          </w:tcPr>
          <w:p w:rsidR="00C47D6B" w:rsidRPr="000F5822" w:rsidRDefault="00C47D6B" w:rsidP="00442246">
            <w:pPr>
              <w:ind w:left="0"/>
            </w:pPr>
          </w:p>
        </w:tc>
        <w:tc>
          <w:tcPr>
            <w:tcW w:w="1418" w:type="dxa"/>
          </w:tcPr>
          <w:p w:rsidR="00C47D6B" w:rsidRPr="000F5822" w:rsidRDefault="00C47D6B" w:rsidP="00442246">
            <w:pPr>
              <w:ind w:left="0"/>
            </w:pPr>
            <w:r w:rsidRPr="000F5822">
              <w:t>14.5</w:t>
            </w:r>
          </w:p>
        </w:tc>
        <w:tc>
          <w:tcPr>
            <w:tcW w:w="1417" w:type="dxa"/>
          </w:tcPr>
          <w:p w:rsidR="00C47D6B" w:rsidRPr="000F5822" w:rsidRDefault="00C47D6B" w:rsidP="00442246">
            <w:pPr>
              <w:ind w:left="0"/>
            </w:pPr>
            <w:r w:rsidRPr="000F5822">
              <w:t>0.35</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1559" w:type="dxa"/>
          </w:tcPr>
          <w:p w:rsidR="00C47D6B" w:rsidRPr="000F5822" w:rsidRDefault="00C47D6B" w:rsidP="00442246">
            <w:pPr>
              <w:ind w:left="0"/>
            </w:pPr>
            <w:r w:rsidRPr="000F5822">
              <w:t>1000</w:t>
            </w:r>
          </w:p>
        </w:tc>
        <w:tc>
          <w:tcPr>
            <w:tcW w:w="1099" w:type="dxa"/>
            <w:vMerge/>
          </w:tcPr>
          <w:p w:rsidR="00C47D6B" w:rsidRPr="000F5822" w:rsidRDefault="00C47D6B" w:rsidP="00442246">
            <w:pPr>
              <w:ind w:left="0"/>
            </w:pPr>
          </w:p>
        </w:tc>
        <w:tc>
          <w:tcPr>
            <w:tcW w:w="1418" w:type="dxa"/>
          </w:tcPr>
          <w:p w:rsidR="00C47D6B" w:rsidRPr="000F5822" w:rsidRDefault="00C47D6B" w:rsidP="00442246">
            <w:pPr>
              <w:ind w:left="0"/>
            </w:pPr>
            <w:r w:rsidRPr="000F5822">
              <w:t>30.1</w:t>
            </w:r>
          </w:p>
        </w:tc>
        <w:tc>
          <w:tcPr>
            <w:tcW w:w="1417" w:type="dxa"/>
          </w:tcPr>
          <w:p w:rsidR="00C47D6B" w:rsidRPr="000F5822" w:rsidRDefault="00C47D6B" w:rsidP="00442246">
            <w:pPr>
              <w:ind w:left="0"/>
            </w:pPr>
            <w:r w:rsidRPr="000F5822">
              <w:t>0.74</w:t>
            </w:r>
          </w:p>
        </w:tc>
      </w:tr>
      <w:tr w:rsidR="00C47D6B" w:rsidRPr="007068A9" w:rsidTr="00442246">
        <w:trPr>
          <w:trHeight w:val="227"/>
        </w:trPr>
        <w:tc>
          <w:tcPr>
            <w:tcW w:w="1453" w:type="dxa"/>
          </w:tcPr>
          <w:p w:rsidR="00C47D6B" w:rsidRPr="000F5822" w:rsidRDefault="00C47D6B" w:rsidP="00442246">
            <w:pPr>
              <w:ind w:left="0"/>
            </w:pPr>
            <w:r w:rsidRPr="000F5822">
              <w:t>Human</w:t>
            </w:r>
          </w:p>
        </w:tc>
        <w:tc>
          <w:tcPr>
            <w:tcW w:w="1701" w:type="dxa"/>
          </w:tcPr>
          <w:p w:rsidR="00C47D6B" w:rsidRPr="000F5822" w:rsidRDefault="00C47D6B" w:rsidP="00442246">
            <w:pPr>
              <w:ind w:left="0"/>
            </w:pPr>
            <w:r w:rsidRPr="000F5822">
              <w:t>Single dose</w:t>
            </w:r>
          </w:p>
        </w:tc>
        <w:tc>
          <w:tcPr>
            <w:tcW w:w="1559" w:type="dxa"/>
          </w:tcPr>
          <w:p w:rsidR="00C47D6B" w:rsidRPr="000F5822" w:rsidRDefault="00C47D6B" w:rsidP="00442246">
            <w:pPr>
              <w:ind w:left="0"/>
            </w:pPr>
            <w:r w:rsidRPr="000F5822">
              <w:t>50 mg</w:t>
            </w:r>
          </w:p>
        </w:tc>
        <w:tc>
          <w:tcPr>
            <w:tcW w:w="1099" w:type="dxa"/>
          </w:tcPr>
          <w:p w:rsidR="00C47D6B" w:rsidRPr="000F5822" w:rsidRDefault="00C47D6B" w:rsidP="00442246">
            <w:pPr>
              <w:ind w:left="0"/>
            </w:pPr>
          </w:p>
        </w:tc>
        <w:tc>
          <w:tcPr>
            <w:tcW w:w="1418" w:type="dxa"/>
          </w:tcPr>
          <w:p w:rsidR="00C47D6B" w:rsidRPr="000F5822" w:rsidRDefault="00C47D6B" w:rsidP="00442246">
            <w:pPr>
              <w:ind w:left="0"/>
            </w:pPr>
            <w:r w:rsidRPr="000F5822">
              <w:rPr>
                <w:vertAlign w:val="superscript"/>
              </w:rPr>
              <w:t>*</w:t>
            </w:r>
            <w:r w:rsidRPr="000F5822">
              <w:t>40.9</w:t>
            </w:r>
          </w:p>
        </w:tc>
        <w:tc>
          <w:tcPr>
            <w:tcW w:w="1417" w:type="dxa"/>
          </w:tcPr>
          <w:p w:rsidR="00C47D6B" w:rsidRPr="000F5822" w:rsidRDefault="00C47D6B" w:rsidP="00442246">
            <w:pPr>
              <w:ind w:left="0"/>
            </w:pPr>
            <w:r w:rsidRPr="000F5822">
              <w:t>–</w:t>
            </w:r>
          </w:p>
        </w:tc>
      </w:tr>
    </w:tbl>
    <w:p w:rsidR="00C47D6B" w:rsidRPr="000F5822" w:rsidRDefault="00C47D6B" w:rsidP="002757A7">
      <w:pPr>
        <w:pStyle w:val="TableDescription"/>
      </w:pPr>
      <w:r w:rsidRPr="000F5822">
        <w:t xml:space="preserve"># = </w:t>
      </w:r>
      <w:proofErr w:type="spellStart"/>
      <w:r w:rsidRPr="000F5822">
        <w:t>animal</w:t>
      </w:r>
      <w:proofErr w:type="gramStart"/>
      <w:r w:rsidRPr="000F5822">
        <w:t>:human</w:t>
      </w:r>
      <w:proofErr w:type="spellEnd"/>
      <w:proofErr w:type="gramEnd"/>
      <w:r w:rsidRPr="000F5822">
        <w:t xml:space="preserve"> plasma AUC</w:t>
      </w:r>
      <w:r w:rsidRPr="000F5822">
        <w:rPr>
          <w:vertAlign w:val="subscript"/>
        </w:rPr>
        <w:t>0–24 h</w:t>
      </w:r>
      <w:r w:rsidRPr="000F5822">
        <w:t>; †</w:t>
      </w:r>
      <w:proofErr w:type="spellStart"/>
      <w:r w:rsidRPr="000F5822">
        <w:t>Toxicokinetic</w:t>
      </w:r>
      <w:proofErr w:type="spellEnd"/>
      <w:r w:rsidRPr="000F5822">
        <w:t xml:space="preserve"> data taken from 4-week repeat dose study in rats; ‡Toxicokinetic data from the </w:t>
      </w:r>
      <w:r w:rsidR="000F5822">
        <w:t>high dose (</w:t>
      </w:r>
      <w:r w:rsidRPr="000F5822">
        <w:t>HD</w:t>
      </w:r>
      <w:r w:rsidR="000F5822">
        <w:t>)</w:t>
      </w:r>
      <w:r w:rsidRPr="000F5822">
        <w:t xml:space="preserve"> level in the embryofetal development study in this species; *AUC</w:t>
      </w:r>
      <w:r w:rsidRPr="000F5822">
        <w:rPr>
          <w:vertAlign w:val="subscript"/>
        </w:rPr>
        <w:t>0-t</w:t>
      </w:r>
      <w:r w:rsidRPr="000F5822">
        <w:t xml:space="preserve"> taken from Study ING114580, bioequivalence of </w:t>
      </w:r>
      <w:proofErr w:type="spellStart"/>
      <w:r w:rsidR="003401D1" w:rsidRPr="000F5822">
        <w:t>Triumeq</w:t>
      </w:r>
      <w:proofErr w:type="spellEnd"/>
      <w:r w:rsidRPr="000F5822">
        <w:t xml:space="preserve"> tablet compared to DTG plus </w:t>
      </w:r>
      <w:proofErr w:type="spellStart"/>
      <w:r w:rsidR="000F5822" w:rsidRPr="000F5822">
        <w:t>Epzicom</w:t>
      </w:r>
      <w:proofErr w:type="spellEnd"/>
      <w:r w:rsidR="000F5822" w:rsidRPr="000F5822">
        <w:t xml:space="preserve"> </w:t>
      </w:r>
      <w:r w:rsidRPr="000F5822">
        <w:t>(combined 600 mg/300 mg ABC/3TC); t= last quantifiable concentration.</w:t>
      </w:r>
    </w:p>
    <w:p w:rsidR="00C47D6B" w:rsidRPr="0068453C" w:rsidRDefault="000F5822" w:rsidP="00442246">
      <w:pPr>
        <w:pStyle w:val="TableTitle"/>
        <w:pageBreakBefore/>
      </w:pPr>
      <w:r>
        <w:lastRenderedPageBreak/>
        <w:t xml:space="preserve">Table 6: </w:t>
      </w:r>
      <w:r w:rsidR="00C47D6B" w:rsidRPr="00EC511E">
        <w:t xml:space="preserve">Relative exposure </w:t>
      </w:r>
      <w:r w:rsidR="00C47D6B">
        <w:t>in reproductive toxicity</w:t>
      </w:r>
      <w:r w:rsidR="00C47D6B" w:rsidRPr="00EC511E">
        <w:t xml:space="preserve"> studies</w:t>
      </w:r>
      <w:r w:rsidR="00C47D6B">
        <w:t xml:space="preserve"> with ABC succinate</w:t>
      </w:r>
    </w:p>
    <w:tbl>
      <w:tblPr>
        <w:tblStyle w:val="TableTGAblue"/>
        <w:tblW w:w="8789" w:type="dxa"/>
        <w:tblLayout w:type="fixed"/>
        <w:tblLook w:val="01E0" w:firstRow="1" w:lastRow="1" w:firstColumn="1" w:lastColumn="1" w:noHBand="0" w:noVBand="0"/>
      </w:tblPr>
      <w:tblGrid>
        <w:gridCol w:w="1453"/>
        <w:gridCol w:w="1701"/>
        <w:gridCol w:w="957"/>
        <w:gridCol w:w="992"/>
        <w:gridCol w:w="993"/>
        <w:gridCol w:w="1275"/>
        <w:gridCol w:w="1418"/>
      </w:tblGrid>
      <w:tr w:rsidR="00C47D6B" w:rsidRPr="00921F44" w:rsidTr="00442246">
        <w:trPr>
          <w:cnfStyle w:val="100000000000" w:firstRow="1" w:lastRow="0" w:firstColumn="0" w:lastColumn="0" w:oddVBand="0" w:evenVBand="0" w:oddHBand="0" w:evenHBand="0" w:firstRowFirstColumn="0" w:firstRowLastColumn="0" w:lastRowFirstColumn="0" w:lastRowLastColumn="0"/>
          <w:trHeight w:val="215"/>
        </w:trPr>
        <w:tc>
          <w:tcPr>
            <w:tcW w:w="1453" w:type="dxa"/>
            <w:vMerge w:val="restart"/>
          </w:tcPr>
          <w:p w:rsidR="00C47D6B" w:rsidRPr="000F5822" w:rsidRDefault="00C47D6B" w:rsidP="00442246">
            <w:pPr>
              <w:ind w:left="0"/>
            </w:pPr>
            <w:r w:rsidRPr="000F5822">
              <w:t>Species</w:t>
            </w:r>
          </w:p>
        </w:tc>
        <w:tc>
          <w:tcPr>
            <w:tcW w:w="1701" w:type="dxa"/>
            <w:vMerge w:val="restart"/>
          </w:tcPr>
          <w:p w:rsidR="00C47D6B" w:rsidRPr="000F5822" w:rsidRDefault="00C47D6B" w:rsidP="00442246">
            <w:pPr>
              <w:ind w:left="0"/>
            </w:pPr>
            <w:r w:rsidRPr="000F5822">
              <w:t>Study</w:t>
            </w:r>
          </w:p>
        </w:tc>
        <w:tc>
          <w:tcPr>
            <w:tcW w:w="1949" w:type="dxa"/>
            <w:gridSpan w:val="2"/>
          </w:tcPr>
          <w:p w:rsidR="009862C1" w:rsidRPr="000F5822" w:rsidRDefault="00C47D6B" w:rsidP="00442246">
            <w:pPr>
              <w:ind w:left="0"/>
            </w:pPr>
            <w:r w:rsidRPr="000F5822">
              <w:t>Dose</w:t>
            </w:r>
            <w:r w:rsidR="00442246">
              <w:t xml:space="preserve"> </w:t>
            </w:r>
            <w:r w:rsidRPr="000F5822">
              <w:t>mg/kg/day</w:t>
            </w:r>
          </w:p>
        </w:tc>
        <w:tc>
          <w:tcPr>
            <w:tcW w:w="993" w:type="dxa"/>
            <w:vMerge w:val="restart"/>
          </w:tcPr>
          <w:p w:rsidR="00C47D6B" w:rsidRPr="000F5822" w:rsidRDefault="00C47D6B" w:rsidP="00442246">
            <w:pPr>
              <w:ind w:left="0"/>
            </w:pPr>
            <w:r w:rsidRPr="000F5822">
              <w:t>Day</w:t>
            </w:r>
          </w:p>
        </w:tc>
        <w:tc>
          <w:tcPr>
            <w:tcW w:w="1275" w:type="dxa"/>
            <w:vMerge w:val="restart"/>
          </w:tcPr>
          <w:p w:rsidR="00C47D6B" w:rsidRPr="000F5822" w:rsidRDefault="00C47D6B" w:rsidP="00442246">
            <w:pPr>
              <w:ind w:left="0"/>
            </w:pPr>
            <w:r w:rsidRPr="000F5822">
              <w:t>AUC</w:t>
            </w:r>
            <w:r w:rsidRPr="000F5822">
              <w:rPr>
                <w:vertAlign w:val="subscript"/>
              </w:rPr>
              <w:t>0–24</w:t>
            </w:r>
            <w:r w:rsidRPr="000F5822">
              <w:rPr>
                <w:w w:val="50"/>
                <w:vertAlign w:val="subscript"/>
              </w:rPr>
              <w:t> </w:t>
            </w:r>
            <w:r w:rsidRPr="000F5822">
              <w:rPr>
                <w:vertAlign w:val="subscript"/>
              </w:rPr>
              <w:t>h</w:t>
            </w:r>
            <w:r w:rsidR="00442246">
              <w:rPr>
                <w:vertAlign w:val="subscript"/>
              </w:rPr>
              <w:t xml:space="preserve"> </w:t>
            </w:r>
            <w:proofErr w:type="spellStart"/>
            <w:r w:rsidRPr="000F5822">
              <w:t>μg∙h</w:t>
            </w:r>
            <w:proofErr w:type="spellEnd"/>
            <w:r w:rsidRPr="000F5822">
              <w:t>/mL</w:t>
            </w:r>
          </w:p>
        </w:tc>
        <w:tc>
          <w:tcPr>
            <w:tcW w:w="1418" w:type="dxa"/>
            <w:vMerge w:val="restart"/>
          </w:tcPr>
          <w:p w:rsidR="00C47D6B" w:rsidRPr="000F5822" w:rsidRDefault="00C47D6B" w:rsidP="00442246">
            <w:pPr>
              <w:ind w:left="0"/>
            </w:pPr>
            <w:r w:rsidRPr="000F5822">
              <w:t>Exposure ratio</w:t>
            </w:r>
            <w:r w:rsidRPr="000F5822">
              <w:rPr>
                <w:vertAlign w:val="superscript"/>
              </w:rPr>
              <w:t>#</w:t>
            </w:r>
          </w:p>
        </w:tc>
      </w:tr>
      <w:tr w:rsidR="00C47D6B" w:rsidRPr="00921F44" w:rsidTr="00442246">
        <w:trPr>
          <w:trHeight w:val="215"/>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957" w:type="dxa"/>
          </w:tcPr>
          <w:p w:rsidR="00C47D6B" w:rsidRPr="000F5822" w:rsidRDefault="00C47D6B" w:rsidP="00442246">
            <w:pPr>
              <w:ind w:left="0"/>
            </w:pPr>
            <w:r w:rsidRPr="000F5822">
              <w:t>salt</w:t>
            </w:r>
          </w:p>
        </w:tc>
        <w:tc>
          <w:tcPr>
            <w:tcW w:w="992" w:type="dxa"/>
          </w:tcPr>
          <w:p w:rsidR="00C47D6B" w:rsidRPr="000F5822" w:rsidRDefault="00C47D6B" w:rsidP="00442246">
            <w:pPr>
              <w:ind w:left="0"/>
            </w:pPr>
            <w:r w:rsidRPr="000F5822">
              <w:t>base</w:t>
            </w:r>
          </w:p>
        </w:tc>
        <w:tc>
          <w:tcPr>
            <w:tcW w:w="993" w:type="dxa"/>
            <w:vMerge/>
          </w:tcPr>
          <w:p w:rsidR="00C47D6B" w:rsidRPr="000F5822" w:rsidRDefault="00C47D6B" w:rsidP="00442246">
            <w:pPr>
              <w:ind w:left="0"/>
            </w:pPr>
          </w:p>
        </w:tc>
        <w:tc>
          <w:tcPr>
            <w:tcW w:w="1275" w:type="dxa"/>
            <w:vMerge/>
          </w:tcPr>
          <w:p w:rsidR="00C47D6B" w:rsidRPr="000F5822" w:rsidRDefault="00C47D6B" w:rsidP="00442246">
            <w:pPr>
              <w:ind w:left="0"/>
            </w:pPr>
          </w:p>
        </w:tc>
        <w:tc>
          <w:tcPr>
            <w:tcW w:w="1418" w:type="dxa"/>
            <w:vMerge/>
          </w:tcPr>
          <w:p w:rsidR="00C47D6B" w:rsidRPr="000F5822" w:rsidRDefault="00C47D6B" w:rsidP="00442246">
            <w:pPr>
              <w:ind w:left="0"/>
            </w:pPr>
          </w:p>
        </w:tc>
      </w:tr>
      <w:tr w:rsidR="00C47D6B" w:rsidRPr="007068A9" w:rsidTr="00442246">
        <w:trPr>
          <w:trHeight w:val="227"/>
        </w:trPr>
        <w:tc>
          <w:tcPr>
            <w:tcW w:w="1453" w:type="dxa"/>
            <w:vMerge w:val="restart"/>
          </w:tcPr>
          <w:p w:rsidR="00C47D6B" w:rsidRPr="000F5822" w:rsidRDefault="00C47D6B" w:rsidP="00442246">
            <w:pPr>
              <w:ind w:left="0"/>
            </w:pPr>
            <w:r w:rsidRPr="000F5822">
              <w:t>Rat (SD)</w:t>
            </w:r>
          </w:p>
        </w:tc>
        <w:tc>
          <w:tcPr>
            <w:tcW w:w="1701" w:type="dxa"/>
            <w:vMerge w:val="restart"/>
          </w:tcPr>
          <w:p w:rsidR="00C47D6B" w:rsidRPr="000F5822" w:rsidRDefault="00C47D6B" w:rsidP="00442246">
            <w:pPr>
              <w:ind w:left="0"/>
            </w:pPr>
            <w:r w:rsidRPr="000F5822">
              <w:rPr>
                <w:vertAlign w:val="superscript"/>
              </w:rPr>
              <w:t>†</w:t>
            </w:r>
            <w:r w:rsidRPr="000F5822">
              <w:t>Fertility &amp; early embryonic development</w:t>
            </w:r>
          </w:p>
        </w:tc>
        <w:tc>
          <w:tcPr>
            <w:tcW w:w="957" w:type="dxa"/>
          </w:tcPr>
          <w:p w:rsidR="00C47D6B" w:rsidRPr="000F5822" w:rsidRDefault="00C47D6B" w:rsidP="00442246">
            <w:pPr>
              <w:ind w:left="0"/>
            </w:pPr>
            <w:r w:rsidRPr="000F5822">
              <w:t>60</w:t>
            </w:r>
          </w:p>
        </w:tc>
        <w:tc>
          <w:tcPr>
            <w:tcW w:w="992" w:type="dxa"/>
          </w:tcPr>
          <w:p w:rsidR="00C47D6B" w:rsidRPr="000F5822" w:rsidRDefault="00C47D6B" w:rsidP="00442246">
            <w:pPr>
              <w:ind w:left="0"/>
            </w:pPr>
            <w:r w:rsidRPr="000F5822">
              <w:t>51</w:t>
            </w:r>
          </w:p>
        </w:tc>
        <w:tc>
          <w:tcPr>
            <w:tcW w:w="993" w:type="dxa"/>
            <w:vMerge w:val="restart"/>
          </w:tcPr>
          <w:p w:rsidR="00C47D6B" w:rsidRPr="000F5822" w:rsidRDefault="00C47D6B" w:rsidP="00442246">
            <w:pPr>
              <w:ind w:left="0"/>
            </w:pPr>
            <w:r w:rsidRPr="000F5822">
              <w:t>N/A</w:t>
            </w:r>
          </w:p>
        </w:tc>
        <w:tc>
          <w:tcPr>
            <w:tcW w:w="1275" w:type="dxa"/>
          </w:tcPr>
          <w:p w:rsidR="00C47D6B" w:rsidRPr="000F5822" w:rsidRDefault="00C47D6B" w:rsidP="00442246">
            <w:pPr>
              <w:ind w:left="0"/>
              <w:rPr>
                <w:rFonts w:eastAsia="Times New Roman"/>
                <w:snapToGrid w:val="0"/>
              </w:rPr>
            </w:pPr>
            <w:r w:rsidRPr="000F5822">
              <w:rPr>
                <w:rFonts w:eastAsia="Times New Roman"/>
                <w:snapToGrid w:val="0"/>
              </w:rPr>
              <w:t>44</w:t>
            </w:r>
          </w:p>
        </w:tc>
        <w:tc>
          <w:tcPr>
            <w:tcW w:w="1418" w:type="dxa"/>
          </w:tcPr>
          <w:p w:rsidR="00C47D6B" w:rsidRPr="000F5822" w:rsidRDefault="00C47D6B" w:rsidP="00442246">
            <w:pPr>
              <w:ind w:left="0"/>
            </w:pPr>
            <w:r w:rsidRPr="000F5822">
              <w:t>3</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957" w:type="dxa"/>
          </w:tcPr>
          <w:p w:rsidR="00C47D6B" w:rsidRPr="000F5822" w:rsidRDefault="00C47D6B" w:rsidP="00442246">
            <w:pPr>
              <w:ind w:left="0"/>
            </w:pPr>
            <w:r w:rsidRPr="000F5822">
              <w:t>150</w:t>
            </w:r>
          </w:p>
        </w:tc>
        <w:tc>
          <w:tcPr>
            <w:tcW w:w="992" w:type="dxa"/>
          </w:tcPr>
          <w:p w:rsidR="00C47D6B" w:rsidRPr="000F5822" w:rsidRDefault="00C47D6B" w:rsidP="00442246">
            <w:pPr>
              <w:ind w:left="0"/>
            </w:pPr>
            <w:r w:rsidRPr="000F5822">
              <w:t>137</w:t>
            </w:r>
          </w:p>
        </w:tc>
        <w:tc>
          <w:tcPr>
            <w:tcW w:w="993" w:type="dxa"/>
            <w:vMerge/>
          </w:tcPr>
          <w:p w:rsidR="00C47D6B" w:rsidRPr="000F5822" w:rsidRDefault="00C47D6B" w:rsidP="00442246">
            <w:pPr>
              <w:ind w:left="0"/>
            </w:pPr>
          </w:p>
        </w:tc>
        <w:tc>
          <w:tcPr>
            <w:tcW w:w="1275" w:type="dxa"/>
          </w:tcPr>
          <w:p w:rsidR="00C47D6B" w:rsidRPr="000F5822" w:rsidRDefault="00C47D6B" w:rsidP="00442246">
            <w:pPr>
              <w:ind w:left="0"/>
              <w:rPr>
                <w:rFonts w:eastAsia="Times New Roman"/>
                <w:snapToGrid w:val="0"/>
              </w:rPr>
            </w:pPr>
            <w:r w:rsidRPr="000F5822">
              <w:rPr>
                <w:rFonts w:eastAsia="Times New Roman"/>
                <w:snapToGrid w:val="0"/>
              </w:rPr>
              <w:t>121</w:t>
            </w:r>
          </w:p>
        </w:tc>
        <w:tc>
          <w:tcPr>
            <w:tcW w:w="1418" w:type="dxa"/>
          </w:tcPr>
          <w:p w:rsidR="00C47D6B" w:rsidRPr="000F5822" w:rsidRDefault="00C47D6B" w:rsidP="00442246">
            <w:pPr>
              <w:ind w:left="0"/>
            </w:pPr>
            <w:r w:rsidRPr="000F5822">
              <w:t>9</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957" w:type="dxa"/>
          </w:tcPr>
          <w:p w:rsidR="00C47D6B" w:rsidRPr="000F5822" w:rsidRDefault="00C47D6B" w:rsidP="00442246">
            <w:pPr>
              <w:ind w:left="0"/>
            </w:pPr>
            <w:r w:rsidRPr="000F5822">
              <w:t>500</w:t>
            </w:r>
          </w:p>
        </w:tc>
        <w:tc>
          <w:tcPr>
            <w:tcW w:w="992" w:type="dxa"/>
          </w:tcPr>
          <w:p w:rsidR="00C47D6B" w:rsidRPr="000F5822" w:rsidRDefault="00C47D6B" w:rsidP="00442246">
            <w:pPr>
              <w:ind w:left="0"/>
            </w:pPr>
            <w:r w:rsidRPr="000F5822">
              <w:t>427</w:t>
            </w:r>
          </w:p>
        </w:tc>
        <w:tc>
          <w:tcPr>
            <w:tcW w:w="993" w:type="dxa"/>
            <w:vMerge/>
          </w:tcPr>
          <w:p w:rsidR="00C47D6B" w:rsidRPr="000F5822" w:rsidRDefault="00C47D6B" w:rsidP="00442246">
            <w:pPr>
              <w:ind w:left="0"/>
            </w:pPr>
          </w:p>
        </w:tc>
        <w:tc>
          <w:tcPr>
            <w:tcW w:w="1275" w:type="dxa"/>
          </w:tcPr>
          <w:p w:rsidR="00C47D6B" w:rsidRPr="000F5822" w:rsidRDefault="00C47D6B" w:rsidP="00442246">
            <w:pPr>
              <w:ind w:left="0"/>
            </w:pPr>
            <w:r w:rsidRPr="000F5822">
              <w:t>414</w:t>
            </w:r>
          </w:p>
        </w:tc>
        <w:tc>
          <w:tcPr>
            <w:tcW w:w="1418" w:type="dxa"/>
          </w:tcPr>
          <w:p w:rsidR="00C47D6B" w:rsidRPr="000F5822" w:rsidRDefault="00C47D6B" w:rsidP="00442246">
            <w:pPr>
              <w:ind w:left="0"/>
            </w:pPr>
            <w:r w:rsidRPr="000F5822">
              <w:t>30</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val="restart"/>
          </w:tcPr>
          <w:p w:rsidR="00C47D6B" w:rsidRPr="000F5822" w:rsidRDefault="00C47D6B" w:rsidP="00442246">
            <w:pPr>
              <w:ind w:left="0"/>
            </w:pPr>
            <w:r w:rsidRPr="000F5822">
              <w:t>Embryofetal development</w:t>
            </w:r>
          </w:p>
        </w:tc>
        <w:tc>
          <w:tcPr>
            <w:tcW w:w="957" w:type="dxa"/>
          </w:tcPr>
          <w:p w:rsidR="00C47D6B" w:rsidRPr="000F5822" w:rsidRDefault="00C47D6B" w:rsidP="00442246">
            <w:pPr>
              <w:ind w:left="0"/>
            </w:pPr>
            <w:r w:rsidRPr="000F5822">
              <w:t>100</w:t>
            </w:r>
          </w:p>
        </w:tc>
        <w:tc>
          <w:tcPr>
            <w:tcW w:w="992" w:type="dxa"/>
          </w:tcPr>
          <w:p w:rsidR="00C47D6B" w:rsidRPr="000F5822" w:rsidRDefault="00C47D6B" w:rsidP="00442246">
            <w:pPr>
              <w:ind w:left="0"/>
            </w:pPr>
            <w:r w:rsidRPr="000F5822">
              <w:t>65</w:t>
            </w:r>
          </w:p>
        </w:tc>
        <w:tc>
          <w:tcPr>
            <w:tcW w:w="993" w:type="dxa"/>
            <w:vMerge w:val="restart"/>
          </w:tcPr>
          <w:p w:rsidR="00C47D6B" w:rsidRPr="000F5822" w:rsidRDefault="00C47D6B" w:rsidP="00442246">
            <w:pPr>
              <w:ind w:left="0"/>
            </w:pPr>
            <w:r w:rsidRPr="000F5822">
              <w:t>GD 17</w:t>
            </w:r>
          </w:p>
        </w:tc>
        <w:tc>
          <w:tcPr>
            <w:tcW w:w="1275" w:type="dxa"/>
          </w:tcPr>
          <w:p w:rsidR="00C47D6B" w:rsidRPr="000F5822" w:rsidRDefault="00C47D6B" w:rsidP="00442246">
            <w:pPr>
              <w:ind w:left="0"/>
            </w:pPr>
            <w:r w:rsidRPr="000F5822">
              <w:t>42</w:t>
            </w:r>
          </w:p>
        </w:tc>
        <w:tc>
          <w:tcPr>
            <w:tcW w:w="1418" w:type="dxa"/>
          </w:tcPr>
          <w:p w:rsidR="00C47D6B" w:rsidRPr="000F5822" w:rsidRDefault="00C47D6B" w:rsidP="00442246">
            <w:pPr>
              <w:ind w:left="0"/>
            </w:pPr>
            <w:r w:rsidRPr="000F5822">
              <w:t>3</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957" w:type="dxa"/>
          </w:tcPr>
          <w:p w:rsidR="00C47D6B" w:rsidRPr="000F5822" w:rsidRDefault="00C47D6B" w:rsidP="00442246">
            <w:pPr>
              <w:ind w:left="0"/>
            </w:pPr>
            <w:r w:rsidRPr="000F5822">
              <w:t>300</w:t>
            </w:r>
          </w:p>
        </w:tc>
        <w:tc>
          <w:tcPr>
            <w:tcW w:w="992" w:type="dxa"/>
          </w:tcPr>
          <w:p w:rsidR="00C47D6B" w:rsidRPr="000F5822" w:rsidRDefault="00C47D6B" w:rsidP="00442246">
            <w:pPr>
              <w:ind w:left="0"/>
            </w:pPr>
            <w:r w:rsidRPr="000F5822">
              <w:t>194</w:t>
            </w:r>
          </w:p>
        </w:tc>
        <w:tc>
          <w:tcPr>
            <w:tcW w:w="993" w:type="dxa"/>
            <w:vMerge/>
          </w:tcPr>
          <w:p w:rsidR="00C47D6B" w:rsidRPr="000F5822" w:rsidRDefault="00C47D6B" w:rsidP="00442246">
            <w:pPr>
              <w:ind w:left="0"/>
            </w:pPr>
          </w:p>
        </w:tc>
        <w:tc>
          <w:tcPr>
            <w:tcW w:w="1275" w:type="dxa"/>
          </w:tcPr>
          <w:p w:rsidR="00C47D6B" w:rsidRPr="000F5822" w:rsidRDefault="00C47D6B" w:rsidP="00442246">
            <w:pPr>
              <w:ind w:left="0"/>
            </w:pPr>
            <w:r w:rsidRPr="000F5822">
              <w:t>159</w:t>
            </w:r>
          </w:p>
        </w:tc>
        <w:tc>
          <w:tcPr>
            <w:tcW w:w="1418" w:type="dxa"/>
          </w:tcPr>
          <w:p w:rsidR="00C47D6B" w:rsidRPr="000F5822" w:rsidRDefault="00C47D6B" w:rsidP="00442246">
            <w:pPr>
              <w:ind w:left="0"/>
            </w:pPr>
            <w:r w:rsidRPr="000F5822">
              <w:t>11</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957" w:type="dxa"/>
          </w:tcPr>
          <w:p w:rsidR="00C47D6B" w:rsidRPr="000F5822" w:rsidRDefault="00C47D6B" w:rsidP="00442246">
            <w:pPr>
              <w:ind w:left="0"/>
            </w:pPr>
            <w:r w:rsidRPr="000F5822">
              <w:t>1000</w:t>
            </w:r>
          </w:p>
        </w:tc>
        <w:tc>
          <w:tcPr>
            <w:tcW w:w="992" w:type="dxa"/>
          </w:tcPr>
          <w:p w:rsidR="00C47D6B" w:rsidRPr="000F5822" w:rsidRDefault="00C47D6B" w:rsidP="00442246">
            <w:pPr>
              <w:ind w:left="0"/>
            </w:pPr>
            <w:r w:rsidRPr="000F5822">
              <w:t>648</w:t>
            </w:r>
          </w:p>
        </w:tc>
        <w:tc>
          <w:tcPr>
            <w:tcW w:w="993" w:type="dxa"/>
            <w:vMerge/>
          </w:tcPr>
          <w:p w:rsidR="00C47D6B" w:rsidRPr="000F5822" w:rsidRDefault="00C47D6B" w:rsidP="00442246">
            <w:pPr>
              <w:ind w:left="0"/>
            </w:pPr>
          </w:p>
        </w:tc>
        <w:tc>
          <w:tcPr>
            <w:tcW w:w="1275" w:type="dxa"/>
          </w:tcPr>
          <w:p w:rsidR="00C47D6B" w:rsidRPr="000F5822" w:rsidRDefault="00C47D6B" w:rsidP="00442246">
            <w:pPr>
              <w:ind w:left="0"/>
            </w:pPr>
            <w:r w:rsidRPr="000F5822">
              <w:t>427</w:t>
            </w:r>
          </w:p>
        </w:tc>
        <w:tc>
          <w:tcPr>
            <w:tcW w:w="1418" w:type="dxa"/>
          </w:tcPr>
          <w:p w:rsidR="00C47D6B" w:rsidRPr="000F5822" w:rsidRDefault="00C47D6B" w:rsidP="00442246">
            <w:pPr>
              <w:ind w:left="0"/>
            </w:pPr>
            <w:r w:rsidRPr="000F5822">
              <w:t>31</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val="restart"/>
          </w:tcPr>
          <w:p w:rsidR="00C47D6B" w:rsidRPr="000F5822" w:rsidRDefault="00C47D6B" w:rsidP="00442246">
            <w:pPr>
              <w:ind w:left="0"/>
            </w:pPr>
            <w:r w:rsidRPr="000F5822">
              <w:rPr>
                <w:vertAlign w:val="superscript"/>
              </w:rPr>
              <w:t>‡</w:t>
            </w:r>
            <w:r w:rsidRPr="000F5822">
              <w:t>Pre- &amp; Postnatal toxicity</w:t>
            </w:r>
          </w:p>
        </w:tc>
        <w:tc>
          <w:tcPr>
            <w:tcW w:w="957" w:type="dxa"/>
          </w:tcPr>
          <w:p w:rsidR="00C47D6B" w:rsidRPr="000F5822" w:rsidRDefault="00C47D6B" w:rsidP="00442246">
            <w:pPr>
              <w:ind w:left="0"/>
            </w:pPr>
            <w:r w:rsidRPr="000F5822">
              <w:t>60</w:t>
            </w:r>
          </w:p>
        </w:tc>
        <w:tc>
          <w:tcPr>
            <w:tcW w:w="992" w:type="dxa"/>
          </w:tcPr>
          <w:p w:rsidR="00C47D6B" w:rsidRPr="000F5822" w:rsidRDefault="00C47D6B" w:rsidP="00442246">
            <w:pPr>
              <w:ind w:left="0"/>
            </w:pPr>
            <w:r w:rsidRPr="000F5822">
              <w:t>51</w:t>
            </w:r>
          </w:p>
        </w:tc>
        <w:tc>
          <w:tcPr>
            <w:tcW w:w="993" w:type="dxa"/>
            <w:vMerge w:val="restart"/>
          </w:tcPr>
          <w:p w:rsidR="00C47D6B" w:rsidRPr="000F5822" w:rsidRDefault="00C47D6B" w:rsidP="00442246">
            <w:pPr>
              <w:ind w:left="0"/>
            </w:pPr>
            <w:r w:rsidRPr="000F5822">
              <w:t>N/A</w:t>
            </w:r>
          </w:p>
        </w:tc>
        <w:tc>
          <w:tcPr>
            <w:tcW w:w="1275" w:type="dxa"/>
          </w:tcPr>
          <w:p w:rsidR="00C47D6B" w:rsidRPr="000F5822" w:rsidRDefault="00C47D6B" w:rsidP="00442246">
            <w:pPr>
              <w:ind w:left="0"/>
            </w:pPr>
            <w:r w:rsidRPr="000F5822">
              <w:t>51</w:t>
            </w:r>
          </w:p>
        </w:tc>
        <w:tc>
          <w:tcPr>
            <w:tcW w:w="1418" w:type="dxa"/>
          </w:tcPr>
          <w:p w:rsidR="00C47D6B" w:rsidRPr="000F5822" w:rsidRDefault="00C47D6B" w:rsidP="00442246">
            <w:pPr>
              <w:ind w:left="0"/>
            </w:pPr>
            <w:r w:rsidRPr="000F5822">
              <w:t>4</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957" w:type="dxa"/>
          </w:tcPr>
          <w:p w:rsidR="00C47D6B" w:rsidRPr="000F5822" w:rsidRDefault="00C47D6B" w:rsidP="00442246">
            <w:pPr>
              <w:ind w:left="0"/>
            </w:pPr>
            <w:r w:rsidRPr="000F5822">
              <w:t>150</w:t>
            </w:r>
          </w:p>
        </w:tc>
        <w:tc>
          <w:tcPr>
            <w:tcW w:w="992" w:type="dxa"/>
          </w:tcPr>
          <w:p w:rsidR="00C47D6B" w:rsidRPr="000F5822" w:rsidRDefault="00C47D6B" w:rsidP="00442246">
            <w:pPr>
              <w:ind w:left="0"/>
            </w:pPr>
            <w:r w:rsidRPr="000F5822">
              <w:t>137</w:t>
            </w:r>
          </w:p>
        </w:tc>
        <w:tc>
          <w:tcPr>
            <w:tcW w:w="993" w:type="dxa"/>
            <w:vMerge/>
          </w:tcPr>
          <w:p w:rsidR="00C47D6B" w:rsidRPr="000F5822" w:rsidRDefault="00C47D6B" w:rsidP="00442246">
            <w:pPr>
              <w:ind w:left="0"/>
            </w:pPr>
          </w:p>
        </w:tc>
        <w:tc>
          <w:tcPr>
            <w:tcW w:w="1275" w:type="dxa"/>
          </w:tcPr>
          <w:p w:rsidR="00C47D6B" w:rsidRPr="000F5822" w:rsidRDefault="00C47D6B" w:rsidP="00442246">
            <w:pPr>
              <w:ind w:left="0"/>
            </w:pPr>
            <w:r w:rsidRPr="000F5822">
              <w:t>137</w:t>
            </w:r>
          </w:p>
        </w:tc>
        <w:tc>
          <w:tcPr>
            <w:tcW w:w="1418" w:type="dxa"/>
          </w:tcPr>
          <w:p w:rsidR="00C47D6B" w:rsidRPr="000F5822" w:rsidRDefault="00C47D6B" w:rsidP="00442246">
            <w:pPr>
              <w:ind w:left="0"/>
            </w:pPr>
            <w:r w:rsidRPr="000F5822">
              <w:t>10</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957" w:type="dxa"/>
          </w:tcPr>
          <w:p w:rsidR="00C47D6B" w:rsidRPr="000F5822" w:rsidRDefault="00C47D6B" w:rsidP="00442246">
            <w:pPr>
              <w:ind w:left="0"/>
            </w:pPr>
            <w:r w:rsidRPr="000F5822">
              <w:t>500</w:t>
            </w:r>
          </w:p>
        </w:tc>
        <w:tc>
          <w:tcPr>
            <w:tcW w:w="992" w:type="dxa"/>
          </w:tcPr>
          <w:p w:rsidR="00C47D6B" w:rsidRPr="000F5822" w:rsidRDefault="00C47D6B" w:rsidP="00442246">
            <w:pPr>
              <w:ind w:left="0"/>
            </w:pPr>
            <w:r w:rsidRPr="000F5822">
              <w:t>427</w:t>
            </w:r>
          </w:p>
        </w:tc>
        <w:tc>
          <w:tcPr>
            <w:tcW w:w="993" w:type="dxa"/>
            <w:vMerge/>
          </w:tcPr>
          <w:p w:rsidR="00C47D6B" w:rsidRPr="000F5822" w:rsidRDefault="00C47D6B" w:rsidP="00442246">
            <w:pPr>
              <w:ind w:left="0"/>
            </w:pPr>
          </w:p>
        </w:tc>
        <w:tc>
          <w:tcPr>
            <w:tcW w:w="1275" w:type="dxa"/>
          </w:tcPr>
          <w:p w:rsidR="00C47D6B" w:rsidRPr="000F5822" w:rsidRDefault="00C47D6B" w:rsidP="00442246">
            <w:pPr>
              <w:ind w:left="0"/>
            </w:pPr>
            <w:r w:rsidRPr="000F5822">
              <w:t>427</w:t>
            </w:r>
          </w:p>
        </w:tc>
        <w:tc>
          <w:tcPr>
            <w:tcW w:w="1418" w:type="dxa"/>
          </w:tcPr>
          <w:p w:rsidR="00C47D6B" w:rsidRPr="000F5822" w:rsidRDefault="00C47D6B" w:rsidP="00442246">
            <w:pPr>
              <w:ind w:left="0"/>
            </w:pPr>
            <w:r w:rsidRPr="000F5822">
              <w:t>31</w:t>
            </w:r>
          </w:p>
        </w:tc>
      </w:tr>
      <w:tr w:rsidR="00C47D6B" w:rsidRPr="007068A9" w:rsidTr="00442246">
        <w:trPr>
          <w:trHeight w:val="227"/>
        </w:trPr>
        <w:tc>
          <w:tcPr>
            <w:tcW w:w="1453" w:type="dxa"/>
            <w:vMerge w:val="restart"/>
          </w:tcPr>
          <w:p w:rsidR="00C47D6B" w:rsidRPr="000F5822" w:rsidRDefault="00C47D6B" w:rsidP="00442246">
            <w:pPr>
              <w:ind w:left="0"/>
            </w:pPr>
            <w:r w:rsidRPr="000F5822">
              <w:t>Rabbit</w:t>
            </w:r>
          </w:p>
        </w:tc>
        <w:tc>
          <w:tcPr>
            <w:tcW w:w="1701" w:type="dxa"/>
            <w:vMerge w:val="restart"/>
          </w:tcPr>
          <w:p w:rsidR="00C47D6B" w:rsidRPr="000F5822" w:rsidRDefault="00C47D6B" w:rsidP="00442246">
            <w:pPr>
              <w:ind w:left="0"/>
            </w:pPr>
            <w:r w:rsidRPr="000F5822">
              <w:t>Embryofetal development</w:t>
            </w:r>
          </w:p>
        </w:tc>
        <w:tc>
          <w:tcPr>
            <w:tcW w:w="957" w:type="dxa"/>
          </w:tcPr>
          <w:p w:rsidR="00C47D6B" w:rsidRPr="000F5822" w:rsidRDefault="00C47D6B" w:rsidP="00442246">
            <w:pPr>
              <w:ind w:left="0"/>
            </w:pPr>
            <w:r w:rsidRPr="000F5822">
              <w:t>125</w:t>
            </w:r>
          </w:p>
        </w:tc>
        <w:tc>
          <w:tcPr>
            <w:tcW w:w="992" w:type="dxa"/>
          </w:tcPr>
          <w:p w:rsidR="00C47D6B" w:rsidRPr="000F5822" w:rsidRDefault="00C47D6B" w:rsidP="00442246">
            <w:pPr>
              <w:ind w:left="0"/>
            </w:pPr>
            <w:r w:rsidRPr="000F5822">
              <w:t>81</w:t>
            </w:r>
          </w:p>
        </w:tc>
        <w:tc>
          <w:tcPr>
            <w:tcW w:w="993" w:type="dxa"/>
            <w:vMerge w:val="restart"/>
          </w:tcPr>
          <w:p w:rsidR="00C47D6B" w:rsidRPr="000F5822" w:rsidRDefault="00C47D6B" w:rsidP="00442246">
            <w:pPr>
              <w:ind w:left="0"/>
            </w:pPr>
            <w:r w:rsidRPr="000F5822">
              <w:t>GD 18</w:t>
            </w:r>
          </w:p>
        </w:tc>
        <w:tc>
          <w:tcPr>
            <w:tcW w:w="1275" w:type="dxa"/>
          </w:tcPr>
          <w:p w:rsidR="00C47D6B" w:rsidRPr="000F5822" w:rsidRDefault="00C47D6B" w:rsidP="00442246">
            <w:pPr>
              <w:ind w:left="0"/>
            </w:pPr>
            <w:r w:rsidRPr="000F5822">
              <w:t>15</w:t>
            </w:r>
          </w:p>
        </w:tc>
        <w:tc>
          <w:tcPr>
            <w:tcW w:w="1418" w:type="dxa"/>
          </w:tcPr>
          <w:p w:rsidR="00C47D6B" w:rsidRPr="000F5822" w:rsidRDefault="00C47D6B" w:rsidP="00442246">
            <w:pPr>
              <w:ind w:left="0"/>
            </w:pPr>
            <w:r w:rsidRPr="000F5822">
              <w:t>1.1</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957" w:type="dxa"/>
          </w:tcPr>
          <w:p w:rsidR="00C47D6B" w:rsidRPr="000F5822" w:rsidRDefault="00C47D6B" w:rsidP="00442246">
            <w:pPr>
              <w:ind w:left="0"/>
            </w:pPr>
            <w:r w:rsidRPr="000F5822">
              <w:t>350</w:t>
            </w:r>
          </w:p>
        </w:tc>
        <w:tc>
          <w:tcPr>
            <w:tcW w:w="992" w:type="dxa"/>
          </w:tcPr>
          <w:p w:rsidR="00C47D6B" w:rsidRPr="000F5822" w:rsidRDefault="00C47D6B" w:rsidP="00442246">
            <w:pPr>
              <w:ind w:left="0"/>
            </w:pPr>
            <w:r w:rsidRPr="000F5822">
              <w:t>227</w:t>
            </w:r>
          </w:p>
        </w:tc>
        <w:tc>
          <w:tcPr>
            <w:tcW w:w="993" w:type="dxa"/>
            <w:vMerge/>
          </w:tcPr>
          <w:p w:rsidR="00C47D6B" w:rsidRPr="000F5822" w:rsidRDefault="00C47D6B" w:rsidP="00442246">
            <w:pPr>
              <w:ind w:left="0"/>
            </w:pPr>
          </w:p>
        </w:tc>
        <w:tc>
          <w:tcPr>
            <w:tcW w:w="1275" w:type="dxa"/>
          </w:tcPr>
          <w:p w:rsidR="00C47D6B" w:rsidRPr="000F5822" w:rsidRDefault="00C47D6B" w:rsidP="00442246">
            <w:pPr>
              <w:ind w:left="0"/>
            </w:pPr>
            <w:r w:rsidRPr="000F5822">
              <w:t>33</w:t>
            </w:r>
          </w:p>
        </w:tc>
        <w:tc>
          <w:tcPr>
            <w:tcW w:w="1418" w:type="dxa"/>
          </w:tcPr>
          <w:p w:rsidR="00C47D6B" w:rsidRPr="000F5822" w:rsidRDefault="00C47D6B" w:rsidP="00442246">
            <w:pPr>
              <w:ind w:left="0"/>
            </w:pPr>
            <w:r w:rsidRPr="000F5822">
              <w:t>2.4</w:t>
            </w:r>
          </w:p>
        </w:tc>
      </w:tr>
      <w:tr w:rsidR="00C47D6B" w:rsidRPr="007068A9" w:rsidTr="00442246">
        <w:trPr>
          <w:trHeight w:val="227"/>
        </w:trPr>
        <w:tc>
          <w:tcPr>
            <w:tcW w:w="1453" w:type="dxa"/>
            <w:vMerge/>
          </w:tcPr>
          <w:p w:rsidR="00C47D6B" w:rsidRPr="000F5822" w:rsidRDefault="00C47D6B" w:rsidP="00442246">
            <w:pPr>
              <w:ind w:left="0"/>
            </w:pPr>
          </w:p>
        </w:tc>
        <w:tc>
          <w:tcPr>
            <w:tcW w:w="1701" w:type="dxa"/>
            <w:vMerge/>
          </w:tcPr>
          <w:p w:rsidR="00C47D6B" w:rsidRPr="000F5822" w:rsidRDefault="00C47D6B" w:rsidP="00442246">
            <w:pPr>
              <w:ind w:left="0"/>
            </w:pPr>
          </w:p>
        </w:tc>
        <w:tc>
          <w:tcPr>
            <w:tcW w:w="957" w:type="dxa"/>
          </w:tcPr>
          <w:p w:rsidR="00C47D6B" w:rsidRPr="000F5822" w:rsidRDefault="00C47D6B" w:rsidP="00442246">
            <w:pPr>
              <w:ind w:left="0"/>
            </w:pPr>
            <w:r w:rsidRPr="000F5822">
              <w:t>700</w:t>
            </w:r>
          </w:p>
        </w:tc>
        <w:tc>
          <w:tcPr>
            <w:tcW w:w="992" w:type="dxa"/>
          </w:tcPr>
          <w:p w:rsidR="00C47D6B" w:rsidRPr="000F5822" w:rsidRDefault="00C47D6B" w:rsidP="00442246">
            <w:pPr>
              <w:ind w:left="0"/>
            </w:pPr>
            <w:r w:rsidRPr="000F5822">
              <w:t>453</w:t>
            </w:r>
          </w:p>
        </w:tc>
        <w:tc>
          <w:tcPr>
            <w:tcW w:w="993" w:type="dxa"/>
            <w:vMerge/>
          </w:tcPr>
          <w:p w:rsidR="00C47D6B" w:rsidRPr="000F5822" w:rsidRDefault="00C47D6B" w:rsidP="00442246">
            <w:pPr>
              <w:ind w:left="0"/>
            </w:pPr>
          </w:p>
        </w:tc>
        <w:tc>
          <w:tcPr>
            <w:tcW w:w="1275" w:type="dxa"/>
          </w:tcPr>
          <w:p w:rsidR="00C47D6B" w:rsidRPr="000F5822" w:rsidRDefault="00C47D6B" w:rsidP="00442246">
            <w:pPr>
              <w:ind w:left="0"/>
            </w:pPr>
            <w:r w:rsidRPr="000F5822">
              <w:t>102</w:t>
            </w:r>
          </w:p>
        </w:tc>
        <w:tc>
          <w:tcPr>
            <w:tcW w:w="1418" w:type="dxa"/>
          </w:tcPr>
          <w:p w:rsidR="00C47D6B" w:rsidRPr="000F5822" w:rsidRDefault="00C47D6B" w:rsidP="00442246">
            <w:pPr>
              <w:ind w:left="0"/>
            </w:pPr>
            <w:r w:rsidRPr="000F5822">
              <w:t>7</w:t>
            </w:r>
          </w:p>
        </w:tc>
      </w:tr>
      <w:tr w:rsidR="00C47D6B" w:rsidRPr="007068A9" w:rsidTr="00442246">
        <w:trPr>
          <w:trHeight w:val="227"/>
        </w:trPr>
        <w:tc>
          <w:tcPr>
            <w:tcW w:w="1453" w:type="dxa"/>
          </w:tcPr>
          <w:p w:rsidR="00C47D6B" w:rsidRPr="000F5822" w:rsidRDefault="00C47D6B" w:rsidP="00442246">
            <w:pPr>
              <w:ind w:left="0"/>
            </w:pPr>
            <w:r w:rsidRPr="000F5822">
              <w:t>Human</w:t>
            </w:r>
          </w:p>
        </w:tc>
        <w:tc>
          <w:tcPr>
            <w:tcW w:w="1701" w:type="dxa"/>
          </w:tcPr>
          <w:p w:rsidR="00C47D6B" w:rsidRPr="000F5822" w:rsidRDefault="00C47D6B" w:rsidP="00442246">
            <w:pPr>
              <w:ind w:left="0"/>
            </w:pPr>
            <w:r w:rsidRPr="000F5822">
              <w:t>Single dose</w:t>
            </w:r>
          </w:p>
        </w:tc>
        <w:tc>
          <w:tcPr>
            <w:tcW w:w="1949" w:type="dxa"/>
            <w:gridSpan w:val="2"/>
          </w:tcPr>
          <w:p w:rsidR="00C47D6B" w:rsidRPr="000F5822" w:rsidRDefault="00C47D6B" w:rsidP="00442246">
            <w:pPr>
              <w:ind w:left="0"/>
            </w:pPr>
            <w:r w:rsidRPr="000F5822">
              <w:t>600 mg</w:t>
            </w:r>
          </w:p>
        </w:tc>
        <w:tc>
          <w:tcPr>
            <w:tcW w:w="993" w:type="dxa"/>
          </w:tcPr>
          <w:p w:rsidR="00C47D6B" w:rsidRPr="000F5822" w:rsidRDefault="00C47D6B" w:rsidP="00442246">
            <w:pPr>
              <w:ind w:left="0"/>
            </w:pPr>
            <w:r w:rsidRPr="000F5822">
              <w:t>N/A</w:t>
            </w:r>
          </w:p>
        </w:tc>
        <w:tc>
          <w:tcPr>
            <w:tcW w:w="1275" w:type="dxa"/>
          </w:tcPr>
          <w:p w:rsidR="00C47D6B" w:rsidRPr="000F5822" w:rsidRDefault="00C47D6B" w:rsidP="00442246">
            <w:pPr>
              <w:ind w:left="0"/>
            </w:pPr>
            <w:r w:rsidRPr="000F5822">
              <w:t>13.9</w:t>
            </w:r>
          </w:p>
        </w:tc>
        <w:tc>
          <w:tcPr>
            <w:tcW w:w="1418" w:type="dxa"/>
          </w:tcPr>
          <w:p w:rsidR="00C47D6B" w:rsidRPr="000F5822" w:rsidRDefault="00C47D6B" w:rsidP="00442246">
            <w:pPr>
              <w:ind w:left="0"/>
            </w:pPr>
            <w:r w:rsidRPr="000F5822">
              <w:t>–</w:t>
            </w:r>
          </w:p>
        </w:tc>
      </w:tr>
    </w:tbl>
    <w:p w:rsidR="00C47D6B" w:rsidRPr="00430BB4" w:rsidRDefault="00C47D6B" w:rsidP="002757A7">
      <w:pPr>
        <w:pStyle w:val="TableDescription"/>
      </w:pPr>
      <w:r w:rsidRPr="00D7327D">
        <w:rPr>
          <w:position w:val="-2"/>
          <w:vertAlign w:val="superscript"/>
        </w:rPr>
        <w:t>#</w:t>
      </w:r>
      <w:r>
        <w:t xml:space="preserve"> = </w:t>
      </w:r>
      <w:proofErr w:type="spellStart"/>
      <w:r>
        <w:t>animal</w:t>
      </w:r>
      <w:proofErr w:type="gramStart"/>
      <w:r>
        <w:t>:human</w:t>
      </w:r>
      <w:proofErr w:type="spellEnd"/>
      <w:proofErr w:type="gramEnd"/>
      <w:r>
        <w:t xml:space="preserve"> plasma AUC</w:t>
      </w:r>
      <w:r w:rsidRPr="00D7327D">
        <w:rPr>
          <w:vertAlign w:val="subscript"/>
        </w:rPr>
        <w:t>0–24</w:t>
      </w:r>
      <w:r w:rsidRPr="00D7327D">
        <w:rPr>
          <w:w w:val="50"/>
          <w:vertAlign w:val="subscript"/>
        </w:rPr>
        <w:t> </w:t>
      </w:r>
      <w:r w:rsidRPr="00D7327D">
        <w:rPr>
          <w:vertAlign w:val="subscript"/>
        </w:rPr>
        <w:t>h</w:t>
      </w:r>
      <w:r>
        <w:t xml:space="preserve">; </w:t>
      </w:r>
      <w:r w:rsidRPr="00D834F7">
        <w:rPr>
          <w:vertAlign w:val="superscript"/>
        </w:rPr>
        <w:t>†</w:t>
      </w:r>
      <w:proofErr w:type="spellStart"/>
      <w:r>
        <w:t>Toxicokinetic</w:t>
      </w:r>
      <w:proofErr w:type="spellEnd"/>
      <w:r>
        <w:t xml:space="preserve"> data taken from 4-week repeat dose study in rats; </w:t>
      </w:r>
      <w:r w:rsidRPr="00D834F7">
        <w:rPr>
          <w:vertAlign w:val="superscript"/>
        </w:rPr>
        <w:t>‡</w:t>
      </w:r>
      <w:r>
        <w:t xml:space="preserve">Toxicokinetic data from the HD level in the embryofetal development study in this species; </w:t>
      </w:r>
      <w:r w:rsidRPr="00430BB4">
        <w:rPr>
          <w:vertAlign w:val="superscript"/>
        </w:rPr>
        <w:t>*</w:t>
      </w:r>
      <w:r>
        <w:t>AUC</w:t>
      </w:r>
      <w:r w:rsidRPr="002336B0">
        <w:rPr>
          <w:vertAlign w:val="subscript"/>
        </w:rPr>
        <w:t>0-t</w:t>
      </w:r>
      <w:r>
        <w:t xml:space="preserve"> taken from Study ING114580, bioequivalence of </w:t>
      </w:r>
      <w:proofErr w:type="spellStart"/>
      <w:r w:rsidR="003401D1">
        <w:t>Triumeq</w:t>
      </w:r>
      <w:proofErr w:type="spellEnd"/>
      <w:r>
        <w:t xml:space="preserve"> tablet compared to DTG plus EPZICOM (combined 600 mg/300 mg ABC/3TC); t= last quantifiable concentration.</w:t>
      </w:r>
    </w:p>
    <w:p w:rsidR="00C47D6B" w:rsidRPr="0068453C" w:rsidRDefault="000F5822" w:rsidP="00442246">
      <w:pPr>
        <w:pStyle w:val="TableTitle"/>
      </w:pPr>
      <w:r>
        <w:t xml:space="preserve">Table 7: </w:t>
      </w:r>
      <w:r w:rsidR="00C47D6B" w:rsidRPr="00EC511E">
        <w:t xml:space="preserve">Relative exposure </w:t>
      </w:r>
      <w:r w:rsidR="00C47D6B">
        <w:t>in reproductive toxicity</w:t>
      </w:r>
      <w:r w:rsidR="00C47D6B" w:rsidRPr="00EC511E">
        <w:t xml:space="preserve"> studies</w:t>
      </w:r>
      <w:r w:rsidR="00C47D6B">
        <w:t xml:space="preserve"> with 3TC</w:t>
      </w:r>
    </w:p>
    <w:tbl>
      <w:tblPr>
        <w:tblStyle w:val="TableTGAblue"/>
        <w:tblW w:w="9072" w:type="dxa"/>
        <w:tblLayout w:type="fixed"/>
        <w:tblLook w:val="01E0" w:firstRow="1" w:lastRow="1" w:firstColumn="1" w:lastColumn="1" w:noHBand="0" w:noVBand="0"/>
      </w:tblPr>
      <w:tblGrid>
        <w:gridCol w:w="1242"/>
        <w:gridCol w:w="1701"/>
        <w:gridCol w:w="1026"/>
        <w:gridCol w:w="959"/>
        <w:gridCol w:w="1134"/>
        <w:gridCol w:w="1276"/>
        <w:gridCol w:w="850"/>
        <w:gridCol w:w="884"/>
      </w:tblGrid>
      <w:tr w:rsidR="00DB2B91" w:rsidRPr="00921F44" w:rsidTr="00442246">
        <w:trPr>
          <w:cnfStyle w:val="100000000000" w:firstRow="1" w:lastRow="0" w:firstColumn="0" w:lastColumn="0" w:oddVBand="0" w:evenVBand="0" w:oddHBand="0" w:evenHBand="0" w:firstRowFirstColumn="0" w:firstRowLastColumn="0" w:lastRowFirstColumn="0" w:lastRowLastColumn="0"/>
          <w:trHeight w:val="453"/>
        </w:trPr>
        <w:tc>
          <w:tcPr>
            <w:tcW w:w="1242" w:type="dxa"/>
            <w:vMerge w:val="restart"/>
          </w:tcPr>
          <w:p w:rsidR="00C47D6B" w:rsidRPr="000F5822" w:rsidRDefault="00C47D6B" w:rsidP="00442246">
            <w:pPr>
              <w:ind w:left="0"/>
            </w:pPr>
            <w:r w:rsidRPr="000F5822">
              <w:t>Species</w:t>
            </w:r>
          </w:p>
        </w:tc>
        <w:tc>
          <w:tcPr>
            <w:tcW w:w="1701" w:type="dxa"/>
            <w:vMerge w:val="restart"/>
          </w:tcPr>
          <w:p w:rsidR="00C47D6B" w:rsidRPr="000F5822" w:rsidRDefault="00C47D6B" w:rsidP="00442246">
            <w:pPr>
              <w:ind w:left="0"/>
            </w:pPr>
            <w:r w:rsidRPr="000F5822">
              <w:t>Study</w:t>
            </w:r>
          </w:p>
        </w:tc>
        <w:tc>
          <w:tcPr>
            <w:tcW w:w="1026" w:type="dxa"/>
            <w:vMerge w:val="restart"/>
          </w:tcPr>
          <w:p w:rsidR="00C47D6B" w:rsidRPr="000F5822" w:rsidRDefault="00C47D6B" w:rsidP="00442246">
            <w:pPr>
              <w:ind w:left="0"/>
            </w:pPr>
            <w:r w:rsidRPr="000F5822">
              <w:t>Dose</w:t>
            </w:r>
            <w:r w:rsidR="00442246">
              <w:t xml:space="preserve"> </w:t>
            </w:r>
            <w:r w:rsidRPr="000F5822">
              <w:t>mg/kg BID</w:t>
            </w:r>
          </w:p>
        </w:tc>
        <w:tc>
          <w:tcPr>
            <w:tcW w:w="959" w:type="dxa"/>
            <w:vMerge w:val="restart"/>
          </w:tcPr>
          <w:p w:rsidR="00C47D6B" w:rsidRPr="000F5822" w:rsidRDefault="00C47D6B" w:rsidP="00442246">
            <w:pPr>
              <w:ind w:left="0"/>
            </w:pPr>
            <w:r w:rsidRPr="000F5822">
              <w:t>Day</w:t>
            </w:r>
          </w:p>
        </w:tc>
        <w:tc>
          <w:tcPr>
            <w:tcW w:w="1134" w:type="dxa"/>
            <w:vMerge w:val="restart"/>
          </w:tcPr>
          <w:p w:rsidR="00C47D6B" w:rsidRPr="000F5822" w:rsidRDefault="00C47D6B" w:rsidP="00442246">
            <w:pPr>
              <w:ind w:left="0"/>
            </w:pPr>
            <w:r w:rsidRPr="000F5822">
              <w:t>C</w:t>
            </w:r>
            <w:r w:rsidRPr="000F5822">
              <w:rPr>
                <w:vertAlign w:val="subscript"/>
              </w:rPr>
              <w:t>max</w:t>
            </w:r>
            <w:r w:rsidRPr="000F5822">
              <w:t xml:space="preserve"> μg/mL</w:t>
            </w:r>
          </w:p>
        </w:tc>
        <w:tc>
          <w:tcPr>
            <w:tcW w:w="1276" w:type="dxa"/>
            <w:vMerge w:val="restart"/>
          </w:tcPr>
          <w:p w:rsidR="00C47D6B" w:rsidRPr="000F5822" w:rsidRDefault="00C47D6B" w:rsidP="00442246">
            <w:pPr>
              <w:ind w:left="0"/>
            </w:pPr>
            <w:r w:rsidRPr="000F5822">
              <w:t>AUC</w:t>
            </w:r>
            <w:r w:rsidRPr="000F5822">
              <w:rPr>
                <w:vertAlign w:val="subscript"/>
              </w:rPr>
              <w:t>0</w:t>
            </w:r>
            <w:r w:rsidR="00DB2B91">
              <w:rPr>
                <w:vertAlign w:val="subscript"/>
              </w:rPr>
              <w:noBreakHyphen/>
            </w:r>
            <w:r w:rsidRPr="000F5822">
              <w:rPr>
                <w:vertAlign w:val="subscript"/>
              </w:rPr>
              <w:t>24</w:t>
            </w:r>
            <w:r w:rsidRPr="000F5822">
              <w:rPr>
                <w:w w:val="50"/>
                <w:vertAlign w:val="subscript"/>
              </w:rPr>
              <w:t> </w:t>
            </w:r>
            <w:r w:rsidRPr="000F5822">
              <w:rPr>
                <w:vertAlign w:val="subscript"/>
              </w:rPr>
              <w:t>h</w:t>
            </w:r>
            <w:r w:rsidR="00442246">
              <w:rPr>
                <w:vertAlign w:val="subscript"/>
              </w:rPr>
              <w:t xml:space="preserve"> </w:t>
            </w:r>
            <w:proofErr w:type="spellStart"/>
            <w:r w:rsidRPr="000F5822">
              <w:t>μg∙h</w:t>
            </w:r>
            <w:proofErr w:type="spellEnd"/>
            <w:r w:rsidRPr="000F5822">
              <w:t>/mL</w:t>
            </w:r>
          </w:p>
        </w:tc>
        <w:tc>
          <w:tcPr>
            <w:tcW w:w="1734" w:type="dxa"/>
            <w:gridSpan w:val="2"/>
          </w:tcPr>
          <w:p w:rsidR="00C47D6B" w:rsidRPr="000F5822" w:rsidRDefault="00C47D6B" w:rsidP="00442246">
            <w:pPr>
              <w:ind w:left="0"/>
            </w:pPr>
            <w:r w:rsidRPr="000F5822">
              <w:t>Exposure ratio</w:t>
            </w:r>
          </w:p>
        </w:tc>
      </w:tr>
      <w:tr w:rsidR="00DB2B91" w:rsidRPr="00921F44" w:rsidTr="00442246">
        <w:trPr>
          <w:trHeight w:val="260"/>
        </w:trPr>
        <w:tc>
          <w:tcPr>
            <w:tcW w:w="1242" w:type="dxa"/>
            <w:vMerge/>
          </w:tcPr>
          <w:p w:rsidR="00C47D6B" w:rsidRPr="000F5822" w:rsidRDefault="00C47D6B" w:rsidP="00442246">
            <w:pPr>
              <w:ind w:left="0"/>
              <w:rPr>
                <w:b/>
              </w:rPr>
            </w:pPr>
          </w:p>
        </w:tc>
        <w:tc>
          <w:tcPr>
            <w:tcW w:w="1701" w:type="dxa"/>
            <w:vMerge/>
          </w:tcPr>
          <w:p w:rsidR="00C47D6B" w:rsidRPr="000F5822" w:rsidRDefault="00C47D6B" w:rsidP="00442246">
            <w:pPr>
              <w:ind w:left="0"/>
              <w:rPr>
                <w:b/>
              </w:rPr>
            </w:pPr>
          </w:p>
        </w:tc>
        <w:tc>
          <w:tcPr>
            <w:tcW w:w="1026" w:type="dxa"/>
            <w:vMerge/>
          </w:tcPr>
          <w:p w:rsidR="00C47D6B" w:rsidRPr="000F5822" w:rsidRDefault="00C47D6B" w:rsidP="00442246">
            <w:pPr>
              <w:ind w:left="0"/>
              <w:rPr>
                <w:b/>
              </w:rPr>
            </w:pPr>
          </w:p>
        </w:tc>
        <w:tc>
          <w:tcPr>
            <w:tcW w:w="959" w:type="dxa"/>
            <w:vMerge/>
          </w:tcPr>
          <w:p w:rsidR="00C47D6B" w:rsidRPr="000F5822" w:rsidRDefault="00C47D6B" w:rsidP="00442246">
            <w:pPr>
              <w:ind w:left="0"/>
              <w:rPr>
                <w:b/>
              </w:rPr>
            </w:pPr>
          </w:p>
        </w:tc>
        <w:tc>
          <w:tcPr>
            <w:tcW w:w="1134" w:type="dxa"/>
            <w:vMerge/>
          </w:tcPr>
          <w:p w:rsidR="00C47D6B" w:rsidRPr="000F5822" w:rsidRDefault="00C47D6B" w:rsidP="00442246">
            <w:pPr>
              <w:ind w:left="0"/>
              <w:rPr>
                <w:b/>
              </w:rPr>
            </w:pPr>
          </w:p>
        </w:tc>
        <w:tc>
          <w:tcPr>
            <w:tcW w:w="1276" w:type="dxa"/>
            <w:vMerge/>
          </w:tcPr>
          <w:p w:rsidR="00C47D6B" w:rsidRPr="000F5822" w:rsidRDefault="00C47D6B" w:rsidP="00442246">
            <w:pPr>
              <w:ind w:left="0"/>
              <w:rPr>
                <w:b/>
              </w:rPr>
            </w:pPr>
          </w:p>
        </w:tc>
        <w:tc>
          <w:tcPr>
            <w:tcW w:w="850" w:type="dxa"/>
          </w:tcPr>
          <w:p w:rsidR="00C47D6B" w:rsidRPr="000F5822" w:rsidRDefault="00C47D6B" w:rsidP="00442246">
            <w:pPr>
              <w:ind w:left="0"/>
              <w:rPr>
                <w:b/>
              </w:rPr>
            </w:pPr>
            <w:r w:rsidRPr="000F5822">
              <w:rPr>
                <w:vertAlign w:val="superscript"/>
              </w:rPr>
              <w:t>‡</w:t>
            </w:r>
          </w:p>
        </w:tc>
        <w:tc>
          <w:tcPr>
            <w:tcW w:w="884" w:type="dxa"/>
          </w:tcPr>
          <w:p w:rsidR="00C47D6B" w:rsidRPr="000F5822" w:rsidRDefault="00C47D6B" w:rsidP="00442246">
            <w:pPr>
              <w:ind w:left="0"/>
              <w:rPr>
                <w:b/>
              </w:rPr>
            </w:pPr>
            <w:r w:rsidRPr="000F5822">
              <w:rPr>
                <w:vertAlign w:val="superscript"/>
              </w:rPr>
              <w:t>#</w:t>
            </w:r>
          </w:p>
        </w:tc>
      </w:tr>
      <w:tr w:rsidR="00DB2B91" w:rsidRPr="007068A9" w:rsidTr="00442246">
        <w:trPr>
          <w:trHeight w:val="227"/>
        </w:trPr>
        <w:tc>
          <w:tcPr>
            <w:tcW w:w="1242" w:type="dxa"/>
            <w:vMerge w:val="restart"/>
          </w:tcPr>
          <w:p w:rsidR="00C47D6B" w:rsidRPr="003829F2" w:rsidRDefault="00C47D6B" w:rsidP="00442246">
            <w:pPr>
              <w:ind w:left="0"/>
            </w:pPr>
            <w:r w:rsidRPr="003829F2">
              <w:t>Rat</w:t>
            </w:r>
          </w:p>
        </w:tc>
        <w:tc>
          <w:tcPr>
            <w:tcW w:w="1701" w:type="dxa"/>
            <w:vMerge w:val="restart"/>
          </w:tcPr>
          <w:p w:rsidR="00C47D6B" w:rsidRPr="00FB4B98" w:rsidRDefault="00C47D6B" w:rsidP="00442246">
            <w:pPr>
              <w:ind w:left="0"/>
            </w:pPr>
            <w:r w:rsidRPr="00FB4B98">
              <w:t>Embryofetal development</w:t>
            </w:r>
          </w:p>
        </w:tc>
        <w:tc>
          <w:tcPr>
            <w:tcW w:w="1026" w:type="dxa"/>
          </w:tcPr>
          <w:p w:rsidR="00C47D6B" w:rsidRPr="00FB4B98" w:rsidRDefault="00C47D6B" w:rsidP="00442246">
            <w:pPr>
              <w:ind w:left="0"/>
            </w:pPr>
            <w:r>
              <w:t>45</w:t>
            </w:r>
          </w:p>
        </w:tc>
        <w:tc>
          <w:tcPr>
            <w:tcW w:w="959" w:type="dxa"/>
            <w:vMerge w:val="restart"/>
          </w:tcPr>
          <w:p w:rsidR="00C47D6B" w:rsidRPr="00FB4B98" w:rsidRDefault="00C47D6B" w:rsidP="00442246">
            <w:pPr>
              <w:ind w:left="0"/>
            </w:pPr>
            <w:r>
              <w:t>GDs 7, 16</w:t>
            </w:r>
          </w:p>
        </w:tc>
        <w:tc>
          <w:tcPr>
            <w:tcW w:w="1134" w:type="dxa"/>
          </w:tcPr>
          <w:p w:rsidR="00C47D6B" w:rsidRPr="00FB4B98" w:rsidRDefault="00C47D6B" w:rsidP="00442246">
            <w:pPr>
              <w:ind w:left="0"/>
            </w:pPr>
            <w:r>
              <w:t>3.1</w:t>
            </w:r>
          </w:p>
        </w:tc>
        <w:tc>
          <w:tcPr>
            <w:tcW w:w="1276" w:type="dxa"/>
          </w:tcPr>
          <w:p w:rsidR="00C47D6B" w:rsidRPr="00FB4B98" w:rsidRDefault="00C47D6B" w:rsidP="00442246">
            <w:pPr>
              <w:ind w:left="0"/>
            </w:pPr>
            <w:r>
              <w:t>-</w:t>
            </w:r>
          </w:p>
        </w:tc>
        <w:tc>
          <w:tcPr>
            <w:tcW w:w="850" w:type="dxa"/>
          </w:tcPr>
          <w:p w:rsidR="00C47D6B" w:rsidRPr="00FB4B98" w:rsidRDefault="00C47D6B" w:rsidP="00442246">
            <w:pPr>
              <w:ind w:left="0"/>
            </w:pPr>
            <w:r>
              <w:t>1.0</w:t>
            </w:r>
          </w:p>
        </w:tc>
        <w:tc>
          <w:tcPr>
            <w:tcW w:w="884" w:type="dxa"/>
          </w:tcPr>
          <w:p w:rsidR="00C47D6B" w:rsidRPr="00FB4B98" w:rsidRDefault="00C47D6B" w:rsidP="00442246">
            <w:pPr>
              <w:ind w:left="0"/>
            </w:pPr>
            <w:r>
              <w:t>-</w:t>
            </w:r>
          </w:p>
        </w:tc>
      </w:tr>
      <w:tr w:rsidR="00DB2B91" w:rsidRPr="007068A9" w:rsidTr="00442246">
        <w:trPr>
          <w:trHeight w:val="227"/>
        </w:trPr>
        <w:tc>
          <w:tcPr>
            <w:tcW w:w="1242" w:type="dxa"/>
            <w:vMerge/>
          </w:tcPr>
          <w:p w:rsidR="00C47D6B" w:rsidRPr="00FB4B98" w:rsidRDefault="00C47D6B" w:rsidP="00442246">
            <w:pPr>
              <w:ind w:left="0"/>
            </w:pPr>
          </w:p>
        </w:tc>
        <w:tc>
          <w:tcPr>
            <w:tcW w:w="1701" w:type="dxa"/>
            <w:vMerge/>
          </w:tcPr>
          <w:p w:rsidR="00C47D6B" w:rsidRPr="00FB4B98" w:rsidRDefault="00C47D6B" w:rsidP="00442246">
            <w:pPr>
              <w:ind w:left="0"/>
            </w:pPr>
          </w:p>
        </w:tc>
        <w:tc>
          <w:tcPr>
            <w:tcW w:w="1026" w:type="dxa"/>
          </w:tcPr>
          <w:p w:rsidR="00C47D6B" w:rsidRPr="00FB4B98" w:rsidRDefault="00C47D6B" w:rsidP="00442246">
            <w:pPr>
              <w:ind w:left="0"/>
            </w:pPr>
            <w:r>
              <w:t>300</w:t>
            </w:r>
          </w:p>
        </w:tc>
        <w:tc>
          <w:tcPr>
            <w:tcW w:w="959" w:type="dxa"/>
            <w:vMerge/>
          </w:tcPr>
          <w:p w:rsidR="00C47D6B" w:rsidRPr="00FB4B98" w:rsidRDefault="00C47D6B" w:rsidP="00442246">
            <w:pPr>
              <w:ind w:left="0"/>
            </w:pPr>
          </w:p>
        </w:tc>
        <w:tc>
          <w:tcPr>
            <w:tcW w:w="1134" w:type="dxa"/>
          </w:tcPr>
          <w:p w:rsidR="00C47D6B" w:rsidRPr="00FB4B98" w:rsidRDefault="00C47D6B" w:rsidP="00442246">
            <w:pPr>
              <w:ind w:left="0"/>
            </w:pPr>
            <w:r>
              <w:t>23.8</w:t>
            </w:r>
          </w:p>
        </w:tc>
        <w:tc>
          <w:tcPr>
            <w:tcW w:w="1276" w:type="dxa"/>
          </w:tcPr>
          <w:p w:rsidR="00C47D6B" w:rsidRPr="00FB4B98" w:rsidRDefault="00C47D6B" w:rsidP="00442246">
            <w:pPr>
              <w:ind w:left="0"/>
            </w:pPr>
            <w:r>
              <w:t>-</w:t>
            </w:r>
          </w:p>
        </w:tc>
        <w:tc>
          <w:tcPr>
            <w:tcW w:w="850" w:type="dxa"/>
          </w:tcPr>
          <w:p w:rsidR="00C47D6B" w:rsidRPr="00FB4B98" w:rsidRDefault="00C47D6B" w:rsidP="00442246">
            <w:pPr>
              <w:ind w:left="0"/>
            </w:pPr>
            <w:r>
              <w:t>11</w:t>
            </w:r>
          </w:p>
        </w:tc>
        <w:tc>
          <w:tcPr>
            <w:tcW w:w="884" w:type="dxa"/>
          </w:tcPr>
          <w:p w:rsidR="00C47D6B" w:rsidRPr="00FB4B98" w:rsidRDefault="00C47D6B" w:rsidP="00442246">
            <w:pPr>
              <w:ind w:left="0"/>
            </w:pPr>
            <w:r>
              <w:t>-</w:t>
            </w:r>
          </w:p>
        </w:tc>
      </w:tr>
      <w:tr w:rsidR="00DB2B91" w:rsidRPr="007068A9" w:rsidTr="00442246">
        <w:trPr>
          <w:trHeight w:val="227"/>
        </w:trPr>
        <w:tc>
          <w:tcPr>
            <w:tcW w:w="1242" w:type="dxa"/>
            <w:vMerge/>
          </w:tcPr>
          <w:p w:rsidR="00C47D6B" w:rsidRPr="00FB4B98" w:rsidRDefault="00C47D6B" w:rsidP="00442246">
            <w:pPr>
              <w:ind w:left="0"/>
            </w:pPr>
          </w:p>
        </w:tc>
        <w:tc>
          <w:tcPr>
            <w:tcW w:w="1701" w:type="dxa"/>
            <w:vMerge/>
          </w:tcPr>
          <w:p w:rsidR="00C47D6B" w:rsidRPr="00FB4B98" w:rsidRDefault="00C47D6B" w:rsidP="00442246">
            <w:pPr>
              <w:ind w:left="0"/>
            </w:pPr>
          </w:p>
        </w:tc>
        <w:tc>
          <w:tcPr>
            <w:tcW w:w="1026" w:type="dxa"/>
          </w:tcPr>
          <w:p w:rsidR="00C47D6B" w:rsidRPr="00FB4B98" w:rsidRDefault="00C47D6B" w:rsidP="00442246">
            <w:pPr>
              <w:ind w:left="0"/>
            </w:pPr>
            <w:r>
              <w:t>2000</w:t>
            </w:r>
          </w:p>
        </w:tc>
        <w:tc>
          <w:tcPr>
            <w:tcW w:w="959" w:type="dxa"/>
            <w:vMerge/>
          </w:tcPr>
          <w:p w:rsidR="00C47D6B" w:rsidRPr="00FB4B98" w:rsidRDefault="00C47D6B" w:rsidP="00442246">
            <w:pPr>
              <w:ind w:left="0"/>
            </w:pPr>
          </w:p>
        </w:tc>
        <w:tc>
          <w:tcPr>
            <w:tcW w:w="1134" w:type="dxa"/>
          </w:tcPr>
          <w:p w:rsidR="00C47D6B" w:rsidRPr="00FB4B98" w:rsidRDefault="00C47D6B" w:rsidP="00442246">
            <w:pPr>
              <w:ind w:left="0"/>
            </w:pPr>
            <w:r>
              <w:t>66.9</w:t>
            </w:r>
          </w:p>
        </w:tc>
        <w:tc>
          <w:tcPr>
            <w:tcW w:w="1276" w:type="dxa"/>
          </w:tcPr>
          <w:p w:rsidR="00C47D6B" w:rsidRPr="00FB4B98" w:rsidRDefault="00C47D6B" w:rsidP="00442246">
            <w:pPr>
              <w:ind w:left="0"/>
            </w:pPr>
            <w:r>
              <w:t>-</w:t>
            </w:r>
          </w:p>
        </w:tc>
        <w:tc>
          <w:tcPr>
            <w:tcW w:w="850" w:type="dxa"/>
          </w:tcPr>
          <w:p w:rsidR="00C47D6B" w:rsidRPr="00FB4B98" w:rsidRDefault="00C47D6B" w:rsidP="00442246">
            <w:pPr>
              <w:ind w:left="0"/>
            </w:pPr>
            <w:r>
              <w:t>32</w:t>
            </w:r>
          </w:p>
        </w:tc>
        <w:tc>
          <w:tcPr>
            <w:tcW w:w="884" w:type="dxa"/>
          </w:tcPr>
          <w:p w:rsidR="00C47D6B" w:rsidRPr="00FB4B98" w:rsidRDefault="00C47D6B" w:rsidP="00442246">
            <w:pPr>
              <w:ind w:left="0"/>
            </w:pPr>
            <w:r>
              <w:t>-</w:t>
            </w:r>
          </w:p>
        </w:tc>
      </w:tr>
      <w:tr w:rsidR="00DB2B91" w:rsidRPr="007068A9" w:rsidTr="00442246">
        <w:trPr>
          <w:trHeight w:val="227"/>
        </w:trPr>
        <w:tc>
          <w:tcPr>
            <w:tcW w:w="1242" w:type="dxa"/>
            <w:vMerge w:val="restart"/>
          </w:tcPr>
          <w:p w:rsidR="00C47D6B" w:rsidRPr="00FB4B98" w:rsidRDefault="00C47D6B" w:rsidP="00442246">
            <w:pPr>
              <w:ind w:left="0"/>
            </w:pPr>
            <w:r w:rsidRPr="00FB4B98">
              <w:t>Rabbit</w:t>
            </w:r>
          </w:p>
        </w:tc>
        <w:tc>
          <w:tcPr>
            <w:tcW w:w="1701" w:type="dxa"/>
            <w:vMerge w:val="restart"/>
          </w:tcPr>
          <w:p w:rsidR="00C47D6B" w:rsidRPr="00FB4B98" w:rsidRDefault="00C47D6B" w:rsidP="00442246">
            <w:pPr>
              <w:ind w:left="0"/>
            </w:pPr>
            <w:r w:rsidRPr="00FB4B98">
              <w:t>Embryofetal development</w:t>
            </w:r>
          </w:p>
        </w:tc>
        <w:tc>
          <w:tcPr>
            <w:tcW w:w="1026" w:type="dxa"/>
          </w:tcPr>
          <w:p w:rsidR="00C47D6B" w:rsidRPr="00FB4B98" w:rsidRDefault="00C47D6B" w:rsidP="00442246">
            <w:pPr>
              <w:ind w:left="0"/>
            </w:pPr>
            <w:r>
              <w:t>7.5</w:t>
            </w:r>
          </w:p>
        </w:tc>
        <w:tc>
          <w:tcPr>
            <w:tcW w:w="959" w:type="dxa"/>
            <w:vMerge w:val="restart"/>
          </w:tcPr>
          <w:p w:rsidR="00C47D6B" w:rsidRPr="00FB4B98" w:rsidRDefault="00C47D6B" w:rsidP="00442246">
            <w:pPr>
              <w:ind w:left="0"/>
            </w:pPr>
          </w:p>
        </w:tc>
        <w:tc>
          <w:tcPr>
            <w:tcW w:w="1134" w:type="dxa"/>
          </w:tcPr>
          <w:p w:rsidR="00C47D6B" w:rsidRPr="00FB4B98" w:rsidRDefault="00C47D6B" w:rsidP="00442246">
            <w:pPr>
              <w:ind w:left="0"/>
            </w:pPr>
            <w:r>
              <w:t>0.45</w:t>
            </w:r>
          </w:p>
        </w:tc>
        <w:tc>
          <w:tcPr>
            <w:tcW w:w="1276" w:type="dxa"/>
          </w:tcPr>
          <w:p w:rsidR="00C47D6B" w:rsidRPr="00FB4B98" w:rsidRDefault="00C47D6B" w:rsidP="00442246">
            <w:pPr>
              <w:ind w:left="0"/>
            </w:pPr>
            <w:r w:rsidRPr="002951CD">
              <w:rPr>
                <w:vertAlign w:val="superscript"/>
              </w:rPr>
              <w:t>*</w:t>
            </w:r>
            <w:r>
              <w:t>2.3</w:t>
            </w:r>
          </w:p>
        </w:tc>
        <w:tc>
          <w:tcPr>
            <w:tcW w:w="850" w:type="dxa"/>
          </w:tcPr>
          <w:p w:rsidR="00C47D6B" w:rsidRPr="00FB4B98" w:rsidRDefault="00C47D6B" w:rsidP="00442246">
            <w:pPr>
              <w:ind w:left="0"/>
            </w:pPr>
            <w:r>
              <w:t>0.2</w:t>
            </w:r>
          </w:p>
        </w:tc>
        <w:tc>
          <w:tcPr>
            <w:tcW w:w="884" w:type="dxa"/>
          </w:tcPr>
          <w:p w:rsidR="00C47D6B" w:rsidRPr="00FB4B98" w:rsidRDefault="00C47D6B" w:rsidP="00442246">
            <w:pPr>
              <w:ind w:left="0"/>
            </w:pPr>
            <w:r>
              <w:t>0.37</w:t>
            </w:r>
          </w:p>
        </w:tc>
      </w:tr>
      <w:tr w:rsidR="00DB2B91" w:rsidRPr="007068A9" w:rsidTr="00442246">
        <w:trPr>
          <w:trHeight w:val="227"/>
        </w:trPr>
        <w:tc>
          <w:tcPr>
            <w:tcW w:w="1242" w:type="dxa"/>
            <w:vMerge/>
          </w:tcPr>
          <w:p w:rsidR="00C47D6B" w:rsidRPr="00FB4B98" w:rsidRDefault="00C47D6B" w:rsidP="00442246">
            <w:pPr>
              <w:ind w:left="0"/>
            </w:pPr>
          </w:p>
        </w:tc>
        <w:tc>
          <w:tcPr>
            <w:tcW w:w="1701" w:type="dxa"/>
            <w:vMerge/>
          </w:tcPr>
          <w:p w:rsidR="00C47D6B" w:rsidRPr="00FB4B98" w:rsidRDefault="00C47D6B" w:rsidP="00442246">
            <w:pPr>
              <w:ind w:left="0"/>
            </w:pPr>
          </w:p>
        </w:tc>
        <w:tc>
          <w:tcPr>
            <w:tcW w:w="1026" w:type="dxa"/>
          </w:tcPr>
          <w:p w:rsidR="00C47D6B" w:rsidRPr="00FB4B98" w:rsidRDefault="00C47D6B" w:rsidP="00442246">
            <w:pPr>
              <w:ind w:left="0"/>
            </w:pPr>
            <w:r>
              <w:t>20</w:t>
            </w:r>
          </w:p>
        </w:tc>
        <w:tc>
          <w:tcPr>
            <w:tcW w:w="959" w:type="dxa"/>
            <w:vMerge/>
          </w:tcPr>
          <w:p w:rsidR="00C47D6B" w:rsidRPr="00FB4B98" w:rsidRDefault="00C47D6B" w:rsidP="00442246">
            <w:pPr>
              <w:ind w:left="0"/>
            </w:pPr>
          </w:p>
        </w:tc>
        <w:tc>
          <w:tcPr>
            <w:tcW w:w="1134" w:type="dxa"/>
          </w:tcPr>
          <w:p w:rsidR="00C47D6B" w:rsidRPr="00FB4B98" w:rsidRDefault="00C47D6B" w:rsidP="00442246">
            <w:pPr>
              <w:ind w:left="0"/>
            </w:pPr>
            <w:r>
              <w:t>1.05</w:t>
            </w:r>
          </w:p>
        </w:tc>
        <w:tc>
          <w:tcPr>
            <w:tcW w:w="1276" w:type="dxa"/>
          </w:tcPr>
          <w:p w:rsidR="00C47D6B" w:rsidRPr="00FB4B98" w:rsidRDefault="00C47D6B" w:rsidP="00442246">
            <w:pPr>
              <w:ind w:left="0"/>
            </w:pPr>
            <w:r w:rsidRPr="002951CD">
              <w:rPr>
                <w:vertAlign w:val="superscript"/>
              </w:rPr>
              <w:t>*</w:t>
            </w:r>
            <w:r>
              <w:t>5.9</w:t>
            </w:r>
          </w:p>
        </w:tc>
        <w:tc>
          <w:tcPr>
            <w:tcW w:w="850" w:type="dxa"/>
          </w:tcPr>
          <w:p w:rsidR="00C47D6B" w:rsidRPr="00FB4B98" w:rsidRDefault="00C47D6B" w:rsidP="00442246">
            <w:pPr>
              <w:ind w:left="0"/>
            </w:pPr>
            <w:r>
              <w:t>0.5</w:t>
            </w:r>
          </w:p>
        </w:tc>
        <w:tc>
          <w:tcPr>
            <w:tcW w:w="884" w:type="dxa"/>
          </w:tcPr>
          <w:p w:rsidR="00C47D6B" w:rsidRPr="00FB4B98" w:rsidRDefault="00C47D6B" w:rsidP="00442246">
            <w:pPr>
              <w:ind w:left="0"/>
            </w:pPr>
            <w:r>
              <w:t>1.0</w:t>
            </w:r>
          </w:p>
        </w:tc>
      </w:tr>
      <w:tr w:rsidR="00DB2B91" w:rsidRPr="007068A9" w:rsidTr="00442246">
        <w:trPr>
          <w:trHeight w:val="227"/>
        </w:trPr>
        <w:tc>
          <w:tcPr>
            <w:tcW w:w="1242" w:type="dxa"/>
            <w:vMerge/>
          </w:tcPr>
          <w:p w:rsidR="00C47D6B" w:rsidRPr="00FB4B98" w:rsidRDefault="00C47D6B" w:rsidP="00442246">
            <w:pPr>
              <w:ind w:left="0"/>
            </w:pPr>
          </w:p>
        </w:tc>
        <w:tc>
          <w:tcPr>
            <w:tcW w:w="1701" w:type="dxa"/>
            <w:vMerge/>
          </w:tcPr>
          <w:p w:rsidR="00C47D6B" w:rsidRPr="00FB4B98" w:rsidRDefault="00C47D6B" w:rsidP="00442246">
            <w:pPr>
              <w:ind w:left="0"/>
            </w:pPr>
          </w:p>
        </w:tc>
        <w:tc>
          <w:tcPr>
            <w:tcW w:w="1026" w:type="dxa"/>
          </w:tcPr>
          <w:p w:rsidR="00C47D6B" w:rsidRDefault="00C47D6B" w:rsidP="00442246">
            <w:pPr>
              <w:ind w:left="0"/>
            </w:pPr>
            <w:r>
              <w:t>45</w:t>
            </w:r>
          </w:p>
        </w:tc>
        <w:tc>
          <w:tcPr>
            <w:tcW w:w="959" w:type="dxa"/>
            <w:vMerge/>
          </w:tcPr>
          <w:p w:rsidR="00C47D6B" w:rsidRPr="00FB4B98" w:rsidRDefault="00C47D6B" w:rsidP="00442246">
            <w:pPr>
              <w:ind w:left="0"/>
            </w:pPr>
          </w:p>
        </w:tc>
        <w:tc>
          <w:tcPr>
            <w:tcW w:w="1134" w:type="dxa"/>
          </w:tcPr>
          <w:p w:rsidR="00C47D6B" w:rsidRPr="00FB4B98" w:rsidRDefault="00C47D6B" w:rsidP="00442246">
            <w:pPr>
              <w:ind w:left="0"/>
            </w:pPr>
            <w:r>
              <w:t>2.55</w:t>
            </w:r>
          </w:p>
        </w:tc>
        <w:tc>
          <w:tcPr>
            <w:tcW w:w="1276" w:type="dxa"/>
          </w:tcPr>
          <w:p w:rsidR="00C47D6B" w:rsidRPr="00FB4B98" w:rsidRDefault="00C47D6B" w:rsidP="00442246">
            <w:pPr>
              <w:ind w:left="0"/>
            </w:pPr>
            <w:r w:rsidRPr="002951CD">
              <w:rPr>
                <w:vertAlign w:val="superscript"/>
              </w:rPr>
              <w:t>*</w:t>
            </w:r>
            <w:r>
              <w:t>14.8</w:t>
            </w:r>
          </w:p>
        </w:tc>
        <w:tc>
          <w:tcPr>
            <w:tcW w:w="850" w:type="dxa"/>
          </w:tcPr>
          <w:p w:rsidR="00C47D6B" w:rsidRPr="00FB4B98" w:rsidRDefault="00C47D6B" w:rsidP="00442246">
            <w:pPr>
              <w:ind w:left="0"/>
            </w:pPr>
            <w:r>
              <w:t>1.2</w:t>
            </w:r>
          </w:p>
        </w:tc>
        <w:tc>
          <w:tcPr>
            <w:tcW w:w="884" w:type="dxa"/>
          </w:tcPr>
          <w:p w:rsidR="00C47D6B" w:rsidRPr="00FB4B98" w:rsidRDefault="00C47D6B" w:rsidP="00442246">
            <w:pPr>
              <w:ind w:left="0"/>
            </w:pPr>
            <w:r>
              <w:t>2.4</w:t>
            </w:r>
          </w:p>
        </w:tc>
      </w:tr>
      <w:tr w:rsidR="00DB2B91" w:rsidRPr="007068A9" w:rsidTr="00442246">
        <w:trPr>
          <w:trHeight w:val="227"/>
        </w:trPr>
        <w:tc>
          <w:tcPr>
            <w:tcW w:w="1242" w:type="dxa"/>
            <w:vMerge/>
          </w:tcPr>
          <w:p w:rsidR="00C47D6B" w:rsidRPr="00FB4B98" w:rsidRDefault="00C47D6B" w:rsidP="00442246">
            <w:pPr>
              <w:ind w:left="0"/>
            </w:pPr>
          </w:p>
        </w:tc>
        <w:tc>
          <w:tcPr>
            <w:tcW w:w="1701" w:type="dxa"/>
            <w:vMerge/>
          </w:tcPr>
          <w:p w:rsidR="00C47D6B" w:rsidRPr="00FB4B98" w:rsidRDefault="00C47D6B" w:rsidP="00442246">
            <w:pPr>
              <w:ind w:left="0"/>
            </w:pPr>
          </w:p>
        </w:tc>
        <w:tc>
          <w:tcPr>
            <w:tcW w:w="1026" w:type="dxa"/>
          </w:tcPr>
          <w:p w:rsidR="00C47D6B" w:rsidRDefault="00C47D6B" w:rsidP="00442246">
            <w:pPr>
              <w:ind w:left="0"/>
            </w:pPr>
            <w:r>
              <w:t>150</w:t>
            </w:r>
          </w:p>
        </w:tc>
        <w:tc>
          <w:tcPr>
            <w:tcW w:w="959" w:type="dxa"/>
            <w:vMerge/>
          </w:tcPr>
          <w:p w:rsidR="00C47D6B" w:rsidRPr="00FB4B98" w:rsidRDefault="00C47D6B" w:rsidP="00442246">
            <w:pPr>
              <w:ind w:left="0"/>
            </w:pPr>
          </w:p>
        </w:tc>
        <w:tc>
          <w:tcPr>
            <w:tcW w:w="1134" w:type="dxa"/>
          </w:tcPr>
          <w:p w:rsidR="00C47D6B" w:rsidRPr="00FB4B98" w:rsidRDefault="00C47D6B" w:rsidP="00442246">
            <w:pPr>
              <w:ind w:left="0"/>
            </w:pPr>
            <w:r>
              <w:t>8.0</w:t>
            </w:r>
          </w:p>
        </w:tc>
        <w:tc>
          <w:tcPr>
            <w:tcW w:w="1276" w:type="dxa"/>
          </w:tcPr>
          <w:p w:rsidR="00C47D6B" w:rsidRPr="00FB4B98" w:rsidRDefault="00C47D6B" w:rsidP="00442246">
            <w:pPr>
              <w:ind w:left="0"/>
            </w:pPr>
            <w:r>
              <w:t>-</w:t>
            </w:r>
          </w:p>
        </w:tc>
        <w:tc>
          <w:tcPr>
            <w:tcW w:w="850" w:type="dxa"/>
          </w:tcPr>
          <w:p w:rsidR="00C47D6B" w:rsidRPr="00FB4B98" w:rsidRDefault="00C47D6B" w:rsidP="00442246">
            <w:pPr>
              <w:ind w:left="0"/>
            </w:pPr>
            <w:r>
              <w:t>3.8</w:t>
            </w:r>
          </w:p>
        </w:tc>
        <w:tc>
          <w:tcPr>
            <w:tcW w:w="884" w:type="dxa"/>
          </w:tcPr>
          <w:p w:rsidR="00C47D6B" w:rsidRPr="00FB4B98" w:rsidRDefault="00C47D6B" w:rsidP="00442246">
            <w:pPr>
              <w:ind w:left="0"/>
            </w:pPr>
            <w:r>
              <w:t>-</w:t>
            </w:r>
          </w:p>
        </w:tc>
      </w:tr>
      <w:tr w:rsidR="00DB2B91" w:rsidRPr="007068A9" w:rsidTr="00442246">
        <w:trPr>
          <w:trHeight w:val="227"/>
        </w:trPr>
        <w:tc>
          <w:tcPr>
            <w:tcW w:w="1242" w:type="dxa"/>
            <w:vMerge/>
          </w:tcPr>
          <w:p w:rsidR="00C47D6B" w:rsidRPr="00FB4B98" w:rsidRDefault="00C47D6B" w:rsidP="00442246">
            <w:pPr>
              <w:ind w:left="0"/>
            </w:pPr>
          </w:p>
        </w:tc>
        <w:tc>
          <w:tcPr>
            <w:tcW w:w="1701" w:type="dxa"/>
            <w:vMerge/>
          </w:tcPr>
          <w:p w:rsidR="00C47D6B" w:rsidRPr="00FB4B98" w:rsidRDefault="00C47D6B" w:rsidP="00442246">
            <w:pPr>
              <w:ind w:left="0"/>
            </w:pPr>
          </w:p>
        </w:tc>
        <w:tc>
          <w:tcPr>
            <w:tcW w:w="1026" w:type="dxa"/>
          </w:tcPr>
          <w:p w:rsidR="00C47D6B" w:rsidRPr="00FB4B98" w:rsidRDefault="00C47D6B" w:rsidP="00442246">
            <w:pPr>
              <w:ind w:left="0"/>
            </w:pPr>
            <w:r>
              <w:t>500</w:t>
            </w:r>
          </w:p>
        </w:tc>
        <w:tc>
          <w:tcPr>
            <w:tcW w:w="959" w:type="dxa"/>
            <w:vMerge/>
          </w:tcPr>
          <w:p w:rsidR="00C47D6B" w:rsidRPr="00FB4B98" w:rsidRDefault="00C47D6B" w:rsidP="00442246">
            <w:pPr>
              <w:ind w:left="0"/>
            </w:pPr>
          </w:p>
        </w:tc>
        <w:tc>
          <w:tcPr>
            <w:tcW w:w="1134" w:type="dxa"/>
          </w:tcPr>
          <w:p w:rsidR="00C47D6B" w:rsidRPr="00FB4B98" w:rsidRDefault="00C47D6B" w:rsidP="00442246">
            <w:pPr>
              <w:ind w:left="0"/>
            </w:pPr>
            <w:r>
              <w:t>68.4</w:t>
            </w:r>
          </w:p>
        </w:tc>
        <w:tc>
          <w:tcPr>
            <w:tcW w:w="1276" w:type="dxa"/>
          </w:tcPr>
          <w:p w:rsidR="00C47D6B" w:rsidRPr="00FB4B98" w:rsidRDefault="00C47D6B" w:rsidP="00442246">
            <w:pPr>
              <w:ind w:left="0"/>
            </w:pPr>
            <w:r>
              <w:t>-</w:t>
            </w:r>
          </w:p>
        </w:tc>
        <w:tc>
          <w:tcPr>
            <w:tcW w:w="850" w:type="dxa"/>
          </w:tcPr>
          <w:p w:rsidR="00C47D6B" w:rsidRPr="00FB4B98" w:rsidRDefault="00C47D6B" w:rsidP="00442246">
            <w:pPr>
              <w:ind w:left="0"/>
            </w:pPr>
            <w:r>
              <w:t>33</w:t>
            </w:r>
          </w:p>
        </w:tc>
        <w:tc>
          <w:tcPr>
            <w:tcW w:w="884" w:type="dxa"/>
          </w:tcPr>
          <w:p w:rsidR="00C47D6B" w:rsidRPr="00FB4B98" w:rsidRDefault="00C47D6B" w:rsidP="00442246">
            <w:pPr>
              <w:ind w:left="0"/>
            </w:pPr>
            <w:r>
              <w:t>-</w:t>
            </w:r>
          </w:p>
        </w:tc>
      </w:tr>
      <w:tr w:rsidR="00DB2B91" w:rsidRPr="007068A9" w:rsidTr="00442246">
        <w:trPr>
          <w:trHeight w:val="227"/>
        </w:trPr>
        <w:tc>
          <w:tcPr>
            <w:tcW w:w="1242" w:type="dxa"/>
          </w:tcPr>
          <w:p w:rsidR="00C47D6B" w:rsidRPr="00FB4B98" w:rsidRDefault="00C47D6B" w:rsidP="00442246">
            <w:pPr>
              <w:ind w:left="0"/>
            </w:pPr>
            <w:r w:rsidRPr="00FB4B98">
              <w:t>Human</w:t>
            </w:r>
          </w:p>
        </w:tc>
        <w:tc>
          <w:tcPr>
            <w:tcW w:w="1701" w:type="dxa"/>
          </w:tcPr>
          <w:p w:rsidR="00C47D6B" w:rsidRPr="00FB4B98" w:rsidRDefault="00C47D6B" w:rsidP="00442246">
            <w:pPr>
              <w:ind w:left="0"/>
            </w:pPr>
            <w:r>
              <w:t>Single dose</w:t>
            </w:r>
          </w:p>
        </w:tc>
        <w:tc>
          <w:tcPr>
            <w:tcW w:w="1026" w:type="dxa"/>
          </w:tcPr>
          <w:p w:rsidR="00C47D6B" w:rsidRPr="00FB4B98" w:rsidRDefault="00C47D6B" w:rsidP="00442246">
            <w:pPr>
              <w:ind w:left="0"/>
            </w:pPr>
            <w:r>
              <w:t>300 mg</w:t>
            </w:r>
          </w:p>
        </w:tc>
        <w:tc>
          <w:tcPr>
            <w:tcW w:w="959" w:type="dxa"/>
          </w:tcPr>
          <w:p w:rsidR="00C47D6B" w:rsidRPr="00FB4B98" w:rsidRDefault="00C47D6B" w:rsidP="00442246">
            <w:pPr>
              <w:ind w:left="0"/>
            </w:pPr>
            <w:r>
              <w:t>1</w:t>
            </w:r>
          </w:p>
        </w:tc>
        <w:tc>
          <w:tcPr>
            <w:tcW w:w="1134" w:type="dxa"/>
          </w:tcPr>
          <w:p w:rsidR="00C47D6B" w:rsidRPr="00FB4B98" w:rsidRDefault="00C47D6B" w:rsidP="00442246">
            <w:pPr>
              <w:ind w:left="0"/>
            </w:pPr>
            <w:r>
              <w:t>2.1</w:t>
            </w:r>
          </w:p>
        </w:tc>
        <w:tc>
          <w:tcPr>
            <w:tcW w:w="1276" w:type="dxa"/>
          </w:tcPr>
          <w:p w:rsidR="00C47D6B" w:rsidRPr="00FB4B98" w:rsidRDefault="00C47D6B" w:rsidP="00442246">
            <w:pPr>
              <w:ind w:left="0"/>
            </w:pPr>
            <w:r>
              <w:t>12.3</w:t>
            </w:r>
          </w:p>
        </w:tc>
        <w:tc>
          <w:tcPr>
            <w:tcW w:w="850" w:type="dxa"/>
          </w:tcPr>
          <w:p w:rsidR="00C47D6B" w:rsidRPr="00FB4B98" w:rsidRDefault="00C47D6B" w:rsidP="00442246">
            <w:pPr>
              <w:ind w:left="0"/>
            </w:pPr>
          </w:p>
        </w:tc>
        <w:tc>
          <w:tcPr>
            <w:tcW w:w="884" w:type="dxa"/>
          </w:tcPr>
          <w:p w:rsidR="00C47D6B" w:rsidRPr="00FB4B98" w:rsidRDefault="00C47D6B" w:rsidP="00442246">
            <w:pPr>
              <w:ind w:left="0"/>
            </w:pPr>
          </w:p>
        </w:tc>
      </w:tr>
    </w:tbl>
    <w:p w:rsidR="00C47D6B" w:rsidRPr="00C20909" w:rsidRDefault="00C47D6B" w:rsidP="002757A7">
      <w:pPr>
        <w:pStyle w:val="TableDescription"/>
        <w:rPr>
          <w:kern w:val="2"/>
          <w:sz w:val="22"/>
        </w:rPr>
      </w:pPr>
      <w:r w:rsidRPr="00734365">
        <w:rPr>
          <w:b/>
          <w:vertAlign w:val="superscript"/>
        </w:rPr>
        <w:t>*</w:t>
      </w:r>
      <w:r>
        <w:t>AUC</w:t>
      </w:r>
      <w:r w:rsidRPr="00734365">
        <w:rPr>
          <w:vertAlign w:val="subscript"/>
        </w:rPr>
        <w:t xml:space="preserve">0-24h </w:t>
      </w:r>
      <w:r>
        <w:t>calculated from AUC</w:t>
      </w:r>
      <w:r w:rsidRPr="00734365">
        <w:rPr>
          <w:vertAlign w:val="subscript"/>
        </w:rPr>
        <w:t xml:space="preserve">0-12h </w:t>
      </w:r>
      <w:r>
        <w:t xml:space="preserve">data (dosing was BID); </w:t>
      </w:r>
      <w:r w:rsidRPr="00D834F7">
        <w:rPr>
          <w:vertAlign w:val="superscript"/>
        </w:rPr>
        <w:t>‡</w:t>
      </w:r>
      <w:r>
        <w:t>animal: human plasma</w:t>
      </w:r>
      <w:r w:rsidRPr="00734365">
        <w:t xml:space="preserve"> </w:t>
      </w:r>
      <w:proofErr w:type="spellStart"/>
      <w:r w:rsidRPr="00734365">
        <w:t>C</w:t>
      </w:r>
      <w:r>
        <w:rPr>
          <w:vertAlign w:val="subscript"/>
        </w:rPr>
        <w:t>max</w:t>
      </w:r>
      <w:proofErr w:type="spellEnd"/>
      <w:r>
        <w:rPr>
          <w:vertAlign w:val="subscript"/>
        </w:rPr>
        <w:t>;</w:t>
      </w:r>
      <w:r w:rsidR="00E873CA">
        <w:rPr>
          <w:vertAlign w:val="subscript"/>
        </w:rPr>
        <w:t xml:space="preserve"> </w:t>
      </w:r>
      <w:r w:rsidRPr="00D7327D">
        <w:rPr>
          <w:position w:val="-2"/>
          <w:vertAlign w:val="superscript"/>
        </w:rPr>
        <w:t>#</w:t>
      </w:r>
      <w:r>
        <w:t xml:space="preserve"> = </w:t>
      </w:r>
      <w:proofErr w:type="spellStart"/>
      <w:r>
        <w:t>animal:human</w:t>
      </w:r>
      <w:proofErr w:type="spellEnd"/>
      <w:r>
        <w:t xml:space="preserve"> plasma AUC</w:t>
      </w:r>
      <w:r w:rsidRPr="00D7327D">
        <w:rPr>
          <w:vertAlign w:val="subscript"/>
        </w:rPr>
        <w:t>0–24</w:t>
      </w:r>
      <w:r w:rsidRPr="00D7327D">
        <w:rPr>
          <w:w w:val="50"/>
          <w:vertAlign w:val="subscript"/>
        </w:rPr>
        <w:t> </w:t>
      </w:r>
      <w:r w:rsidRPr="00D7327D">
        <w:rPr>
          <w:vertAlign w:val="subscript"/>
        </w:rPr>
        <w:t>h</w:t>
      </w:r>
      <w:r>
        <w:t xml:space="preserve">; Human plasma kinetic data taken from Study ING114580, bioequivalence of </w:t>
      </w:r>
      <w:proofErr w:type="spellStart"/>
      <w:r w:rsidR="003401D1">
        <w:t>Triumeq</w:t>
      </w:r>
      <w:proofErr w:type="spellEnd"/>
      <w:r>
        <w:t xml:space="preserve"> tablet compared to DTG plus EPZICOM (combined 600 mg/300 mg ABC/3TC); t= last quantifiable concentration.</w:t>
      </w:r>
    </w:p>
    <w:p w:rsidR="00C47D6B" w:rsidRPr="00FE5919" w:rsidRDefault="00C47D6B" w:rsidP="00442246">
      <w:pPr>
        <w:pStyle w:val="Heading5"/>
      </w:pPr>
      <w:r w:rsidRPr="00FE5919">
        <w:t>Pregnancy classification</w:t>
      </w:r>
    </w:p>
    <w:p w:rsidR="00C47D6B" w:rsidRDefault="00C47D6B" w:rsidP="00442246">
      <w:r w:rsidRPr="00D6032A">
        <w:t xml:space="preserve">The </w:t>
      </w:r>
      <w:r w:rsidR="000F5822">
        <w:t>s</w:t>
      </w:r>
      <w:r w:rsidRPr="00D6032A">
        <w:t xml:space="preserve">ponsor proposes </w:t>
      </w:r>
      <w:r w:rsidRPr="00E514BA">
        <w:t xml:space="preserve">Pregnancy Category </w:t>
      </w:r>
      <w:r w:rsidRPr="000F5822">
        <w:t>B3</w:t>
      </w:r>
      <w:r w:rsidR="000F5822">
        <w:rPr>
          <w:rStyle w:val="FootnoteReference"/>
        </w:rPr>
        <w:footnoteReference w:id="7"/>
      </w:r>
      <w:r>
        <w:t>, which is appropriate based on the Pregnancy categories of the individual agents (B1, B3 and B3 for DTG, ABC and 3TC, respectively).</w:t>
      </w:r>
    </w:p>
    <w:p w:rsidR="008E7846" w:rsidRDefault="008E7846" w:rsidP="00442246">
      <w:pPr>
        <w:pStyle w:val="Heading3"/>
      </w:pPr>
      <w:bookmarkStart w:id="55" w:name="_Toc423434295"/>
      <w:r>
        <w:t>Nonclinical summary and conclusions</w:t>
      </w:r>
      <w:bookmarkEnd w:id="53"/>
      <w:bookmarkEnd w:id="54"/>
      <w:bookmarkEnd w:id="55"/>
    </w:p>
    <w:p w:rsidR="00C47D6B" w:rsidRDefault="00A31019" w:rsidP="00442246">
      <w:pPr>
        <w:pStyle w:val="ListBullet"/>
      </w:pPr>
      <w:bookmarkStart w:id="56" w:name="_Toc196046462"/>
      <w:bookmarkStart w:id="57" w:name="_Toc247691516"/>
      <w:bookmarkStart w:id="58" w:name="_Toc314842500"/>
      <w:bookmarkStart w:id="59" w:name="_Toc163441353"/>
      <w:bookmarkStart w:id="60" w:name="_Toc163441348"/>
      <w:r>
        <w:t>The nonclinical submission</w:t>
      </w:r>
      <w:r w:rsidR="00C47D6B" w:rsidRPr="008C18CF">
        <w:t xml:space="preserve"> comprised two new pharmacokinetic studies</w:t>
      </w:r>
      <w:r w:rsidR="00C47D6B">
        <w:t xml:space="preserve"> investigating potential pharmacokinetic interactions between DTG and substrates of a range of membrane transporters and an </w:t>
      </w:r>
      <w:r w:rsidR="00C47D6B" w:rsidRPr="00A31019">
        <w:t>in vivo</w:t>
      </w:r>
      <w:r w:rsidR="00C47D6B">
        <w:rPr>
          <w:i/>
        </w:rPr>
        <w:t xml:space="preserve"> </w:t>
      </w:r>
      <w:proofErr w:type="spellStart"/>
      <w:r w:rsidR="00C47D6B">
        <w:t>clastogenicity</w:t>
      </w:r>
      <w:proofErr w:type="spellEnd"/>
      <w:r w:rsidR="00C47D6B">
        <w:t xml:space="preserve"> assay with ABC and 3TC. No new </w:t>
      </w:r>
      <w:r w:rsidR="00C47D6B" w:rsidRPr="008C18CF">
        <w:t xml:space="preserve">studies </w:t>
      </w:r>
      <w:r w:rsidR="00C47D6B">
        <w:t>have been conducted with the proposed combination, which the sponsor justified based on the proposed use in a life threatening or serious disease.</w:t>
      </w:r>
      <w:r w:rsidR="00C47D6B">
        <w:rPr>
          <w:rStyle w:val="FootnoteReference"/>
          <w:kern w:val="2"/>
        </w:rPr>
        <w:footnoteReference w:id="8"/>
      </w:r>
      <w:r w:rsidR="00C47D6B">
        <w:t xml:space="preserve"> </w:t>
      </w:r>
    </w:p>
    <w:p w:rsidR="00C47D6B" w:rsidRDefault="00C47D6B" w:rsidP="00442246">
      <w:pPr>
        <w:pStyle w:val="ListBullet"/>
      </w:pPr>
      <w:proofErr w:type="spellStart"/>
      <w:r>
        <w:t>Dolutegravir</w:t>
      </w:r>
      <w:proofErr w:type="spellEnd"/>
      <w:r>
        <w:t xml:space="preserve"> was previously shown to be additive to synergistic with a range of antiretroviral agents including ABC but not 3TC. The latter two agents are already approved in combination. </w:t>
      </w:r>
      <w:r w:rsidRPr="00BF6B53">
        <w:t xml:space="preserve">A lack of antagonism has previously been demonstrated between DTG and two different members of the nucleoside reverse transcriptase inhibitor (NRTI) class (ABC and </w:t>
      </w:r>
      <w:proofErr w:type="spellStart"/>
      <w:r w:rsidRPr="00BF6B53">
        <w:t>stavudine</w:t>
      </w:r>
      <w:proofErr w:type="spellEnd"/>
      <w:r w:rsidRPr="00BF6B53">
        <w:t>). This is acceptable.</w:t>
      </w:r>
    </w:p>
    <w:p w:rsidR="00C47D6B" w:rsidRPr="000F1999" w:rsidRDefault="00C47D6B" w:rsidP="00442246">
      <w:pPr>
        <w:pStyle w:val="ListBullet"/>
      </w:pPr>
      <w:r>
        <w:t xml:space="preserve">Newly submitted </w:t>
      </w:r>
      <w:r w:rsidRPr="00A31019">
        <w:t>in vitro</w:t>
      </w:r>
      <w:r>
        <w:t xml:space="preserve"> membrane transporter </w:t>
      </w:r>
      <w:r w:rsidRPr="00707346">
        <w:t>studies</w:t>
      </w:r>
      <w:r>
        <w:t xml:space="preserve"> with DTG</w:t>
      </w:r>
      <w:r w:rsidR="00E873CA">
        <w:t xml:space="preserve"> </w:t>
      </w:r>
      <w:r>
        <w:t>suggests that this agent may potentially interact with co-administered agents that are substrates for the organic anion transporters OAT1 and OAT3 (IC</w:t>
      </w:r>
      <w:r w:rsidRPr="00D538F8">
        <w:rPr>
          <w:vertAlign w:val="subscript"/>
        </w:rPr>
        <w:t>50</w:t>
      </w:r>
      <w:r>
        <w:t xml:space="preserve"> values of 2.12 and 1.97 μM, respectively) as well as substrates of the multidrug and toxin extrusion transporter MATE1 (IC</w:t>
      </w:r>
      <w:r w:rsidRPr="00D538F8">
        <w:rPr>
          <w:vertAlign w:val="subscript"/>
        </w:rPr>
        <w:t>50</w:t>
      </w:r>
      <w:r>
        <w:t xml:space="preserve"> = 6.34 μM). Interactions with substrates of the MATE2-K transporter are less likely. The plasma kinetics of substrates for the multidrug resistance protein 4 (MRP4) and the hepatic </w:t>
      </w:r>
      <w:proofErr w:type="spellStart"/>
      <w:r>
        <w:t>cannilicular</w:t>
      </w:r>
      <w:proofErr w:type="spellEnd"/>
      <w:r>
        <w:t xml:space="preserve"> transporter bile salt export pump (BSEP) are considered to be unlikely to be changed by co-administration with DTG.</w:t>
      </w:r>
    </w:p>
    <w:p w:rsidR="00C47D6B" w:rsidRPr="00EB0E06" w:rsidRDefault="00C47D6B" w:rsidP="00442246">
      <w:pPr>
        <w:pStyle w:val="ListBullet"/>
        <w:rPr>
          <w:bCs/>
        </w:rPr>
      </w:pPr>
      <w:proofErr w:type="spellStart"/>
      <w:r>
        <w:t>Dolutegravir</w:t>
      </w:r>
      <w:proofErr w:type="spellEnd"/>
      <w:r>
        <w:t xml:space="preserve"> inhibits the </w:t>
      </w:r>
      <w:proofErr w:type="spellStart"/>
      <w:r>
        <w:t>basolateral</w:t>
      </w:r>
      <w:proofErr w:type="spellEnd"/>
      <w:r>
        <w:t xml:space="preserve"> renal organic cation transporter </w:t>
      </w:r>
      <w:r w:rsidRPr="00A31019">
        <w:t>in vitro</w:t>
      </w:r>
      <w:r>
        <w:t xml:space="preserve">, which appears to be clinically relevant based on mild increases in serum concentrations of creatinine in clinical studies. As 3TC is predominantly eliminated by OCT2, MATE1 co-administration with DTG may lead to increases in plasma concentrations of this agent. </w:t>
      </w:r>
      <w:r>
        <w:lastRenderedPageBreak/>
        <w:t>The human kinetic data was based on a single dose of the three components rather than steady state data, and also did not enable any potential effects of DTG on 3TC kinetics to be examined.</w:t>
      </w:r>
      <w:r w:rsidR="00E873CA">
        <w:t xml:space="preserve"> </w:t>
      </w:r>
      <w:proofErr w:type="spellStart"/>
      <w:r w:rsidR="003401D1">
        <w:t>Triumeq</w:t>
      </w:r>
      <w:proofErr w:type="spellEnd"/>
      <w:r>
        <w:t xml:space="preserve"> is not recommended for use in patients who are renally impaired (creatinine clearance &lt; 50 mL/min), since these patients require a dose adjustment for 3TC.</w:t>
      </w:r>
    </w:p>
    <w:p w:rsidR="00C47D6B" w:rsidRDefault="00C47D6B" w:rsidP="00BF7822">
      <w:pPr>
        <w:pStyle w:val="ListBullet"/>
      </w:pPr>
      <w:r>
        <w:t xml:space="preserve">A new pharmacokinetic modelling study using </w:t>
      </w:r>
      <w:r w:rsidRPr="00EB61AD">
        <w:t xml:space="preserve">the </w:t>
      </w:r>
      <w:proofErr w:type="spellStart"/>
      <w:r w:rsidRPr="00EB61AD">
        <w:t>SimCYP</w:t>
      </w:r>
      <w:proofErr w:type="spellEnd"/>
      <w:r w:rsidRPr="00EB61AD">
        <w:t xml:space="preserve"> population based simulator</w:t>
      </w:r>
      <w:r>
        <w:t xml:space="preserve"> supported a lack of clinically relevant interaction between DTG and the renally excreted OAT1 and OAT3 substrate </w:t>
      </w:r>
      <w:proofErr w:type="spellStart"/>
      <w:r>
        <w:t>t</w:t>
      </w:r>
      <w:r w:rsidRPr="00EB61AD">
        <w:t>enofovir</w:t>
      </w:r>
      <w:proofErr w:type="spellEnd"/>
      <w:r>
        <w:t xml:space="preserve">. Thus, DTG is not anticipated to exacerbate </w:t>
      </w:r>
      <w:proofErr w:type="spellStart"/>
      <w:r>
        <w:t>tenofovir</w:t>
      </w:r>
      <w:proofErr w:type="spellEnd"/>
      <w:r>
        <w:t>-mediated renal toxicity</w:t>
      </w:r>
      <w:r w:rsidR="00D33F1A">
        <w:t>.</w:t>
      </w:r>
    </w:p>
    <w:p w:rsidR="00C47D6B" w:rsidRPr="007369E2" w:rsidRDefault="00C47D6B" w:rsidP="00BF7822">
      <w:pPr>
        <w:pStyle w:val="ListBullet"/>
        <w:rPr>
          <w:szCs w:val="20"/>
        </w:rPr>
      </w:pPr>
      <w:r w:rsidRPr="004A28A5">
        <w:t xml:space="preserve">The </w:t>
      </w:r>
      <w:r w:rsidR="00A31019">
        <w:t>sponsor</w:t>
      </w:r>
      <w:r w:rsidRPr="004A28A5">
        <w:t xml:space="preserve"> did not submit any toxicity studie</w:t>
      </w:r>
      <w:r>
        <w:t xml:space="preserve">s with the proposed combination. The justification for the absence of such data is based on a lack of concordance for target organ toxicity between the three individual components. Although the liver was a target organ for both DTG and ABC, the effects of the latter appear to represent hepatic adaptive responses to metabolic enzyme induction rather than overt toxicity, and the potential for additive or synergistic toxicity at clinically relevant concentrations is considered to be low. </w:t>
      </w:r>
      <w:r>
        <w:rPr>
          <w:szCs w:val="20"/>
        </w:rPr>
        <w:t>Therefore</w:t>
      </w:r>
      <w:r w:rsidRPr="007369E2">
        <w:rPr>
          <w:szCs w:val="20"/>
        </w:rPr>
        <w:t xml:space="preserve"> the sponsor’s </w:t>
      </w:r>
      <w:r>
        <w:rPr>
          <w:szCs w:val="20"/>
        </w:rPr>
        <w:t>justification for not conducting combination toxicity studies is accepted.</w:t>
      </w:r>
    </w:p>
    <w:p w:rsidR="00C47D6B" w:rsidRPr="004A28A5" w:rsidRDefault="00C47D6B" w:rsidP="00BF7822">
      <w:pPr>
        <w:pStyle w:val="ListBullet"/>
      </w:pPr>
      <w:r>
        <w:t>D</w:t>
      </w:r>
      <w:r w:rsidRPr="004A28A5">
        <w:t>ata from the plasma kinetic study in healthy human subjects given a single dose of the proposed fixed dose combination (FDC) formulation of DTG, ABC and 3T</w:t>
      </w:r>
      <w:r>
        <w:t>C were</w:t>
      </w:r>
      <w:r w:rsidRPr="004A28A5">
        <w:t xml:space="preserve"> used to recalculate relative exposure lev</w:t>
      </w:r>
      <w:r>
        <w:t>els in the previously submitted repeat dose toxicity studies with the individual components.</w:t>
      </w:r>
    </w:p>
    <w:p w:rsidR="00C47D6B" w:rsidRPr="00E62F98" w:rsidRDefault="00C47D6B" w:rsidP="00BF7822">
      <w:pPr>
        <w:pStyle w:val="ListBullet"/>
        <w:rPr>
          <w:strike/>
        </w:rPr>
      </w:pPr>
      <w:r>
        <w:t xml:space="preserve">A newly submitted rat </w:t>
      </w:r>
      <w:r w:rsidRPr="00A31019">
        <w:t>in vivo</w:t>
      </w:r>
      <w:r>
        <w:rPr>
          <w:i/>
        </w:rPr>
        <w:t xml:space="preserve"> </w:t>
      </w:r>
      <w:r>
        <w:t xml:space="preserve">micronucleus assay found no evidence of </w:t>
      </w:r>
      <w:proofErr w:type="spellStart"/>
      <w:r>
        <w:t>clastogenicity</w:t>
      </w:r>
      <w:proofErr w:type="spellEnd"/>
      <w:r>
        <w:t xml:space="preserve"> for ABC in combination with 3TC when both agents were administered at oral doses up to 2000 mg/kg/day for two days (corresponding to respective systemic exposures 86 and 31 times the clinical exposure level). ABC was previously found to be clastogenic in an </w:t>
      </w:r>
      <w:r w:rsidRPr="00A31019">
        <w:t>in vivo</w:t>
      </w:r>
      <w:r w:rsidR="00D33F1A">
        <w:t xml:space="preserve"> micronucleus assay in mice.</w:t>
      </w:r>
    </w:p>
    <w:p w:rsidR="00C47D6B" w:rsidRPr="00F54795" w:rsidRDefault="00C47D6B" w:rsidP="00BF7822">
      <w:pPr>
        <w:pStyle w:val="ListBullet"/>
      </w:pPr>
      <w:r w:rsidRPr="00F54795">
        <w:t>There are no nonclinical objections to the proposed new fixed dose combination.</w:t>
      </w:r>
    </w:p>
    <w:p w:rsidR="00C47D6B" w:rsidRPr="00F54795" w:rsidRDefault="00C47D6B" w:rsidP="00BF7822">
      <w:pPr>
        <w:pStyle w:val="ListBullet"/>
      </w:pPr>
      <w:r w:rsidRPr="00F54795">
        <w:t xml:space="preserve">A large number of changes to the PI were recommended based on differences between the proposed PI document and the approved PI documents for the individual components. Most of these recommendations have been incorporated into the sponsor’s updated PI provided </w:t>
      </w:r>
      <w:r w:rsidR="00A31019">
        <w:t>on</w:t>
      </w:r>
      <w:r w:rsidRPr="00F54795">
        <w:t xml:space="preserve"> 9 September 2014. However, some issues remain to be resolved.</w:t>
      </w:r>
    </w:p>
    <w:p w:rsidR="008E7846" w:rsidRPr="00254787" w:rsidRDefault="008E7846" w:rsidP="00BF7822">
      <w:pPr>
        <w:pStyle w:val="Heading2"/>
      </w:pPr>
      <w:bookmarkStart w:id="61" w:name="_Toc423434296"/>
      <w:r>
        <w:t xml:space="preserve">IV. </w:t>
      </w:r>
      <w:r w:rsidRPr="00254787">
        <w:t>Clinical</w:t>
      </w:r>
      <w:bookmarkEnd w:id="56"/>
      <w:r>
        <w:t xml:space="preserve"> </w:t>
      </w:r>
      <w:r w:rsidR="003A7F6C">
        <w:t>f</w:t>
      </w:r>
      <w:r>
        <w:t>indings</w:t>
      </w:r>
      <w:bookmarkEnd w:id="57"/>
      <w:bookmarkEnd w:id="58"/>
      <w:bookmarkEnd w:id="61"/>
    </w:p>
    <w:p w:rsidR="00C80137" w:rsidRDefault="00C80137" w:rsidP="00BF7822">
      <w:bookmarkStart w:id="62"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BF7822">
      <w:pPr>
        <w:pStyle w:val="Heading3"/>
      </w:pPr>
      <w:bookmarkStart w:id="63" w:name="_Toc247691517"/>
      <w:bookmarkStart w:id="64" w:name="_Toc314842501"/>
      <w:bookmarkStart w:id="65" w:name="_Toc423434297"/>
      <w:r w:rsidRPr="00254787">
        <w:t>Introduction</w:t>
      </w:r>
      <w:bookmarkEnd w:id="62"/>
      <w:bookmarkEnd w:id="63"/>
      <w:bookmarkEnd w:id="64"/>
      <w:bookmarkEnd w:id="65"/>
    </w:p>
    <w:p w:rsidR="00605AD4" w:rsidRDefault="00605AD4" w:rsidP="00BF7822">
      <w:pPr>
        <w:pStyle w:val="Heading4"/>
      </w:pPr>
      <w:bookmarkStart w:id="66" w:name="_Toc196046464"/>
      <w:bookmarkStart w:id="67" w:name="_Toc247691518"/>
      <w:bookmarkStart w:id="68" w:name="_Toc314842502"/>
      <w:r w:rsidRPr="00605AD4">
        <w:t xml:space="preserve">Clinical </w:t>
      </w:r>
      <w:r w:rsidR="00BF7822">
        <w:t>r</w:t>
      </w:r>
      <w:r w:rsidRPr="00605AD4">
        <w:t>ationale</w:t>
      </w:r>
    </w:p>
    <w:p w:rsidR="00A85830" w:rsidRDefault="00A31019" w:rsidP="00BF7822">
      <w:r>
        <w:t>The s</w:t>
      </w:r>
      <w:r w:rsidR="00A85830">
        <w:t>ponsor has cited the following potential clinical benefits for the DTG/ABC/3TC FDC</w:t>
      </w:r>
      <w:r w:rsidR="009862C1">
        <w:t>:</w:t>
      </w:r>
    </w:p>
    <w:p w:rsidR="00A85830" w:rsidRDefault="00A85830" w:rsidP="00BF7822">
      <w:pPr>
        <w:pStyle w:val="ListBullet"/>
      </w:pPr>
      <w:r>
        <w:t>Activity against drug resistant HIV; less toxicity and greater tolerability; durability and higher barrier to developing resistance; fewer drug interactions; a convenient dosing schedule</w:t>
      </w:r>
      <w:r w:rsidR="00D33F1A">
        <w:t>.</w:t>
      </w:r>
    </w:p>
    <w:p w:rsidR="00A85830" w:rsidRDefault="00A85830" w:rsidP="00BF7822">
      <w:pPr>
        <w:pStyle w:val="ListBullet"/>
      </w:pPr>
      <w:r>
        <w:t xml:space="preserve">Regimens that include integrase inhibitors (INIs) can provide most, if not all such improvements over existing regimens, particularly when combined with other </w:t>
      </w:r>
      <w:proofErr w:type="spellStart"/>
      <w:r>
        <w:t>antiretrovirals</w:t>
      </w:r>
      <w:proofErr w:type="spellEnd"/>
      <w:r>
        <w:t xml:space="preserve"> in a single tablet regimen.</w:t>
      </w:r>
    </w:p>
    <w:p w:rsidR="00A85830" w:rsidRDefault="00A85830" w:rsidP="00BF7822">
      <w:pPr>
        <w:pStyle w:val="ListBullet"/>
      </w:pPr>
      <w:r>
        <w:lastRenderedPageBreak/>
        <w:t>There is substantial evidence in the literature (references included) that supports the benefit of streamlined treatment regimens (STR), including those with once</w:t>
      </w:r>
      <w:r w:rsidR="00A31019">
        <w:t xml:space="preserve"> </w:t>
      </w:r>
      <w:r>
        <w:t>daily administration and a minimi</w:t>
      </w:r>
      <w:r w:rsidR="00A31019">
        <w:t>s</w:t>
      </w:r>
      <w:r>
        <w:t>ed pill burden. Due to a reduction in the number of individual dose units to be taken by patients, this single tablet regimen is expected to improve patient compliance and therefore maximi</w:t>
      </w:r>
      <w:r w:rsidR="00A31019">
        <w:t>s</w:t>
      </w:r>
      <w:r>
        <w:t>e antiviral efficacy and reduce the incidence of resistance.</w:t>
      </w:r>
    </w:p>
    <w:p w:rsidR="00A85830" w:rsidRDefault="00A85830" w:rsidP="00BF7822">
      <w:pPr>
        <w:pStyle w:val="ListBullet"/>
      </w:pPr>
      <w:r>
        <w:t xml:space="preserve">Another potential treatment advantage for the DTG/ABC/3TC FDC versus most other </w:t>
      </w:r>
      <w:r w:rsidRPr="00A31019">
        <w:t xml:space="preserve">available </w:t>
      </w:r>
      <w:r w:rsidR="00A31019" w:rsidRPr="00A31019">
        <w:t>single-tablet regimens (</w:t>
      </w:r>
      <w:r w:rsidRPr="00A31019">
        <w:t>STRs</w:t>
      </w:r>
      <w:r w:rsidR="00A31019" w:rsidRPr="00A31019">
        <w:t>)</w:t>
      </w:r>
      <w:r w:rsidRPr="00A31019">
        <w:t xml:space="preserve"> include</w:t>
      </w:r>
      <w:r>
        <w:t xml:space="preserve"> a lack of significant cytochrome P450 (CYP) 3A enzyme interactions and the ability to dose without regard to food.</w:t>
      </w:r>
    </w:p>
    <w:p w:rsidR="00605AD4" w:rsidRDefault="00605AD4" w:rsidP="00BF7822">
      <w:pPr>
        <w:pStyle w:val="Heading4"/>
      </w:pPr>
      <w:r w:rsidRPr="00605AD4">
        <w:t>Contents of the clinical dossier</w:t>
      </w:r>
    </w:p>
    <w:p w:rsidR="00A31019" w:rsidRDefault="00AA2F46" w:rsidP="00BF7822">
      <w:r>
        <w:t xml:space="preserve">In support of their application to register the new fixed dose product, </w:t>
      </w:r>
      <w:proofErr w:type="spellStart"/>
      <w:r>
        <w:t>Vii</w:t>
      </w:r>
      <w:r w:rsidR="00B71A8D">
        <w:t>V</w:t>
      </w:r>
      <w:proofErr w:type="spellEnd"/>
      <w:r>
        <w:t xml:space="preserve"> Healthcare provided a pivotal bioequivalence </w:t>
      </w:r>
      <w:r w:rsidR="00B62617">
        <w:t>Study ING</w:t>
      </w:r>
      <w:r>
        <w:t xml:space="preserve">114580 and a pivotal safety and efficacy </w:t>
      </w:r>
      <w:r w:rsidR="00B62617">
        <w:t>Study ING</w:t>
      </w:r>
      <w:r>
        <w:t xml:space="preserve">114467. Also included in the data package are supportive safety and efficacy studies ING113086, ING114915 and ING111762, and drug interaction </w:t>
      </w:r>
      <w:r w:rsidR="00B62617">
        <w:t>Study ING</w:t>
      </w:r>
      <w:r>
        <w:t xml:space="preserve">116898 and pharmacodynamic </w:t>
      </w:r>
      <w:r w:rsidR="00B62617">
        <w:t>Study ING</w:t>
      </w:r>
      <w:r>
        <w:t>116070. The studies are summarised below.</w:t>
      </w:r>
    </w:p>
    <w:p w:rsidR="00A85830" w:rsidRDefault="00A85830" w:rsidP="00BF7822">
      <w:r>
        <w:t xml:space="preserve">The strategy for the development of </w:t>
      </w:r>
      <w:proofErr w:type="spellStart"/>
      <w:r w:rsidR="003401D1">
        <w:t>Triumeq</w:t>
      </w:r>
      <w:proofErr w:type="spellEnd"/>
      <w:r>
        <w:t xml:space="preserve"> takes into account data available from clinical studies conducted under different development programs for </w:t>
      </w:r>
      <w:proofErr w:type="spellStart"/>
      <w:r>
        <w:t>dolutegravir</w:t>
      </w:r>
      <w:proofErr w:type="spellEnd"/>
      <w:r>
        <w:t xml:space="preserve">, </w:t>
      </w:r>
      <w:proofErr w:type="spellStart"/>
      <w:r>
        <w:t>abacavir</w:t>
      </w:r>
      <w:proofErr w:type="spellEnd"/>
      <w:r>
        <w:t>, lamivudine and the ABC/3TC fixed-dose combination.</w:t>
      </w:r>
    </w:p>
    <w:p w:rsidR="00A85830" w:rsidRDefault="00A85830" w:rsidP="00BF7822">
      <w:r>
        <w:t xml:space="preserve">For the </w:t>
      </w:r>
      <w:proofErr w:type="spellStart"/>
      <w:r w:rsidR="003401D1">
        <w:t>Triumeq</w:t>
      </w:r>
      <w:proofErr w:type="spellEnd"/>
      <w:r>
        <w:t xml:space="preserve"> development program, one pivotal study and five supportive studies provide safety and efficacy data in support of this combination product. These studies were conducted in the populations intended for registration and provide data from participants taking all three FDC components concomitantly and/or DTG </w:t>
      </w:r>
      <w:r w:rsidR="00A31019">
        <w:t>plus</w:t>
      </w:r>
      <w:r>
        <w:t xml:space="preserve"> 2 nucleoside reverse transcriptase inhibitors (NRTIs), or at least 1 fully active agent in the case of the antiretroviral therapy (ART)-experienced, integrase inhibitor (INI)-naive </w:t>
      </w:r>
      <w:r w:rsidR="00B62617">
        <w:t>Study ING</w:t>
      </w:r>
      <w:r>
        <w:t>111762. These studies are:</w:t>
      </w:r>
    </w:p>
    <w:p w:rsidR="00A85830" w:rsidRDefault="00A85830" w:rsidP="00BF7822">
      <w:pPr>
        <w:pStyle w:val="ListBullet"/>
      </w:pPr>
      <w:r>
        <w:t xml:space="preserve">ING114467 (SINGLE), which is also part of the DTG single entity development program is considered the pivotal DTG/ABC/3TC FDC study as a regimen once-daily DTG 50 mg + ABC/3TC 600/300 mg FDC was evaluated as one of two </w:t>
      </w:r>
      <w:r w:rsidR="00C21C47">
        <w:t>randomise</w:t>
      </w:r>
      <w:r>
        <w:t>d study treatments.</w:t>
      </w:r>
    </w:p>
    <w:p w:rsidR="00A85830" w:rsidRDefault="00A85830" w:rsidP="00BF7822">
      <w:pPr>
        <w:pStyle w:val="ListBullet"/>
      </w:pPr>
      <w:r>
        <w:t>ING113086 (SPRING-2), ING114915 (FLAMINGO), ING112276 (SPRING-1) clinical studies within the DTG single entity development program include participants administered once-daily ABC/3TC 600/300 mg FDC as a background treatment option in combination with DTG 50 mg once daily.</w:t>
      </w:r>
    </w:p>
    <w:p w:rsidR="00A85830" w:rsidRDefault="00A85830" w:rsidP="00BF7822">
      <w:pPr>
        <w:pStyle w:val="ListBullet"/>
      </w:pPr>
      <w:r>
        <w:t>ING116070 (CSF Study) and ING111762 (SAILING), also clinical studies within the DTG single entity development program, were considered supportive in demonstrating the safety and efficacy of the DTG 50 mg tablet in combination with ABC/3TC or other active antiretroviral drugs.</w:t>
      </w:r>
    </w:p>
    <w:p w:rsidR="00605AD4" w:rsidRPr="00B601D5" w:rsidRDefault="00605AD4" w:rsidP="00BF7822">
      <w:pPr>
        <w:pStyle w:val="Heading4"/>
      </w:pPr>
      <w:r w:rsidRPr="00B601D5">
        <w:t>Paediatric data</w:t>
      </w:r>
    </w:p>
    <w:p w:rsidR="00A85830" w:rsidRPr="00B601D5" w:rsidRDefault="00A85830" w:rsidP="00BF7822">
      <w:r w:rsidRPr="00B601D5">
        <w:t>Not submitted.</w:t>
      </w:r>
    </w:p>
    <w:p w:rsidR="00605AD4" w:rsidRDefault="00605AD4" w:rsidP="00BF7822">
      <w:pPr>
        <w:pStyle w:val="Heading4"/>
      </w:pPr>
      <w:r w:rsidRPr="00B601D5">
        <w:t>Good clinical practice</w:t>
      </w:r>
    </w:p>
    <w:p w:rsidR="00A85830" w:rsidRDefault="00A85830" w:rsidP="00BF7822">
      <w:proofErr w:type="spellStart"/>
      <w:r>
        <w:t>ViiV</w:t>
      </w:r>
      <w:proofErr w:type="spellEnd"/>
      <w:r>
        <w:t xml:space="preserve"> Healthcare has given the assurance that all studies were undertaken in accordance with standard operating procedures of the GlaxoSmithKline Group of Companies, which comply with the principles of Good Clinical Practice. The assurance was given that all studies were conducted with the approval of Ethics Committees or Institutional Review Boards, that informed consent was obtained for all participants, and that the studies were performed in accordance with the version of the Declaration of Helsinki that applied at the </w:t>
      </w:r>
      <w:r>
        <w:lastRenderedPageBreak/>
        <w:t>time the studies were conducted and that where required, regulatory approval was obtained from the relevant health authority.</w:t>
      </w:r>
    </w:p>
    <w:p w:rsidR="00AA2F46" w:rsidRDefault="008E7846" w:rsidP="00BF7822">
      <w:pPr>
        <w:pStyle w:val="Heading3"/>
      </w:pPr>
      <w:bookmarkStart w:id="69" w:name="_Toc423434298"/>
      <w:r w:rsidRPr="00254787">
        <w:t>Pharmacokinetics</w:t>
      </w:r>
      <w:bookmarkStart w:id="70" w:name="_Toc196046481"/>
      <w:bookmarkStart w:id="71" w:name="_Toc247691520"/>
      <w:bookmarkStart w:id="72" w:name="_Toc314842503"/>
      <w:bookmarkEnd w:id="59"/>
      <w:bookmarkEnd w:id="66"/>
      <w:bookmarkEnd w:id="67"/>
      <w:bookmarkEnd w:id="68"/>
      <w:r w:rsidR="00AA2F46">
        <w:t>/</w:t>
      </w:r>
      <w:r w:rsidR="002757A7">
        <w:t>p</w:t>
      </w:r>
      <w:r w:rsidR="00AA2F46" w:rsidRPr="00254787">
        <w:t>harmacodynamics</w:t>
      </w:r>
      <w:bookmarkEnd w:id="70"/>
      <w:bookmarkEnd w:id="71"/>
      <w:bookmarkEnd w:id="72"/>
      <w:bookmarkEnd w:id="69"/>
    </w:p>
    <w:p w:rsidR="00AA2F46" w:rsidRPr="00A31019" w:rsidRDefault="00AA2F46" w:rsidP="00BF7822">
      <w:pPr>
        <w:pStyle w:val="Heading4"/>
      </w:pPr>
      <w:r>
        <w:t>Evaluator’s conclusions on pharmacokinetics/pharmacodynamics</w:t>
      </w:r>
    </w:p>
    <w:p w:rsidR="00AA2F46" w:rsidRPr="00A31019" w:rsidRDefault="00AA2F46" w:rsidP="00BF7822">
      <w:pPr>
        <w:pStyle w:val="Heading5"/>
      </w:pPr>
      <w:r>
        <w:t xml:space="preserve">ING114580 Bioequivalence </w:t>
      </w:r>
      <w:r w:rsidR="002757A7">
        <w:t>p</w:t>
      </w:r>
      <w:r>
        <w:t>ivotal</w:t>
      </w:r>
    </w:p>
    <w:p w:rsidR="00AA2F46" w:rsidRDefault="00AA2F46" w:rsidP="00BF7822">
      <w:r>
        <w:t xml:space="preserve">ING114580 was a crossover study of 66 healthy adults evaluating the single-dose pharmacokinetics of an oral DTG/ABC/3TC50/600/300 mg combination tablet formulation proposed for commercial use, compared to co-administration of the separate tablet formulations of DTG 50 mg and </w:t>
      </w:r>
      <w:proofErr w:type="spellStart"/>
      <w:r>
        <w:t>Epzicom</w:t>
      </w:r>
      <w:proofErr w:type="spellEnd"/>
      <w:r>
        <w:t xml:space="preserve"> (ABC/3TC 600/300 mg).</w:t>
      </w:r>
    </w:p>
    <w:p w:rsidR="00AA2F46" w:rsidRDefault="00AA2F46" w:rsidP="00BF7822">
      <w:r>
        <w:t xml:space="preserve">The primary objective was to evaluate bioequivalence in the fasted state between a single FDC </w:t>
      </w:r>
      <w:r w:rsidRPr="00A31019">
        <w:t xml:space="preserve">tablet formulation of DTG/ABC/3TC 50/600/300 mg versus co-administration of the separate tablet formulations of DTG plus FDC ABC/3TC. The primary outcome was plasma DTG, ABC and 3TC </w:t>
      </w:r>
      <w:r w:rsidR="00A31019" w:rsidRPr="00A31019">
        <w:t>AUC from time zero to infinity (</w:t>
      </w:r>
      <w:proofErr w:type="gramStart"/>
      <w:r w:rsidRPr="00A31019">
        <w:t>AUC</w:t>
      </w:r>
      <w:r w:rsidRPr="00A31019">
        <w:rPr>
          <w:vertAlign w:val="subscript"/>
        </w:rPr>
        <w:t>(</w:t>
      </w:r>
      <w:proofErr w:type="gramEnd"/>
      <w:r w:rsidRPr="00A31019">
        <w:rPr>
          <w:vertAlign w:val="subscript"/>
        </w:rPr>
        <w:t>0-∞)</w:t>
      </w:r>
      <w:r w:rsidR="00A31019" w:rsidRPr="00A31019">
        <w:t>)</w:t>
      </w:r>
      <w:r w:rsidRPr="00A31019">
        <w:t xml:space="preserve">, </w:t>
      </w:r>
      <w:r w:rsidR="00A31019" w:rsidRPr="00A31019">
        <w:t xml:space="preserve">AUC from time zero until </w:t>
      </w:r>
      <w:r w:rsidR="00A31019" w:rsidRPr="00A31019">
        <w:rPr>
          <w:rFonts w:eastAsiaTheme="minorHAnsi" w:cs="Helvetica"/>
        </w:rPr>
        <w:t>plasma concentration versus time</w:t>
      </w:r>
      <w:r w:rsidR="00A31019">
        <w:rPr>
          <w:rFonts w:eastAsiaTheme="minorHAnsi" w:cs="Helvetica"/>
        </w:rPr>
        <w:t xml:space="preserve"> </w:t>
      </w:r>
      <w:r w:rsidR="00A31019" w:rsidRPr="00A31019">
        <w:rPr>
          <w:rFonts w:eastAsiaTheme="minorHAnsi" w:cs="Helvetica"/>
        </w:rPr>
        <w:t>curve, from time zero to ‘t’ (where t = the final time of</w:t>
      </w:r>
      <w:r w:rsidR="00A31019">
        <w:rPr>
          <w:rFonts w:eastAsiaTheme="minorHAnsi" w:cs="Helvetica"/>
        </w:rPr>
        <w:t xml:space="preserve"> </w:t>
      </w:r>
      <w:r w:rsidR="00A31019" w:rsidRPr="00A31019">
        <w:rPr>
          <w:rFonts w:eastAsiaTheme="minorHAnsi" w:cs="Helvetica"/>
        </w:rPr>
        <w:t>positive detection</w:t>
      </w:r>
      <w:r w:rsidR="00A31019">
        <w:rPr>
          <w:rFonts w:eastAsiaTheme="minorHAnsi" w:cs="Helvetica"/>
        </w:rPr>
        <w:t xml:space="preserve">; </w:t>
      </w:r>
      <w:r>
        <w:t>AUC</w:t>
      </w:r>
      <w:r w:rsidRPr="00A31019">
        <w:rPr>
          <w:vertAlign w:val="subscript"/>
        </w:rPr>
        <w:t>(0-t)</w:t>
      </w:r>
      <w:r w:rsidR="00A31019">
        <w:t>)</w:t>
      </w:r>
      <w:r>
        <w:t>, and C</w:t>
      </w:r>
      <w:r w:rsidRPr="00A31019">
        <w:rPr>
          <w:vertAlign w:val="subscript"/>
        </w:rPr>
        <w:t>max</w:t>
      </w:r>
      <w:r>
        <w:t xml:space="preserve">. Bioequivalence was determined if the 90% </w:t>
      </w:r>
      <w:r w:rsidR="00E873CA">
        <w:t xml:space="preserve">confidence interval (CI) </w:t>
      </w:r>
      <w:r>
        <w:t>of the ratio of geometric least squares means FDC/DTG + ABC/3TC was within the range 0.8 to 1.25.</w:t>
      </w:r>
    </w:p>
    <w:p w:rsidR="00AA2F46" w:rsidRDefault="00AA2F46" w:rsidP="00BF7822">
      <w:r>
        <w:t>Secondary Objectives were to evaluate the effect of food on the bioavailability of the FDC tablet formulation and to assess the safety and tolerability of the combination of DTG, ABC</w:t>
      </w:r>
      <w:r w:rsidR="00E873CA">
        <w:t xml:space="preserve"> </w:t>
      </w:r>
      <w:r>
        <w:t>and 3TC.</w:t>
      </w:r>
    </w:p>
    <w:p w:rsidR="00AA2F46" w:rsidRDefault="00AA2F46" w:rsidP="00BF7822">
      <w:r>
        <w:t>For each of DTG, ABC and 3TC, the 90% CIs for the geometric least-squares mean ratios for each of the bioequivalence parameters are within the bioequivalence criteria range of 0.8 to 1.25.</w:t>
      </w:r>
    </w:p>
    <w:p w:rsidR="00AA2F46" w:rsidRDefault="00AA2F46" w:rsidP="00BF7822">
      <w:r>
        <w:t>Plasma DTG exposures following administration of the FDC tablet formulation administered with a high fat meal were approximately 48% higher for AUC and 37% higher for C</w:t>
      </w:r>
      <w:r w:rsidRPr="00E873CA">
        <w:rPr>
          <w:vertAlign w:val="subscript"/>
        </w:rPr>
        <w:t>max</w:t>
      </w:r>
      <w:r>
        <w:t xml:space="preserve"> than following administration of the FDC tablet formulation in the fasted condition.</w:t>
      </w:r>
    </w:p>
    <w:p w:rsidR="00AA2F46" w:rsidRDefault="00AA2F46" w:rsidP="00BF7822">
      <w:r>
        <w:t>For both ABC and 3TC, plasma exposures from the FDC tablet formulation administered with a high fat meal were similar to those from administration in the fasted condition, although the C</w:t>
      </w:r>
      <w:r w:rsidRPr="00E873CA">
        <w:rPr>
          <w:vertAlign w:val="subscript"/>
        </w:rPr>
        <w:t>max</w:t>
      </w:r>
      <w:r>
        <w:t xml:space="preserve"> </w:t>
      </w:r>
      <w:r w:rsidR="00E873CA">
        <w:t xml:space="preserve">for ABC </w:t>
      </w:r>
      <w:r>
        <w:t>was approximately 23% lower when the FDC tablet was taken with food.</w:t>
      </w:r>
    </w:p>
    <w:p w:rsidR="00AA2F46" w:rsidRPr="00E873CA" w:rsidRDefault="00AA2F46" w:rsidP="00BF7822">
      <w:pPr>
        <w:pStyle w:val="Heading5"/>
      </w:pPr>
      <w:r>
        <w:t xml:space="preserve">ING116898 Interaction – Calcium </w:t>
      </w:r>
      <w:r w:rsidR="002757A7">
        <w:t>c</w:t>
      </w:r>
      <w:r>
        <w:t xml:space="preserve">arbonate and </w:t>
      </w:r>
      <w:r w:rsidR="002757A7">
        <w:t>f</w:t>
      </w:r>
      <w:r>
        <w:t xml:space="preserve">errous </w:t>
      </w:r>
      <w:proofErr w:type="spellStart"/>
      <w:r w:rsidR="002757A7">
        <w:t>fumarate</w:t>
      </w:r>
      <w:proofErr w:type="spellEnd"/>
    </w:p>
    <w:p w:rsidR="00AA2F46" w:rsidRDefault="00AA2F46" w:rsidP="00BF7822">
      <w:r>
        <w:t>ING116898 was a</w:t>
      </w:r>
      <w:r w:rsidR="00E873CA">
        <w:t xml:space="preserve"> P</w:t>
      </w:r>
      <w:r>
        <w:t xml:space="preserve">hase I, open-label, </w:t>
      </w:r>
      <w:r w:rsidR="00C21C47">
        <w:t>randomise</w:t>
      </w:r>
      <w:r>
        <w:t xml:space="preserve">d, four-period crossover study to evaluate the effects of calcium carbonate 1200 mg and ferrous </w:t>
      </w:r>
      <w:proofErr w:type="spellStart"/>
      <w:r>
        <w:t>fumarate</w:t>
      </w:r>
      <w:proofErr w:type="spellEnd"/>
      <w:r>
        <w:t xml:space="preserve"> 324 mg on pharmacokinetics of DTG 50 mg in 12 healthy adults.</w:t>
      </w:r>
    </w:p>
    <w:p w:rsidR="00AA2F46" w:rsidRDefault="00AA2F46" w:rsidP="00BF7822">
      <w:r>
        <w:t xml:space="preserve">Participants were </w:t>
      </w:r>
      <w:r w:rsidR="00C21C47">
        <w:t>randomise</w:t>
      </w:r>
      <w:r>
        <w:t xml:space="preserve">d to receive DTG co-administered with calcium carbonate in Cohort 1 and with ferrous </w:t>
      </w:r>
      <w:proofErr w:type="spellStart"/>
      <w:r>
        <w:t>fumarate</w:t>
      </w:r>
      <w:proofErr w:type="spellEnd"/>
      <w:r>
        <w:t xml:space="preserve"> in Cohort 2, and received each of four treatments as follows. Each dosing session was separated by wash-out of at least 7 days.</w:t>
      </w:r>
    </w:p>
    <w:p w:rsidR="00AA2F46" w:rsidRPr="00E873CA" w:rsidRDefault="00AA2F46" w:rsidP="00BF7822">
      <w:pPr>
        <w:pStyle w:val="Numberbullet0"/>
      </w:pPr>
      <w:r w:rsidRPr="00E873CA">
        <w:t>A single dose of DTG 50 mg admini</w:t>
      </w:r>
      <w:r w:rsidR="00D33F1A">
        <w:t>stered</w:t>
      </w:r>
      <w:r w:rsidR="002757A7">
        <w:t xml:space="preserve"> under fasted conditions</w:t>
      </w:r>
    </w:p>
    <w:p w:rsidR="00AA2F46" w:rsidRPr="00E873CA" w:rsidRDefault="00AA2F46" w:rsidP="00BF7822">
      <w:pPr>
        <w:pStyle w:val="Numberbullet0"/>
      </w:pPr>
      <w:r w:rsidRPr="00E873CA">
        <w:t xml:space="preserve">A single dose of DTG 50 mg co-administered with a single dose of calcium carbonate or ferrous </w:t>
      </w:r>
      <w:proofErr w:type="spellStart"/>
      <w:r w:rsidRPr="00E873CA">
        <w:t>f</w:t>
      </w:r>
      <w:r w:rsidR="002757A7">
        <w:t>umarate</w:t>
      </w:r>
      <w:proofErr w:type="spellEnd"/>
      <w:r w:rsidR="002757A7">
        <w:t xml:space="preserve"> under fasted conditions</w:t>
      </w:r>
    </w:p>
    <w:p w:rsidR="00AA2F46" w:rsidRPr="00E873CA" w:rsidRDefault="00AA2F46" w:rsidP="00BF7822">
      <w:pPr>
        <w:pStyle w:val="Numberbullet0"/>
      </w:pPr>
      <w:r w:rsidRPr="00E873CA">
        <w:t xml:space="preserve">A single dose of DTG 50 mg co-administered with a single dose of calcium carbonate or ferrous </w:t>
      </w:r>
      <w:proofErr w:type="spellStart"/>
      <w:r w:rsidRPr="00E873CA">
        <w:t>fumarate</w:t>
      </w:r>
      <w:proofErr w:type="spellEnd"/>
      <w:r w:rsidRPr="00E873CA">
        <w:t xml:space="preserve"> with a moderate-fa</w:t>
      </w:r>
      <w:r w:rsidR="002757A7">
        <w:t>t meal (approximately 30% fat)</w:t>
      </w:r>
    </w:p>
    <w:p w:rsidR="00AA2F46" w:rsidRPr="00E873CA" w:rsidRDefault="00AA2F46" w:rsidP="00BF7822">
      <w:pPr>
        <w:pStyle w:val="Numberbullet0"/>
      </w:pPr>
      <w:r w:rsidRPr="00E873CA">
        <w:lastRenderedPageBreak/>
        <w:t xml:space="preserve">A single dose of DTG 50 mg administered under fasted conditions 2 hours prior to administration of a single dose of calcium carbonate or ferrous </w:t>
      </w:r>
      <w:proofErr w:type="spellStart"/>
      <w:r w:rsidRPr="00E873CA">
        <w:t>fumarate</w:t>
      </w:r>
      <w:proofErr w:type="spellEnd"/>
      <w:r w:rsidRPr="00E873CA">
        <w:t>.</w:t>
      </w:r>
    </w:p>
    <w:p w:rsidR="00AA2F46" w:rsidRDefault="00AA2F46" w:rsidP="00BF7822">
      <w:r>
        <w:t>The primary objectives were to compare:</w:t>
      </w:r>
    </w:p>
    <w:p w:rsidR="00AA2F46" w:rsidRPr="00E873CA" w:rsidRDefault="00AA2F46" w:rsidP="00BF7822">
      <w:pPr>
        <w:pStyle w:val="ListBullet"/>
      </w:pPr>
      <w:r w:rsidRPr="00E873CA">
        <w:t xml:space="preserve">Single dose plasma DTG PK following co-administration of DTG and calcium carbonate or ferrous </w:t>
      </w:r>
      <w:proofErr w:type="spellStart"/>
      <w:r w:rsidRPr="00E873CA">
        <w:t>fumarate</w:t>
      </w:r>
      <w:proofErr w:type="spellEnd"/>
      <w:r w:rsidRPr="00E873CA">
        <w:t xml:space="preserve"> in the fasted state, to</w:t>
      </w:r>
      <w:r w:rsidR="002757A7">
        <w:t xml:space="preserve"> DTG alone in the fasting state</w:t>
      </w:r>
    </w:p>
    <w:p w:rsidR="00AA2F46" w:rsidRPr="00E873CA" w:rsidRDefault="00AA2F46" w:rsidP="00BF7822">
      <w:pPr>
        <w:pStyle w:val="ListBullet"/>
      </w:pPr>
      <w:r w:rsidRPr="00E873CA">
        <w:t xml:space="preserve">Single dose plasma DTG PK following co-administration of DTG 50 and calcium carbonate or ferrous </w:t>
      </w:r>
      <w:proofErr w:type="spellStart"/>
      <w:r w:rsidRPr="00E873CA">
        <w:t>fumarate</w:t>
      </w:r>
      <w:proofErr w:type="spellEnd"/>
      <w:r w:rsidRPr="00E873CA">
        <w:t xml:space="preserve"> with a moderate-fat meal, to</w:t>
      </w:r>
      <w:r w:rsidR="002757A7">
        <w:t xml:space="preserve"> DTG alone in the fasting state</w:t>
      </w:r>
    </w:p>
    <w:p w:rsidR="00AA2F46" w:rsidRPr="00E873CA" w:rsidRDefault="00AA2F46" w:rsidP="00BF7822">
      <w:pPr>
        <w:pStyle w:val="ListBullet"/>
      </w:pPr>
      <w:r w:rsidRPr="00E873CA">
        <w:t xml:space="preserve">Single dose plasma DTG PK following administration of DTG in the fasted state 2 hour prior to administration of calcium carbonate or ferrous </w:t>
      </w:r>
      <w:proofErr w:type="spellStart"/>
      <w:r w:rsidRPr="00E873CA">
        <w:t>fumarate</w:t>
      </w:r>
      <w:proofErr w:type="spellEnd"/>
      <w:r w:rsidRPr="00E873CA">
        <w:t xml:space="preserve"> to</w:t>
      </w:r>
      <w:r w:rsidR="002757A7">
        <w:t xml:space="preserve"> DTG alone on the fasting state</w:t>
      </w:r>
    </w:p>
    <w:p w:rsidR="00AA2F46" w:rsidRPr="00E873CA" w:rsidRDefault="00AA2F46" w:rsidP="00BF7822">
      <w:pPr>
        <w:pStyle w:val="ListBullet"/>
      </w:pPr>
      <w:r w:rsidRPr="00E873CA">
        <w:t xml:space="preserve">Single dose plasma DTG PK following co-administration of DTG and calcium carbonate or ferrous </w:t>
      </w:r>
      <w:proofErr w:type="spellStart"/>
      <w:r w:rsidRPr="00E873CA">
        <w:t>fumarate</w:t>
      </w:r>
      <w:proofErr w:type="spellEnd"/>
      <w:r w:rsidRPr="00E873CA">
        <w:t xml:space="preserve"> in a fed state to DTG and calcium carbonate or ferrous </w:t>
      </w:r>
      <w:proofErr w:type="spellStart"/>
      <w:r w:rsidRPr="00E873CA">
        <w:t>fumarate</w:t>
      </w:r>
      <w:proofErr w:type="spellEnd"/>
      <w:r w:rsidRPr="00E873CA">
        <w:t xml:space="preserve"> in a fasted state.</w:t>
      </w:r>
    </w:p>
    <w:p w:rsidR="00AA2F46" w:rsidRDefault="00AA2F46" w:rsidP="00BF7822">
      <w:r>
        <w:t xml:space="preserve">Primary endpoints were the DTG PK parameters: </w:t>
      </w:r>
      <w:proofErr w:type="gramStart"/>
      <w:r>
        <w:t>AUC</w:t>
      </w:r>
      <w:r w:rsidRPr="00E873CA">
        <w:rPr>
          <w:vertAlign w:val="subscript"/>
        </w:rPr>
        <w:t>(</w:t>
      </w:r>
      <w:proofErr w:type="gramEnd"/>
      <w:r w:rsidRPr="00E873CA">
        <w:rPr>
          <w:vertAlign w:val="subscript"/>
        </w:rPr>
        <w:t>0-t)</w:t>
      </w:r>
      <w:r>
        <w:t>, AUC</w:t>
      </w:r>
      <w:r w:rsidRPr="00E873CA">
        <w:rPr>
          <w:vertAlign w:val="subscript"/>
        </w:rPr>
        <w:t>(0-∞)</w:t>
      </w:r>
      <w:r>
        <w:t>, C</w:t>
      </w:r>
      <w:r w:rsidRPr="00E873CA">
        <w:rPr>
          <w:vertAlign w:val="subscript"/>
        </w:rPr>
        <w:t>max</w:t>
      </w:r>
      <w:r>
        <w:t xml:space="preserve"> and </w:t>
      </w:r>
      <w:r w:rsidR="00E873CA">
        <w:t>the plasma  concentration at 24 hours (</w:t>
      </w:r>
      <w:r>
        <w:t>C24</w:t>
      </w:r>
      <w:r w:rsidR="00E873CA">
        <w:t>)</w:t>
      </w:r>
      <w:r>
        <w:t xml:space="preserve">. Interactions of DTG with calcium carbonate or ferrous </w:t>
      </w:r>
      <w:proofErr w:type="spellStart"/>
      <w:r>
        <w:t>fumarate</w:t>
      </w:r>
      <w:proofErr w:type="spellEnd"/>
      <w:r>
        <w:t xml:space="preserve"> were considered not clinically significant if the observed decrease in </w:t>
      </w:r>
      <w:proofErr w:type="spellStart"/>
      <w:r>
        <w:t>dolutegravir</w:t>
      </w:r>
      <w:proofErr w:type="spellEnd"/>
      <w:r>
        <w:t xml:space="preserve"> AUC or </w:t>
      </w:r>
      <w:proofErr w:type="spellStart"/>
      <w:r>
        <w:t>C</w:t>
      </w:r>
      <w:r w:rsidRPr="00E873CA">
        <w:rPr>
          <w:vertAlign w:val="subscript"/>
        </w:rPr>
        <w:t>max</w:t>
      </w:r>
      <w:proofErr w:type="spellEnd"/>
      <w:r>
        <w:t xml:space="preserve"> was less than 70%.</w:t>
      </w:r>
    </w:p>
    <w:p w:rsidR="00AA2F46" w:rsidRDefault="00AA2F46" w:rsidP="00BF7822">
      <w:r>
        <w:t xml:space="preserve">Co-administration of DTG with either calcium carbonate or ferrous </w:t>
      </w:r>
      <w:proofErr w:type="spellStart"/>
      <w:r>
        <w:t>fumarate</w:t>
      </w:r>
      <w:proofErr w:type="spellEnd"/>
      <w:r>
        <w:t xml:space="preserve"> under fasted condition resulted in reduction in plasma DTG exposures; plasma DTG AUC</w:t>
      </w:r>
      <w:r w:rsidRPr="00E873CA">
        <w:rPr>
          <w:vertAlign w:val="subscript"/>
        </w:rPr>
        <w:t>(0-t)</w:t>
      </w:r>
      <w:r>
        <w:t>, AUC</w:t>
      </w:r>
      <w:r w:rsidRPr="00E873CA">
        <w:rPr>
          <w:vertAlign w:val="subscript"/>
        </w:rPr>
        <w:t>(0-∞)</w:t>
      </w:r>
      <w:r>
        <w:t>, C</w:t>
      </w:r>
      <w:r w:rsidRPr="00E873CA">
        <w:rPr>
          <w:vertAlign w:val="subscript"/>
        </w:rPr>
        <w:t>max</w:t>
      </w:r>
      <w:r>
        <w:t xml:space="preserve"> and C24 by approximately 37</w:t>
      </w:r>
      <w:r w:rsidR="00E873CA">
        <w:t xml:space="preserve"> to </w:t>
      </w:r>
      <w:r>
        <w:t xml:space="preserve">39% with calcium carbonate and 54 </w:t>
      </w:r>
      <w:r w:rsidR="00E873CA">
        <w:t xml:space="preserve">to </w:t>
      </w:r>
      <w:r w:rsidR="00D33F1A">
        <w:t xml:space="preserve">57% with ferrous </w:t>
      </w:r>
      <w:proofErr w:type="spellStart"/>
      <w:r w:rsidR="00D33F1A">
        <w:t>fumerate</w:t>
      </w:r>
      <w:proofErr w:type="spellEnd"/>
      <w:r w:rsidR="00D33F1A">
        <w:t>.</w:t>
      </w:r>
    </w:p>
    <w:p w:rsidR="00AA2F46" w:rsidRDefault="00AA2F46" w:rsidP="00BF7822">
      <w:r>
        <w:t xml:space="preserve">Co-administration of DTG with calcium carbonate or ferrous </w:t>
      </w:r>
      <w:proofErr w:type="spellStart"/>
      <w:r>
        <w:t>fumarate</w:t>
      </w:r>
      <w:proofErr w:type="spellEnd"/>
      <w:r>
        <w:t xml:space="preserve"> under fed condition counteracted the interaction and provided plasma exposures comparable to DTG alone under fasted conditions. Similarly, DTG administered under fasted conditions 2 hours prior to administration of a single dose of calcium carbonate or ferrous </w:t>
      </w:r>
      <w:proofErr w:type="spellStart"/>
      <w:r>
        <w:t>fumarate</w:t>
      </w:r>
      <w:proofErr w:type="spellEnd"/>
      <w:r>
        <w:t xml:space="preserve"> resulted in plasma exposures comparable to DTG alone.</w:t>
      </w:r>
    </w:p>
    <w:p w:rsidR="00AA2F46" w:rsidRDefault="00AA2F46" w:rsidP="00BF7822">
      <w:pPr>
        <w:pStyle w:val="Heading5"/>
      </w:pPr>
      <w:r>
        <w:t>ING116070 Pharmacodynamic CSF</w:t>
      </w:r>
    </w:p>
    <w:p w:rsidR="00E873CA" w:rsidRDefault="00AA2F46" w:rsidP="00BF7822">
      <w:r>
        <w:t xml:space="preserve">ING116070 is an ongoing Phase IIIb single-arm, open-label, multicentre study of HIV-1 infected ART-naïve patients to determine the potential for </w:t>
      </w:r>
      <w:proofErr w:type="spellStart"/>
      <w:r>
        <w:t>dolutegravir</w:t>
      </w:r>
      <w:proofErr w:type="spellEnd"/>
      <w:r>
        <w:t xml:space="preserve"> to enter the cerebrospinal fluid compartment. Participants were HIV-1 infected treatment naïve adults ≥ 18 years of age, with screening plasma HIV-1 RNA ≥ 5000 copies/mL(c/mL); CD4+ cell</w:t>
      </w:r>
      <w:r w:rsidR="00E873CA">
        <w:rPr>
          <w:rStyle w:val="FootnoteReference"/>
        </w:rPr>
        <w:footnoteReference w:id="9"/>
      </w:r>
      <w:r>
        <w:t xml:space="preserve"> count ≥ 200 cells/mm3 and negative for HLA-B*5701</w:t>
      </w:r>
      <w:r w:rsidR="00E873CA">
        <w:rPr>
          <w:rStyle w:val="FootnoteReference"/>
        </w:rPr>
        <w:footnoteReference w:id="10"/>
      </w:r>
      <w:r>
        <w:t>. All 13 enrolled subjects were White and male. Study medication was DTG 50 mg with background FDC ABC/3TC 600/300 mg taken once daily with or without food. The Week 16 results were presented.</w:t>
      </w:r>
    </w:p>
    <w:p w:rsidR="00AA2F46" w:rsidRDefault="00AA2F46" w:rsidP="00BF7822">
      <w:r>
        <w:t xml:space="preserve">The primary objective was to determine total and unbound plasma DTG concentration and evaluate the relationship between DTG concentration in plasma and </w:t>
      </w:r>
      <w:r w:rsidR="00E873CA">
        <w:t>cerebrospinal fluid (</w:t>
      </w:r>
      <w:r>
        <w:t>CSF</w:t>
      </w:r>
      <w:r w:rsidR="00E873CA">
        <w:t>)</w:t>
      </w:r>
      <w:r>
        <w:t xml:space="preserve"> at Week 16. Primary outcomes were CSF DTG concentration and total and unbound plasma DTG PK concentration of samples drawn within 2 to 6 hours post-dose and within </w:t>
      </w:r>
      <w:r>
        <w:lastRenderedPageBreak/>
        <w:t>1 hour of CSF sample collection at Week 16; the relationship between DTG concentration in plasma and CSF was evaluate</w:t>
      </w:r>
      <w:r w:rsidR="00D33F1A">
        <w:t>d using an estimation approach.</w:t>
      </w:r>
    </w:p>
    <w:p w:rsidR="00AA2F46" w:rsidRDefault="00AA2F46" w:rsidP="00BF7822">
      <w:r>
        <w:t>Secondary Objectives were to assess:</w:t>
      </w:r>
    </w:p>
    <w:p w:rsidR="00AA2F46" w:rsidRPr="00E873CA" w:rsidRDefault="00AA2F46" w:rsidP="00BF7822">
      <w:pPr>
        <w:pStyle w:val="ListBullet"/>
      </w:pPr>
      <w:r w:rsidRPr="00E873CA">
        <w:t>The effect of DTG + ABC/3TC on CSF and plasma HIV-1 viral load; tolerability and safety</w:t>
      </w:r>
    </w:p>
    <w:p w:rsidR="00AA2F46" w:rsidRPr="00E873CA" w:rsidRDefault="00AA2F46" w:rsidP="00BF7822">
      <w:pPr>
        <w:pStyle w:val="ListBullet"/>
      </w:pPr>
      <w:r w:rsidRPr="00E873CA">
        <w:t>The relationship between CSF DTG concentration and HIV-1RNA in CSF at Weeks 2 and 16</w:t>
      </w:r>
    </w:p>
    <w:p w:rsidR="00E873CA" w:rsidRDefault="00AA2F46" w:rsidP="00BF7822">
      <w:pPr>
        <w:pStyle w:val="ListBullet"/>
      </w:pPr>
      <w:r w:rsidRPr="00E873CA">
        <w:t>The relationship between HIV-1 RNA suppression in p</w:t>
      </w:r>
      <w:r w:rsidR="00E873CA">
        <w:t>lasma and CSF at Weeks 2</w:t>
      </w:r>
      <w:r w:rsidR="002757A7">
        <w:t xml:space="preserve"> and 16</w:t>
      </w:r>
    </w:p>
    <w:p w:rsidR="00AA2F46" w:rsidRPr="00E873CA" w:rsidRDefault="00AA2F46" w:rsidP="00BF7822">
      <w:pPr>
        <w:pStyle w:val="ListBullet"/>
      </w:pPr>
      <w:r w:rsidRPr="00E873CA">
        <w:t xml:space="preserve">The development of viral resistance in participants experiencing </w:t>
      </w:r>
      <w:proofErr w:type="spellStart"/>
      <w:r w:rsidRPr="00E873CA">
        <w:t>virologic</w:t>
      </w:r>
      <w:proofErr w:type="spellEnd"/>
      <w:r w:rsidRPr="00E873CA">
        <w:t xml:space="preserve"> failure.</w:t>
      </w:r>
    </w:p>
    <w:p w:rsidR="00AA2F46" w:rsidRDefault="00AA2F46" w:rsidP="00BF7822">
      <w:r>
        <w:t>At Week 16, the correlation between CSF and total plasma DTG concentrations was: (Pearson Correlation Coefficient [P-value] = 0.647 [0.023]. There was also a correlation between CSF and unbound plasma DTG concentrations (Pearson Correlation Coefficient [P-value] = 0.728 [0.007]. However, this finding contradicted findings at Week 2 and for the combined results.</w:t>
      </w:r>
    </w:p>
    <w:p w:rsidR="00AA2F46" w:rsidRDefault="00AA2F46" w:rsidP="00BF7822">
      <w:r>
        <w:t>Although there appeared to be a correlation between CSF DTG concentration and absolute CSF HIV-1 RNA levels, the direction of correlations at Week 2 and Week 16 were opposite. There was a significant overlap in CSF DTG concentrations between participants with CSF HIV-1 RNA &lt; 50 c/mL and ≥ 50 c/mL at Week 2</w:t>
      </w:r>
      <w:r w:rsidR="00D33F1A">
        <w:t>.</w:t>
      </w:r>
    </w:p>
    <w:p w:rsidR="00AA2F46" w:rsidRPr="00BF7822" w:rsidRDefault="00AA2F46" w:rsidP="00BF7822">
      <w:pPr>
        <w:pStyle w:val="Numberbullet0"/>
        <w:numPr>
          <w:ilvl w:val="0"/>
          <w:numId w:val="15"/>
        </w:numPr>
        <w:rPr>
          <w:i/>
        </w:rPr>
      </w:pPr>
      <w:r>
        <w:t xml:space="preserve">At Week 16, two participants had withdrawn prematurely, 11 had CSF HIV-1 RNA &lt; 50 c/mL using an Observed Dataset. The median change from Baseline to Week 16 in CSF HIV-1 </w:t>
      </w:r>
      <w:r w:rsidR="00C21C47" w:rsidRPr="00C21C47">
        <w:rPr>
          <w:lang w:eastAsia="en-AU"/>
        </w:rPr>
        <w:t>ribonucleic acid</w:t>
      </w:r>
      <w:r w:rsidR="00C21C47">
        <w:rPr>
          <w:lang w:eastAsia="en-AU"/>
        </w:rPr>
        <w:t xml:space="preserve"> </w:t>
      </w:r>
      <w:r w:rsidR="00C21C47">
        <w:t>(</w:t>
      </w:r>
      <w:r>
        <w:t>RNA</w:t>
      </w:r>
      <w:r w:rsidR="00C21C47">
        <w:t>)</w:t>
      </w:r>
      <w:r>
        <w:t xml:space="preserve"> was -3.42 log10 c/mL and was similar to that observed in plasma (-3.04 log10 c/mL). Eleven participants had both plasma and CSF HIV-1 RNA data available and nine (82%) of these had both plasma and CSF HIV-1 RNA &lt; 50 c/</w:t>
      </w:r>
      <w:proofErr w:type="spellStart"/>
      <w:r>
        <w:t>mL.</w:t>
      </w:r>
      <w:proofErr w:type="spellEnd"/>
    </w:p>
    <w:p w:rsidR="00AA2F46" w:rsidRDefault="00AA2F46" w:rsidP="00BF7822">
      <w:r>
        <w:t xml:space="preserve">The most common drug related adverse events were fatigue, headache and nausea, each reported by 2/13 participants. The majority of adverse events were Grade 1 or Grade 2. There were no </w:t>
      </w:r>
      <w:r w:rsidR="00C21C47">
        <w:t>investigational product (IP)</w:t>
      </w:r>
      <w:r>
        <w:t xml:space="preserve"> related </w:t>
      </w:r>
      <w:r w:rsidR="00C21C47">
        <w:t>serious adverse events (</w:t>
      </w:r>
      <w:r>
        <w:t>SAEs</w:t>
      </w:r>
      <w:r w:rsidR="00C21C47">
        <w:t>)</w:t>
      </w:r>
      <w:r>
        <w:t xml:space="preserve"> reported and no deaths. Small median increases in serum creatinine and small decreases in the calculated creatinine clearance were noted beginning at Week 2 and remaining stable to Week 16.</w:t>
      </w:r>
    </w:p>
    <w:p w:rsidR="008E7846" w:rsidRPr="00254787" w:rsidRDefault="008E7846" w:rsidP="00BF7822">
      <w:pPr>
        <w:pStyle w:val="Heading3"/>
      </w:pPr>
      <w:bookmarkStart w:id="73" w:name="_Toc163441372"/>
      <w:bookmarkStart w:id="74" w:name="_Toc196046485"/>
      <w:bookmarkStart w:id="75" w:name="_Toc247691521"/>
      <w:bookmarkStart w:id="76" w:name="_Toc314842504"/>
      <w:bookmarkStart w:id="77" w:name="_Toc423434299"/>
      <w:bookmarkEnd w:id="60"/>
      <w:r w:rsidRPr="00254787">
        <w:t>Efficacy</w:t>
      </w:r>
      <w:bookmarkEnd w:id="73"/>
      <w:bookmarkEnd w:id="74"/>
      <w:bookmarkEnd w:id="75"/>
      <w:bookmarkEnd w:id="76"/>
      <w:r w:rsidR="00AA2F46">
        <w:t>/</w:t>
      </w:r>
      <w:r w:rsidR="002757A7">
        <w:t>s</w:t>
      </w:r>
      <w:r w:rsidR="00AA2F46">
        <w:t xml:space="preserve">afety and </w:t>
      </w:r>
      <w:r w:rsidR="002757A7">
        <w:t>v</w:t>
      </w:r>
      <w:r w:rsidR="00AA2F46">
        <w:t>irology</w:t>
      </w:r>
      <w:bookmarkEnd w:id="77"/>
    </w:p>
    <w:p w:rsidR="00AA2F46" w:rsidRPr="00F54795" w:rsidRDefault="00AA2F46" w:rsidP="00BF7822">
      <w:pPr>
        <w:pStyle w:val="Heading4"/>
      </w:pPr>
      <w:bookmarkStart w:id="78" w:name="_Toc184439992"/>
      <w:bookmarkStart w:id="79" w:name="_Toc184440279"/>
      <w:bookmarkStart w:id="80" w:name="_Toc184444657"/>
      <w:bookmarkStart w:id="81" w:name="_Toc196046487"/>
      <w:r w:rsidRPr="00B601D5">
        <w:t xml:space="preserve">Evaluator’s conclusions on </w:t>
      </w:r>
      <w:r>
        <w:t>efficacy/safety and virology</w:t>
      </w:r>
    </w:p>
    <w:p w:rsidR="00AA2F46" w:rsidRPr="00F54795" w:rsidRDefault="00AA2F46" w:rsidP="00BF7822">
      <w:pPr>
        <w:pStyle w:val="Heading5"/>
      </w:pPr>
      <w:bookmarkStart w:id="82" w:name="_Toc247691524"/>
      <w:bookmarkStart w:id="83" w:name="_Toc314842508"/>
      <w:bookmarkStart w:id="84" w:name="_Toc196046504"/>
      <w:bookmarkStart w:id="85" w:name="_Toc163441390"/>
      <w:bookmarkEnd w:id="78"/>
      <w:bookmarkEnd w:id="79"/>
      <w:bookmarkEnd w:id="80"/>
      <w:bookmarkEnd w:id="81"/>
      <w:r>
        <w:t>ING114467 (</w:t>
      </w:r>
      <w:r w:rsidR="001F7D25">
        <w:t>s</w:t>
      </w:r>
      <w:r>
        <w:t>ingle) Treatment-</w:t>
      </w:r>
      <w:r w:rsidR="001F7D25">
        <w:t>n</w:t>
      </w:r>
      <w:r>
        <w:t xml:space="preserve">aive </w:t>
      </w:r>
      <w:r w:rsidR="001F7D25">
        <w:t>p</w:t>
      </w:r>
      <w:r>
        <w:t xml:space="preserve">ivotal </w:t>
      </w:r>
      <w:r w:rsidR="001F7D25">
        <w:t>e</w:t>
      </w:r>
      <w:r>
        <w:t xml:space="preserve">fficacy and </w:t>
      </w:r>
      <w:r w:rsidR="001F7D25">
        <w:t>s</w:t>
      </w:r>
      <w:r>
        <w:t>afety</w:t>
      </w:r>
    </w:p>
    <w:p w:rsidR="00C21C47" w:rsidRDefault="00AA2F46" w:rsidP="00BF7822">
      <w:r>
        <w:t xml:space="preserve">ING114467 is an ongoing, Phase </w:t>
      </w:r>
      <w:r w:rsidR="00C21C47">
        <w:t>III</w:t>
      </w:r>
      <w:r>
        <w:t>, parallel group, randomised, double-blind, active-controlled multinational study of DTG plus fixed dose ABC/3TC compared with EFV/TDF/FTC in treatment of HIV-1 infected ART naïve adult patients with plasma HIV-1 RNA ≥1000 c/mL; and negative HLA-B*5701 allele. Week 96 results were presented.</w:t>
      </w:r>
    </w:p>
    <w:p w:rsidR="00AA2F46" w:rsidRDefault="00AA2F46" w:rsidP="00BF7822">
      <w:r>
        <w:t xml:space="preserve">The primary objective was to demonstrate </w:t>
      </w:r>
      <w:r w:rsidRPr="00B601D5">
        <w:t xml:space="preserve">the antiviral activity of DTG + ABC/3TC FDC once daily therapy compared to </w:t>
      </w:r>
      <w:proofErr w:type="spellStart"/>
      <w:r w:rsidR="00B601D5">
        <w:t>e</w:t>
      </w:r>
      <w:r w:rsidR="00B601D5" w:rsidRPr="00B601D5">
        <w:t>mtricitabine</w:t>
      </w:r>
      <w:proofErr w:type="spellEnd"/>
      <w:r w:rsidR="00B601D5" w:rsidRPr="00B601D5">
        <w:t xml:space="preserve"> (</w:t>
      </w:r>
      <w:r w:rsidRPr="00B601D5">
        <w:t>EFV</w:t>
      </w:r>
      <w:r w:rsidR="00B601D5" w:rsidRPr="00B601D5">
        <w:t>)</w:t>
      </w:r>
      <w:r w:rsidRPr="00B601D5">
        <w:t>/</w:t>
      </w:r>
      <w:r w:rsidR="00B601D5" w:rsidRPr="00B601D5">
        <w:t xml:space="preserve"> </w:t>
      </w:r>
      <w:proofErr w:type="spellStart"/>
      <w:r w:rsidR="00B601D5">
        <w:t>t</w:t>
      </w:r>
      <w:r w:rsidR="00B601D5" w:rsidRPr="00B601D5">
        <w:t>enofovir</w:t>
      </w:r>
      <w:proofErr w:type="spellEnd"/>
      <w:r w:rsidR="00B601D5" w:rsidRPr="00B601D5">
        <w:t xml:space="preserve"> (</w:t>
      </w:r>
      <w:r w:rsidRPr="00B601D5">
        <w:t>TDF</w:t>
      </w:r>
      <w:r w:rsidR="00B601D5" w:rsidRPr="00B601D5">
        <w:t>)</w:t>
      </w:r>
      <w:r w:rsidRPr="00B601D5">
        <w:t>/</w:t>
      </w:r>
      <w:r w:rsidR="00B601D5" w:rsidRPr="00B601D5">
        <w:t xml:space="preserve"> </w:t>
      </w:r>
      <w:proofErr w:type="spellStart"/>
      <w:r w:rsidR="00B601D5">
        <w:t>e</w:t>
      </w:r>
      <w:r w:rsidR="00B601D5" w:rsidRPr="00B601D5">
        <w:t>mtricitabine</w:t>
      </w:r>
      <w:proofErr w:type="spellEnd"/>
      <w:r w:rsidR="00B601D5" w:rsidRPr="00B601D5">
        <w:t xml:space="preserve"> (</w:t>
      </w:r>
      <w:r w:rsidRPr="00B601D5">
        <w:t>FTC</w:t>
      </w:r>
      <w:r w:rsidR="00B601D5" w:rsidRPr="00B601D5">
        <w:t>)</w:t>
      </w:r>
      <w:r w:rsidRPr="00B601D5">
        <w:t>. The primary endpoint was the proportion of participants with plasma HIV-1 RNA &lt; 50 copies/mL up until Week 48 using the Snapshot algorithm</w:t>
      </w:r>
      <w:r>
        <w:t xml:space="preserve">, Missing, Switch, or Discontinuation = Failure (MSDF). The primary efficacy analyses were performed on the ITT-E population (all randomised patients who received at least one dose of study drug) at Week 48. Non-inferiority was concluded if the lower bound of a two-sided 95% confidence </w:t>
      </w:r>
      <w:r>
        <w:lastRenderedPageBreak/>
        <w:t>interval for the difference in response rates between the two treatment arms was greater than - 10%. A similar assessment at Week 96 was a secondary objective. The Week 96 results were presented.</w:t>
      </w:r>
    </w:p>
    <w:p w:rsidR="00AA2F46" w:rsidRDefault="00AA2F46" w:rsidP="00BF7822">
      <w:r>
        <w:t>Participant withdrawals by Week 96 were 17% v</w:t>
      </w:r>
      <w:r w:rsidR="00C21C47">
        <w:t>ersus</w:t>
      </w:r>
      <w:r>
        <w:t xml:space="preserve"> 26% for DTG+ABC/3TC and for EFV/TDF/FTC respectively. Adverse events were the most common reason for withdrawal. Withdrawals due to AEs for the DTG + ABC/3TC and EFV/TDF/FTC groups were 3% and 11% respectively. Withdrawals due to lack efficacy were reported for 18 (4%) of the DTG+ABC/3TC group and 14 (3%) of the EFV/TDF/FTC arm. Seventeen (4%) in the DTG+ABC/3TC arm and 18 (4%) in the EFV/TDF/FTC arm were lost to follow up.</w:t>
      </w:r>
    </w:p>
    <w:p w:rsidR="00AA2F46" w:rsidRDefault="00AA2F46" w:rsidP="00BF7822">
      <w:r>
        <w:t>At Week 96, the adjusted difference, DTG minus EFV/TDF/FTC was 8.0% (+2.3%, +13.8%)</w:t>
      </w:r>
      <w:r w:rsidR="00C21C47">
        <w:t xml:space="preserve"> </w:t>
      </w:r>
      <w:r w:rsidR="00B601D5" w:rsidRPr="00B601D5">
        <w:t xml:space="preserve">protocol  defined </w:t>
      </w:r>
      <w:proofErr w:type="spellStart"/>
      <w:r w:rsidR="00B601D5" w:rsidRPr="00B601D5">
        <w:t>virologic</w:t>
      </w:r>
      <w:proofErr w:type="spellEnd"/>
      <w:r w:rsidR="00B601D5" w:rsidRPr="00B601D5">
        <w:t xml:space="preserve"> failure (</w:t>
      </w:r>
      <w:r w:rsidRPr="00B601D5">
        <w:t>PDVF</w:t>
      </w:r>
      <w:r w:rsidR="00B601D5" w:rsidRPr="00B601D5">
        <w:t>)</w:t>
      </w:r>
      <w:r w:rsidRPr="00B601D5">
        <w:t xml:space="preserve"> was two consecutive HIV-1 RNA values ≥ 50 c/mL HIV-1 RNA from Week 24 onwards. Genotypic and</w:t>
      </w:r>
      <w:r>
        <w:t xml:space="preserve"> </w:t>
      </w:r>
      <w:r w:rsidRPr="00B601D5">
        <w:t xml:space="preserve">phenotypic </w:t>
      </w:r>
      <w:r w:rsidR="00B601D5" w:rsidRPr="00B601D5">
        <w:t>integrase (</w:t>
      </w:r>
      <w:r w:rsidRPr="00B601D5">
        <w:t>IN</w:t>
      </w:r>
      <w:r w:rsidR="00B601D5" w:rsidRPr="00B601D5">
        <w:t>)</w:t>
      </w:r>
      <w:r>
        <w:t xml:space="preserve"> resistance results were available for 13/25 (52%) of the DTG group </w:t>
      </w:r>
      <w:r w:rsidR="00C21C47">
        <w:t>versus</w:t>
      </w:r>
      <w:r>
        <w:t xml:space="preserve"> 10/25 (40%) of the EFV/TDF/FTC group. Genotypic and phenotypic NNRTI resistance results were available for 17/25 (68%) in the DTG</w:t>
      </w:r>
      <w:r w:rsidR="00C21C47">
        <w:t xml:space="preserve"> versus</w:t>
      </w:r>
      <w:r>
        <w:t xml:space="preserve"> 12/25 (48%) of the EFV/TDF/FTC group. No treatment emergent </w:t>
      </w:r>
      <w:r w:rsidRPr="00B601D5">
        <w:t>primary IN</w:t>
      </w:r>
      <w:r w:rsidR="00B601D5" w:rsidRPr="00B601D5">
        <w:t xml:space="preserve"> inhibitor (IN</w:t>
      </w:r>
      <w:r w:rsidRPr="00B601D5">
        <w:t>I</w:t>
      </w:r>
      <w:r w:rsidR="00B601D5" w:rsidRPr="00B601D5">
        <w:t>)</w:t>
      </w:r>
      <w:r w:rsidRPr="00B601D5">
        <w:t xml:space="preserve"> or NRTI</w:t>
      </w:r>
      <w:r>
        <w:t xml:space="preserve"> resistance mutations were observed through 96 weeks for those participants on DTG plus ABC/3TC FDC with PDVF. Six participants in the EFV/TDF/FTC treatment group had treatment emergent </w:t>
      </w:r>
      <w:r w:rsidR="00C21C47">
        <w:t>non NRTI (</w:t>
      </w:r>
      <w:r>
        <w:t>NNRTI</w:t>
      </w:r>
      <w:r w:rsidR="00C21C47">
        <w:t>)</w:t>
      </w:r>
      <w:r>
        <w:t xml:space="preserve"> resistance mutations. Phenotypic changes to EFV were observed in five of these participants.</w:t>
      </w:r>
    </w:p>
    <w:p w:rsidR="00AA2F46" w:rsidRDefault="00AA2F46" w:rsidP="00BF7822">
      <w:r>
        <w:t>Regarding safety, dizziness, diarrhoea, nasopharyngitis, headache, nausea and fatigue were most commonly reported AEs and occurred at similar rates across both treatment groups. Treatment related events were more common in the EFV/TDF/FTC group. The most common drug related adverse events were dizziness, abnormal dreams, nausea, insomnia, diarrhoea, fatigue, headache and rash. Most events in both groups were considered Grade 1 or 2. The incidence of Grade 3 and 4 events combined was DTG+ABC/3TC 57/414 [14%]</w:t>
      </w:r>
      <w:r w:rsidR="00C21C47">
        <w:t xml:space="preserve"> versus</w:t>
      </w:r>
      <w:r>
        <w:t xml:space="preserve"> EFV/TDF/FTC 83/419 [20%].</w:t>
      </w:r>
    </w:p>
    <w:p w:rsidR="00AA2F46" w:rsidRDefault="00AA2F46" w:rsidP="00BF7822">
      <w:r>
        <w:t>One individual in the DTG/ABC/3TC group reported an SAE considered related to IP (drug hypersensitivity). Nine in the EFV/TDF/FTC group had SAEs considered related to study treatment: syncope, reported by two individuals; depression, homicidal ideation and suicidal ideation; paranoia and suicidal ideation; drug hypersensitivity; cerebrovascular accident; hallucination, visual; and bipolar 1 disorder each reported by one individual. One death in the EFV/TDF/FTC group was considered possibly related (renal failure).</w:t>
      </w:r>
    </w:p>
    <w:p w:rsidR="00AA2F46" w:rsidRDefault="00AA2F46" w:rsidP="00BF7822">
      <w:r>
        <w:t>For EFV/TDF/FTC</w:t>
      </w:r>
      <w:r w:rsidR="00C21C47">
        <w:t xml:space="preserve"> versus</w:t>
      </w:r>
      <w:r>
        <w:t xml:space="preserve"> DTG/ABC/3TC respectively, rash was considered study treatment related for 34/419 (8%)</w:t>
      </w:r>
      <w:r w:rsidR="00C21C47">
        <w:t xml:space="preserve"> versus</w:t>
      </w:r>
      <w:r>
        <w:t xml:space="preserve"> 4/414 (&lt;1%), and rash leading to permanent discontinuation for 9/419 (2%)</w:t>
      </w:r>
      <w:r w:rsidR="00C21C47">
        <w:t xml:space="preserve"> versus</w:t>
      </w:r>
      <w:r>
        <w:t xml:space="preserve"> 2/414 (&lt;1%). All but one episode of rash were </w:t>
      </w:r>
      <w:r w:rsidR="00C21C47">
        <w:t>G</w:t>
      </w:r>
      <w:r>
        <w:t>raded 1 or 2; one</w:t>
      </w:r>
      <w:r w:rsidR="00D33F1A">
        <w:t xml:space="preserve"> was considered Grade 3.</w:t>
      </w:r>
    </w:p>
    <w:p w:rsidR="00AA2F46" w:rsidRDefault="00AA2F46" w:rsidP="00BF7822">
      <w:r>
        <w:t xml:space="preserve">Relative risk and 95% </w:t>
      </w:r>
      <w:r w:rsidR="00C21C47">
        <w:t>CI</w:t>
      </w:r>
      <w:r>
        <w:t xml:space="preserve"> &lt; 1 favouring DTG/ABC/3TC were noted for dizziness, abnormal dreams, rash and somnolence; favouring EFV/TDF/FTC insomnia, influenza and pain in extremity.</w:t>
      </w:r>
    </w:p>
    <w:p w:rsidR="00AA2F46" w:rsidRDefault="00AA2F46" w:rsidP="00BF7822">
      <w:r>
        <w:t xml:space="preserve">Comparable rates for participants with any gastrointestinal event were reported in both treatment groups. The higher number of discontinuations for </w:t>
      </w:r>
      <w:r w:rsidR="00C21C47">
        <w:t>gastrointestinal (</w:t>
      </w:r>
      <w:r>
        <w:t>GI</w:t>
      </w:r>
      <w:r w:rsidR="00C21C47">
        <w:t>)</w:t>
      </w:r>
      <w:r>
        <w:t xml:space="preserve"> events in the EFV/TDF/FTC treatment group did not appear to be related to higher event toxicity/intensity grades.</w:t>
      </w:r>
    </w:p>
    <w:p w:rsidR="00AA2F46" w:rsidRDefault="00AA2F46" w:rsidP="00BF7822">
      <w:pPr>
        <w:rPr>
          <w:noProof/>
        </w:rPr>
      </w:pPr>
      <w:r>
        <w:rPr>
          <w:noProof/>
        </w:rPr>
        <w:t xml:space="preserve">There was a low rate of elevated liver chemistries in both arms. The mean changes in </w:t>
      </w:r>
      <w:r w:rsidR="00C21C47">
        <w:rPr>
          <w:noProof/>
        </w:rPr>
        <w:t>low density lipoprotein (</w:t>
      </w:r>
      <w:r>
        <w:rPr>
          <w:noProof/>
        </w:rPr>
        <w:t>LDL</w:t>
      </w:r>
      <w:r w:rsidR="00C21C47">
        <w:rPr>
          <w:noProof/>
        </w:rPr>
        <w:t>)</w:t>
      </w:r>
      <w:r>
        <w:rPr>
          <w:noProof/>
        </w:rPr>
        <w:t xml:space="preserve"> and total cholesterol were small and not considered statistically significant.</w:t>
      </w:r>
    </w:p>
    <w:p w:rsidR="00AA2F46" w:rsidRDefault="00AA2F46" w:rsidP="00BF7822">
      <w:pPr>
        <w:rPr>
          <w:noProof/>
        </w:rPr>
      </w:pPr>
      <w:r>
        <w:rPr>
          <w:noProof/>
        </w:rPr>
        <w:t xml:space="preserve">Twelve participants became pregnant (DTG+ABC/3TC 5/414, EFV/TDF/FTC 7/419). Four normal neonates have been delivered (2 in each group). Three participants in the DTG/ABC/3TC group and 1 in the EFV/TDF/FTC group had elective terminations. A </w:t>
      </w:r>
      <w:r>
        <w:rPr>
          <w:noProof/>
        </w:rPr>
        <w:lastRenderedPageBreak/>
        <w:t>further elective termination was carried out due to an ectopic pregnancy (EFV/TDF/FTC). Three spontaneous abortions were reported; 1 in the DTG/ABC/3TC group</w:t>
      </w:r>
      <w:r w:rsidR="00C21C47">
        <w:rPr>
          <w:noProof/>
        </w:rPr>
        <w:t xml:space="preserve"> and</w:t>
      </w:r>
      <w:r>
        <w:rPr>
          <w:noProof/>
        </w:rPr>
        <w:t xml:space="preserve"> 2 in the EFV/TDF/FTC group; none were considered related to IP. No congenital anomalies were reported. One pregnancy in the EFV/TDF/FTC group was ongoing at data cut off. The partner of a male participant in the</w:t>
      </w:r>
      <w:r w:rsidR="00E873CA">
        <w:rPr>
          <w:noProof/>
        </w:rPr>
        <w:t xml:space="preserve"> </w:t>
      </w:r>
      <w:r>
        <w:rPr>
          <w:noProof/>
        </w:rPr>
        <w:t>DTG/ABC/3TC group delivered a normal infant.</w:t>
      </w:r>
    </w:p>
    <w:p w:rsidR="00AA2F46" w:rsidRDefault="00AA2F46" w:rsidP="00677A31">
      <w:pPr>
        <w:pStyle w:val="Heading5"/>
      </w:pPr>
      <w:r>
        <w:t xml:space="preserve">ING113086 (Spring-2) </w:t>
      </w:r>
      <w:r w:rsidR="001F7D25">
        <w:t>t</w:t>
      </w:r>
      <w:r>
        <w:t>reatment-</w:t>
      </w:r>
      <w:r w:rsidR="001F7D25">
        <w:t>n</w:t>
      </w:r>
      <w:r>
        <w:t xml:space="preserve">aïve </w:t>
      </w:r>
      <w:r w:rsidR="001F7D25">
        <w:t>s</w:t>
      </w:r>
      <w:r>
        <w:t xml:space="preserve">upportive </w:t>
      </w:r>
      <w:r w:rsidR="001F7D25">
        <w:t>e</w:t>
      </w:r>
      <w:r>
        <w:t xml:space="preserve">fficacy and </w:t>
      </w:r>
      <w:r w:rsidR="001F7D25">
        <w:t>s</w:t>
      </w:r>
      <w:r>
        <w:t>afety</w:t>
      </w:r>
    </w:p>
    <w:p w:rsidR="00C21C47" w:rsidRDefault="00AA2F46" w:rsidP="00677A31">
      <w:r>
        <w:t xml:space="preserve">ING113086 is an ongoing Phase III </w:t>
      </w:r>
      <w:r w:rsidR="00C21C47">
        <w:t>randomise</w:t>
      </w:r>
      <w:r>
        <w:t xml:space="preserve">d, double-blind, active-controlled, multicentre, non-inferiority study including treatment-naïve adult patients. The study was designed to assess safety and efficacy of DTG 50 mg once daily versus RAL 400 mg twice daily, each administered with either ABC/3TC or TDF/FTC. Approximately 40% of each group were treated with ABC/3TC background. </w:t>
      </w:r>
      <w:r w:rsidR="001F7D25">
        <w:t>Week 96 results were presented.</w:t>
      </w:r>
    </w:p>
    <w:p w:rsidR="00AA2F46" w:rsidRDefault="00AA2F46" w:rsidP="00677A31">
      <w:r>
        <w:t>The primary objective was to demonstrate the antiviral activity of DTG 50 mg administered once daily compared to RAL 400 mg twice daily over 48 weeks in HIV-1 infected therapy-naive subjects. Antiviral activity was assessed as the proportion of participants with plasma HIV-1 RNA &lt; 50 c/mL determined by the Snapshot algorithm. Non-inferiority of DTG 50 mg was concluded if the lower bound of a two-sided 95% confidence interval for the difference in proportions (DTG minus RAL) was greater than - 10%. The adjusted difference in the proportions was based on a stratified analysis using Cochran-Mantel-</w:t>
      </w:r>
      <w:proofErr w:type="spellStart"/>
      <w:r>
        <w:t>Haenszel</w:t>
      </w:r>
      <w:proofErr w:type="spellEnd"/>
      <w:r>
        <w:t xml:space="preserve"> weights. A key secondary objective was to demonstrate the antiviral activity of DTG</w:t>
      </w:r>
      <w:r w:rsidR="00C21C47">
        <w:t xml:space="preserve"> versus</w:t>
      </w:r>
      <w:r w:rsidR="001F7D25">
        <w:t xml:space="preserve"> RAL over 96 weeks.</w:t>
      </w:r>
    </w:p>
    <w:p w:rsidR="00AA2F46" w:rsidRDefault="00AA2F46" w:rsidP="00677A31">
      <w:r>
        <w:t>In total, 681 patients completed Week 96: DTG 349 (85%); RAL 332 (81%). Fifteen patients (DTG 8, RAL 7) discontinued due to an AE; twenty-nine withdrew due to protocol deviations (DTG 13, RAL 16); five discontinued upon reaching protocol-defined liver stopping criteria (DTG 2, RAL 3).</w:t>
      </w:r>
    </w:p>
    <w:p w:rsidR="00AA2F46" w:rsidRDefault="00AA2F46" w:rsidP="00677A31">
      <w:r>
        <w:t xml:space="preserve">At </w:t>
      </w:r>
      <w:r w:rsidR="00C21C47">
        <w:t>W</w:t>
      </w:r>
      <w:r>
        <w:t>eek 96, the efficacy outcome was achieved by 81% of the DTG group and 76% of RAL group. The difference in proportions (95% CI) was 4.4% (-1.2, 10.0).</w:t>
      </w:r>
    </w:p>
    <w:p w:rsidR="00AA2F46" w:rsidRDefault="00AA2F46" w:rsidP="00677A31">
      <w:r>
        <w:t>For the Kaplan-Meier sub analysis of proportions treated with ABC/3TC background, without treatment failure using the treatment related discontinuation = failure approach, the point estimates (95% CI) for DTG was 92.5% (87.1, 95.6) and for RAL 91.7% (89.1, 93.1)</w:t>
      </w:r>
      <w:r w:rsidR="00D33F1A">
        <w:t>.</w:t>
      </w:r>
    </w:p>
    <w:p w:rsidR="00AA2F46" w:rsidRDefault="00AA2F46" w:rsidP="00677A31">
      <w:r>
        <w:t>As for ING114467, PDVF was two consecutive HIV-1 RNA values ≥ 50 c/mL HIV-1 RNA from Week 24 onwards. Ten of the 22 participants with PDVF in the DTG arm had IN genotype assessed at both baseline and at PDVF</w:t>
      </w:r>
      <w:r w:rsidR="00C21C47">
        <w:t xml:space="preserve"> versus</w:t>
      </w:r>
      <w:r>
        <w:t xml:space="preserve"> 20 of 29 in the RAL arm. In the DTG arm 0/10 had emergent INI resistance mutations</w:t>
      </w:r>
      <w:r w:rsidR="00C21C47">
        <w:t xml:space="preserve"> (versus</w:t>
      </w:r>
      <w:r>
        <w:t xml:space="preserve"> 1/20 in the RAL group</w:t>
      </w:r>
      <w:r w:rsidR="00C21C47">
        <w:t>)</w:t>
      </w:r>
      <w:r>
        <w:t>.</w:t>
      </w:r>
    </w:p>
    <w:p w:rsidR="00AA2F46" w:rsidRDefault="00AA2F46" w:rsidP="00677A31">
      <w:r>
        <w:t>Fourteen of the 22 individuals with PDVF in the DTG treatment group had PR/RT genotype assessment at both Baseline and at PDVF, while 20 of the 29 with PDVF in the RAL treatment group had PR/RT genotype at both Baseline and PDVF. NRTI primary resistance mutations (4/20) were observed in subjects on RAL. No treatment emergent NRTI resistance mutations were observed for those subjects on DTG with PDVF throughout the study.</w:t>
      </w:r>
    </w:p>
    <w:p w:rsidR="00AA2F46" w:rsidRDefault="00AA2F46" w:rsidP="00677A31">
      <w:r>
        <w:t xml:space="preserve">With respect to safety, the most commonly reported clinical AEs among participants receiving </w:t>
      </w:r>
      <w:proofErr w:type="spellStart"/>
      <w:r w:rsidR="00B601D5" w:rsidRPr="00B601D5">
        <w:t>dolutegravir</w:t>
      </w:r>
      <w:proofErr w:type="spellEnd"/>
      <w:r w:rsidR="00B601D5" w:rsidRPr="00B601D5">
        <w:t xml:space="preserve"> (</w:t>
      </w:r>
      <w:r w:rsidRPr="00B601D5">
        <w:t>DTG</w:t>
      </w:r>
      <w:r w:rsidR="00B601D5" w:rsidRPr="00B601D5">
        <w:t>)</w:t>
      </w:r>
      <w:r w:rsidRPr="00B601D5">
        <w:t xml:space="preserve"> and </w:t>
      </w:r>
      <w:proofErr w:type="spellStart"/>
      <w:r w:rsidR="00B601D5" w:rsidRPr="00B601D5">
        <w:t>raltegravir</w:t>
      </w:r>
      <w:proofErr w:type="spellEnd"/>
      <w:r w:rsidR="00B601D5" w:rsidRPr="00B601D5">
        <w:t xml:space="preserve"> (</w:t>
      </w:r>
      <w:r w:rsidRPr="00B601D5">
        <w:t>RAL</w:t>
      </w:r>
      <w:r w:rsidR="00B601D5" w:rsidRPr="00B601D5">
        <w:t>)</w:t>
      </w:r>
      <w:r w:rsidRPr="00B601D5">
        <w:t xml:space="preserve"> were nausea</w:t>
      </w:r>
      <w:r>
        <w:t xml:space="preserve">, nasopharyngitis, diarrhoea and headache, with no appreciable difference between treatment groups. Most events in both treatment groups were considered </w:t>
      </w:r>
      <w:r w:rsidR="00C21C47">
        <w:t>G</w:t>
      </w:r>
      <w:r>
        <w:t xml:space="preserve">rade 1 or 2. There were 18 </w:t>
      </w:r>
      <w:r w:rsidR="00C21C47">
        <w:t>G</w:t>
      </w:r>
      <w:r>
        <w:t xml:space="preserve">rade 4 events reported in the DTG group, 2 of which were reported as SAEs and considered IP related: drug hypersensitivity and hepatitis. Seven participants </w:t>
      </w:r>
      <w:r w:rsidR="00C21C47">
        <w:t>randomise</w:t>
      </w:r>
      <w:r>
        <w:t>d to RAL reported Grade 4 AEs</w:t>
      </w:r>
      <w:r w:rsidR="00C21C47">
        <w:t>;</w:t>
      </w:r>
      <w:r>
        <w:t xml:space="preserve"> all reported as serious and none related to IP.</w:t>
      </w:r>
    </w:p>
    <w:p w:rsidR="00AA2F46" w:rsidRPr="00B601D5" w:rsidRDefault="00AA2F46" w:rsidP="00677A31">
      <w:r>
        <w:t xml:space="preserve">Reporting rates for IP related AEs were: DTG 124/411 (30%); RAL 121/411 (29%). The only drug-related AE reported in ≥ 5% of subjects in each treatment group was nausea: DTG 40/411 (10%); RAL 45/411 (11%). Grade 3/4 events considered possibly or </w:t>
      </w:r>
      <w:r>
        <w:lastRenderedPageBreak/>
        <w:t xml:space="preserve">probably related to IP in each group were reported for 4 in the DTG 4 group, 5 in the RAL group. For DTG, the events were: Grade 3: headache, dizziness, feeling abnormal, arrhythmia; Grade 4: Drug hypersensitivity with associated ALT/AST/ALP/total bilirubin/LFT and, hepatitis (one participant each). For RAL, the events reported for the five participants with Grade 3 events assessed as </w:t>
      </w:r>
      <w:r w:rsidRPr="00B601D5">
        <w:t xml:space="preserve">possibly/probably related were: Grade 3: nausea, abdominal pain, aphasia, drug eruption, fatigue, </w:t>
      </w:r>
      <w:r w:rsidR="00C21C47" w:rsidRPr="00B601D5">
        <w:t>alanine aminotransferase (</w:t>
      </w:r>
      <w:r w:rsidRPr="00B601D5">
        <w:t>ALT</w:t>
      </w:r>
      <w:r w:rsidR="00C21C47" w:rsidRPr="00B601D5">
        <w:t>)</w:t>
      </w:r>
      <w:r w:rsidRPr="00B601D5">
        <w:t xml:space="preserve"> increased, </w:t>
      </w:r>
      <w:r w:rsidR="00C21C47" w:rsidRPr="00B601D5">
        <w:t>creatine phosphokinase</w:t>
      </w:r>
      <w:r w:rsidR="00C21C47" w:rsidRPr="00B601D5">
        <w:rPr>
          <w:rStyle w:val="tgc"/>
          <w:rFonts w:ascii="Arial" w:hAnsi="Arial" w:cs="Arial"/>
          <w:color w:val="222222"/>
        </w:rPr>
        <w:t xml:space="preserve"> (</w:t>
      </w:r>
      <w:r w:rsidRPr="00B601D5">
        <w:t>CPK</w:t>
      </w:r>
      <w:r w:rsidR="00C21C47" w:rsidRPr="00B601D5">
        <w:t>)</w:t>
      </w:r>
      <w:r w:rsidRPr="00B601D5">
        <w:t xml:space="preserve"> increased, lipase increased</w:t>
      </w:r>
      <w:r w:rsidR="00B601D5" w:rsidRPr="00B601D5">
        <w:t xml:space="preserve"> and</w:t>
      </w:r>
      <w:r w:rsidRPr="00B601D5">
        <w:t xml:space="preserve"> decreased appetite</w:t>
      </w:r>
      <w:r w:rsidR="00B601D5" w:rsidRPr="00B601D5">
        <w:t>.</w:t>
      </w:r>
    </w:p>
    <w:p w:rsidR="00AA2F46" w:rsidRDefault="00AA2F46" w:rsidP="00677A31">
      <w:r w:rsidRPr="00B601D5">
        <w:t>There were no deaths related to IP. At least one SAE was reported</w:t>
      </w:r>
      <w:r>
        <w:t xml:space="preserve"> by 10% for DTG and 12% for RAL. Drug related events were reported by &lt; 1% of those taking DTG and 1% for RAL. All individually reported SAE preferred terms had an incidence of ≤ 1% in either treatment group. The SAEs considered to be related to DTG (N = 3) were: Arrhythmia leading to withdrawal; hypersensitivity considered by the investigator to be related to DTG (the </w:t>
      </w:r>
      <w:r w:rsidR="00074320">
        <w:t>s</w:t>
      </w:r>
      <w:r>
        <w:t>ponsor also implicated co-suspect ABC/3TC) and hepatitis considered possibly drug induced.</w:t>
      </w:r>
    </w:p>
    <w:p w:rsidR="00AA2F46" w:rsidRDefault="00AA2F46" w:rsidP="00677A31">
      <w:r>
        <w:t xml:space="preserve">There were 4 reports of hypersensitivity in the DTG group, none in the RAL group. The hypersensitivity AEs were considered reasonably attributable to </w:t>
      </w:r>
      <w:proofErr w:type="spellStart"/>
      <w:r>
        <w:t>abacavir</w:t>
      </w:r>
      <w:proofErr w:type="spellEnd"/>
      <w:r>
        <w:t>.</w:t>
      </w:r>
    </w:p>
    <w:p w:rsidR="00AA2F46" w:rsidRDefault="00AA2F46" w:rsidP="00677A31">
      <w:r>
        <w:t xml:space="preserve">Diarrhoea and nausea were two of the most commonly reported </w:t>
      </w:r>
      <w:r w:rsidR="00074320">
        <w:t>GI</w:t>
      </w:r>
      <w:r>
        <w:t xml:space="preserve"> AEs. For those considered IP related the incidences were DTG 18% and RAL 17%. Less than 1% of each group reported GI events in either treatment group resulting in the permanent discontinuation of IP and withdrawal.</w:t>
      </w:r>
      <w:r w:rsidR="00E873CA">
        <w:t xml:space="preserve"> </w:t>
      </w:r>
      <w:r>
        <w:t>GI events considered SAEs were reported by: DTG &lt;1%, RAL 2%).</w:t>
      </w:r>
    </w:p>
    <w:p w:rsidR="00AA2F46" w:rsidRDefault="00AA2F46" w:rsidP="00677A31">
      <w:r>
        <w:t>There was a similar overall pattern in graded treatment emergent clinical chemistry toxicities for DTG and RAL. The numbers in each treatment group with ALT ≥ 3</w:t>
      </w:r>
      <w:r w:rsidR="00074320">
        <w:t>times the upper limit of normal (</w:t>
      </w:r>
      <w:proofErr w:type="spellStart"/>
      <w:r>
        <w:t>xULN</w:t>
      </w:r>
      <w:proofErr w:type="spellEnd"/>
      <w:r w:rsidR="00074320">
        <w:t>)</w:t>
      </w:r>
      <w:r>
        <w:t xml:space="preserve"> were: DTG 21 (5%); RAL 19 (5%). Two patients on DTG had a combination ALT &gt; 3xULN with total bilirubin ≥ 2xULN and </w:t>
      </w:r>
      <w:r w:rsidR="00074320">
        <w:t>alkaline phosphatase (</w:t>
      </w:r>
      <w:r>
        <w:t>ALP</w:t>
      </w:r>
      <w:r w:rsidR="00074320">
        <w:t>)</w:t>
      </w:r>
      <w:r>
        <w:t xml:space="preserve"> &lt; 2xULN. A total of 11 patients [DTG 7, 2%; RAL 4, &lt; 1%] met at least one of the criteria for stopping. Seven participants (DTG 5, RAL 2) had maximum treatment emergent ALT values ≥ 10xULN: all met criteria for stopping IP. Of the five participants in each group with ALT elevations ≥5xULN but &lt;10xULN, four met liver criteria for stopping IP. Eleven in each group recorded ALT ≥ 3xULN but &lt;5xULN; one in the RAL group met liver stopping criteria.</w:t>
      </w:r>
    </w:p>
    <w:p w:rsidR="00AA2F46" w:rsidRDefault="00AA2F46" w:rsidP="00677A31">
      <w:r>
        <w:t xml:space="preserve">Treatment emergent Grade 1 creatinine toxicities were reported for DTG 14, RAL 8; one (DTG) had Grade 2 toxicity. The incidence of AEs related to the Renal and Urinary disorders </w:t>
      </w:r>
      <w:r w:rsidR="00074320">
        <w:t>system organ class (</w:t>
      </w:r>
      <w:r>
        <w:t>SOC</w:t>
      </w:r>
      <w:r w:rsidR="00074320">
        <w:t>)</w:t>
      </w:r>
      <w:r>
        <w:t xml:space="preserve"> was (DTG 24/411 (6%); RAL 16/411 (4%).</w:t>
      </w:r>
    </w:p>
    <w:p w:rsidR="00AA2F46" w:rsidRDefault="00AA2F46" w:rsidP="00677A31">
      <w:r>
        <w:t>Grade 4 elevations of CK were recorded by 18 (4%) in the DTG group and 8 (2%) in the RAL group. For all those in the DTG group and seven in the RAL group, the changes were transient without associated AEs. High degrees of physical activity preceded the CPK elevations in the majority of cases (13/18 for DTG and 4/8 for RAL) and by a seizure in 1 participant in the RAL arm.</w:t>
      </w:r>
    </w:p>
    <w:p w:rsidR="00AA2F46" w:rsidRDefault="00AA2F46" w:rsidP="00677A31">
      <w:r>
        <w:t>The incidence of AEs related to the Musculoskeletal and Connective Tissue Disorders SOC was: DTG 74/411 (18%); RAL 86/411 (21%). Arthralgia was reported by: DTG 10/411 (2%); RAL 14/411 (3%); myalgia by: DTG 11/411 (3%); RAL 8/411 (2%).</w:t>
      </w:r>
    </w:p>
    <w:p w:rsidR="00AA2F46" w:rsidRDefault="00AA2F46" w:rsidP="00677A31">
      <w:r>
        <w:t>There was no clinically significant change in Total/</w:t>
      </w:r>
      <w:r w:rsidR="00074320">
        <w:t>high density lipoprotein (</w:t>
      </w:r>
      <w:r>
        <w:t>HDL</w:t>
      </w:r>
      <w:r w:rsidR="00074320">
        <w:t>)</w:t>
      </w:r>
      <w:r>
        <w:t xml:space="preserve"> cholesterol or triglycerides.</w:t>
      </w:r>
    </w:p>
    <w:p w:rsidR="00AA2F46" w:rsidRPr="00F54795" w:rsidRDefault="00AA2F46" w:rsidP="00677A31">
      <w:pPr>
        <w:pStyle w:val="Heading5"/>
      </w:pPr>
      <w:r>
        <w:t xml:space="preserve">ING114915 (Flamingo) </w:t>
      </w:r>
      <w:r w:rsidR="001F7D25">
        <w:t>t</w:t>
      </w:r>
      <w:r>
        <w:t>reatment-</w:t>
      </w:r>
      <w:r w:rsidR="001F7D25">
        <w:t>n</w:t>
      </w:r>
      <w:r>
        <w:t xml:space="preserve">aive </w:t>
      </w:r>
      <w:r w:rsidR="001F7D25">
        <w:t>s</w:t>
      </w:r>
      <w:r>
        <w:t xml:space="preserve">upportive </w:t>
      </w:r>
      <w:r w:rsidR="001F7D25">
        <w:t>e</w:t>
      </w:r>
      <w:r>
        <w:t xml:space="preserve">fficacy and </w:t>
      </w:r>
      <w:r w:rsidR="001F7D25">
        <w:t>s</w:t>
      </w:r>
      <w:r>
        <w:t>afety</w:t>
      </w:r>
    </w:p>
    <w:p w:rsidR="00AA2F46" w:rsidRDefault="00AA2F46" w:rsidP="00677A31">
      <w:r>
        <w:t xml:space="preserve">Study ING114915 is an ongoing Phase IIIb </w:t>
      </w:r>
      <w:r w:rsidR="00C21C47">
        <w:t>randomise</w:t>
      </w:r>
      <w:r>
        <w:t xml:space="preserve">d, open-label, active-controlled, multicentre, parallel group, non-inferiority study of treatment-naïve adults. Participants were randomly assigned 1:1 to receive DTG 50 mg once daily or DRV+RTV 800 mg+100 mg once daily, each in combination with fixed dose combination ABC/3TC or TDF/FTC. </w:t>
      </w:r>
      <w:r>
        <w:lastRenderedPageBreak/>
        <w:t>Approximately one third of each group were treated with ABC/3TC backbone. Week 48 results were presented.</w:t>
      </w:r>
    </w:p>
    <w:p w:rsidR="00AA2F46" w:rsidRDefault="00AA2F46" w:rsidP="00677A31">
      <w:r>
        <w:t>The primary objective w</w:t>
      </w:r>
      <w:r w:rsidR="00074320">
        <w:t>as to demonstrate non-inferiori</w:t>
      </w:r>
      <w:r>
        <w:t xml:space="preserve">ty of antiviral activity of DTG compared to DRV/RTV over 48 weeks, assessed as the proportion of participants with plasma HIV-1 RNA &lt; 50 c/mL determined by the FDA </w:t>
      </w:r>
      <w:r w:rsidR="00074320">
        <w:t>‘</w:t>
      </w:r>
      <w:r>
        <w:t>Snapshot</w:t>
      </w:r>
      <w:r w:rsidR="00074320">
        <w:t>’</w:t>
      </w:r>
      <w:r>
        <w:t xml:space="preserve"> algorithm. The primary comparison was made at a one-sided 2.5% level of significance. Treatment with DTG was declared non-inferior to treatment with DRV/r if the lower end of a two-sided 95% confidence interval for the difference between the two groups in response rates at Week 48 was above - 12%. The adjusted difference in the proportions was based on a stratified analysis using Cochran-Mantel-</w:t>
      </w:r>
      <w:proofErr w:type="spellStart"/>
      <w:r>
        <w:t>Haenszel</w:t>
      </w:r>
      <w:proofErr w:type="spellEnd"/>
      <w:r>
        <w:t xml:space="preserve"> weights. Superiority was declared if the lower limit of the 95% CI calculated in the </w:t>
      </w:r>
      <w:proofErr w:type="spellStart"/>
      <w:r>
        <w:t>mITT</w:t>
      </w:r>
      <w:proofErr w:type="spellEnd"/>
      <w:r>
        <w:t>-E analysis was above 0%.</w:t>
      </w:r>
    </w:p>
    <w:p w:rsidR="00AA2F46" w:rsidRDefault="00AA2F46" w:rsidP="00677A31">
      <w:r>
        <w:t xml:space="preserve">If the primary </w:t>
      </w:r>
      <w:r w:rsidRPr="00B601D5">
        <w:t>comparison of interest demonstrated non</w:t>
      </w:r>
      <w:r w:rsidR="00074320" w:rsidRPr="00B601D5">
        <w:t>-</w:t>
      </w:r>
      <w:r w:rsidRPr="00B601D5">
        <w:t xml:space="preserve">inferiority for the </w:t>
      </w:r>
      <w:r w:rsidR="00074320" w:rsidRPr="00B601D5">
        <w:t xml:space="preserve">modified Intent-to-Treat </w:t>
      </w:r>
      <w:r w:rsidR="00B601D5" w:rsidRPr="00B601D5">
        <w:t xml:space="preserve">Exposed </w:t>
      </w:r>
      <w:r w:rsidR="00074320" w:rsidRPr="00B601D5">
        <w:t>(</w:t>
      </w:r>
      <w:proofErr w:type="spellStart"/>
      <w:r w:rsidRPr="00B601D5">
        <w:t>mITT</w:t>
      </w:r>
      <w:proofErr w:type="spellEnd"/>
      <w:r w:rsidRPr="00B601D5">
        <w:t>-E</w:t>
      </w:r>
      <w:r w:rsidR="00B601D5" w:rsidRPr="00B601D5">
        <w:t>)</w:t>
      </w:r>
      <w:r w:rsidRPr="00B601D5">
        <w:t xml:space="preserve"> population of DTG compared to DRV/r, then the following comparisons were tested according</w:t>
      </w:r>
      <w:r>
        <w:t xml:space="preserve"> to the gatekeeping procedure described below:</w:t>
      </w:r>
    </w:p>
    <w:p w:rsidR="00AA2F46" w:rsidRDefault="00AA2F46" w:rsidP="00677A31">
      <w:pPr>
        <w:pStyle w:val="Numberbullet0"/>
        <w:numPr>
          <w:ilvl w:val="0"/>
          <w:numId w:val="10"/>
        </w:numPr>
      </w:pPr>
      <w:r>
        <w:t xml:space="preserve">Superiority of </w:t>
      </w:r>
      <w:r w:rsidRPr="00B601D5">
        <w:t xml:space="preserve">DTG to </w:t>
      </w:r>
      <w:proofErr w:type="spellStart"/>
      <w:r w:rsidR="00B601D5" w:rsidRPr="00B601D5">
        <w:t>darunavir</w:t>
      </w:r>
      <w:proofErr w:type="spellEnd"/>
      <w:r w:rsidR="00B601D5" w:rsidRPr="00B601D5">
        <w:t xml:space="preserve">  plus ritonavir (</w:t>
      </w:r>
      <w:r w:rsidRPr="00B601D5">
        <w:t>DRV/r</w:t>
      </w:r>
      <w:r w:rsidR="00B601D5" w:rsidRPr="00B601D5">
        <w:t>)</w:t>
      </w:r>
      <w:r w:rsidRPr="00B601D5">
        <w:t xml:space="preserve"> with respect to change from baseline in LDL cholesterol at Week 48 on the modified</w:t>
      </w:r>
      <w:r w:rsidR="001F7D25">
        <w:t xml:space="preserve"> safety population</w:t>
      </w:r>
    </w:p>
    <w:p w:rsidR="00AA2F46" w:rsidRDefault="00AA2F46" w:rsidP="00677A31">
      <w:pPr>
        <w:pStyle w:val="Numberbullet0"/>
        <w:numPr>
          <w:ilvl w:val="0"/>
          <w:numId w:val="10"/>
        </w:numPr>
      </w:pPr>
      <w:r>
        <w:t>Superiority of DTG to DRV/r with respect to the incidence of Grade 2 or higher in LDL cholesterol lab abnormalities at Week 48 on</w:t>
      </w:r>
      <w:r w:rsidR="001F7D25">
        <w:t xml:space="preserve"> the modified safety population</w:t>
      </w:r>
    </w:p>
    <w:p w:rsidR="00AA2F46" w:rsidRDefault="00AA2F46" w:rsidP="00677A31">
      <w:pPr>
        <w:pStyle w:val="Numberbullet0"/>
        <w:numPr>
          <w:ilvl w:val="0"/>
          <w:numId w:val="10"/>
        </w:numPr>
      </w:pPr>
      <w:r>
        <w:t xml:space="preserve">Superiority of DTG to DRV/r with respect to time to viral suppression (&lt; 50 copies/mL) to 48 Weeks on the </w:t>
      </w:r>
      <w:proofErr w:type="spellStart"/>
      <w:r>
        <w:t>mIT</w:t>
      </w:r>
      <w:r w:rsidR="001F7D25">
        <w:t>T</w:t>
      </w:r>
      <w:proofErr w:type="spellEnd"/>
      <w:r w:rsidR="001F7D25">
        <w:t>-E population</w:t>
      </w:r>
    </w:p>
    <w:p w:rsidR="00AA2F46" w:rsidRDefault="00AA2F46" w:rsidP="00677A31">
      <w:r>
        <w:t>Of 488 patents randomly assigned, 484 received at least 1 dose of study medication. The rates of premature withdrawals were: DTG 7%; DRV+RTV 12%. The proportions withdrawing due to AEs were: DTG 1%, DRV+RTV 4%, and lost to follow-up: DTG 2%, DRV+RTV 4%.</w:t>
      </w:r>
    </w:p>
    <w:p w:rsidR="00AA2F46" w:rsidRDefault="00AA2F46" w:rsidP="00677A31">
      <w:r>
        <w:t>At Week 48, 90% of the DTG group</w:t>
      </w:r>
      <w:r w:rsidR="00C21C47">
        <w:t xml:space="preserve"> versus</w:t>
      </w:r>
      <w:r>
        <w:t xml:space="preserve"> 83% of the DRV+RTV group achieved the primary endpoint. The difference (95% CI) = 7.1% (0.9, 13.2). Superiority of DTG was concluded.</w:t>
      </w:r>
    </w:p>
    <w:p w:rsidR="00AA2F46" w:rsidRDefault="00AA2F46" w:rsidP="00677A31">
      <w:r>
        <w:t xml:space="preserve">Differences in </w:t>
      </w:r>
      <w:proofErr w:type="spellStart"/>
      <w:r>
        <w:t>virologic</w:t>
      </w:r>
      <w:proofErr w:type="spellEnd"/>
      <w:r>
        <w:t xml:space="preserve"> response rate were primarily driven by discontinuations due to AEs (DTG 1%, DRV+RTV 4%) and other reasons (DTG 2%, DRV+RTV 5%). The </w:t>
      </w:r>
      <w:r w:rsidR="00074320">
        <w:t>‘</w:t>
      </w:r>
      <w:r>
        <w:t>Other</w:t>
      </w:r>
      <w:r w:rsidR="00074320">
        <w:t>’</w:t>
      </w:r>
      <w:r>
        <w:t xml:space="preserve"> reasons for discontinuation among the subjects with no </w:t>
      </w:r>
      <w:proofErr w:type="spellStart"/>
      <w:r>
        <w:t>virologic</w:t>
      </w:r>
      <w:proofErr w:type="spellEnd"/>
      <w:r>
        <w:t xml:space="preserve"> data at Week 48 included protocol deviation, lost to follow-up, and withdrawal of consent.</w:t>
      </w:r>
    </w:p>
    <w:p w:rsidR="00AA2F46" w:rsidRDefault="00AA2F46" w:rsidP="00677A31">
      <w:r>
        <w:t>The median time to suppression was 28 days for subjects in the DTG treatment group compared to 85 days in the DRV+RTV treatment group. The difference was statistically significant against the pre-specified threshold of 0.05 (2-sided) (p &lt; 0.001). This was the third step in the pre-specified multiple-testing strategy.</w:t>
      </w:r>
    </w:p>
    <w:p w:rsidR="00AA2F46" w:rsidRDefault="00AA2F46" w:rsidP="00677A31">
      <w:r>
        <w:t xml:space="preserve">PDVF definition was 2 consecutive HIV-1 RNA values &gt; 200 c/mL HIV-1 RNA on or after Week 24. Two participants (&lt;1%) in each treatment group met PDVF. Each had genotype and phenotype results at baseline and time of PDVF. Neither had treatment-emergent resistance INI mutations or phenotypic resistance to DTG or treatment-emergent resistance mutations in reverse transcriptase or protease. One patient in the DTG treatment arm with </w:t>
      </w:r>
      <w:proofErr w:type="spellStart"/>
      <w:r w:rsidR="00B601D5" w:rsidRPr="00B601D5">
        <w:t>tenofovir</w:t>
      </w:r>
      <w:proofErr w:type="spellEnd"/>
      <w:r w:rsidR="00B601D5" w:rsidRPr="00B601D5">
        <w:t xml:space="preserve"> (T</w:t>
      </w:r>
      <w:r w:rsidRPr="00B601D5">
        <w:t>DF</w:t>
      </w:r>
      <w:r w:rsidR="00B601D5" w:rsidRPr="00B601D5">
        <w:t>)</w:t>
      </w:r>
      <w:r w:rsidRPr="00B601D5">
        <w:t>/FTC as the</w:t>
      </w:r>
      <w:r>
        <w:t xml:space="preserve"> NRTI backbone, had phenotypic resistance to </w:t>
      </w:r>
      <w:proofErr w:type="spellStart"/>
      <w:r w:rsidRPr="00B601D5">
        <w:t>nelfinavir</w:t>
      </w:r>
      <w:proofErr w:type="spellEnd"/>
      <w:r w:rsidRPr="00B601D5">
        <w:t xml:space="preserve"> (4.12 </w:t>
      </w:r>
      <w:r w:rsidR="00B601D5" w:rsidRPr="00B601D5">
        <w:t>fold change (</w:t>
      </w:r>
      <w:r w:rsidRPr="00B601D5">
        <w:t>FC</w:t>
      </w:r>
      <w:r w:rsidR="00B601D5" w:rsidRPr="00B601D5">
        <w:t>)</w:t>
      </w:r>
      <w:r w:rsidRPr="00B601D5">
        <w:t>), in</w:t>
      </w:r>
      <w:r>
        <w:t xml:space="preserve"> spite of having no treatment emergent protease resistance mutations.</w:t>
      </w:r>
    </w:p>
    <w:p w:rsidR="00AA2F46" w:rsidRDefault="00AA2F46" w:rsidP="00677A31">
      <w:r>
        <w:t>With respect to safety the most commonly reported AEs in both treatment groups were diarrhoea, nausea, headache, and nasopharyngitis. Diarrhoea and upper respiratory tract infection were more frequently reported among those in the DRV+RTV group and headache was more frequently reported in the DTG group. The majority of events reported in both groups were considered to be of Grade 1 or Grade 2.</w:t>
      </w:r>
    </w:p>
    <w:p w:rsidR="00AA2F46" w:rsidRDefault="00AA2F46" w:rsidP="00677A31">
      <w:r>
        <w:lastRenderedPageBreak/>
        <w:t>The incidences of drug-related events were similar except for diarrhoea which was reported more frequently in the DRV+RTV group. The discrepancy in incidence was largely due to higher numbers in the DRV+RTV group with Grade 1 events.</w:t>
      </w:r>
    </w:p>
    <w:p w:rsidR="00AA2F46" w:rsidRDefault="00AA2F46" w:rsidP="00677A31">
      <w:r>
        <w:t>No deaths were reported. One patient in the DTG treatment group reported an SAE considered by the investigator to be related to IP</w:t>
      </w:r>
      <w:r w:rsidR="00074320">
        <w:t>;</w:t>
      </w:r>
      <w:r>
        <w:t xml:space="preserve"> a suicide attempt. SAEs were individually reported by &lt; 1% of participants. One SAE report of hypersensitivity reaction </w:t>
      </w:r>
      <w:r w:rsidR="00074320">
        <w:t>G</w:t>
      </w:r>
      <w:r>
        <w:t xml:space="preserve">rade 2, disseminated </w:t>
      </w:r>
      <w:proofErr w:type="spellStart"/>
      <w:r>
        <w:t>maculopapular</w:t>
      </w:r>
      <w:proofErr w:type="spellEnd"/>
      <w:r>
        <w:t xml:space="preserve"> rash and erythema without associated symptoms, was suspected by the investigator to be due to ABC; however, the sponsor did not consider the event to be a convincing case of ABC hypersensitivity reaction due to lack of multisystem involvement and considered DRV+RTV to be the likely cause.</w:t>
      </w:r>
    </w:p>
    <w:p w:rsidR="00AA2F46" w:rsidRDefault="00AA2F46" w:rsidP="00677A31">
      <w:r>
        <w:t>The incidence of psychiatric disorders was 19% for the DGT group and 14% for the DRV+RTV group. Insomnia, depression, and anxiety were the most commonly reported. The frequencies were: insomnia DTG 18 (7%); DRV+RTV 15 (6%); anxiety: DTG 10 (4%); DRV+RTV 7 (3%) and depression DTG 11 (5%); DRV+RTV 6 (2%). All other events in this SOC were reported in ≤ 1%. Insomnia was considered drug related for 2% of the DTG group and 1% of the DRV+RTV group. The majority of events in either treatment group were considered of Grade 1 intensity and/or not reasonably drug-related.</w:t>
      </w:r>
    </w:p>
    <w:p w:rsidR="00AA2F46" w:rsidRDefault="00AA2F46" w:rsidP="00677A31">
      <w:pPr>
        <w:pStyle w:val="Heading5"/>
      </w:pPr>
      <w:r>
        <w:t xml:space="preserve">ING111762 </w:t>
      </w:r>
      <w:r w:rsidR="001F7D25">
        <w:t>(Sailing) treatment-experienced</w:t>
      </w:r>
    </w:p>
    <w:p w:rsidR="00AA2F46" w:rsidRDefault="00AA2F46" w:rsidP="00677A31">
      <w:r>
        <w:t xml:space="preserve">ING11762 was a </w:t>
      </w:r>
      <w:r w:rsidR="00074320">
        <w:t>P</w:t>
      </w:r>
      <w:r>
        <w:t xml:space="preserve">hase III </w:t>
      </w:r>
      <w:r w:rsidR="00C21C47">
        <w:t>randomise</w:t>
      </w:r>
      <w:r>
        <w:t>d 1:1, double-blind study of the safety and efficacy of DTG 50 mg once daily versus RAL 400 mg twice daily, both administered with an investigator selected background regimen over 48 weeks in HIV-1 infected, integrase inhibitor-naïve, antiretroviral therapy- experienced adults with HIV-1 RNA &gt; 400 c/mL and documented resistance to two or more different classes of antiretroviral agents but no prior exposure to any integrase inhibitor. In total, 354 were included in the DTG group and 364 in the active control group. As far as could be ascertained, 7 DTG treated patients took ABC/3TC as background. The Week 48 results were reported. The Week 24 results were evaluated for registration of DTG. Week 48 results were presented.</w:t>
      </w:r>
    </w:p>
    <w:p w:rsidR="00AA2F46" w:rsidRDefault="00AA2F46" w:rsidP="00677A31">
      <w:r>
        <w:t>The primary objective was to demonstrate the antiviral efficacy of DTG 50 mg once daily compared to RAL 400 mg twice daily each with a background regimen consisting of one to two fully active single agents The primary endpoint was the proportion of subjects with HIV-1 RNA &lt; 50 c/mL to Week 48 using a Missing, Switch, or Discontinuation = Failure (MSDF) Snapshot</w:t>
      </w:r>
      <w:r w:rsidR="00074320">
        <w:t>’</w:t>
      </w:r>
      <w:r>
        <w:t xml:space="preserve"> algorithm. Non-inferiority of DTG 50 mg and RAL was concluded if the lower bound of a two-sided 95% CI for the difference in proportions (DTG - RAL) was greater than -12%. Superiority was declared if the lower bound of the 95% confidence interval calculated in the </w:t>
      </w:r>
      <w:proofErr w:type="spellStart"/>
      <w:r>
        <w:t>mITT</w:t>
      </w:r>
      <w:proofErr w:type="spellEnd"/>
      <w:r>
        <w:t>-E analysis was above 0%.</w:t>
      </w:r>
    </w:p>
    <w:p w:rsidR="00AA2F46" w:rsidRDefault="00AA2F46" w:rsidP="00677A31">
      <w:r>
        <w:t>At Week 48, 71% of subjects receiving DTG and 64% of subjects receiving RAL achieved the primary endpoint at Week 48. The difference, DTG – RAL, (95% CI) was 7.2 (0.3, 14.0). The pre-specified basis for concluding non-inferiority and superiority were met.</w:t>
      </w:r>
    </w:p>
    <w:p w:rsidR="00AA2F46" w:rsidRDefault="00AA2F46" w:rsidP="00677A31">
      <w:r>
        <w:t>PDVF was defined as follows.</w:t>
      </w:r>
    </w:p>
    <w:p w:rsidR="00AA2F46" w:rsidRPr="00074320" w:rsidRDefault="00AA2F46" w:rsidP="00677A31">
      <w:pPr>
        <w:pStyle w:val="ListBullet"/>
      </w:pPr>
      <w:proofErr w:type="spellStart"/>
      <w:r w:rsidRPr="00074320">
        <w:t>Virologic</w:t>
      </w:r>
      <w:proofErr w:type="spellEnd"/>
      <w:r w:rsidRPr="00074320">
        <w:t xml:space="preserve"> Non-response</w:t>
      </w:r>
    </w:p>
    <w:p w:rsidR="00AA2F46" w:rsidRPr="00074320" w:rsidRDefault="00AA2F46" w:rsidP="00677A31">
      <w:pPr>
        <w:pStyle w:val="ListBullet2"/>
      </w:pPr>
      <w:r w:rsidRPr="00074320">
        <w:t>A decrease in plasma HIV-1 RNA of less than 1 log10 c/mL by Week 16, with subsequent confirmation, unless plasma HIV-1 RNA is &lt;400 c/mL.</w:t>
      </w:r>
    </w:p>
    <w:p w:rsidR="00AA2F46" w:rsidRPr="00074320" w:rsidRDefault="00AA2F46" w:rsidP="00677A31">
      <w:pPr>
        <w:pStyle w:val="ListBullet2"/>
      </w:pPr>
      <w:r w:rsidRPr="00074320">
        <w:t>Confirmed plasma HIV-1 RNA levels ≥ 400 c/mL on or after Week 24.</w:t>
      </w:r>
    </w:p>
    <w:p w:rsidR="00AA2F46" w:rsidRPr="00074320" w:rsidRDefault="00AA2F46" w:rsidP="00677A31">
      <w:pPr>
        <w:pStyle w:val="ListBullet"/>
      </w:pPr>
      <w:proofErr w:type="spellStart"/>
      <w:r w:rsidRPr="00074320">
        <w:t>Virologic</w:t>
      </w:r>
      <w:proofErr w:type="spellEnd"/>
      <w:r w:rsidRPr="00074320">
        <w:t xml:space="preserve"> Rebound</w:t>
      </w:r>
    </w:p>
    <w:p w:rsidR="00AA2F46" w:rsidRPr="00074320" w:rsidRDefault="00AA2F46" w:rsidP="00677A31">
      <w:pPr>
        <w:pStyle w:val="ListBullet2"/>
      </w:pPr>
      <w:r w:rsidRPr="00074320">
        <w:t>Confirmed rebound in plasma HIV-1 RNA levels to ≥ 400 c/mL after prior confirmed suppression to &lt; 400 c/mL.</w:t>
      </w:r>
    </w:p>
    <w:p w:rsidR="00AA2F46" w:rsidRPr="00074320" w:rsidRDefault="00AA2F46" w:rsidP="00677A31">
      <w:pPr>
        <w:pStyle w:val="ListBullet2"/>
      </w:pPr>
      <w:r w:rsidRPr="00074320">
        <w:t>Confirmed plasma HIV-1 RNA levels &gt;1 log10 c/mL above the nadir value where nadir is the lowest HIV-1 RNA value ≥ 400 c/mL.</w:t>
      </w:r>
    </w:p>
    <w:p w:rsidR="00AA2F46" w:rsidRDefault="00AA2F46" w:rsidP="00677A31">
      <w:r>
        <w:lastRenderedPageBreak/>
        <w:t>Cumulative PDVF at Week 48 was reported for 21 (6%) of the DTG group and 45 (12%) of the RAL group: 1% receiving DTG and 5% receiving RAL had evidence of treatment emergent genotypic or phenotypic INI resistance at the time of PDVF by Week 48 p</w:t>
      </w:r>
      <w:r w:rsidR="00E873CA">
        <w:t xml:space="preserve"> </w:t>
      </w:r>
      <w:r>
        <w:t>= 0.003, based on a pre-specified analysis of this secondary endpoint.</w:t>
      </w:r>
    </w:p>
    <w:p w:rsidR="00AA2F46" w:rsidRDefault="00AA2F46" w:rsidP="00677A31">
      <w:r>
        <w:t>At Week 48, 17 participants experiencing PDVF in the DTG arm had matched Baseline and PDVF IN genotypic resistance testing results available. Integrase substitutions emerged at the RAL associated T97, E138, and polymorphic V151 positions, and at R263. In the RAL arm 38 patients who experienced PDVF had matched Baseline and PDVF IN genotypic resistance testing results available. Integrase substitutions emerged at positions commonly observed during RAL therapy including primary resistance mutations at Y134, Q148, and N155 as well as associated secondary mutations</w:t>
      </w:r>
      <w:r w:rsidR="00074320">
        <w:t>.</w:t>
      </w:r>
    </w:p>
    <w:p w:rsidR="00AA2F46" w:rsidRDefault="00AA2F46" w:rsidP="00677A31">
      <w:r>
        <w:t>A unique IN substitution (R263K or R263R/K mixture) conferring little change in susceptibility to DTG and RAL was observed in 2 patients with treatment emergent resistance on DTG. No DTG subjects had treatment-emergent INI phenotypic resistance at PDVF. Thirteen patients receiving RAL had evidence of treatment-emergent INI phenotypic resistance to RAL at PDVF</w:t>
      </w:r>
      <w:r w:rsidR="00D33F1A">
        <w:t>.</w:t>
      </w:r>
    </w:p>
    <w:p w:rsidR="00AA2F46" w:rsidRDefault="00AA2F46" w:rsidP="00677A31">
      <w:r>
        <w:t>With respect to safety, the most common AES were diarrhoea, upper respiratory tract infection, headache, nausea, cough, v</w:t>
      </w:r>
      <w:r w:rsidR="00362C3E">
        <w:t>omiting, rash. The most common G</w:t>
      </w:r>
      <w:r>
        <w:t xml:space="preserve">rade 2 </w:t>
      </w:r>
      <w:r w:rsidR="00362C3E">
        <w:t xml:space="preserve">to </w:t>
      </w:r>
      <w:r>
        <w:t>4 drug related AEs were diarrhoea, nausea, headache, and abdominal pain. AEs leading to discontinuation of treatment occurred in less than one percent of patients in each group.</w:t>
      </w:r>
    </w:p>
    <w:p w:rsidR="00AA2F46" w:rsidRDefault="00AA2F46" w:rsidP="00677A31">
      <w:r>
        <w:t xml:space="preserve">Six participants in the DTG group were identified as having IRIS or possible IRIS. Five of these six were considered to have hepatitis B and/or hepatitis C </w:t>
      </w:r>
      <w:r w:rsidR="00B601D5">
        <w:t xml:space="preserve">Immune reconstitution inflammatory </w:t>
      </w:r>
      <w:r w:rsidR="00B601D5" w:rsidRPr="00B601D5">
        <w:t>syndrome (</w:t>
      </w:r>
      <w:r w:rsidRPr="00B601D5">
        <w:t>IRIS</w:t>
      </w:r>
      <w:r w:rsidR="00B601D5" w:rsidRPr="00B601D5">
        <w:t>)</w:t>
      </w:r>
      <w:r w:rsidRPr="00B601D5">
        <w:t>.</w:t>
      </w:r>
    </w:p>
    <w:p w:rsidR="00E2055F" w:rsidRDefault="00CB5329" w:rsidP="00677A31">
      <w:pPr>
        <w:pStyle w:val="Heading3"/>
        <w:rPr>
          <w:rFonts w:eastAsia="Cambria"/>
        </w:rPr>
      </w:pPr>
      <w:bookmarkStart w:id="86" w:name="_Toc423434300"/>
      <w:r w:rsidRPr="00605AD4">
        <w:rPr>
          <w:rFonts w:eastAsia="Cambria"/>
        </w:rPr>
        <w:t xml:space="preserve">Clinical </w:t>
      </w:r>
      <w:r w:rsidR="001F7D25">
        <w:rPr>
          <w:rFonts w:eastAsia="Cambria"/>
        </w:rPr>
        <w:t>q</w:t>
      </w:r>
      <w:r w:rsidRPr="00605AD4">
        <w:rPr>
          <w:rFonts w:eastAsia="Cambria"/>
        </w:rPr>
        <w:t>uestions</w:t>
      </w:r>
      <w:bookmarkEnd w:id="86"/>
    </w:p>
    <w:p w:rsidR="00E2055F" w:rsidRDefault="00E2055F" w:rsidP="00677A31">
      <w:pPr>
        <w:pStyle w:val="Numberbullet0"/>
        <w:numPr>
          <w:ilvl w:val="0"/>
          <w:numId w:val="14"/>
        </w:numPr>
      </w:pPr>
      <w:r>
        <w:t xml:space="preserve">The FDC is a large, 22 mm x 11 mm, film coated tablet. The depth and circumference have not been stated in the clinical component of the dossier. The </w:t>
      </w:r>
      <w:r w:rsidR="009862C1">
        <w:t>s</w:t>
      </w:r>
      <w:r>
        <w:t>ponsor is requested to supply the depth and circumference measurements.</w:t>
      </w:r>
    </w:p>
    <w:p w:rsidR="00E2055F" w:rsidRDefault="00E2055F" w:rsidP="00677A31">
      <w:pPr>
        <w:pStyle w:val="Numberbullet2"/>
      </w:pPr>
      <w:r>
        <w:t xml:space="preserve">What are the dimensions of </w:t>
      </w:r>
      <w:proofErr w:type="spellStart"/>
      <w:r>
        <w:t>Kivexa</w:t>
      </w:r>
      <w:proofErr w:type="spellEnd"/>
      <w:r>
        <w:t xml:space="preserve"> tablets and </w:t>
      </w:r>
      <w:proofErr w:type="spellStart"/>
      <w:r>
        <w:t>Tivicay</w:t>
      </w:r>
      <w:proofErr w:type="spellEnd"/>
      <w:r>
        <w:t xml:space="preserve"> tablets?</w:t>
      </w:r>
    </w:p>
    <w:p w:rsidR="00E2055F" w:rsidRDefault="00E2055F" w:rsidP="00677A31">
      <w:pPr>
        <w:pStyle w:val="Numberbullet2"/>
      </w:pPr>
      <w:r>
        <w:t xml:space="preserve">Does the </w:t>
      </w:r>
      <w:proofErr w:type="spellStart"/>
      <w:r>
        <w:t>Triumeq</w:t>
      </w:r>
      <w:proofErr w:type="spellEnd"/>
      <w:r>
        <w:t xml:space="preserve"> tablet </w:t>
      </w:r>
      <w:r w:rsidR="001F7D25">
        <w:t>swell in the presence of water?</w:t>
      </w:r>
    </w:p>
    <w:p w:rsidR="00E2055F" w:rsidRDefault="00E2055F" w:rsidP="00677A31">
      <w:pPr>
        <w:pStyle w:val="Numberbullet2"/>
      </w:pPr>
      <w:r>
        <w:t xml:space="preserve">The only submitted study in which the FDC was administered was ING114580, in which 54 healthy adults were administered 1 tablets and </w:t>
      </w:r>
      <w:r w:rsidR="001F7D25">
        <w:t>12 were administered 2 tablets.</w:t>
      </w:r>
    </w:p>
    <w:p w:rsidR="00E2055F" w:rsidRDefault="00E2055F" w:rsidP="00677A31">
      <w:r>
        <w:t>In general, many people find it hard to swallow big pills</w:t>
      </w:r>
      <w:r>
        <w:rPr>
          <w:rStyle w:val="FootnoteReference"/>
        </w:rPr>
        <w:footnoteReference w:id="11"/>
      </w:r>
      <w:r>
        <w:t xml:space="preserve">, and as HIV infected patients are prone to dysphagia which may be due to a number of factors such as candida, HSV and CMV infections, </w:t>
      </w:r>
      <w:proofErr w:type="spellStart"/>
      <w:r>
        <w:t>aphthous</w:t>
      </w:r>
      <w:proofErr w:type="spellEnd"/>
      <w:r>
        <w:t xml:space="preserve"> ulceration, </w:t>
      </w:r>
      <w:proofErr w:type="spellStart"/>
      <w:r>
        <w:t>gastroesophageal</w:t>
      </w:r>
      <w:proofErr w:type="spellEnd"/>
      <w:r>
        <w:t xml:space="preserve"> reflux, HIV associated altered oesophageal motility and function, it is possible that the benefits of once daily dosing may be countered by lack of compliance due to difficulty in swallowing the large tablets. Acknowledging the literature references on the benefits of reduced tablet loads included in the dossier, is there direct evidence to support the contention that the FDC DTG/ABC/3TC tablet is readily swallowed by patients with HIV-1 infection, with resultant increase in compliance?</w:t>
      </w:r>
    </w:p>
    <w:p w:rsidR="00E2055F" w:rsidRDefault="00E2055F" w:rsidP="00677A31">
      <w:pPr>
        <w:pStyle w:val="Heading4"/>
      </w:pPr>
      <w:bookmarkStart w:id="87" w:name="_Toc389654619"/>
      <w:bookmarkStart w:id="88" w:name="_Ref390174207"/>
      <w:bookmarkStart w:id="89" w:name="_Toc391638705"/>
      <w:r>
        <w:lastRenderedPageBreak/>
        <w:t xml:space="preserve">Pivotal </w:t>
      </w:r>
      <w:r w:rsidR="001F7D25">
        <w:t>p</w:t>
      </w:r>
      <w:r>
        <w:t>harmacokinetic</w:t>
      </w:r>
      <w:bookmarkEnd w:id="87"/>
      <w:r>
        <w:t xml:space="preserve"> </w:t>
      </w:r>
      <w:r w:rsidR="001F7D25">
        <w:t>s</w:t>
      </w:r>
      <w:r>
        <w:t>tudy ING114580</w:t>
      </w:r>
      <w:bookmarkEnd w:id="88"/>
      <w:bookmarkEnd w:id="89"/>
    </w:p>
    <w:p w:rsidR="00E2055F" w:rsidRDefault="00E2055F" w:rsidP="00677A31">
      <w:pPr>
        <w:pStyle w:val="Numberbullet0"/>
      </w:pPr>
      <w:r>
        <w:t xml:space="preserve">With respect to </w:t>
      </w:r>
      <w:r w:rsidR="009862C1">
        <w:t>Table 7 (see Attachment 2)</w:t>
      </w:r>
      <w:r>
        <w:t>, please confirm that the values in the column headed ABC/3TC are for either ABC or 3TC administered as single entities.</w:t>
      </w:r>
    </w:p>
    <w:p w:rsidR="00E2055F" w:rsidRDefault="00E2055F" w:rsidP="009862C1">
      <w:pPr>
        <w:spacing w:before="60"/>
        <w:ind w:left="426"/>
      </w:pPr>
      <w:r>
        <w:t>Assuming this is so, and taking into consideration problems inherent in use of historical comparisons, ABC and 3TC AUC values appear similar but it is likely that Cmax for both ABC and 3TC would not meet bioequivalence limits had the comparison been done contemporaneously.</w:t>
      </w:r>
    </w:p>
    <w:p w:rsidR="00E2055F" w:rsidRDefault="00E2055F" w:rsidP="009862C1">
      <w:pPr>
        <w:spacing w:before="60"/>
        <w:ind w:left="426"/>
      </w:pPr>
      <w:r>
        <w:t xml:space="preserve">As DTG has the theoretical capacity to increase 3TC levels based on </w:t>
      </w:r>
      <w:r w:rsidRPr="00A275B8">
        <w:rPr>
          <w:i/>
        </w:rPr>
        <w:t>in vitro</w:t>
      </w:r>
      <w:r>
        <w:t xml:space="preserve"> inhibition of OCT2, it is surprising that the FDC Cmax level of 3TC shown in </w:t>
      </w:r>
      <w:r w:rsidR="009862C1">
        <w:t>Table 7</w:t>
      </w:r>
      <w:r>
        <w:t xml:space="preserve"> is approximately 75% of the single active point estimate. Please comment.</w:t>
      </w:r>
    </w:p>
    <w:p w:rsidR="00E2055F" w:rsidRDefault="00E2055F" w:rsidP="009862C1">
      <w:pPr>
        <w:spacing w:before="60"/>
        <w:ind w:left="426"/>
      </w:pPr>
      <w:r>
        <w:t>No Cmin data has been supplied.  Please submit Cmin data for Study InG114580 if available.</w:t>
      </w:r>
    </w:p>
    <w:p w:rsidR="00E2055F" w:rsidRDefault="00E2055F" w:rsidP="00677A31">
      <w:pPr>
        <w:pStyle w:val="Numberbullet0"/>
      </w:pPr>
      <w:r>
        <w:t xml:space="preserve">It appears possible that a clinically relevant drug-drug interaction between DTG and 3TC may exist based on renal transporter OCT2 and possibly other renal transporters such as OAT1, MATE1 and MATE2-K based on </w:t>
      </w:r>
      <w:r w:rsidRPr="007F4A2A">
        <w:rPr>
          <w:i/>
        </w:rPr>
        <w:t>in vitro</w:t>
      </w:r>
      <w:r>
        <w:rPr>
          <w:i/>
        </w:rPr>
        <w:t xml:space="preserve"> </w:t>
      </w:r>
      <w:r>
        <w:t>studies. It is considered unproven that such an interaction is unlikely. A formal interaction study between DTG and 3TC, including assessment of intracellular levels of lamivudine is recommended.</w:t>
      </w:r>
    </w:p>
    <w:p w:rsidR="00E2055F" w:rsidRPr="001D44E2" w:rsidRDefault="00E2055F" w:rsidP="00677A31">
      <w:pPr>
        <w:pStyle w:val="Heading4"/>
      </w:pPr>
      <w:bookmarkStart w:id="90" w:name="_Toc391638706"/>
      <w:proofErr w:type="spellStart"/>
      <w:r>
        <w:t>Pharmacodynamic</w:t>
      </w:r>
      <w:proofErr w:type="spellEnd"/>
      <w:r>
        <w:t xml:space="preserve"> </w:t>
      </w:r>
      <w:r w:rsidR="001F7D25">
        <w:t>s</w:t>
      </w:r>
      <w:r>
        <w:t>tudy ING116070</w:t>
      </w:r>
      <w:bookmarkEnd w:id="90"/>
      <w:r w:rsidRPr="001D44E2">
        <w:t xml:space="preserve"> </w:t>
      </w:r>
    </w:p>
    <w:p w:rsidR="00E2055F" w:rsidRDefault="00E2055F" w:rsidP="00677A31">
      <w:pPr>
        <w:pStyle w:val="Numberbullet0"/>
      </w:pPr>
      <w:r>
        <w:t xml:space="preserve">The </w:t>
      </w:r>
      <w:r w:rsidR="009862C1">
        <w:t>s</w:t>
      </w:r>
      <w:r>
        <w:t xml:space="preserve">ponsor is requested to supply details of the protocol deviations which the evaluator could not locate in the </w:t>
      </w:r>
      <w:r w:rsidR="00D25BDD">
        <w:t>clinical</w:t>
      </w:r>
      <w:r w:rsidR="009862C1">
        <w:t xml:space="preserve"> study report (</w:t>
      </w:r>
      <w:r>
        <w:t>CSR</w:t>
      </w:r>
      <w:r w:rsidR="009862C1">
        <w:t>)</w:t>
      </w:r>
      <w:r>
        <w:t>.</w:t>
      </w:r>
    </w:p>
    <w:p w:rsidR="00E2055F" w:rsidRPr="00A02B92" w:rsidRDefault="00E2055F" w:rsidP="00677A31">
      <w:pPr>
        <w:pStyle w:val="Heading4"/>
      </w:pPr>
      <w:bookmarkStart w:id="91" w:name="_Toc389654621"/>
      <w:bookmarkStart w:id="92" w:name="_Toc391638707"/>
      <w:r>
        <w:t xml:space="preserve">Pivotal </w:t>
      </w:r>
      <w:r w:rsidR="001F7D25">
        <w:t>s</w:t>
      </w:r>
      <w:r>
        <w:t xml:space="preserve">tudy ING114469 </w:t>
      </w:r>
      <w:r w:rsidR="001F7D25">
        <w:t>t</w:t>
      </w:r>
      <w:r>
        <w:t>reatment-</w:t>
      </w:r>
      <w:r w:rsidR="001F7D25">
        <w:t>n</w:t>
      </w:r>
      <w:r>
        <w:t xml:space="preserve">aïve - </w:t>
      </w:r>
      <w:r w:rsidR="001F7D25">
        <w:t>e</w:t>
      </w:r>
      <w:r>
        <w:t>fficacy</w:t>
      </w:r>
      <w:bookmarkEnd w:id="91"/>
      <w:bookmarkEnd w:id="92"/>
    </w:p>
    <w:p w:rsidR="00E2055F" w:rsidRDefault="00E2055F" w:rsidP="00677A31">
      <w:pPr>
        <w:pStyle w:val="Numberbullet0"/>
      </w:pPr>
      <w:r>
        <w:t xml:space="preserve">Justification is required for the 95% confidence interval and p-value used in assessment of </w:t>
      </w:r>
      <w:proofErr w:type="spellStart"/>
      <w:r>
        <w:t>virologic</w:t>
      </w:r>
      <w:proofErr w:type="spellEnd"/>
      <w:r>
        <w:t xml:space="preserve"> suppression at Week 96. The proposed text includes the statement that the difference between treatment groups was significant; however, multiplicity was not accounted for after Week 48.</w:t>
      </w:r>
    </w:p>
    <w:p w:rsidR="00E2055F" w:rsidRDefault="00E2055F" w:rsidP="00677A31">
      <w:pPr>
        <w:pStyle w:val="Numberbullet0"/>
      </w:pPr>
      <w:r>
        <w:t xml:space="preserve">The applicant is requested to comment on the notion that the Snapshot analysis includes a composite endpoint. The surrogate endpoint of HIV-1 RNA &lt; 50 c/mL is accepted as an important efficacy endpoint. The decision to discontinue treatment due to adverse event may be subjective and open to bias, particularly when the study is </w:t>
      </w:r>
      <w:proofErr w:type="spellStart"/>
      <w:r>
        <w:t>unblinded</w:t>
      </w:r>
      <w:proofErr w:type="spellEnd"/>
      <w:r>
        <w:t xml:space="preserve"> (</w:t>
      </w:r>
      <w:r w:rsidR="009862C1">
        <w:t>for example</w:t>
      </w:r>
      <w:r>
        <w:t xml:space="preserve"> ING114915), or when the nature of the adverse events lead to identification of the treatment in a blinded study. Discontinuation criteria are not all clinically relevant and neither is a missing laboratory value at a specified time point. The inclusion of results of the Snapshot analysis in the Product Information, qualified as HIV-1 RNA &lt; 50 c/mL, is not considered accurate. The result based in &lt; 50 c/mL is considered more appropriately that of the Kaplan Meier ERDF analysis (</w:t>
      </w:r>
      <w:r w:rsidR="009862C1">
        <w:t>Table 26</w:t>
      </w:r>
      <w:r>
        <w:t>).</w:t>
      </w:r>
    </w:p>
    <w:p w:rsidR="00E2055F" w:rsidRDefault="00E2055F" w:rsidP="00677A31">
      <w:pPr>
        <w:pStyle w:val="Numberbullet0"/>
      </w:pPr>
      <w:r>
        <w:t xml:space="preserve">Figure 3 Study Accountability page 50 of ING114467 Report </w:t>
      </w:r>
      <w:r w:rsidR="009862C1">
        <w:t xml:space="preserve">[in CSR] </w:t>
      </w:r>
      <w:r>
        <w:t>is illegible. Please provide a legible copy.</w:t>
      </w:r>
    </w:p>
    <w:p w:rsidR="00E2055F" w:rsidRDefault="00E2055F" w:rsidP="00677A31">
      <w:pPr>
        <w:pStyle w:val="Numberbullet0"/>
      </w:pPr>
      <w:r>
        <w:t>With regard to Figure 5 of the CSR (</w:t>
      </w:r>
      <w:r w:rsidR="009862C1">
        <w:t>Figure 2</w:t>
      </w:r>
      <w:r>
        <w:t xml:space="preserve"> </w:t>
      </w:r>
      <w:r>
        <w:fldChar w:fldCharType="begin"/>
      </w:r>
      <w:r>
        <w:instrText xml:space="preserve"> REF _Ref384119451 \p \h </w:instrText>
      </w:r>
      <w:r w:rsidR="009862C1">
        <w:instrText xml:space="preserve"> \* MERGEFORMAT </w:instrText>
      </w:r>
      <w:r>
        <w:fldChar w:fldCharType="separate"/>
      </w:r>
      <w:r w:rsidR="00D25BDD">
        <w:t>below</w:t>
      </w:r>
      <w:r>
        <w:fldChar w:fldCharType="end"/>
      </w:r>
      <w:r>
        <w:t>) the y-axis labelling is partially illegible. The figure purports to show that results favour DTG + ABC/3TC, however these results are considered exploratory. Overlapping of confidence intervals is not accepted as proof of similarity, especially in the presence of very wide confidence intervals. Sub-analyses are considered the basis for further specific investigation.</w:t>
      </w:r>
    </w:p>
    <w:p w:rsidR="00E2055F" w:rsidRDefault="00E2055F" w:rsidP="00677A31">
      <w:pPr>
        <w:pStyle w:val="FigureTitle"/>
      </w:pPr>
      <w:bookmarkStart w:id="93" w:name="_Ref384119448"/>
      <w:bookmarkStart w:id="94" w:name="_Ref384119451"/>
      <w:r>
        <w:lastRenderedPageBreak/>
        <w:t xml:space="preserve">Figure </w:t>
      </w:r>
      <w:r w:rsidR="009862C1">
        <w:t>2:</w:t>
      </w:r>
      <w:bookmarkEnd w:id="93"/>
      <w:r>
        <w:t xml:space="preserve"> Difference in Proportion of Responders and 95% CI by Baseline Viral Load Strata (DTG + ABC/3TC - EFV/TDF/</w:t>
      </w:r>
      <w:bookmarkEnd w:id="94"/>
      <w:r>
        <w:t>FTC)</w:t>
      </w:r>
    </w:p>
    <w:p w:rsidR="00E2055F" w:rsidRDefault="00E2055F" w:rsidP="00677A31">
      <w:r>
        <w:rPr>
          <w:noProof/>
          <w:lang w:eastAsia="en-AU"/>
        </w:rPr>
        <w:drawing>
          <wp:inline distT="0" distB="0" distL="0" distR="0" wp14:anchorId="7BD7FCFA" wp14:editId="2811081F">
            <wp:extent cx="3999571" cy="1657815"/>
            <wp:effectExtent l="0" t="0" r="1270" b="0"/>
            <wp:docPr id="33" name="Picture 33" descr="Figure 2: Difference in Proportion of Responders and 95% CI by Baseline Viral Load Strata (DTG + ABC/3TC - EFV/TDF/F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rotWithShape="1">
                    <a:blip r:embed="rId20">
                      <a:extLst>
                        <a:ext uri="{28A0092B-C50C-407E-A947-70E740481C1C}">
                          <a14:useLocalDpi xmlns:a14="http://schemas.microsoft.com/office/drawing/2010/main" val="0"/>
                        </a:ext>
                      </a:extLst>
                    </a:blip>
                    <a:srcRect b="2965"/>
                    <a:stretch/>
                  </pic:blipFill>
                  <pic:spPr bwMode="auto">
                    <a:xfrm>
                      <a:off x="0" y="0"/>
                      <a:ext cx="4011219" cy="1662643"/>
                    </a:xfrm>
                    <a:prstGeom prst="rect">
                      <a:avLst/>
                    </a:prstGeom>
                    <a:noFill/>
                    <a:ln>
                      <a:noFill/>
                    </a:ln>
                    <a:extLst>
                      <a:ext uri="{53640926-AAD7-44D8-BBD7-CCE9431645EC}">
                        <a14:shadowObscured xmlns:a14="http://schemas.microsoft.com/office/drawing/2010/main"/>
                      </a:ext>
                    </a:extLst>
                  </pic:spPr>
                </pic:pic>
              </a:graphicData>
            </a:graphic>
          </wp:inline>
        </w:drawing>
      </w:r>
    </w:p>
    <w:p w:rsidR="00E2055F" w:rsidRDefault="00E2055F" w:rsidP="002917A5">
      <w:pPr>
        <w:pStyle w:val="Heading4"/>
      </w:pPr>
      <w:bookmarkStart w:id="95" w:name="_Toc391638708"/>
      <w:r>
        <w:t xml:space="preserve">Pivotal </w:t>
      </w:r>
      <w:r w:rsidR="001F7D25">
        <w:t>s</w:t>
      </w:r>
      <w:r>
        <w:t xml:space="preserve">tudy ING113086 </w:t>
      </w:r>
      <w:r w:rsidR="001F7D25">
        <w:t>t</w:t>
      </w:r>
      <w:r>
        <w:t xml:space="preserve">reatment-naive – </w:t>
      </w:r>
      <w:r w:rsidR="001F7D25">
        <w:t>e</w:t>
      </w:r>
      <w:r>
        <w:t>fficacy</w:t>
      </w:r>
      <w:bookmarkEnd w:id="95"/>
    </w:p>
    <w:p w:rsidR="00E2055F" w:rsidRDefault="00E2055F" w:rsidP="00677A31">
      <w:pPr>
        <w:pStyle w:val="Numberbullet0"/>
      </w:pPr>
      <w:r>
        <w:t>How many patients were enrolled in the Russian site, the site at which 3 participants became pregnant? Were there concerns about investigator oversight at this site?</w:t>
      </w:r>
    </w:p>
    <w:p w:rsidR="00E2055F" w:rsidRDefault="00E2055F" w:rsidP="00677A31">
      <w:pPr>
        <w:pStyle w:val="Numberbullet0"/>
      </w:pPr>
      <w:r>
        <w:t>How many participants were enrolled in each treatment group in Russia? What proportion of participants in Russia was treated with ABC/3TC? What proportion of the overall study numbers treated with ABC/3TC were enrolled in Russian sites? If TDF/FTC cannot be used in Russia, it seems likely that ABC/3TC was used exclusively and this may have had the potential to bias the results due to differing treatment protocols.</w:t>
      </w:r>
    </w:p>
    <w:p w:rsidR="00E2055F" w:rsidRDefault="00E2055F" w:rsidP="00677A31">
      <w:pPr>
        <w:pStyle w:val="Numberbullet0"/>
      </w:pPr>
      <w:r>
        <w:t>Please provide a legib</w:t>
      </w:r>
      <w:r w:rsidR="00D33F1A">
        <w:t>le copy of the study schematic.</w:t>
      </w:r>
    </w:p>
    <w:p w:rsidR="00E2055F" w:rsidRDefault="00E2055F" w:rsidP="00677A31">
      <w:pPr>
        <w:pStyle w:val="Heading4"/>
      </w:pPr>
      <w:bookmarkStart w:id="96" w:name="_Toc391638709"/>
      <w:r>
        <w:t xml:space="preserve">Supportive </w:t>
      </w:r>
      <w:r w:rsidR="001F7D25">
        <w:t>s</w:t>
      </w:r>
      <w:r>
        <w:t xml:space="preserve">tudy ING114615 </w:t>
      </w:r>
      <w:r w:rsidR="001F7D25">
        <w:t>t</w:t>
      </w:r>
      <w:r>
        <w:t>reatment-</w:t>
      </w:r>
      <w:r w:rsidR="001F7D25">
        <w:t>n</w:t>
      </w:r>
      <w:r>
        <w:t xml:space="preserve">aïve - </w:t>
      </w:r>
      <w:r w:rsidR="001F7D25">
        <w:t>e</w:t>
      </w:r>
      <w:r>
        <w:t>fficacy</w:t>
      </w:r>
      <w:bookmarkEnd w:id="96"/>
    </w:p>
    <w:p w:rsidR="00E2055F" w:rsidRDefault="00E2055F" w:rsidP="00677A31">
      <w:pPr>
        <w:pStyle w:val="Numberbullet0"/>
      </w:pPr>
      <w:r>
        <w:t xml:space="preserve">The Kaplan Meier </w:t>
      </w:r>
      <w:r w:rsidR="002917A5">
        <w:t>Figure</w:t>
      </w:r>
      <w:r>
        <w:t xml:space="preserve"> is missing the numbers assessed at each time point. Please provide a figure with numbers of participants contributing.</w:t>
      </w:r>
    </w:p>
    <w:p w:rsidR="00E2055F" w:rsidRDefault="00E2055F" w:rsidP="00677A31">
      <w:pPr>
        <w:pStyle w:val="Heading4"/>
      </w:pPr>
      <w:bookmarkStart w:id="97" w:name="_Toc391638710"/>
      <w:r>
        <w:t xml:space="preserve">Study ING111768 </w:t>
      </w:r>
      <w:r w:rsidR="001F7D25">
        <w:t>t</w:t>
      </w:r>
      <w:r>
        <w:t>reatment-</w:t>
      </w:r>
      <w:r w:rsidR="001F7D25">
        <w:t>e</w:t>
      </w:r>
      <w:r>
        <w:t xml:space="preserve">xperienced - </w:t>
      </w:r>
      <w:r w:rsidR="001F7D25">
        <w:t>e</w:t>
      </w:r>
      <w:r>
        <w:t>fficacy</w:t>
      </w:r>
      <w:bookmarkEnd w:id="97"/>
    </w:p>
    <w:p w:rsidR="00E2055F" w:rsidRDefault="00E2055F" w:rsidP="00677A31">
      <w:pPr>
        <w:pStyle w:val="Numberbullet0"/>
      </w:pPr>
      <w:r>
        <w:t xml:space="preserve">The </w:t>
      </w:r>
      <w:r w:rsidR="002917A5">
        <w:t>s</w:t>
      </w:r>
      <w:r>
        <w:t xml:space="preserve">ponsor is requested to justify inclusion of this study in the </w:t>
      </w:r>
      <w:proofErr w:type="spellStart"/>
      <w:r>
        <w:t>Triumeq</w:t>
      </w:r>
      <w:proofErr w:type="spellEnd"/>
      <w:r>
        <w:t xml:space="preserve"> Product information when so few participants were treated with the active components of </w:t>
      </w:r>
      <w:proofErr w:type="spellStart"/>
      <w:r>
        <w:t>Triumeq</w:t>
      </w:r>
      <w:proofErr w:type="spellEnd"/>
      <w:r>
        <w:t>.</w:t>
      </w:r>
    </w:p>
    <w:p w:rsidR="00E2055F" w:rsidRDefault="00E2055F" w:rsidP="00677A31">
      <w:pPr>
        <w:pStyle w:val="Heading4"/>
      </w:pPr>
      <w:bookmarkStart w:id="98" w:name="_Toc391638711"/>
      <w:r>
        <w:t xml:space="preserve">Pivotal </w:t>
      </w:r>
      <w:r w:rsidR="001F7D25">
        <w:t>s</w:t>
      </w:r>
      <w:r>
        <w:t xml:space="preserve">tudy ING114476 – </w:t>
      </w:r>
      <w:r w:rsidR="001F7D25">
        <w:t>t</w:t>
      </w:r>
      <w:r>
        <w:t>reatment –</w:t>
      </w:r>
      <w:r w:rsidR="001F7D25">
        <w:t>n</w:t>
      </w:r>
      <w:r>
        <w:t xml:space="preserve">aïve - </w:t>
      </w:r>
      <w:r w:rsidR="001F7D25">
        <w:t>v</w:t>
      </w:r>
      <w:r>
        <w:t>irology</w:t>
      </w:r>
      <w:bookmarkStart w:id="99" w:name="_Toc387655889"/>
      <w:bookmarkStart w:id="100" w:name="_Ref389565706"/>
      <w:bookmarkStart w:id="101" w:name="_Ref389565709"/>
      <w:bookmarkStart w:id="102" w:name="_Toc389654580"/>
      <w:bookmarkEnd w:id="98"/>
    </w:p>
    <w:p w:rsidR="00E2055F" w:rsidRPr="002917A5" w:rsidRDefault="00E2055F" w:rsidP="00677A31">
      <w:pPr>
        <w:pStyle w:val="Numberbullet0"/>
      </w:pPr>
      <w:r w:rsidRPr="002917A5">
        <w:t xml:space="preserve">The </w:t>
      </w:r>
      <w:r w:rsidR="002917A5">
        <w:t xml:space="preserve">draft </w:t>
      </w:r>
      <w:r w:rsidRPr="002917A5">
        <w:t>P</w:t>
      </w:r>
      <w:r w:rsidR="002917A5">
        <w:t>I</w:t>
      </w:r>
      <w:r w:rsidRPr="002917A5">
        <w:t xml:space="preserve"> states that there were no INI-resistant mutations reported in ING114467. However, the treatment emergent substitution E157Q/P was noted Week 24 albeit without accompanying DTG phenotypic resistance and with replicative capacity which could not be determined. The University of California HIV </w:t>
      </w:r>
      <w:proofErr w:type="spellStart"/>
      <w:r w:rsidRPr="002917A5">
        <w:t>InSite</w:t>
      </w:r>
      <w:proofErr w:type="spellEnd"/>
      <w:r w:rsidRPr="002917A5">
        <w:t xml:space="preserve"> </w:t>
      </w:r>
      <w:r w:rsidRPr="002917A5">
        <w:rPr>
          <w:rStyle w:val="FootnoteReference"/>
        </w:rPr>
        <w:footnoteReference w:id="12"/>
      </w:r>
      <w:r w:rsidRPr="002917A5">
        <w:t xml:space="preserve"> includes this substitution amongst the list of resistance mutations in patients with no previous exposure to integrase inhibitors, again with the qualification that no phenotypic decrease in susceptivity to </w:t>
      </w:r>
      <w:proofErr w:type="spellStart"/>
      <w:r w:rsidRPr="002917A5">
        <w:t>dolutegrav</w:t>
      </w:r>
      <w:r w:rsidR="00D33F1A">
        <w:t>ir</w:t>
      </w:r>
      <w:proofErr w:type="spellEnd"/>
      <w:r w:rsidR="00D33F1A">
        <w:t xml:space="preserve"> or </w:t>
      </w:r>
      <w:proofErr w:type="spellStart"/>
      <w:r w:rsidR="00D33F1A">
        <w:t>raltegravir</w:t>
      </w:r>
      <w:proofErr w:type="spellEnd"/>
      <w:r w:rsidR="00D33F1A">
        <w:t xml:space="preserve"> was reported.</w:t>
      </w:r>
    </w:p>
    <w:p w:rsidR="00E2055F" w:rsidRDefault="00E2055F" w:rsidP="00677A31">
      <w:pPr>
        <w:pStyle w:val="Heading4"/>
      </w:pPr>
      <w:bookmarkStart w:id="103" w:name="_Toc391638712"/>
      <w:r>
        <w:t xml:space="preserve">Supportive </w:t>
      </w:r>
      <w:r w:rsidR="001F7D25">
        <w:t>s</w:t>
      </w:r>
      <w:r>
        <w:t xml:space="preserve">tudy InG114915 </w:t>
      </w:r>
      <w:r w:rsidR="001F7D25">
        <w:t>t</w:t>
      </w:r>
      <w:r>
        <w:t>reatment –</w:t>
      </w:r>
      <w:r w:rsidR="001F7D25">
        <w:t>n</w:t>
      </w:r>
      <w:r>
        <w:t xml:space="preserve">aïve - </w:t>
      </w:r>
      <w:r w:rsidR="001F7D25">
        <w:t>v</w:t>
      </w:r>
      <w:r>
        <w:t>irology</w:t>
      </w:r>
      <w:bookmarkEnd w:id="99"/>
      <w:bookmarkEnd w:id="100"/>
      <w:bookmarkEnd w:id="101"/>
      <w:bookmarkEnd w:id="102"/>
      <w:bookmarkEnd w:id="103"/>
    </w:p>
    <w:p w:rsidR="00E2055F" w:rsidRDefault="00E2055F" w:rsidP="00677A31">
      <w:pPr>
        <w:pStyle w:val="Numberbullet0"/>
      </w:pPr>
      <w:r>
        <w:t xml:space="preserve">Does the </w:t>
      </w:r>
      <w:r w:rsidR="002917A5">
        <w:t>s</w:t>
      </w:r>
      <w:r>
        <w:t xml:space="preserve">ponsor consider that different definitions of viral failure and different methods of assessment of mutations impact the resistance findings of the studies? Justification is requested for not including definitions of PDVF in in the </w:t>
      </w:r>
      <w:r w:rsidR="002917A5">
        <w:t>draft PI</w:t>
      </w:r>
      <w:r>
        <w:t>.</w:t>
      </w:r>
    </w:p>
    <w:p w:rsidR="00E2055F" w:rsidRDefault="00E2055F" w:rsidP="00677A31">
      <w:pPr>
        <w:pStyle w:val="Heading4"/>
      </w:pPr>
      <w:bookmarkStart w:id="104" w:name="_Toc391638713"/>
      <w:r>
        <w:lastRenderedPageBreak/>
        <w:t xml:space="preserve">Study ING111762 </w:t>
      </w:r>
      <w:r w:rsidR="001F7D25">
        <w:t>t</w:t>
      </w:r>
      <w:r>
        <w:t>reatment-</w:t>
      </w:r>
      <w:r w:rsidR="001F7D25">
        <w:t>e</w:t>
      </w:r>
      <w:r>
        <w:t xml:space="preserve">xperienced - </w:t>
      </w:r>
      <w:r w:rsidR="001F7D25">
        <w:t>v</w:t>
      </w:r>
      <w:r>
        <w:t>irology</w:t>
      </w:r>
      <w:bookmarkEnd w:id="104"/>
    </w:p>
    <w:p w:rsidR="00E2055F" w:rsidRDefault="00E2055F" w:rsidP="00677A31">
      <w:pPr>
        <w:pStyle w:val="Numberbullet0"/>
      </w:pPr>
      <w:r>
        <w:t xml:space="preserve">The report states that the cumulative numbers with PDVF at Week 48 were 21 in the DTG group and 45 in the RAL group. </w:t>
      </w:r>
      <w:r w:rsidR="002917A5">
        <w:t>Table 57</w:t>
      </w:r>
      <w:r>
        <w:t xml:space="preserve"> reports the numbers for DTG and RAL as 19 and 44 respectively. Which is correct? Has the evaluator not understood correctly?</w:t>
      </w:r>
    </w:p>
    <w:p w:rsidR="00E2055F" w:rsidRDefault="00E2055F" w:rsidP="00677A31">
      <w:pPr>
        <w:pStyle w:val="Numberbullet0"/>
      </w:pPr>
      <w:r>
        <w:t xml:space="preserve">As there were 4 participants in the DTG group without paired samples for the integrase assessments and 7 in the RAL group, the percent in the DTG group with paired samples, it could be argued, should have been (17/21) 81% rather than the 89% shown in </w:t>
      </w:r>
      <w:r w:rsidR="002917A5">
        <w:t>Table 58</w:t>
      </w:r>
      <w:r>
        <w:t>. Similarly for RAL, using 45 as denominator 84% of participants had paired samples rather than 88%. The number of drop-outs from analysis is considered to have the potential to alter the results of subsequent analyses. Comment is requested.</w:t>
      </w:r>
    </w:p>
    <w:p w:rsidR="00E2055F" w:rsidRDefault="00E2055F" w:rsidP="00677A31">
      <w:pPr>
        <w:pStyle w:val="Numberbullet0"/>
      </w:pPr>
      <w:r>
        <w:t xml:space="preserve">The </w:t>
      </w:r>
      <w:r w:rsidR="002917A5">
        <w:t>draft PI</w:t>
      </w:r>
      <w:r>
        <w:t xml:space="preserve"> mentions R263K (2 patients) and V151V/I. The applicant is requested to discuss the reason for not including more detailed information on participant 9402 in the Product Information</w:t>
      </w:r>
      <w:r>
        <w:rPr>
          <w:rStyle w:val="FootnoteReference"/>
        </w:rPr>
        <w:footnoteReference w:id="13"/>
      </w:r>
      <w:r>
        <w:t xml:space="preserve">. </w:t>
      </w:r>
      <w:r w:rsidR="002917A5">
        <w:t>Table 59</w:t>
      </w:r>
      <w:r>
        <w:t xml:space="preserve"> also includes R236R/K, E138T/A, T97A and T79T/A in the patient with baseline RAL associated resistance associated mutations. The </w:t>
      </w:r>
      <w:r w:rsidR="002917A5">
        <w:t>draft PI</w:t>
      </w:r>
      <w:r>
        <w:t xml:space="preserve"> only mentions that this patient existed and the possible reason why this patient had pre-existing integrase mutations but leaves out the what is considered the  most important information,</w:t>
      </w:r>
      <w:r w:rsidR="002917A5">
        <w:t xml:space="preserve"> that is,</w:t>
      </w:r>
      <w:r>
        <w:t xml:space="preserve"> the emergence of further mutations with increasing fold changes to &gt; maximum.</w:t>
      </w:r>
    </w:p>
    <w:p w:rsidR="00E2055F" w:rsidRDefault="00E2055F" w:rsidP="00677A31">
      <w:pPr>
        <w:pStyle w:val="Heading4"/>
      </w:pPr>
      <w:bookmarkStart w:id="105" w:name="_Toc391638714"/>
      <w:r>
        <w:t xml:space="preserve">Supportive </w:t>
      </w:r>
      <w:r w:rsidR="001F7D25">
        <w:t>s</w:t>
      </w:r>
      <w:r>
        <w:t xml:space="preserve">tudy ING114915 </w:t>
      </w:r>
      <w:r w:rsidR="001F7D25">
        <w:t>t</w:t>
      </w:r>
      <w:r>
        <w:t>reatment-</w:t>
      </w:r>
      <w:r w:rsidR="001F7D25">
        <w:t>n</w:t>
      </w:r>
      <w:r>
        <w:t xml:space="preserve">aïve - </w:t>
      </w:r>
      <w:r w:rsidR="001F7D25">
        <w:t>s</w:t>
      </w:r>
      <w:r>
        <w:t>afety</w:t>
      </w:r>
      <w:bookmarkEnd w:id="105"/>
    </w:p>
    <w:p w:rsidR="00E2055F" w:rsidRDefault="00E2055F" w:rsidP="00677A31">
      <w:pPr>
        <w:pStyle w:val="Numberbullet0"/>
      </w:pPr>
      <w:r>
        <w:t xml:space="preserve">The statement in Module 5 CSR page 77, </w:t>
      </w:r>
      <w:r w:rsidR="002917A5">
        <w:t>‘</w:t>
      </w:r>
      <w:r w:rsidRPr="002917A5">
        <w:rPr>
          <w:i/>
        </w:rPr>
        <w:t>any of these grade 4 events were assessed as related to DTG by the investigator</w:t>
      </w:r>
      <w:r w:rsidR="002917A5">
        <w:t>’</w:t>
      </w:r>
      <w:r>
        <w:t xml:space="preserve"> requires clarification. Were these events IP related?</w:t>
      </w:r>
    </w:p>
    <w:p w:rsidR="00E2055F" w:rsidRDefault="00E2055F" w:rsidP="00677A31">
      <w:pPr>
        <w:pStyle w:val="Numberbullet0"/>
      </w:pPr>
      <w:r>
        <w:t>With respect to changes in triglyceride levels</w:t>
      </w:r>
      <w:r w:rsidRPr="001F7D25">
        <w:rPr>
          <w:color w:val="000000" w:themeColor="text1"/>
        </w:rPr>
        <w:t xml:space="preserve">, </w:t>
      </w:r>
      <w:r>
        <w:t>please provide the denominators for each result. Is the bracketed number a percent?</w:t>
      </w:r>
    </w:p>
    <w:p w:rsidR="002917A5" w:rsidRDefault="00E2055F" w:rsidP="00677A31">
      <w:pPr>
        <w:pStyle w:val="Numberbullet0"/>
      </w:pPr>
      <w:r>
        <w:t xml:space="preserve">It appears that not all participants provided fasting blood samples. The </w:t>
      </w:r>
      <w:r w:rsidR="002917A5">
        <w:t>s</w:t>
      </w:r>
      <w:r>
        <w:t xml:space="preserve">ponsor is requested to supply the numbers of individuals with fasting </w:t>
      </w:r>
      <w:r w:rsidR="002917A5">
        <w:t>low density lipoprotein (</w:t>
      </w:r>
      <w:r>
        <w:t>LDL</w:t>
      </w:r>
      <w:r w:rsidR="002917A5">
        <w:t>)</w:t>
      </w:r>
      <w:r>
        <w:t xml:space="preserve"> results and the drop-out percentages for the step-wise pre-specified multiple testing strategy.</w:t>
      </w:r>
    </w:p>
    <w:p w:rsidR="00605AD4" w:rsidRDefault="00AA2F46" w:rsidP="00677A31">
      <w:pPr>
        <w:pStyle w:val="Heading3"/>
        <w:rPr>
          <w:rFonts w:eastAsia="Cambria"/>
        </w:rPr>
      </w:pPr>
      <w:bookmarkStart w:id="106" w:name="_Toc423434301"/>
      <w:r>
        <w:rPr>
          <w:rFonts w:eastAsia="Cambria"/>
        </w:rPr>
        <w:t xml:space="preserve">Second </w:t>
      </w:r>
      <w:r w:rsidR="001F7D25">
        <w:rPr>
          <w:rFonts w:eastAsia="Cambria"/>
        </w:rPr>
        <w:t>r</w:t>
      </w:r>
      <w:r w:rsidR="00605AD4" w:rsidRPr="00605AD4">
        <w:rPr>
          <w:rFonts w:eastAsia="Cambria"/>
        </w:rPr>
        <w:t xml:space="preserve">ound </w:t>
      </w:r>
      <w:r w:rsidR="001F7D25">
        <w:rPr>
          <w:rFonts w:eastAsia="Cambria"/>
        </w:rPr>
        <w:t>b</w:t>
      </w:r>
      <w:r w:rsidR="00605AD4" w:rsidRPr="00605AD4">
        <w:rPr>
          <w:rFonts w:eastAsia="Cambria"/>
        </w:rPr>
        <w:t>enefit-</w:t>
      </w:r>
      <w:r w:rsidR="001F7D25">
        <w:rPr>
          <w:rFonts w:eastAsia="Cambria"/>
        </w:rPr>
        <w:t>r</w:t>
      </w:r>
      <w:r w:rsidR="00605AD4" w:rsidRPr="00605AD4">
        <w:rPr>
          <w:rFonts w:eastAsia="Cambria"/>
        </w:rPr>
        <w:t xml:space="preserve">isk </w:t>
      </w:r>
      <w:r w:rsidR="001F7D25">
        <w:rPr>
          <w:rFonts w:eastAsia="Cambria"/>
        </w:rPr>
        <w:t>a</w:t>
      </w:r>
      <w:r w:rsidR="00605AD4" w:rsidRPr="00605AD4">
        <w:rPr>
          <w:rFonts w:eastAsia="Cambria"/>
        </w:rPr>
        <w:t>ssessment</w:t>
      </w:r>
      <w:bookmarkEnd w:id="106"/>
    </w:p>
    <w:p w:rsidR="00AA2F46" w:rsidRDefault="00AA2F46" w:rsidP="00677A31">
      <w:r>
        <w:t>The indication is a well-recognised disease state. The proposed combination is based on valid therapeutic principles. Each component has a documented therapeutic contribution. The choice of each substance is considered justified based on modes of action</w:t>
      </w:r>
      <w:r w:rsidR="00362C3E">
        <w:t xml:space="preserve"> and</w:t>
      </w:r>
      <w:r>
        <w:t xml:space="preserve"> the dosage frequencies. Each of the individual components can be taken with and without food. The doses used in the fixed combination are identical to the doses used in the broad clinical setting and there is safety data generated with these doses are available.</w:t>
      </w:r>
    </w:p>
    <w:p w:rsidR="00AA2F46" w:rsidRDefault="00AA2F46" w:rsidP="00677A31">
      <w:r>
        <w:t>The choice of each substance is considered justified based on treatment recommendations include</w:t>
      </w:r>
      <w:r w:rsidR="00B601D5">
        <w:t>d</w:t>
      </w:r>
      <w:r>
        <w:t xml:space="preserve"> </w:t>
      </w:r>
      <w:r w:rsidRPr="00B601D5">
        <w:t xml:space="preserve">in </w:t>
      </w:r>
      <w:r w:rsidR="00B601D5" w:rsidRPr="00B601D5">
        <w:t>Australasian Society for HIV Medicine (</w:t>
      </w:r>
      <w:r w:rsidRPr="00B601D5">
        <w:t>ASHM</w:t>
      </w:r>
      <w:r w:rsidR="00B601D5" w:rsidRPr="00B601D5">
        <w:t>)</w:t>
      </w:r>
      <w:r w:rsidRPr="00B601D5">
        <w:t xml:space="preserve"> and the US </w:t>
      </w:r>
      <w:r w:rsidR="00B601D5" w:rsidRPr="00B601D5">
        <w:t>Department of Health and Human Services (</w:t>
      </w:r>
      <w:r w:rsidRPr="00B601D5">
        <w:t>DHHS guidelines</w:t>
      </w:r>
      <w:r w:rsidR="00B601D5" w:rsidRPr="00B601D5">
        <w:t>)</w:t>
      </w:r>
      <w:r w:rsidRPr="00B601D5">
        <w:t xml:space="preserve"> in which it is stated that the optimal antiretroviral regimen for a treatment-naive patient</w:t>
      </w:r>
      <w:r>
        <w:t xml:space="preserve"> consists of two NRTIs in combination with a third active ARV drug from one of three drug classes: an </w:t>
      </w:r>
      <w:r w:rsidRPr="00B601D5">
        <w:t>NNRTI, a PI boosted</w:t>
      </w:r>
      <w:r>
        <w:t xml:space="preserve"> with ritonavir or an integrase inhibitor.</w:t>
      </w:r>
    </w:p>
    <w:p w:rsidR="00AA2F46" w:rsidRDefault="00AA2F46" w:rsidP="00677A31">
      <w:r>
        <w:lastRenderedPageBreak/>
        <w:t xml:space="preserve">It is noted that DTG + ABC/3TC has recently been added to </w:t>
      </w:r>
      <w:r w:rsidRPr="00B609DB">
        <w:t xml:space="preserve">the </w:t>
      </w:r>
      <w:proofErr w:type="spellStart"/>
      <w:r w:rsidRPr="00B609DB">
        <w:t>AIDSinfo</w:t>
      </w:r>
      <w:proofErr w:type="spellEnd"/>
      <w:r w:rsidRPr="00B609DB">
        <w:t xml:space="preserve"> Guidelines</w:t>
      </w:r>
      <w:r w:rsidR="00B601D5" w:rsidRPr="00B609DB">
        <w:rPr>
          <w:rStyle w:val="FootnoteReference"/>
        </w:rPr>
        <w:footnoteReference w:id="14"/>
      </w:r>
      <w:r w:rsidRPr="00B609DB">
        <w:t xml:space="preserve"> for</w:t>
      </w:r>
      <w:r>
        <w:t xml:space="preserve"> the use of Antiretroviral Agents in HIV-Infected Adults and Adolescent section: Regimens for ART-naïve patients regardless of baseline viral load or CD4 cell count.</w:t>
      </w:r>
    </w:p>
    <w:p w:rsidR="00AA2F46" w:rsidRDefault="00AA2F46" w:rsidP="00677A31">
      <w:r>
        <w:t>Bioequivalence was shown for each component of the FDC compared to DTG and the</w:t>
      </w:r>
      <w:r w:rsidR="00E873CA">
        <w:t xml:space="preserve"> </w:t>
      </w:r>
      <w:r>
        <w:t>FDC ABC/3TC. The FDC was not tested against each component separately. However it is most likely that patients in clinical practice who are treated with ABC and 3TC would take the fixed dose product ABC/3TC.</w:t>
      </w:r>
    </w:p>
    <w:p w:rsidR="00AA2F46" w:rsidRDefault="00AA2F46" w:rsidP="00677A31">
      <w:r>
        <w:t>The pivotal efficacy study documented superior efficacy of DTG + ABC/3TC</w:t>
      </w:r>
      <w:r w:rsidR="00C21C47">
        <w:t xml:space="preserve"> versus</w:t>
      </w:r>
      <w:r>
        <w:t xml:space="preserve"> EFV/TDF/FTC, the difference being largely driven by a larger proportion in the comparator arm discontinuing due to AE</w:t>
      </w:r>
      <w:r w:rsidR="00362C3E">
        <w:t>s</w:t>
      </w:r>
      <w:r>
        <w:t xml:space="preserve">. No treatment emergent </w:t>
      </w:r>
      <w:r w:rsidRPr="00B601D5">
        <w:t>primary INI or</w:t>
      </w:r>
      <w:r>
        <w:t xml:space="preserve"> NRTI resistance mutations were observed through 96 weeks for those subjects on DTG plus ABC/3TC FDC with PDVF. The study did not use the FDC proposed for registration.</w:t>
      </w:r>
    </w:p>
    <w:p w:rsidR="00AA2F46" w:rsidRDefault="00AA2F46" w:rsidP="00677A31">
      <w:r>
        <w:t>There may be an improvement in risk benefit balance due to possible increased treatment compliance due to decreased number of tablets required. Increased compliance in turn may reduce the risk of development of resistance mutations. However, it remains to be determined whether the relatively large tablet (22 x 11</w:t>
      </w:r>
      <w:r w:rsidR="002917A5">
        <w:t xml:space="preserve"> </w:t>
      </w:r>
      <w:r>
        <w:t>x</w:t>
      </w:r>
      <w:r w:rsidR="002917A5">
        <w:t xml:space="preserve"> </w:t>
      </w:r>
      <w:r>
        <w:t>7.6 mm with maximum circumference 54.6 mm) will be a problem for some patients.</w:t>
      </w:r>
    </w:p>
    <w:p w:rsidR="00E2055F" w:rsidRPr="00605AD4" w:rsidRDefault="00E2055F" w:rsidP="00677A31">
      <w:pPr>
        <w:pStyle w:val="Heading3"/>
        <w:rPr>
          <w:rFonts w:eastAsia="Cambria"/>
        </w:rPr>
      </w:pPr>
      <w:bookmarkStart w:id="107" w:name="_Toc423434302"/>
      <w:r w:rsidRPr="00605AD4">
        <w:rPr>
          <w:rFonts w:eastAsia="Cambria"/>
        </w:rPr>
        <w:t xml:space="preserve">Second </w:t>
      </w:r>
      <w:r w:rsidR="001F7D25">
        <w:rPr>
          <w:rFonts w:eastAsia="Cambria"/>
        </w:rPr>
        <w:t>r</w:t>
      </w:r>
      <w:r w:rsidRPr="00605AD4">
        <w:rPr>
          <w:rFonts w:eastAsia="Cambria"/>
        </w:rPr>
        <w:t xml:space="preserve">ound </w:t>
      </w:r>
      <w:r w:rsidR="001F7D25">
        <w:rPr>
          <w:rFonts w:eastAsia="Cambria"/>
        </w:rPr>
        <w:t>e</w:t>
      </w:r>
      <w:r w:rsidRPr="00605AD4">
        <w:rPr>
          <w:rFonts w:eastAsia="Cambria"/>
        </w:rPr>
        <w:t>valuation of clinical data submitted in response to questions</w:t>
      </w:r>
      <w:bookmarkEnd w:id="107"/>
    </w:p>
    <w:p w:rsidR="00E2055F" w:rsidRPr="00AA2F46" w:rsidRDefault="00E2055F" w:rsidP="00677A31">
      <w:r>
        <w:t xml:space="preserve">See Attachment 2 for the sponsor’s responses to the </w:t>
      </w:r>
      <w:r w:rsidRPr="002917A5">
        <w:rPr>
          <w:i/>
        </w:rPr>
        <w:t>Clinical questions</w:t>
      </w:r>
      <w:r>
        <w:t xml:space="preserve"> and the evaluator’s comments on the sponsor’s responses.</w:t>
      </w:r>
    </w:p>
    <w:p w:rsidR="00605AD4" w:rsidRDefault="00AA2F46" w:rsidP="00677A31">
      <w:pPr>
        <w:pStyle w:val="Heading4"/>
      </w:pPr>
      <w:r>
        <w:t>Second</w:t>
      </w:r>
      <w:r w:rsidR="00605AD4" w:rsidRPr="00605AD4">
        <w:t xml:space="preserve"> round assessment of benefits</w:t>
      </w:r>
    </w:p>
    <w:p w:rsidR="00AA2F46" w:rsidRDefault="00AA2F46" w:rsidP="00677A31">
      <w:r>
        <w:t>The DTG/ABC/3TC fixed dose combination has been shown to be bioequivalent to DTG + ABC/3TC. The latter combination has been shown to be effective in maintaining viral suppression as shown in ING114467. There were no unexpected safety concerns detected in ING114467. There was a high barrier to resistance reported in the study. The FDC may increase treatment compliance although this remains hypothetical.</w:t>
      </w:r>
    </w:p>
    <w:p w:rsidR="00605AD4" w:rsidRDefault="00AA2F46" w:rsidP="00677A31">
      <w:pPr>
        <w:pStyle w:val="Heading4"/>
      </w:pPr>
      <w:r>
        <w:t>Second</w:t>
      </w:r>
      <w:r w:rsidR="00605AD4" w:rsidRPr="00605AD4">
        <w:t xml:space="preserve"> round assessment of risks</w:t>
      </w:r>
    </w:p>
    <w:p w:rsidR="00AA2F46" w:rsidRDefault="00AA2F46" w:rsidP="00677A31">
      <w:r>
        <w:t xml:space="preserve">The safety profiles of lamivudine and </w:t>
      </w:r>
      <w:proofErr w:type="spellStart"/>
      <w:r>
        <w:t>abacavir</w:t>
      </w:r>
      <w:proofErr w:type="spellEnd"/>
      <w:r>
        <w:t xml:space="preserve"> have been established since first registration in the US of lamivudine in 1995 and </w:t>
      </w:r>
      <w:proofErr w:type="spellStart"/>
      <w:r>
        <w:t>abacavir</w:t>
      </w:r>
      <w:proofErr w:type="spellEnd"/>
      <w:r>
        <w:t xml:space="preserve"> in 1998. The safety profile of the recently registered </w:t>
      </w:r>
      <w:proofErr w:type="spellStart"/>
      <w:r>
        <w:t>dolutegravir</w:t>
      </w:r>
      <w:proofErr w:type="spellEnd"/>
      <w:r>
        <w:t xml:space="preserve"> is not so well established. For individual patients, there is the potential for development of significant adverse events consistent with the known safety profiles.</w:t>
      </w:r>
    </w:p>
    <w:p w:rsidR="00AA2F46" w:rsidRDefault="00AA2F46" w:rsidP="00677A31">
      <w:r>
        <w:t>The large dimensions of the tablet (22 x 11</w:t>
      </w:r>
      <w:r w:rsidR="002917A5">
        <w:t xml:space="preserve"> </w:t>
      </w:r>
      <w:r>
        <w:t>x</w:t>
      </w:r>
      <w:r w:rsidR="002917A5">
        <w:t xml:space="preserve"> </w:t>
      </w:r>
      <w:r>
        <w:t>7.6 mm with circumference 54.6 mm) may preclude use, or result in misuse of the product for some patients.</w:t>
      </w:r>
    </w:p>
    <w:p w:rsidR="00605AD4" w:rsidRPr="00605AD4" w:rsidRDefault="00AA2F46" w:rsidP="00677A31">
      <w:pPr>
        <w:pStyle w:val="Heading4"/>
      </w:pPr>
      <w:r>
        <w:t>Second</w:t>
      </w:r>
      <w:r w:rsidR="00605AD4" w:rsidRPr="00605AD4">
        <w:t xml:space="preserve"> round assessment of benefit-risk balance</w:t>
      </w:r>
    </w:p>
    <w:p w:rsidR="00AA2F46" w:rsidRDefault="00AA2F46" w:rsidP="00677A31">
      <w:r>
        <w:t>The balance is considered to lie on the side of benefit.</w:t>
      </w:r>
    </w:p>
    <w:p w:rsidR="00605AD4" w:rsidRPr="00605AD4" w:rsidRDefault="00AA2F46" w:rsidP="00677A31">
      <w:pPr>
        <w:pStyle w:val="Heading3"/>
        <w:rPr>
          <w:rFonts w:eastAsia="Cambria"/>
        </w:rPr>
      </w:pPr>
      <w:bookmarkStart w:id="108" w:name="_Toc423434303"/>
      <w:r>
        <w:rPr>
          <w:rFonts w:eastAsia="Cambria"/>
        </w:rPr>
        <w:lastRenderedPageBreak/>
        <w:t>Second</w:t>
      </w:r>
      <w:r w:rsidR="00605AD4" w:rsidRPr="00605AD4">
        <w:rPr>
          <w:rFonts w:eastAsia="Cambria"/>
        </w:rPr>
        <w:t xml:space="preserve"> </w:t>
      </w:r>
      <w:r w:rsidR="001F7D25">
        <w:rPr>
          <w:rFonts w:eastAsia="Cambria"/>
        </w:rPr>
        <w:t>r</w:t>
      </w:r>
      <w:r w:rsidR="00605AD4" w:rsidRPr="00605AD4">
        <w:rPr>
          <w:rFonts w:eastAsia="Cambria"/>
        </w:rPr>
        <w:t xml:space="preserve">ound </w:t>
      </w:r>
      <w:r w:rsidR="001F7D25">
        <w:rPr>
          <w:rFonts w:eastAsia="Cambria"/>
        </w:rPr>
        <w:t>r</w:t>
      </w:r>
      <w:r w:rsidR="00605AD4" w:rsidRPr="00605AD4">
        <w:rPr>
          <w:rFonts w:eastAsia="Cambria"/>
        </w:rPr>
        <w:t xml:space="preserve">ecommendation </w:t>
      </w:r>
      <w:r w:rsidR="001F7D25">
        <w:rPr>
          <w:rFonts w:eastAsia="Cambria"/>
        </w:rPr>
        <w:t>r</w:t>
      </w:r>
      <w:r w:rsidR="00605AD4" w:rsidRPr="00605AD4">
        <w:rPr>
          <w:rFonts w:eastAsia="Cambria"/>
        </w:rPr>
        <w:t xml:space="preserve">egarding </w:t>
      </w:r>
      <w:r w:rsidR="001F7D25">
        <w:rPr>
          <w:rFonts w:eastAsia="Cambria"/>
        </w:rPr>
        <w:t>a</w:t>
      </w:r>
      <w:r w:rsidR="00605AD4" w:rsidRPr="00605AD4">
        <w:rPr>
          <w:rFonts w:eastAsia="Cambria"/>
        </w:rPr>
        <w:t>uthorisation</w:t>
      </w:r>
      <w:bookmarkEnd w:id="108"/>
    </w:p>
    <w:p w:rsidR="00AA2F46" w:rsidRDefault="00AA2F46" w:rsidP="00677A31">
      <w:r>
        <w:t xml:space="preserve">Registration of the fixed dose combination, </w:t>
      </w:r>
      <w:proofErr w:type="spellStart"/>
      <w:r>
        <w:t>dolutegravir</w:t>
      </w:r>
      <w:proofErr w:type="spellEnd"/>
      <w:r>
        <w:t>/</w:t>
      </w:r>
      <w:proofErr w:type="spellStart"/>
      <w:r>
        <w:t>abacavir</w:t>
      </w:r>
      <w:proofErr w:type="spellEnd"/>
      <w:r>
        <w:t>/lamivudine is recommended.</w:t>
      </w:r>
    </w:p>
    <w:p w:rsidR="00AA2F46" w:rsidRDefault="00AA2F46" w:rsidP="00677A31">
      <w:r>
        <w:t xml:space="preserve">The recommended condition of registration is that product information is presented to the Therapeutic Goods Administration, to the Australian medical fraternity and the general public as clearly as is possible, in accordance with the </w:t>
      </w:r>
      <w:r w:rsidR="00362C3E">
        <w:t xml:space="preserve">recommendations by this evaluator </w:t>
      </w:r>
      <w:proofErr w:type="gramStart"/>
      <w:r w:rsidR="00362C3E">
        <w:t>The</w:t>
      </w:r>
      <w:proofErr w:type="gramEnd"/>
      <w:r w:rsidR="00362C3E">
        <w:t xml:space="preserve"> details of these are beyond the scope of this AusPAR.</w:t>
      </w:r>
    </w:p>
    <w:p w:rsidR="008E7846" w:rsidRPr="00E41208" w:rsidRDefault="008E7846" w:rsidP="00677A31">
      <w:pPr>
        <w:pStyle w:val="Heading2"/>
      </w:pPr>
      <w:bookmarkStart w:id="109" w:name="_Toc423434304"/>
      <w:r w:rsidRPr="00E41208">
        <w:t xml:space="preserve">V. Pharmacovigilance </w:t>
      </w:r>
      <w:r>
        <w:t>f</w:t>
      </w:r>
      <w:r w:rsidRPr="00E41208">
        <w:t>indings</w:t>
      </w:r>
      <w:bookmarkEnd w:id="82"/>
      <w:bookmarkEnd w:id="83"/>
      <w:bookmarkEnd w:id="109"/>
    </w:p>
    <w:p w:rsidR="008E7846" w:rsidRDefault="00386150" w:rsidP="00677A31">
      <w:pPr>
        <w:pStyle w:val="Heading3"/>
        <w:rPr>
          <w:lang w:eastAsia="en-AU"/>
        </w:rPr>
      </w:pPr>
      <w:bookmarkStart w:id="110" w:name="_Toc247691526"/>
      <w:bookmarkStart w:id="111" w:name="_Toc314842509"/>
      <w:bookmarkStart w:id="112" w:name="_Toc423434305"/>
      <w:r>
        <w:rPr>
          <w:lang w:eastAsia="en-AU"/>
        </w:rPr>
        <w:t>Risk m</w:t>
      </w:r>
      <w:r w:rsidR="008E7846">
        <w:rPr>
          <w:lang w:eastAsia="en-AU"/>
        </w:rPr>
        <w:t xml:space="preserve">anagement </w:t>
      </w:r>
      <w:r>
        <w:rPr>
          <w:lang w:eastAsia="en-AU"/>
        </w:rPr>
        <w:t>p</w:t>
      </w:r>
      <w:r w:rsidR="008E7846">
        <w:rPr>
          <w:lang w:eastAsia="en-AU"/>
        </w:rPr>
        <w:t>lan</w:t>
      </w:r>
      <w:bookmarkEnd w:id="110"/>
      <w:bookmarkEnd w:id="111"/>
      <w:bookmarkEnd w:id="112"/>
    </w:p>
    <w:p w:rsidR="008E7846" w:rsidRDefault="008E7846" w:rsidP="00677A31">
      <w:pPr>
        <w:rPr>
          <w:lang w:eastAsia="en-AU"/>
        </w:rPr>
      </w:pPr>
      <w:r>
        <w:rPr>
          <w:lang w:eastAsia="en-AU"/>
        </w:rPr>
        <w:t>The sponsor submitted a Risk Management Plan</w:t>
      </w:r>
      <w:r w:rsidR="006F25B8">
        <w:rPr>
          <w:lang w:eastAsia="en-AU"/>
        </w:rPr>
        <w:t xml:space="preserve"> </w:t>
      </w:r>
      <w:proofErr w:type="spellStart"/>
      <w:r w:rsidR="00C47D6B">
        <w:t>Triumeq</w:t>
      </w:r>
      <w:proofErr w:type="spellEnd"/>
      <w:r w:rsidR="00C47D6B">
        <w:t xml:space="preserve"> EU-RMP version 1.0 dated 3 October 2013 (data lock point 31 May 2013) and </w:t>
      </w:r>
      <w:r w:rsidR="001F5D7D">
        <w:t xml:space="preserve">an </w:t>
      </w:r>
      <w:r w:rsidR="00C47D6B">
        <w:t xml:space="preserve">Australian-specific Annex </w:t>
      </w:r>
      <w:r w:rsidR="00974790">
        <w:t xml:space="preserve">(ASA) </w:t>
      </w:r>
      <w:r w:rsidR="00C47D6B">
        <w:t xml:space="preserve">version 1.0 </w:t>
      </w:r>
      <w:r>
        <w:rPr>
          <w:lang w:eastAsia="en-AU"/>
        </w:rPr>
        <w:t>which w</w:t>
      </w:r>
      <w:r w:rsidR="00C47D6B">
        <w:rPr>
          <w:lang w:eastAsia="en-AU"/>
        </w:rPr>
        <w:t>ere</w:t>
      </w:r>
      <w:r>
        <w:rPr>
          <w:lang w:eastAsia="en-AU"/>
        </w:rPr>
        <w:t xml:space="preserve"> reviewed by the TGA’s Office of Product Review (OPR).</w:t>
      </w:r>
    </w:p>
    <w:p w:rsidR="008E7846" w:rsidRDefault="003A7F6C" w:rsidP="00677A31">
      <w:pPr>
        <w:pStyle w:val="Heading4"/>
        <w:rPr>
          <w:lang w:eastAsia="en-AU"/>
        </w:rPr>
      </w:pPr>
      <w:r>
        <w:rPr>
          <w:lang w:eastAsia="en-AU"/>
        </w:rPr>
        <w:t>Safety s</w:t>
      </w:r>
      <w:r w:rsidR="008E7846">
        <w:rPr>
          <w:lang w:eastAsia="en-AU"/>
        </w:rPr>
        <w:t>pecification</w:t>
      </w:r>
    </w:p>
    <w:p w:rsidR="008E7846" w:rsidRDefault="008E7846" w:rsidP="00677A31">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1F5D7D">
        <w:rPr>
          <w:lang w:eastAsia="en-AU"/>
        </w:rPr>
        <w:t>8</w:t>
      </w:r>
      <w:r>
        <w:rPr>
          <w:lang w:eastAsia="en-AU"/>
        </w:rPr>
        <w:t>.</w:t>
      </w:r>
    </w:p>
    <w:p w:rsidR="001F5D7D" w:rsidRDefault="001F5D7D" w:rsidP="00677A31">
      <w:pPr>
        <w:pStyle w:val="TableTitle"/>
        <w:rPr>
          <w:lang w:eastAsia="en-AU"/>
        </w:rPr>
      </w:pPr>
      <w:r>
        <w:rPr>
          <w:lang w:eastAsia="en-AU"/>
        </w:rPr>
        <w:t>Table 8: Summary of ongoing safety concerns</w:t>
      </w:r>
    </w:p>
    <w:tbl>
      <w:tblPr>
        <w:tblStyle w:val="TableGrid"/>
        <w:tblW w:w="0" w:type="auto"/>
        <w:tblLook w:val="04A0" w:firstRow="1" w:lastRow="0" w:firstColumn="1" w:lastColumn="0" w:noHBand="0" w:noVBand="1"/>
      </w:tblPr>
      <w:tblGrid>
        <w:gridCol w:w="2526"/>
        <w:gridCol w:w="6086"/>
      </w:tblGrid>
      <w:tr w:rsidR="00C47D6B" w:rsidTr="00677A31">
        <w:tc>
          <w:tcPr>
            <w:tcW w:w="2526" w:type="dxa"/>
            <w:shd w:val="clear" w:color="auto" w:fill="006DA7"/>
          </w:tcPr>
          <w:p w:rsidR="00C47D6B" w:rsidRPr="00677A31" w:rsidRDefault="00C47D6B" w:rsidP="00677A31">
            <w:pPr>
              <w:rPr>
                <w:color w:val="FFFFFF" w:themeColor="background1"/>
              </w:rPr>
            </w:pPr>
            <w:r w:rsidRPr="00677A31">
              <w:rPr>
                <w:color w:val="FFFFFF" w:themeColor="background1"/>
              </w:rPr>
              <w:t>Important identified risks</w:t>
            </w:r>
          </w:p>
        </w:tc>
        <w:tc>
          <w:tcPr>
            <w:tcW w:w="6086" w:type="dxa"/>
          </w:tcPr>
          <w:p w:rsidR="00C47D6B" w:rsidRPr="00DB2B91" w:rsidRDefault="00C47D6B" w:rsidP="00677A31">
            <w:r w:rsidRPr="00DB2B91">
              <w:t>Hypersensitivity reactions</w:t>
            </w:r>
          </w:p>
          <w:p w:rsidR="00C47D6B" w:rsidRPr="00DB2B91" w:rsidRDefault="00C47D6B" w:rsidP="00677A31">
            <w:r w:rsidRPr="00DB2B91">
              <w:t>Hepatobiliary disorders</w:t>
            </w:r>
          </w:p>
          <w:p w:rsidR="00C47D6B" w:rsidRPr="00DB2B91" w:rsidRDefault="00C47D6B" w:rsidP="00677A31">
            <w:r w:rsidRPr="00DB2B91">
              <w:t xml:space="preserve">Drug interaction between </w:t>
            </w:r>
            <w:proofErr w:type="spellStart"/>
            <w:r w:rsidRPr="00DB2B91">
              <w:t>dolutegravir</w:t>
            </w:r>
            <w:proofErr w:type="spellEnd"/>
            <w:r w:rsidRPr="00DB2B91">
              <w:t xml:space="preserve"> and </w:t>
            </w:r>
            <w:proofErr w:type="spellStart"/>
            <w:r w:rsidRPr="00DB2B91">
              <w:t>dofetilide</w:t>
            </w:r>
            <w:proofErr w:type="spellEnd"/>
            <w:r w:rsidRPr="00DB2B91">
              <w:t xml:space="preserve"> </w:t>
            </w:r>
          </w:p>
        </w:tc>
      </w:tr>
      <w:tr w:rsidR="00C47D6B" w:rsidTr="00677A31">
        <w:tc>
          <w:tcPr>
            <w:tcW w:w="2526" w:type="dxa"/>
            <w:shd w:val="clear" w:color="auto" w:fill="006DA7"/>
          </w:tcPr>
          <w:p w:rsidR="00C47D6B" w:rsidRPr="00677A31" w:rsidRDefault="00C47D6B" w:rsidP="00677A31">
            <w:pPr>
              <w:rPr>
                <w:color w:val="FFFFFF" w:themeColor="background1"/>
              </w:rPr>
            </w:pPr>
            <w:r w:rsidRPr="00677A31">
              <w:rPr>
                <w:color w:val="FFFFFF" w:themeColor="background1"/>
              </w:rPr>
              <w:t>Important potential risks</w:t>
            </w:r>
          </w:p>
        </w:tc>
        <w:tc>
          <w:tcPr>
            <w:tcW w:w="6086" w:type="dxa"/>
          </w:tcPr>
          <w:p w:rsidR="00C47D6B" w:rsidRPr="00DB2B91" w:rsidRDefault="00C47D6B" w:rsidP="00677A31">
            <w:r w:rsidRPr="00DB2B91">
              <w:t>IRIS</w:t>
            </w:r>
          </w:p>
          <w:p w:rsidR="00C47D6B" w:rsidRPr="00DB2B91" w:rsidRDefault="00C47D6B" w:rsidP="00677A31">
            <w:r w:rsidRPr="00DB2B91">
              <w:t>Serious rash</w:t>
            </w:r>
          </w:p>
          <w:p w:rsidR="00C47D6B" w:rsidRPr="00DB2B91" w:rsidRDefault="00C47D6B" w:rsidP="00677A31">
            <w:r w:rsidRPr="00DB2B91">
              <w:t>Renal disorders</w:t>
            </w:r>
          </w:p>
          <w:p w:rsidR="00C47D6B" w:rsidRPr="00DB2B91" w:rsidRDefault="00C47D6B" w:rsidP="00677A31">
            <w:r w:rsidRPr="00DB2B91">
              <w:t>Gastrointestinal (GI) intolerance and erosions</w:t>
            </w:r>
          </w:p>
          <w:p w:rsidR="00C47D6B" w:rsidRPr="00DB2B91" w:rsidRDefault="00C47D6B" w:rsidP="00677A31">
            <w:proofErr w:type="spellStart"/>
            <w:r w:rsidRPr="00DB2B91">
              <w:t>Muscoskeletal</w:t>
            </w:r>
            <w:proofErr w:type="spellEnd"/>
            <w:r w:rsidRPr="00DB2B91">
              <w:t xml:space="preserve"> events/elevated CPK elevations</w:t>
            </w:r>
          </w:p>
          <w:p w:rsidR="00C47D6B" w:rsidRPr="00DB2B91" w:rsidRDefault="00C47D6B" w:rsidP="00677A31">
            <w:r w:rsidRPr="00DB2B91">
              <w:t>Lipase elevations</w:t>
            </w:r>
          </w:p>
          <w:p w:rsidR="00C47D6B" w:rsidRPr="00DB2B91" w:rsidRDefault="00C47D6B" w:rsidP="00677A31">
            <w:r w:rsidRPr="00DB2B91">
              <w:t>Psychiatric disorders</w:t>
            </w:r>
          </w:p>
          <w:p w:rsidR="00C47D6B" w:rsidRPr="00DB2B91" w:rsidRDefault="00C47D6B" w:rsidP="00677A31">
            <w:r w:rsidRPr="00DB2B91">
              <w:t>Carcinogenicity and long-term exposure to NRTIs</w:t>
            </w:r>
          </w:p>
          <w:p w:rsidR="00C47D6B" w:rsidRPr="00DB2B91" w:rsidRDefault="00C47D6B" w:rsidP="00677A31">
            <w:r w:rsidRPr="00DB2B91">
              <w:t>Cardiac events leading to ischaemia</w:t>
            </w:r>
          </w:p>
          <w:p w:rsidR="00C47D6B" w:rsidRPr="00DB2B91" w:rsidRDefault="00C47D6B" w:rsidP="00677A31">
            <w:r w:rsidRPr="00DB2B91">
              <w:t xml:space="preserve">Exposure to </w:t>
            </w:r>
            <w:proofErr w:type="spellStart"/>
            <w:r w:rsidRPr="00DB2B91">
              <w:t>abacavir</w:t>
            </w:r>
            <w:proofErr w:type="spellEnd"/>
            <w:r w:rsidRPr="00DB2B91">
              <w:t xml:space="preserve"> during pregnancy</w:t>
            </w:r>
          </w:p>
          <w:p w:rsidR="00C47D6B" w:rsidRPr="00DB2B91" w:rsidRDefault="00C47D6B" w:rsidP="00677A31">
            <w:r w:rsidRPr="00DB2B91">
              <w:t xml:space="preserve">Drug interaction between </w:t>
            </w:r>
            <w:proofErr w:type="spellStart"/>
            <w:r w:rsidRPr="00DB2B91">
              <w:t>abacavir</w:t>
            </w:r>
            <w:proofErr w:type="spellEnd"/>
            <w:r w:rsidRPr="00DB2B91">
              <w:t xml:space="preserve"> and ribavirin</w:t>
            </w:r>
          </w:p>
        </w:tc>
      </w:tr>
      <w:tr w:rsidR="00C47D6B" w:rsidTr="00677A31">
        <w:tc>
          <w:tcPr>
            <w:tcW w:w="2526" w:type="dxa"/>
            <w:shd w:val="clear" w:color="auto" w:fill="006DA7"/>
          </w:tcPr>
          <w:p w:rsidR="00C47D6B" w:rsidRPr="00677A31" w:rsidRDefault="00C47D6B" w:rsidP="00677A31">
            <w:pPr>
              <w:rPr>
                <w:color w:val="FFFFFF" w:themeColor="background1"/>
              </w:rPr>
            </w:pPr>
            <w:r w:rsidRPr="00677A31">
              <w:rPr>
                <w:color w:val="FFFFFF" w:themeColor="background1"/>
              </w:rPr>
              <w:t>Missing information</w:t>
            </w:r>
          </w:p>
        </w:tc>
        <w:tc>
          <w:tcPr>
            <w:tcW w:w="6086" w:type="dxa"/>
          </w:tcPr>
          <w:p w:rsidR="00C47D6B" w:rsidRPr="00DB2B91" w:rsidRDefault="00C47D6B" w:rsidP="00677A31">
            <w:r w:rsidRPr="00DB2B91">
              <w:t>Use in the elderly</w:t>
            </w:r>
          </w:p>
          <w:p w:rsidR="00C47D6B" w:rsidRPr="00DB2B91" w:rsidRDefault="00C47D6B" w:rsidP="00677A31">
            <w:r w:rsidRPr="00DB2B91">
              <w:t>Use in paediatrics</w:t>
            </w:r>
          </w:p>
          <w:p w:rsidR="00C47D6B" w:rsidRPr="00DB2B91" w:rsidRDefault="00C47D6B" w:rsidP="00677A31">
            <w:r w:rsidRPr="00DB2B91">
              <w:t>Use in pregnancy/breastfeeding</w:t>
            </w:r>
          </w:p>
          <w:p w:rsidR="00C47D6B" w:rsidRPr="00DB2B91" w:rsidRDefault="00C47D6B" w:rsidP="00677A31">
            <w:r w:rsidRPr="00DB2B91">
              <w:t>Use in hepatic impairment</w:t>
            </w:r>
          </w:p>
          <w:p w:rsidR="00C47D6B" w:rsidRPr="00DB2B91" w:rsidRDefault="00C47D6B" w:rsidP="00677A31">
            <w:r w:rsidRPr="00DB2B91">
              <w:t>Long-term safety data</w:t>
            </w:r>
          </w:p>
        </w:tc>
      </w:tr>
    </w:tbl>
    <w:p w:rsidR="008E7846" w:rsidRDefault="008E7846" w:rsidP="00677A31">
      <w:pPr>
        <w:pStyle w:val="Heading4"/>
        <w:rPr>
          <w:lang w:eastAsia="en-AU"/>
        </w:rPr>
      </w:pPr>
      <w:r>
        <w:rPr>
          <w:lang w:eastAsia="en-AU"/>
        </w:rPr>
        <w:lastRenderedPageBreak/>
        <w:t xml:space="preserve">Pharmacovigilance </w:t>
      </w:r>
      <w:r w:rsidR="003A7F6C">
        <w:rPr>
          <w:lang w:eastAsia="en-AU"/>
        </w:rPr>
        <w:t>p</w:t>
      </w:r>
      <w:r>
        <w:rPr>
          <w:lang w:eastAsia="en-AU"/>
        </w:rPr>
        <w:t>lan</w:t>
      </w:r>
    </w:p>
    <w:p w:rsidR="001F5D7D" w:rsidRDefault="001F5D7D" w:rsidP="00677A31">
      <w:pPr>
        <w:rPr>
          <w:lang w:eastAsia="en-AU"/>
        </w:rPr>
      </w:pPr>
      <w:r>
        <w:rPr>
          <w:lang w:eastAsia="en-AU"/>
        </w:rPr>
        <w:t>The sponsor has proposed routine pharmacovigilance for all safety concerns except the following (Table 9).</w:t>
      </w:r>
    </w:p>
    <w:p w:rsidR="001F5D7D" w:rsidRPr="001F5D7D" w:rsidRDefault="001F5D7D" w:rsidP="00677A31">
      <w:pPr>
        <w:pStyle w:val="TableTitle"/>
        <w:rPr>
          <w:lang w:eastAsia="en-AU"/>
        </w:rPr>
      </w:pPr>
      <w:r>
        <w:rPr>
          <w:lang w:eastAsia="en-AU"/>
        </w:rPr>
        <w:t>Table 9: Additional pharmacovigilance measures</w:t>
      </w:r>
    </w:p>
    <w:tbl>
      <w:tblPr>
        <w:tblStyle w:val="TableGrid"/>
        <w:tblW w:w="0" w:type="auto"/>
        <w:tblLook w:val="04A0" w:firstRow="1" w:lastRow="0" w:firstColumn="1" w:lastColumn="0" w:noHBand="0" w:noVBand="1"/>
      </w:tblPr>
      <w:tblGrid>
        <w:gridCol w:w="3654"/>
        <w:gridCol w:w="5066"/>
      </w:tblGrid>
      <w:tr w:rsidR="00C47D6B" w:rsidRPr="00451DA4" w:rsidTr="001F5D7D">
        <w:tc>
          <w:tcPr>
            <w:tcW w:w="3654" w:type="dxa"/>
            <w:shd w:val="clear" w:color="auto" w:fill="0070C0"/>
          </w:tcPr>
          <w:p w:rsidR="00C47D6B" w:rsidRPr="00677A31" w:rsidRDefault="00C47D6B" w:rsidP="00677A31">
            <w:pPr>
              <w:rPr>
                <w:color w:val="FFFFFF" w:themeColor="background1"/>
              </w:rPr>
            </w:pPr>
            <w:r w:rsidRPr="00677A31">
              <w:rPr>
                <w:color w:val="FFFFFF" w:themeColor="background1"/>
              </w:rPr>
              <w:t>Important identified risks</w:t>
            </w:r>
          </w:p>
        </w:tc>
        <w:tc>
          <w:tcPr>
            <w:tcW w:w="5066" w:type="dxa"/>
            <w:shd w:val="clear" w:color="auto" w:fill="0070C0"/>
          </w:tcPr>
          <w:p w:rsidR="00C47D6B" w:rsidRPr="00677A31" w:rsidRDefault="001F5D7D" w:rsidP="00677A31">
            <w:pPr>
              <w:rPr>
                <w:color w:val="FFFFFF" w:themeColor="background1"/>
              </w:rPr>
            </w:pPr>
            <w:r w:rsidRPr="00677A31">
              <w:rPr>
                <w:color w:val="FFFFFF" w:themeColor="background1"/>
              </w:rPr>
              <w:t>Proposed p</w:t>
            </w:r>
            <w:r w:rsidR="001F7D25" w:rsidRPr="00677A31">
              <w:rPr>
                <w:color w:val="FFFFFF" w:themeColor="background1"/>
              </w:rPr>
              <w:t>harmacovigilance</w:t>
            </w:r>
          </w:p>
        </w:tc>
      </w:tr>
      <w:tr w:rsidR="00C47D6B" w:rsidTr="001F5D7D">
        <w:tc>
          <w:tcPr>
            <w:tcW w:w="3654" w:type="dxa"/>
            <w:shd w:val="clear" w:color="auto" w:fill="0070C0"/>
          </w:tcPr>
          <w:p w:rsidR="00C47D6B" w:rsidRPr="00677A31" w:rsidRDefault="00C47D6B" w:rsidP="00677A31">
            <w:pPr>
              <w:rPr>
                <w:color w:val="FFFFFF" w:themeColor="background1"/>
              </w:rPr>
            </w:pPr>
            <w:r w:rsidRPr="00677A31">
              <w:rPr>
                <w:color w:val="FFFFFF" w:themeColor="background1"/>
              </w:rPr>
              <w:t>Hypersensitivity reactions</w:t>
            </w:r>
          </w:p>
        </w:tc>
        <w:tc>
          <w:tcPr>
            <w:tcW w:w="5066" w:type="dxa"/>
          </w:tcPr>
          <w:p w:rsidR="00C47D6B" w:rsidRPr="00DB2B91" w:rsidRDefault="00C47D6B" w:rsidP="00677A31">
            <w:r w:rsidRPr="00DB2B91">
              <w:t>Routine pharmacovigilance</w:t>
            </w:r>
          </w:p>
          <w:p w:rsidR="00C47D6B" w:rsidRPr="00DB2B91" w:rsidRDefault="00C47D6B" w:rsidP="00677A31">
            <w:proofErr w:type="spellStart"/>
            <w:r w:rsidRPr="00DB2B91">
              <w:t>EuroSIDA</w:t>
            </w:r>
            <w:proofErr w:type="spellEnd"/>
            <w:r w:rsidRPr="00DB2B91">
              <w:t xml:space="preserve"> cohort study</w:t>
            </w:r>
          </w:p>
          <w:p w:rsidR="00C47D6B" w:rsidRPr="00DB2B91" w:rsidRDefault="00C47D6B" w:rsidP="00677A31">
            <w:r w:rsidRPr="00DB2B91">
              <w:t>Aggregate review of clinical trial and spontaneous cases of suspected hypersensitivity reaction</w:t>
            </w:r>
          </w:p>
        </w:tc>
      </w:tr>
      <w:tr w:rsidR="00C47D6B" w:rsidTr="001F5D7D">
        <w:tc>
          <w:tcPr>
            <w:tcW w:w="3654" w:type="dxa"/>
            <w:shd w:val="clear" w:color="auto" w:fill="0070C0"/>
          </w:tcPr>
          <w:p w:rsidR="00C47D6B" w:rsidRPr="00677A31" w:rsidRDefault="00C47D6B" w:rsidP="00677A31">
            <w:pPr>
              <w:rPr>
                <w:color w:val="FFFFFF" w:themeColor="background1"/>
              </w:rPr>
            </w:pPr>
            <w:r w:rsidRPr="00677A31">
              <w:rPr>
                <w:color w:val="FFFFFF" w:themeColor="background1"/>
              </w:rPr>
              <w:t>Hepatobiliary disorders</w:t>
            </w:r>
          </w:p>
        </w:tc>
        <w:tc>
          <w:tcPr>
            <w:tcW w:w="5066" w:type="dxa"/>
          </w:tcPr>
          <w:p w:rsidR="00C47D6B" w:rsidRPr="00DB2B91" w:rsidRDefault="00C47D6B" w:rsidP="00677A31">
            <w:r w:rsidRPr="00DB2B91">
              <w:t>Routine pharmacovigilance</w:t>
            </w:r>
          </w:p>
          <w:p w:rsidR="00C47D6B" w:rsidRPr="00DB2B91" w:rsidRDefault="00C47D6B" w:rsidP="00677A31">
            <w:proofErr w:type="spellStart"/>
            <w:r w:rsidRPr="00DB2B91">
              <w:t>EuroSIDA</w:t>
            </w:r>
            <w:proofErr w:type="spellEnd"/>
            <w:r w:rsidRPr="00DB2B91">
              <w:t xml:space="preserve"> cohort study</w:t>
            </w:r>
          </w:p>
        </w:tc>
      </w:tr>
      <w:tr w:rsidR="00C47D6B" w:rsidTr="001F5D7D">
        <w:tc>
          <w:tcPr>
            <w:tcW w:w="3654" w:type="dxa"/>
            <w:shd w:val="clear" w:color="auto" w:fill="0070C0"/>
          </w:tcPr>
          <w:p w:rsidR="00C47D6B" w:rsidRPr="00677A31" w:rsidRDefault="00C47D6B" w:rsidP="00677A31">
            <w:pPr>
              <w:rPr>
                <w:color w:val="FFFFFF" w:themeColor="background1"/>
              </w:rPr>
            </w:pPr>
            <w:r w:rsidRPr="00677A31">
              <w:rPr>
                <w:color w:val="FFFFFF" w:themeColor="background1"/>
              </w:rPr>
              <w:t>Serious rash</w:t>
            </w:r>
          </w:p>
        </w:tc>
        <w:tc>
          <w:tcPr>
            <w:tcW w:w="5066" w:type="dxa"/>
          </w:tcPr>
          <w:p w:rsidR="00C47D6B" w:rsidRPr="00DB2B91" w:rsidRDefault="00C47D6B" w:rsidP="00677A31">
            <w:r w:rsidRPr="00DB2B91">
              <w:t>Routine pharmacovigilance</w:t>
            </w:r>
          </w:p>
          <w:p w:rsidR="00C47D6B" w:rsidRPr="00DB2B91" w:rsidRDefault="00C47D6B" w:rsidP="00677A31">
            <w:proofErr w:type="spellStart"/>
            <w:r w:rsidRPr="00DB2B91">
              <w:t>EuroSIDA</w:t>
            </w:r>
            <w:proofErr w:type="spellEnd"/>
            <w:r w:rsidRPr="00DB2B91">
              <w:t xml:space="preserve"> cohort study</w:t>
            </w:r>
          </w:p>
        </w:tc>
      </w:tr>
      <w:tr w:rsidR="00C47D6B" w:rsidTr="001F5D7D">
        <w:tc>
          <w:tcPr>
            <w:tcW w:w="3654" w:type="dxa"/>
            <w:shd w:val="clear" w:color="auto" w:fill="0070C0"/>
          </w:tcPr>
          <w:p w:rsidR="00C47D6B" w:rsidRPr="00677A31" w:rsidRDefault="00C47D6B" w:rsidP="00677A31">
            <w:pPr>
              <w:rPr>
                <w:color w:val="FFFFFF" w:themeColor="background1"/>
              </w:rPr>
            </w:pPr>
            <w:r w:rsidRPr="00677A31">
              <w:rPr>
                <w:color w:val="FFFFFF" w:themeColor="background1"/>
              </w:rPr>
              <w:t>Carcinogenicity and long-term exposure to NRTIs</w:t>
            </w:r>
          </w:p>
        </w:tc>
        <w:tc>
          <w:tcPr>
            <w:tcW w:w="5066" w:type="dxa"/>
          </w:tcPr>
          <w:p w:rsidR="00C47D6B" w:rsidRPr="00DB2B91" w:rsidRDefault="00C47D6B" w:rsidP="00677A31">
            <w:r w:rsidRPr="00DB2B91">
              <w:t>Routine pharmacovigilance</w:t>
            </w:r>
          </w:p>
          <w:p w:rsidR="00C47D6B" w:rsidRPr="00DB2B91" w:rsidRDefault="00C47D6B" w:rsidP="00677A31">
            <w:r w:rsidRPr="00DB2B91">
              <w:t>Review outputs from the sponsor supported data collection on adverse events of anti-HIV drugs from AIDS associated malignancy and non AIDS associated malignancy</w:t>
            </w:r>
          </w:p>
        </w:tc>
      </w:tr>
      <w:tr w:rsidR="00C47D6B" w:rsidTr="001F5D7D">
        <w:tc>
          <w:tcPr>
            <w:tcW w:w="3654" w:type="dxa"/>
            <w:shd w:val="clear" w:color="auto" w:fill="0070C0"/>
          </w:tcPr>
          <w:p w:rsidR="00C47D6B" w:rsidRPr="00677A31" w:rsidRDefault="00C47D6B" w:rsidP="00677A31">
            <w:pPr>
              <w:rPr>
                <w:color w:val="FFFFFF" w:themeColor="background1"/>
              </w:rPr>
            </w:pPr>
            <w:r w:rsidRPr="00677A31">
              <w:rPr>
                <w:color w:val="FFFFFF" w:themeColor="background1"/>
              </w:rPr>
              <w:t>Cardiac events leading to ischaemia</w:t>
            </w:r>
          </w:p>
        </w:tc>
        <w:tc>
          <w:tcPr>
            <w:tcW w:w="5066" w:type="dxa"/>
          </w:tcPr>
          <w:p w:rsidR="00C47D6B" w:rsidRPr="00DB2B91" w:rsidRDefault="00C47D6B" w:rsidP="00677A31">
            <w:r w:rsidRPr="00DB2B91">
              <w:t>Routine pharmacovigilance</w:t>
            </w:r>
          </w:p>
          <w:p w:rsidR="00C47D6B" w:rsidRPr="00DB2B91" w:rsidRDefault="00C47D6B" w:rsidP="00677A31">
            <w:r w:rsidRPr="00DB2B91">
              <w:t>Review outputs from ongoing HAART-OC collaboration and ongoing studies: COL110408, COL112372 and COL112779</w:t>
            </w:r>
          </w:p>
        </w:tc>
      </w:tr>
      <w:tr w:rsidR="00C47D6B" w:rsidTr="001F5D7D">
        <w:tc>
          <w:tcPr>
            <w:tcW w:w="3654" w:type="dxa"/>
            <w:shd w:val="clear" w:color="auto" w:fill="0070C0"/>
          </w:tcPr>
          <w:p w:rsidR="00C47D6B" w:rsidRPr="00677A31" w:rsidRDefault="00C47D6B" w:rsidP="00677A31">
            <w:pPr>
              <w:rPr>
                <w:color w:val="FFFFFF" w:themeColor="background1"/>
              </w:rPr>
            </w:pPr>
            <w:r w:rsidRPr="00677A31">
              <w:rPr>
                <w:color w:val="FFFFFF" w:themeColor="background1"/>
              </w:rPr>
              <w:t xml:space="preserve">Exposure to </w:t>
            </w:r>
            <w:proofErr w:type="spellStart"/>
            <w:r w:rsidRPr="00677A31">
              <w:rPr>
                <w:color w:val="FFFFFF" w:themeColor="background1"/>
              </w:rPr>
              <w:t>abacavir</w:t>
            </w:r>
            <w:proofErr w:type="spellEnd"/>
            <w:r w:rsidRPr="00677A31">
              <w:rPr>
                <w:color w:val="FFFFFF" w:themeColor="background1"/>
              </w:rPr>
              <w:t xml:space="preserve"> during pregnancy</w:t>
            </w:r>
          </w:p>
        </w:tc>
        <w:tc>
          <w:tcPr>
            <w:tcW w:w="5066" w:type="dxa"/>
          </w:tcPr>
          <w:p w:rsidR="00C47D6B" w:rsidRPr="00DB2B91" w:rsidRDefault="00C47D6B" w:rsidP="00677A31">
            <w:r w:rsidRPr="00DB2B91">
              <w:t>Routine pharmacovigilance</w:t>
            </w:r>
          </w:p>
          <w:p w:rsidR="00C47D6B" w:rsidRPr="00DB2B91" w:rsidRDefault="00C47D6B" w:rsidP="00677A31">
            <w:r w:rsidRPr="00DB2B91">
              <w:t xml:space="preserve">Review of the Antiretroviral Pregnancy Registry </w:t>
            </w:r>
          </w:p>
        </w:tc>
      </w:tr>
      <w:tr w:rsidR="00C47D6B" w:rsidTr="001F5D7D">
        <w:tc>
          <w:tcPr>
            <w:tcW w:w="3654" w:type="dxa"/>
            <w:shd w:val="clear" w:color="auto" w:fill="0070C0"/>
          </w:tcPr>
          <w:p w:rsidR="00C47D6B" w:rsidRPr="00677A31" w:rsidRDefault="00C47D6B" w:rsidP="00677A31">
            <w:pPr>
              <w:rPr>
                <w:color w:val="FFFFFF" w:themeColor="background1"/>
              </w:rPr>
            </w:pPr>
            <w:r w:rsidRPr="00677A31">
              <w:rPr>
                <w:color w:val="FFFFFF" w:themeColor="background1"/>
              </w:rPr>
              <w:t xml:space="preserve">Drug interaction between </w:t>
            </w:r>
            <w:proofErr w:type="spellStart"/>
            <w:r w:rsidRPr="00677A31">
              <w:rPr>
                <w:color w:val="FFFFFF" w:themeColor="background1"/>
              </w:rPr>
              <w:t>abacavir</w:t>
            </w:r>
            <w:proofErr w:type="spellEnd"/>
            <w:r w:rsidRPr="00677A31">
              <w:rPr>
                <w:color w:val="FFFFFF" w:themeColor="background1"/>
              </w:rPr>
              <w:t xml:space="preserve"> and ribavirin</w:t>
            </w:r>
          </w:p>
        </w:tc>
        <w:tc>
          <w:tcPr>
            <w:tcW w:w="5066" w:type="dxa"/>
          </w:tcPr>
          <w:p w:rsidR="00C47D6B" w:rsidRPr="00DB2B91" w:rsidRDefault="00C47D6B" w:rsidP="00677A31">
            <w:r w:rsidRPr="00DB2B91">
              <w:t>Routine pharmacovigilance</w:t>
            </w:r>
          </w:p>
          <w:p w:rsidR="00C47D6B" w:rsidRPr="00DB2B91" w:rsidRDefault="00C47D6B" w:rsidP="00677A31">
            <w:r w:rsidRPr="00DB2B91">
              <w:t>Review final outputs from ongoing study COL112055</w:t>
            </w:r>
          </w:p>
        </w:tc>
      </w:tr>
      <w:tr w:rsidR="00C47D6B" w:rsidTr="001F5D7D">
        <w:tc>
          <w:tcPr>
            <w:tcW w:w="3654" w:type="dxa"/>
            <w:shd w:val="clear" w:color="auto" w:fill="0070C0"/>
          </w:tcPr>
          <w:p w:rsidR="00C47D6B" w:rsidRPr="00677A31" w:rsidRDefault="00C47D6B" w:rsidP="00677A31">
            <w:pPr>
              <w:rPr>
                <w:color w:val="FFFFFF" w:themeColor="background1"/>
              </w:rPr>
            </w:pPr>
            <w:r w:rsidRPr="00677A31">
              <w:rPr>
                <w:color w:val="FFFFFF" w:themeColor="background1"/>
              </w:rPr>
              <w:t>Missing information</w:t>
            </w:r>
          </w:p>
        </w:tc>
        <w:tc>
          <w:tcPr>
            <w:tcW w:w="5066" w:type="dxa"/>
            <w:shd w:val="clear" w:color="auto" w:fill="0070C0"/>
          </w:tcPr>
          <w:p w:rsidR="00C47D6B" w:rsidRPr="00677A31" w:rsidRDefault="001F5D7D" w:rsidP="00677A31">
            <w:pPr>
              <w:rPr>
                <w:color w:val="FFFFFF" w:themeColor="background1"/>
              </w:rPr>
            </w:pPr>
            <w:r w:rsidRPr="00677A31">
              <w:rPr>
                <w:color w:val="FFFFFF" w:themeColor="background1"/>
              </w:rPr>
              <w:t>Prop</w:t>
            </w:r>
            <w:r w:rsidR="00677A31">
              <w:rPr>
                <w:color w:val="FFFFFF" w:themeColor="background1"/>
              </w:rPr>
              <w:t>osed pharmacovigilance</w:t>
            </w:r>
          </w:p>
        </w:tc>
      </w:tr>
      <w:tr w:rsidR="00C47D6B" w:rsidTr="001F5D7D">
        <w:tc>
          <w:tcPr>
            <w:tcW w:w="3654" w:type="dxa"/>
            <w:shd w:val="clear" w:color="auto" w:fill="0070C0"/>
          </w:tcPr>
          <w:p w:rsidR="00C47D6B" w:rsidRPr="00677A31" w:rsidRDefault="00C47D6B" w:rsidP="00677A31">
            <w:pPr>
              <w:rPr>
                <w:color w:val="FFFFFF" w:themeColor="background1"/>
              </w:rPr>
            </w:pPr>
            <w:r w:rsidRPr="00677A31">
              <w:rPr>
                <w:color w:val="FFFFFF" w:themeColor="background1"/>
              </w:rPr>
              <w:t>Use in paediatrics</w:t>
            </w:r>
          </w:p>
        </w:tc>
        <w:tc>
          <w:tcPr>
            <w:tcW w:w="5066" w:type="dxa"/>
          </w:tcPr>
          <w:p w:rsidR="00C47D6B" w:rsidRPr="00DB2B91" w:rsidRDefault="00C47D6B" w:rsidP="00677A31">
            <w:r w:rsidRPr="00DB2B91">
              <w:t>Routine pharmacovigilance</w:t>
            </w:r>
          </w:p>
          <w:p w:rsidR="00C47D6B" w:rsidRPr="00DB2B91" w:rsidRDefault="00C47D6B" w:rsidP="00677A31">
            <w:r w:rsidRPr="00DB2B91">
              <w:t xml:space="preserve">Ongoing </w:t>
            </w:r>
            <w:proofErr w:type="spellStart"/>
            <w:r w:rsidRPr="00DB2B91">
              <w:t>dolutegravir</w:t>
            </w:r>
            <w:proofErr w:type="spellEnd"/>
            <w:r w:rsidRPr="00DB2B91">
              <w:t xml:space="preserve"> paediatric </w:t>
            </w:r>
            <w:r w:rsidR="00B62617" w:rsidRPr="00DB2B91">
              <w:t>Study ING</w:t>
            </w:r>
            <w:r w:rsidRPr="00DB2B91">
              <w:t>112578</w:t>
            </w:r>
          </w:p>
        </w:tc>
      </w:tr>
      <w:tr w:rsidR="00C47D6B" w:rsidTr="001F5D7D">
        <w:tc>
          <w:tcPr>
            <w:tcW w:w="3654" w:type="dxa"/>
            <w:shd w:val="clear" w:color="auto" w:fill="0070C0"/>
          </w:tcPr>
          <w:p w:rsidR="00C47D6B" w:rsidRPr="00677A31" w:rsidRDefault="00C47D6B" w:rsidP="00677A31">
            <w:pPr>
              <w:rPr>
                <w:color w:val="FFFFFF" w:themeColor="background1"/>
              </w:rPr>
            </w:pPr>
            <w:r w:rsidRPr="00677A31">
              <w:rPr>
                <w:color w:val="FFFFFF" w:themeColor="background1"/>
              </w:rPr>
              <w:t>Use in pregnancy/breastfeeding</w:t>
            </w:r>
          </w:p>
        </w:tc>
        <w:tc>
          <w:tcPr>
            <w:tcW w:w="5066" w:type="dxa"/>
          </w:tcPr>
          <w:p w:rsidR="00C47D6B" w:rsidRPr="00DB2B91" w:rsidRDefault="00C47D6B" w:rsidP="00677A31">
            <w:r w:rsidRPr="00DB2B91">
              <w:t>Routine pharmacovigilance</w:t>
            </w:r>
          </w:p>
          <w:p w:rsidR="00C47D6B" w:rsidRPr="00DB2B91" w:rsidRDefault="00C47D6B" w:rsidP="00677A31">
            <w:r w:rsidRPr="00DB2B91">
              <w:t>Review of the Antiretroviral Pregnancy Registry</w:t>
            </w:r>
          </w:p>
        </w:tc>
      </w:tr>
    </w:tbl>
    <w:p w:rsidR="008E7846" w:rsidRDefault="008E7846" w:rsidP="003D1463">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C47D6B" w:rsidRDefault="00C47D6B" w:rsidP="003D1463">
      <w:r>
        <w:t xml:space="preserve">In addition to routine risk minimisation activities </w:t>
      </w:r>
      <w:r w:rsidR="001F5D7D">
        <w:t>via</w:t>
      </w:r>
      <w:r>
        <w:t xml:space="preserve"> the PI and </w:t>
      </w:r>
      <w:r w:rsidR="001F5D7D">
        <w:t>Consumer Medicine Information (</w:t>
      </w:r>
      <w:r>
        <w:t>CMI</w:t>
      </w:r>
      <w:r w:rsidR="001F5D7D">
        <w:t>)</w:t>
      </w:r>
      <w:r>
        <w:t>, the sponsor proposes a patient alert card and HLA-B*5701 screening for the risk of hypersensitivity. The training provided by the Australasian Society for HIV Medicine to prescribers is also included as a risk minimisation measure.</w:t>
      </w:r>
    </w:p>
    <w:p w:rsidR="006F25B8" w:rsidRDefault="006F25B8" w:rsidP="003D1463">
      <w:pPr>
        <w:pStyle w:val="Heading4"/>
        <w:rPr>
          <w:lang w:eastAsia="en-AU"/>
        </w:rPr>
      </w:pPr>
      <w:bookmarkStart w:id="113" w:name="_Toc247691527"/>
      <w:r w:rsidRPr="006F25B8">
        <w:rPr>
          <w:lang w:eastAsia="en-AU"/>
        </w:rPr>
        <w:lastRenderedPageBreak/>
        <w:t>Reconciliation of is</w:t>
      </w:r>
      <w:r w:rsidR="001F7D25">
        <w:rPr>
          <w:lang w:eastAsia="en-AU"/>
        </w:rPr>
        <w:t>sues outlined in the RMP report</w:t>
      </w:r>
    </w:p>
    <w:p w:rsidR="006F25B8" w:rsidRDefault="006F25B8" w:rsidP="003D1463">
      <w:pPr>
        <w:rPr>
          <w:lang w:eastAsia="en-AU"/>
        </w:rPr>
      </w:pPr>
      <w:r>
        <w:rPr>
          <w:lang w:eastAsia="en-AU"/>
        </w:rPr>
        <w:t xml:space="preserve">Table </w:t>
      </w:r>
      <w:r w:rsidR="001F5D7D">
        <w:rPr>
          <w:lang w:eastAsia="en-AU"/>
        </w:rPr>
        <w:t>10</w:t>
      </w:r>
      <w:r>
        <w:rPr>
          <w:lang w:eastAsia="en-AU"/>
        </w:rPr>
        <w:t xml:space="preserve"> summarises the OPR’s first round evaluation of the RMP, the sponsor’s responses to issues raised by the OPR and the OPR’s evaluation of the sponsor’s responses.</w:t>
      </w:r>
    </w:p>
    <w:p w:rsidR="00A85830" w:rsidRPr="007848B3" w:rsidRDefault="00797148" w:rsidP="003D1463">
      <w:pPr>
        <w:pStyle w:val="TableTitle"/>
      </w:pPr>
      <w:r>
        <w:t xml:space="preserve">Table </w:t>
      </w:r>
      <w:r w:rsidR="001F5D7D">
        <w:t xml:space="preserve">10: </w:t>
      </w:r>
      <w:r w:rsidR="00A85830" w:rsidRPr="00107999">
        <w:t>Reconciliation of issues outlined in the RMP report</w:t>
      </w:r>
    </w:p>
    <w:tbl>
      <w:tblPr>
        <w:tblStyle w:val="TableTGAblue"/>
        <w:tblW w:w="5000" w:type="pct"/>
        <w:tblLayout w:type="fixed"/>
        <w:tblLook w:val="04A0" w:firstRow="1" w:lastRow="0" w:firstColumn="1" w:lastColumn="0" w:noHBand="0" w:noVBand="1"/>
      </w:tblPr>
      <w:tblGrid>
        <w:gridCol w:w="2879"/>
        <w:gridCol w:w="3722"/>
        <w:gridCol w:w="2119"/>
      </w:tblGrid>
      <w:tr w:rsidR="00A85830" w:rsidRPr="00107999" w:rsidTr="003D1463">
        <w:trPr>
          <w:cnfStyle w:val="100000000000" w:firstRow="1" w:lastRow="0" w:firstColumn="0" w:lastColumn="0" w:oddVBand="0" w:evenVBand="0" w:oddHBand="0" w:evenHBand="0" w:firstRowFirstColumn="0" w:firstRowLastColumn="0" w:lastRowFirstColumn="0" w:lastRowLastColumn="0"/>
        </w:trPr>
        <w:tc>
          <w:tcPr>
            <w:tcW w:w="1651" w:type="pct"/>
            <w:noWrap/>
          </w:tcPr>
          <w:p w:rsidR="00A85830" w:rsidRPr="00DB2B91" w:rsidRDefault="00A85830" w:rsidP="003D1463">
            <w:pPr>
              <w:ind w:left="0"/>
            </w:pPr>
            <w:r w:rsidRPr="00DB2B91">
              <w:t>Recommendation in RMP evaluation report</w:t>
            </w:r>
          </w:p>
        </w:tc>
        <w:tc>
          <w:tcPr>
            <w:tcW w:w="2134" w:type="pct"/>
            <w:noWrap/>
          </w:tcPr>
          <w:p w:rsidR="00A85830" w:rsidRPr="00DB2B91" w:rsidRDefault="00A85830" w:rsidP="003D1463">
            <w:pPr>
              <w:ind w:left="0"/>
              <w:rPr>
                <w:i/>
              </w:rPr>
            </w:pPr>
            <w:r w:rsidRPr="00DB2B91">
              <w:t>Sponsor’s response</w:t>
            </w:r>
          </w:p>
        </w:tc>
        <w:tc>
          <w:tcPr>
            <w:tcW w:w="1215" w:type="pct"/>
            <w:noWrap/>
          </w:tcPr>
          <w:p w:rsidR="00A85830" w:rsidRPr="00DB2B91" w:rsidRDefault="00A85830" w:rsidP="003D1463">
            <w:pPr>
              <w:ind w:left="62"/>
            </w:pPr>
            <w:r w:rsidRPr="00DB2B91">
              <w:t>OPR evaluator’s comment</w:t>
            </w:r>
          </w:p>
        </w:tc>
      </w:tr>
      <w:tr w:rsidR="00A85830" w:rsidRPr="00107999" w:rsidTr="003D1463">
        <w:tc>
          <w:tcPr>
            <w:tcW w:w="1651" w:type="pct"/>
            <w:noWrap/>
          </w:tcPr>
          <w:p w:rsidR="00A85830" w:rsidRPr="00DB2B91" w:rsidRDefault="00A85830" w:rsidP="003D1463">
            <w:pPr>
              <w:ind w:left="0"/>
            </w:pPr>
            <w:r w:rsidRPr="00DB2B91">
              <w:t xml:space="preserve">Safety considerations may be raised by the nonclinical and clinical evaluators through the </w:t>
            </w:r>
            <w:r w:rsidR="001F5D7D" w:rsidRPr="00DB2B91">
              <w:t xml:space="preserve">TGA’s </w:t>
            </w:r>
            <w:r w:rsidRPr="00DB2B91">
              <w:t xml:space="preserve">consolidated request </w:t>
            </w:r>
            <w:r w:rsidR="001F5D7D" w:rsidRPr="00DB2B91">
              <w:t xml:space="preserve">for further information </w:t>
            </w:r>
            <w:r w:rsidRPr="00DB2B91">
              <w:t>and/or the Nonclinical and Clinical Evaluation Reports respectively.</w:t>
            </w:r>
            <w:r w:rsidR="00E873CA" w:rsidRPr="00DB2B91">
              <w:t xml:space="preserve"> </w:t>
            </w:r>
            <w:r w:rsidRPr="00DB2B91">
              <w:t>It is important to ensure that the information provided in response to these includes a consideration of the relevance for the Risk Management Plan, and any specific information needed to address this issue in the RMP.</w:t>
            </w:r>
            <w:r w:rsidR="00E873CA" w:rsidRPr="00DB2B91">
              <w:t xml:space="preserve"> </w:t>
            </w:r>
            <w:r w:rsidRPr="00DB2B91">
              <w:rPr>
                <w:bCs/>
              </w:rPr>
              <w:t xml:space="preserve">For any safety considerations so raised, </w:t>
            </w:r>
            <w:r w:rsidRPr="00DB2B91">
              <w:t>the sponsor should</w:t>
            </w:r>
            <w:r w:rsidRPr="00DB2B91">
              <w:rPr>
                <w:bCs/>
              </w:rPr>
              <w:t xml:space="preserve"> provide information that is relevant and necessary to address the issue in the RMP.</w:t>
            </w:r>
          </w:p>
        </w:tc>
        <w:tc>
          <w:tcPr>
            <w:tcW w:w="2134" w:type="pct"/>
            <w:noWrap/>
          </w:tcPr>
          <w:p w:rsidR="00A85830" w:rsidRPr="00DB2B91" w:rsidRDefault="00A85830" w:rsidP="003D1463">
            <w:pPr>
              <w:ind w:left="0"/>
              <w:rPr>
                <w:i/>
              </w:rPr>
            </w:pPr>
            <w:r w:rsidRPr="00DB2B91">
              <w:rPr>
                <w:i/>
              </w:rPr>
              <w:t>Information provided in responses to safety considerations raised by the non-clinical and clinical evaluators include a consideration of the relevance for the Risk Management Plan. No changes to the Risk Management Plan are proposed on the basis of these responses.</w:t>
            </w:r>
          </w:p>
        </w:tc>
        <w:tc>
          <w:tcPr>
            <w:tcW w:w="1215" w:type="pct"/>
            <w:noWrap/>
          </w:tcPr>
          <w:p w:rsidR="00A85830" w:rsidRPr="00DB2B91" w:rsidRDefault="00A85830" w:rsidP="003D1463">
            <w:pPr>
              <w:ind w:left="62"/>
            </w:pPr>
            <w:r w:rsidRPr="00DB2B91">
              <w:t>The spon</w:t>
            </w:r>
            <w:r w:rsidR="003D1463">
              <w:t>sor’s response is satisfactory.</w:t>
            </w:r>
          </w:p>
        </w:tc>
      </w:tr>
      <w:tr w:rsidR="00A85830" w:rsidRPr="00107999" w:rsidTr="003D1463">
        <w:tc>
          <w:tcPr>
            <w:tcW w:w="1651" w:type="pct"/>
            <w:noWrap/>
          </w:tcPr>
          <w:p w:rsidR="00A85830" w:rsidRPr="00DB2B91" w:rsidRDefault="00A85830" w:rsidP="003D1463">
            <w:pPr>
              <w:ind w:left="0"/>
            </w:pPr>
            <w:r w:rsidRPr="00DB2B91">
              <w:t xml:space="preserve">In the sponsor’s email response to the TGA dated 03 February 2014, the contact details of </w:t>
            </w:r>
            <w:r w:rsidR="001F5D7D" w:rsidRPr="00DB2B91">
              <w:t xml:space="preserve">the contact person for the RMP in Australia </w:t>
            </w:r>
            <w:r w:rsidRPr="00DB2B91">
              <w:t>were provided as. This information should be included in the ASA.</w:t>
            </w:r>
          </w:p>
        </w:tc>
        <w:tc>
          <w:tcPr>
            <w:tcW w:w="2134" w:type="pct"/>
            <w:noWrap/>
          </w:tcPr>
          <w:p w:rsidR="00A85830" w:rsidRPr="00DB2B91" w:rsidRDefault="00A85830" w:rsidP="003D1463">
            <w:pPr>
              <w:ind w:left="0"/>
              <w:rPr>
                <w:i/>
              </w:rPr>
            </w:pPr>
            <w:r w:rsidRPr="00DB2B91">
              <w:rPr>
                <w:i/>
              </w:rPr>
              <w:t xml:space="preserve">The person responsible for the implementation of the RMP activities within Australia is the nominated qualified person responsible for pharmacovigilance </w:t>
            </w:r>
            <w:r w:rsidR="003D1463">
              <w:rPr>
                <w:i/>
              </w:rPr>
              <w:t xml:space="preserve">at </w:t>
            </w:r>
            <w:proofErr w:type="spellStart"/>
            <w:r w:rsidR="003D1463">
              <w:rPr>
                <w:i/>
              </w:rPr>
              <w:t>ViiV</w:t>
            </w:r>
            <w:proofErr w:type="spellEnd"/>
            <w:r w:rsidR="003D1463">
              <w:rPr>
                <w:i/>
              </w:rPr>
              <w:t xml:space="preserve"> Healthcare Pty Limited.</w:t>
            </w:r>
          </w:p>
          <w:p w:rsidR="00A85830" w:rsidRPr="00DB2B91" w:rsidRDefault="00A85830" w:rsidP="003D1463">
            <w:pPr>
              <w:ind w:left="0"/>
              <w:rPr>
                <w:i/>
              </w:rPr>
            </w:pPr>
            <w:r w:rsidRPr="00DB2B91">
              <w:rPr>
                <w:i/>
              </w:rPr>
              <w:t xml:space="preserve">The TGA have previously been advised of the nominated person responsible for pharmacovigilance. Per correspondence from </w:t>
            </w:r>
            <w:proofErr w:type="spellStart"/>
            <w:r w:rsidRPr="00DB2B91">
              <w:rPr>
                <w:i/>
              </w:rPr>
              <w:t>ViiV</w:t>
            </w:r>
            <w:proofErr w:type="spellEnd"/>
            <w:r w:rsidRPr="00DB2B91">
              <w:rPr>
                <w:i/>
              </w:rPr>
              <w:t xml:space="preserve"> Healthcare Pty Ltd to the TGA, dated 1 February 2012 and </w:t>
            </w:r>
            <w:r w:rsidR="001F5D7D" w:rsidRPr="00DB2B91">
              <w:rPr>
                <w:i/>
              </w:rPr>
              <w:t xml:space="preserve">3 February 2014. </w:t>
            </w:r>
            <w:r w:rsidRPr="00DB2B91">
              <w:rPr>
                <w:i/>
              </w:rPr>
              <w:t xml:space="preserve">GSK Australia provides Pharmacovigilance services to </w:t>
            </w:r>
            <w:proofErr w:type="spellStart"/>
            <w:r w:rsidRPr="00DB2B91">
              <w:rPr>
                <w:i/>
              </w:rPr>
              <w:t>ViiV</w:t>
            </w:r>
            <w:proofErr w:type="spellEnd"/>
            <w:r w:rsidRPr="00DB2B91">
              <w:rPr>
                <w:i/>
              </w:rPr>
              <w:t xml:space="preserve"> Healthcare Pty Ltd as set out in the Australian Specific Annex to the EU RMP</w:t>
            </w:r>
            <w:r w:rsidR="003D1463">
              <w:rPr>
                <w:i/>
              </w:rPr>
              <w:t>.</w:t>
            </w:r>
          </w:p>
          <w:p w:rsidR="00A85830" w:rsidRPr="00DB2B91" w:rsidRDefault="00A85830" w:rsidP="003D1463">
            <w:pPr>
              <w:ind w:left="0"/>
              <w:rPr>
                <w:i/>
              </w:rPr>
            </w:pPr>
            <w:r w:rsidRPr="00DB2B91">
              <w:rPr>
                <w:i/>
              </w:rPr>
              <w:lastRenderedPageBreak/>
              <w:t>Per the Australian Requirements and Recommendations for Pharmacovigilance Responsibilities of Sponsors of Medicines v1.3, June 2014, the sponsor commits to update the TGA with any changes to the responsible person within 15 calendar days in accordance with the requirements.</w:t>
            </w:r>
          </w:p>
        </w:tc>
        <w:tc>
          <w:tcPr>
            <w:tcW w:w="1215" w:type="pct"/>
            <w:noWrap/>
          </w:tcPr>
          <w:p w:rsidR="00A85830" w:rsidRPr="00DB2B91" w:rsidRDefault="00A85830" w:rsidP="003D1463">
            <w:pPr>
              <w:ind w:left="62"/>
            </w:pPr>
            <w:r w:rsidRPr="00DB2B91">
              <w:lastRenderedPageBreak/>
              <w:t>The sponsor’s response is noted. The TGA is developing guidance for the content and format of ASA.</w:t>
            </w:r>
          </w:p>
        </w:tc>
      </w:tr>
      <w:tr w:rsidR="00A85830" w:rsidRPr="00107999" w:rsidTr="003D1463">
        <w:tc>
          <w:tcPr>
            <w:tcW w:w="1651" w:type="pct"/>
            <w:noWrap/>
          </w:tcPr>
          <w:p w:rsidR="00A85830" w:rsidRPr="00DB2B91" w:rsidRDefault="00A85830" w:rsidP="003D1463">
            <w:pPr>
              <w:ind w:left="0"/>
            </w:pPr>
            <w:r w:rsidRPr="00DB2B91">
              <w:lastRenderedPageBreak/>
              <w:t>The sponsor should provide an attachment to the ASA setting out all the forthcoming studies and the anticipated dates for their submission in Australia.</w:t>
            </w:r>
          </w:p>
        </w:tc>
        <w:tc>
          <w:tcPr>
            <w:tcW w:w="2134" w:type="pct"/>
            <w:noWrap/>
          </w:tcPr>
          <w:p w:rsidR="00A85830" w:rsidRPr="00DB2B91" w:rsidRDefault="00A85830" w:rsidP="003D1463">
            <w:pPr>
              <w:ind w:left="0"/>
              <w:rPr>
                <w:i/>
              </w:rPr>
            </w:pPr>
            <w:proofErr w:type="spellStart"/>
            <w:r w:rsidRPr="00DB2B91">
              <w:rPr>
                <w:i/>
              </w:rPr>
              <w:t>ViiV</w:t>
            </w:r>
            <w:proofErr w:type="spellEnd"/>
            <w:r w:rsidRPr="00DB2B91">
              <w:rPr>
                <w:i/>
              </w:rPr>
              <w:t xml:space="preserve"> notes the evaluator’s suggestion. </w:t>
            </w:r>
            <w:proofErr w:type="spellStart"/>
            <w:r w:rsidRPr="00DB2B91">
              <w:rPr>
                <w:i/>
              </w:rPr>
              <w:t>ViiV</w:t>
            </w:r>
            <w:proofErr w:type="spellEnd"/>
            <w:r w:rsidRPr="00DB2B91">
              <w:rPr>
                <w:i/>
              </w:rPr>
              <w:t xml:space="preserve"> refers the evaluator to Part III.4 of the EU RMP (Table 29 and Table 30) and Annex 4 of the EU RMP (Synopsis of on-going and completed clinical trial programme). The anticipated timings of all the relevant clinical studies are included in these sections of the EU-RMP. The Australian Specific Annex to the EU-RMP notes in Section 2.4 that all additional pharmacovigilance activities are relevant to Australian patients. The results of these studies will be summarised in future RMPs and </w:t>
            </w:r>
            <w:r w:rsidR="001F5D7D" w:rsidRPr="00DB2B91">
              <w:rPr>
                <w:rStyle w:val="st"/>
                <w:rFonts w:asciiTheme="minorHAnsi" w:hAnsiTheme="minorHAnsi" w:cs="Arial"/>
                <w:i/>
                <w:color w:val="222222"/>
                <w:sz w:val="20"/>
                <w:szCs w:val="20"/>
              </w:rPr>
              <w:t>Periodic benefit-risk evaluation reports (</w:t>
            </w:r>
            <w:r w:rsidRPr="00DB2B91">
              <w:rPr>
                <w:i/>
              </w:rPr>
              <w:t>PBRERs</w:t>
            </w:r>
            <w:r w:rsidR="001F5D7D" w:rsidRPr="00DB2B91">
              <w:rPr>
                <w:i/>
              </w:rPr>
              <w:t>)</w:t>
            </w:r>
            <w:r w:rsidRPr="00DB2B91">
              <w:rPr>
                <w:i/>
              </w:rPr>
              <w:t xml:space="preserve">, as appropriate. Further, according to TGA requirements and corresponding standard internal </w:t>
            </w:r>
            <w:proofErr w:type="spellStart"/>
            <w:r w:rsidRPr="00DB2B91">
              <w:rPr>
                <w:i/>
              </w:rPr>
              <w:t>ViiV</w:t>
            </w:r>
            <w:proofErr w:type="spellEnd"/>
            <w:r w:rsidRPr="00DB2B91">
              <w:rPr>
                <w:i/>
              </w:rPr>
              <w:t>/GSK process, any safety signals identified in these studies may result in an update to the Core Safety Information and/or other appropriate actions, which would trigger submissions to the TGA for assessment of additional safety information for inclusion in the PI and for implementation of other risk minimisation activities.</w:t>
            </w:r>
          </w:p>
          <w:p w:rsidR="00A85830" w:rsidRPr="00DB2B91" w:rsidRDefault="00A85830" w:rsidP="003D1463">
            <w:pPr>
              <w:ind w:left="0"/>
              <w:rPr>
                <w:i/>
              </w:rPr>
            </w:pPr>
            <w:r w:rsidRPr="00DB2B91">
              <w:rPr>
                <w:i/>
              </w:rPr>
              <w:t xml:space="preserve">Any efficacy data generated from these studies may be used to support future submissions to the TGA; however, while all relevant safety data must be notified to the TGA, </w:t>
            </w:r>
            <w:proofErr w:type="spellStart"/>
            <w:r w:rsidRPr="00DB2B91">
              <w:rPr>
                <w:i/>
              </w:rPr>
              <w:t>ViiV</w:t>
            </w:r>
            <w:proofErr w:type="spellEnd"/>
            <w:r w:rsidRPr="00DB2B91">
              <w:rPr>
                <w:i/>
              </w:rPr>
              <w:t xml:space="preserve"> understands that the decision to submit applications to update efficacy data in the product information is at the discretion of the sponsor unless it impacts the product benefit/risk. As a result, </w:t>
            </w:r>
            <w:proofErr w:type="spellStart"/>
            <w:r w:rsidRPr="00DB2B91">
              <w:rPr>
                <w:i/>
              </w:rPr>
              <w:lastRenderedPageBreak/>
              <w:t>ViiV</w:t>
            </w:r>
            <w:proofErr w:type="spellEnd"/>
            <w:r w:rsidRPr="00DB2B91">
              <w:rPr>
                <w:i/>
              </w:rPr>
              <w:t xml:space="preserve"> does not propose to outline a submission plan for efficacy data at this time.</w:t>
            </w:r>
          </w:p>
          <w:p w:rsidR="00A85830" w:rsidRPr="00DB2B91" w:rsidRDefault="00A85830" w:rsidP="003D1463">
            <w:pPr>
              <w:ind w:left="0"/>
              <w:rPr>
                <w:i/>
                <w:highlight w:val="yellow"/>
              </w:rPr>
            </w:pPr>
            <w:r w:rsidRPr="00DB2B91">
              <w:rPr>
                <w:i/>
              </w:rPr>
              <w:t xml:space="preserve">Therefore, </w:t>
            </w:r>
            <w:proofErr w:type="spellStart"/>
            <w:r w:rsidRPr="00DB2B91">
              <w:rPr>
                <w:i/>
              </w:rPr>
              <w:t>ViiV</w:t>
            </w:r>
            <w:proofErr w:type="spellEnd"/>
            <w:r w:rsidRPr="00DB2B91">
              <w:rPr>
                <w:i/>
              </w:rPr>
              <w:t xml:space="preserve"> believes that sufficient information is already included in the EU RMP to address the evaluator’s question.</w:t>
            </w:r>
          </w:p>
        </w:tc>
        <w:tc>
          <w:tcPr>
            <w:tcW w:w="1215" w:type="pct"/>
            <w:noWrap/>
          </w:tcPr>
          <w:p w:rsidR="00A85830" w:rsidRPr="00DB2B91" w:rsidRDefault="00A85830" w:rsidP="003D1463">
            <w:pPr>
              <w:ind w:left="62"/>
            </w:pPr>
            <w:r w:rsidRPr="00DB2B91">
              <w:lastRenderedPageBreak/>
              <w:t xml:space="preserve">The sponsor’s response is noted. The TGA is developing guidance for the content and format of ASA. </w:t>
            </w:r>
          </w:p>
        </w:tc>
      </w:tr>
      <w:tr w:rsidR="00A85830" w:rsidRPr="00107999" w:rsidTr="003D1463">
        <w:tc>
          <w:tcPr>
            <w:tcW w:w="1651" w:type="pct"/>
            <w:noWrap/>
          </w:tcPr>
          <w:p w:rsidR="00A85830" w:rsidRPr="00DB2B91" w:rsidRDefault="00A85830" w:rsidP="003D1463">
            <w:pPr>
              <w:ind w:left="0"/>
            </w:pPr>
            <w:r w:rsidRPr="00DB2B91">
              <w:lastRenderedPageBreak/>
              <w:t>The sponsor should provide a table summarising the safety specification, pharmacovigilance plan and planned risk minimisation measures in Australian context in the ASA. Wording pertaining to important safety concerns in the proposed Australian PI and CMI should be included in the table.</w:t>
            </w:r>
          </w:p>
        </w:tc>
        <w:tc>
          <w:tcPr>
            <w:tcW w:w="2134" w:type="pct"/>
            <w:noWrap/>
          </w:tcPr>
          <w:p w:rsidR="00A85830" w:rsidRPr="00DB2B91" w:rsidRDefault="00A85830" w:rsidP="003D1463">
            <w:pPr>
              <w:ind w:left="0"/>
              <w:rPr>
                <w:i/>
              </w:rPr>
            </w:pPr>
            <w:r w:rsidRPr="00DB2B91">
              <w:rPr>
                <w:i/>
              </w:rPr>
              <w:t>The safety specification and pharmacovigilance plan identified in the EU-RMP are relevant for patients in Australia. Therefore all of the planned pharmacovigilance actions proposed in the EU-RMP will be implemented in Australia. Section 2.3 and 2.4 of the ASA confirms that all planned/ongoing studies are relevant to Australian patients. Relevant study findings will be reported to the TGA via Periodic Benefit Risk Evaluation Reports and future RMP updates.</w:t>
            </w:r>
          </w:p>
          <w:p w:rsidR="00A85830" w:rsidRPr="00DB2B91" w:rsidRDefault="00A85830" w:rsidP="003D1463">
            <w:pPr>
              <w:ind w:left="0"/>
              <w:rPr>
                <w:i/>
              </w:rPr>
            </w:pPr>
            <w:r w:rsidRPr="00DB2B91">
              <w:rPr>
                <w:i/>
              </w:rPr>
              <w:t>Risk minimisation measures described in the EU-RMP will be implemented in Australia. Differences in such measures between the EU and Australia are clearly described in Section 3.1 and 3.2 of the ASA.</w:t>
            </w:r>
          </w:p>
          <w:p w:rsidR="00A85830" w:rsidRPr="00DB2B91" w:rsidRDefault="00A85830" w:rsidP="003D1463">
            <w:pPr>
              <w:ind w:left="0"/>
              <w:rPr>
                <w:i/>
              </w:rPr>
            </w:pPr>
            <w:r w:rsidRPr="00DB2B91">
              <w:rPr>
                <w:i/>
              </w:rPr>
              <w:t xml:space="preserve">Consequently, </w:t>
            </w:r>
            <w:proofErr w:type="spellStart"/>
            <w:r w:rsidRPr="00DB2B91">
              <w:rPr>
                <w:i/>
              </w:rPr>
              <w:t>ViiV</w:t>
            </w:r>
            <w:proofErr w:type="spellEnd"/>
            <w:r w:rsidRPr="00DB2B91">
              <w:rPr>
                <w:i/>
              </w:rPr>
              <w:t xml:space="preserve"> does not believe it necessary to provide a separate table summarising the safety specification, pharmacovigilance plan and planned risk minimisation measures in Australian context in a revised ASA. This is also in keeping with other approved ASAs for </w:t>
            </w:r>
            <w:proofErr w:type="spellStart"/>
            <w:r w:rsidRPr="00DB2B91">
              <w:rPr>
                <w:i/>
              </w:rPr>
              <w:t>ViiV</w:t>
            </w:r>
            <w:proofErr w:type="spellEnd"/>
            <w:r w:rsidRPr="00DB2B91">
              <w:rPr>
                <w:i/>
              </w:rPr>
              <w:t xml:space="preserve"> and GSK products.</w:t>
            </w:r>
          </w:p>
        </w:tc>
        <w:tc>
          <w:tcPr>
            <w:tcW w:w="1215" w:type="pct"/>
            <w:noWrap/>
          </w:tcPr>
          <w:p w:rsidR="00A85830" w:rsidRPr="00DB2B91" w:rsidRDefault="00A85830" w:rsidP="003D1463">
            <w:pPr>
              <w:ind w:left="62"/>
            </w:pPr>
            <w:r w:rsidRPr="00DB2B91">
              <w:t>The sponsor’s response is noted. The TGA is developing guidance for the content and format of ASA.</w:t>
            </w:r>
          </w:p>
        </w:tc>
      </w:tr>
      <w:tr w:rsidR="00A85830" w:rsidRPr="00107999" w:rsidTr="003D1463">
        <w:tc>
          <w:tcPr>
            <w:tcW w:w="1651" w:type="pct"/>
            <w:noWrap/>
          </w:tcPr>
          <w:p w:rsidR="00974790" w:rsidRPr="00DB2B91" w:rsidRDefault="00A85830" w:rsidP="003D1463">
            <w:pPr>
              <w:ind w:left="0"/>
            </w:pPr>
            <w:r w:rsidRPr="00DB2B91">
              <w:t>The sponsor has advised that the following advice (refer to the EU S</w:t>
            </w:r>
            <w:r w:rsidR="00974790" w:rsidRPr="00DB2B91">
              <w:t>ummary of Product Characteristics (S</w:t>
            </w:r>
            <w:r w:rsidRPr="00DB2B91">
              <w:t>mPC)</w:t>
            </w:r>
            <w:r w:rsidR="00974790" w:rsidRPr="00DB2B91">
              <w:t>)</w:t>
            </w:r>
            <w:r w:rsidRPr="00DB2B91">
              <w:t xml:space="preserve"> on patients with liver disease and patients with chronic hepatitis B or C is currently missing in the proposed Australian PI. The evaluator considers that </w:t>
            </w:r>
            <w:r w:rsidRPr="00DB2B91">
              <w:lastRenderedPageBreak/>
              <w:t>these advices are relevant and important. It is recommended to the Delegate that they are added to the PI</w:t>
            </w:r>
            <w:r w:rsidR="00974790" w:rsidRPr="00DB2B91">
              <w:t>.</w:t>
            </w:r>
          </w:p>
          <w:p w:rsidR="00A85830" w:rsidRPr="00DB2B91" w:rsidRDefault="00A85830" w:rsidP="003D1463">
            <w:pPr>
              <w:ind w:left="0"/>
            </w:pPr>
          </w:p>
        </w:tc>
        <w:tc>
          <w:tcPr>
            <w:tcW w:w="2134" w:type="pct"/>
            <w:noWrap/>
          </w:tcPr>
          <w:p w:rsidR="00A85830" w:rsidRPr="00DB2B91" w:rsidRDefault="00A85830" w:rsidP="003D1463">
            <w:pPr>
              <w:ind w:left="0"/>
              <w:rPr>
                <w:i/>
                <w:noProof/>
              </w:rPr>
            </w:pPr>
            <w:r w:rsidRPr="00DB2B91">
              <w:rPr>
                <w:i/>
                <w:noProof/>
              </w:rPr>
              <w:lastRenderedPageBreak/>
              <w:t>The advice described was added to the SmPCs of Ziagen and Kivexa during variations Ziagen EMEA/H/C/252/II/62 and Kivexa EMEA/H/C/II/35, which were approved on the 24 October 2011.</w:t>
            </w:r>
          </w:p>
          <w:p w:rsidR="00A85830" w:rsidRPr="00DB2B91" w:rsidRDefault="00A85830" w:rsidP="003D1463">
            <w:pPr>
              <w:ind w:left="0"/>
              <w:rPr>
                <w:i/>
                <w:noProof/>
              </w:rPr>
            </w:pPr>
            <w:r w:rsidRPr="00DB2B91">
              <w:rPr>
                <w:i/>
                <w:noProof/>
              </w:rPr>
              <w:t xml:space="preserve">The advice was reluctantly added to the SmPCs at the request of the EMA, and at the time the company did not consider that updates to the </w:t>
            </w:r>
            <w:r w:rsidRPr="00DB2B91">
              <w:rPr>
                <w:i/>
                <w:noProof/>
              </w:rPr>
              <w:lastRenderedPageBreak/>
              <w:t>Ziagen or Kivexa Global Datasheet were warranted, and did not believe that the enforced additional text impacted the benefit risk assessment of Ziagen or Kivexa.</w:t>
            </w:r>
          </w:p>
          <w:p w:rsidR="00A85830" w:rsidRPr="00DB2B91" w:rsidRDefault="00A85830" w:rsidP="003D1463">
            <w:pPr>
              <w:ind w:left="0"/>
              <w:rPr>
                <w:i/>
                <w:noProof/>
              </w:rPr>
            </w:pPr>
            <w:r w:rsidRPr="00DB2B91">
              <w:rPr>
                <w:i/>
                <w:noProof/>
              </w:rPr>
              <w:t xml:space="preserve">COL112055: (Pharmacokinetic Interactions Of Ribavirin And Abacavir In HCV Mono-Infected Subjects Who Previously Successfully Completed Or Failed RBV-Based Treatment For HCV) is an ongoing US study which is due to report out this year. The </w:t>
            </w:r>
            <w:r w:rsidR="00974790" w:rsidRPr="00DB2B91">
              <w:rPr>
                <w:i/>
                <w:noProof/>
              </w:rPr>
              <w:t>s</w:t>
            </w:r>
            <w:r w:rsidRPr="00DB2B91">
              <w:rPr>
                <w:i/>
                <w:noProof/>
              </w:rPr>
              <w:t>ponsor is awaiting results from this study before further considering a position in the Ziagen and Kivexa GDSs.</w:t>
            </w:r>
          </w:p>
          <w:p w:rsidR="00A85830" w:rsidRPr="00DB2B91" w:rsidRDefault="00A85830" w:rsidP="003D1463">
            <w:pPr>
              <w:ind w:left="0"/>
              <w:rPr>
                <w:i/>
                <w:noProof/>
              </w:rPr>
            </w:pPr>
            <w:r w:rsidRPr="00DB2B91">
              <w:rPr>
                <w:i/>
                <w:noProof/>
              </w:rPr>
              <w:t xml:space="preserve">Of note, </w:t>
            </w:r>
            <w:r w:rsidR="00974790" w:rsidRPr="00DB2B91">
              <w:rPr>
                <w:i/>
                <w:noProof/>
              </w:rPr>
              <w:t xml:space="preserve">the </w:t>
            </w:r>
            <w:r w:rsidR="003343C4" w:rsidRPr="00DB2B91">
              <w:rPr>
                <w:i/>
                <w:noProof/>
              </w:rPr>
              <w:t>European medicines Agency (</w:t>
            </w:r>
            <w:r w:rsidR="00974790" w:rsidRPr="00DB2B91">
              <w:rPr>
                <w:i/>
                <w:noProof/>
              </w:rPr>
              <w:t>E</w:t>
            </w:r>
            <w:r w:rsidR="003343C4" w:rsidRPr="00DB2B91">
              <w:rPr>
                <w:i/>
                <w:noProof/>
              </w:rPr>
              <w:t>M</w:t>
            </w:r>
            <w:r w:rsidR="00974790" w:rsidRPr="00DB2B91">
              <w:rPr>
                <w:i/>
                <w:noProof/>
              </w:rPr>
              <w:t>A</w:t>
            </w:r>
            <w:r w:rsidR="003343C4" w:rsidRPr="00DB2B91">
              <w:rPr>
                <w:i/>
                <w:noProof/>
              </w:rPr>
              <w:t>)</w:t>
            </w:r>
            <w:r w:rsidR="00974790" w:rsidRPr="00DB2B91">
              <w:rPr>
                <w:i/>
                <w:noProof/>
              </w:rPr>
              <w:t xml:space="preserve"> made certain requests </w:t>
            </w:r>
            <w:r w:rsidRPr="00DB2B91">
              <w:rPr>
                <w:i/>
                <w:noProof/>
              </w:rPr>
              <w:t>during the Kivexa Renewal;</w:t>
            </w:r>
          </w:p>
          <w:p w:rsidR="00A85830" w:rsidRPr="00DB2B91" w:rsidRDefault="00A85830" w:rsidP="003D1463">
            <w:pPr>
              <w:ind w:left="0"/>
              <w:rPr>
                <w:i/>
                <w:noProof/>
              </w:rPr>
            </w:pPr>
            <w:r w:rsidRPr="00DB2B91">
              <w:rPr>
                <w:i/>
                <w:noProof/>
              </w:rPr>
              <w:t>(OPR evaluator: table not included)</w:t>
            </w:r>
          </w:p>
          <w:p w:rsidR="00A85830" w:rsidRPr="00DB2B91" w:rsidRDefault="00A85830" w:rsidP="003D1463">
            <w:pPr>
              <w:ind w:left="0"/>
              <w:rPr>
                <w:i/>
                <w:noProof/>
              </w:rPr>
            </w:pPr>
            <w:r w:rsidRPr="00DB2B91">
              <w:rPr>
                <w:i/>
                <w:noProof/>
              </w:rPr>
              <w:t xml:space="preserve">The sponsor is awaiting the availability of COL112055 in order to satisfy the PAM. </w:t>
            </w:r>
          </w:p>
          <w:p w:rsidR="00A85830" w:rsidRPr="00DB2B91" w:rsidRDefault="00A85830" w:rsidP="003D1463">
            <w:pPr>
              <w:ind w:left="0"/>
              <w:rPr>
                <w:i/>
                <w:noProof/>
              </w:rPr>
            </w:pPr>
            <w:r w:rsidRPr="00DB2B91">
              <w:rPr>
                <w:i/>
                <w:noProof/>
              </w:rPr>
              <w:t>With this in mind the sponsor does not believe it is necessary to add details of the potential abacavir/ribavirin to the Triumeq PI at this time. Additionally it is noted that the local Australian PI’s of Ziagen and Kivexa do not include this information.</w:t>
            </w:r>
          </w:p>
        </w:tc>
        <w:tc>
          <w:tcPr>
            <w:tcW w:w="1215" w:type="pct"/>
            <w:noWrap/>
          </w:tcPr>
          <w:p w:rsidR="00A85830" w:rsidRPr="00DB2B91" w:rsidRDefault="00A85830" w:rsidP="003D1463">
            <w:pPr>
              <w:ind w:left="62"/>
            </w:pPr>
            <w:r w:rsidRPr="00DB2B91">
              <w:lastRenderedPageBreak/>
              <w:t xml:space="preserve">The recommendations on the draft Product Information remain, awaiting consideration by the Delegate. </w:t>
            </w:r>
          </w:p>
        </w:tc>
      </w:tr>
      <w:tr w:rsidR="00A85830" w:rsidRPr="00107999" w:rsidTr="003D1463">
        <w:tc>
          <w:tcPr>
            <w:tcW w:w="1651" w:type="pct"/>
            <w:noWrap/>
          </w:tcPr>
          <w:p w:rsidR="00A85830" w:rsidRPr="00DB2B91" w:rsidRDefault="00A85830" w:rsidP="003D1463">
            <w:pPr>
              <w:ind w:left="0"/>
            </w:pPr>
            <w:r w:rsidRPr="00DB2B91">
              <w:lastRenderedPageBreak/>
              <w:t>In regard to the proposed routine risk minimisation activities, it is recommended to the Delegate that where changes to the PI are required, the content of the proposed CMI be updated accordingly to provide adequate information to patients and carers.</w:t>
            </w:r>
          </w:p>
        </w:tc>
        <w:tc>
          <w:tcPr>
            <w:tcW w:w="2134" w:type="pct"/>
            <w:noWrap/>
          </w:tcPr>
          <w:p w:rsidR="00A85830" w:rsidRPr="00DB2B91" w:rsidRDefault="00A85830" w:rsidP="003D1463">
            <w:pPr>
              <w:ind w:left="0"/>
              <w:rPr>
                <w:i/>
              </w:rPr>
            </w:pPr>
            <w:proofErr w:type="spellStart"/>
            <w:r w:rsidRPr="00DB2B91">
              <w:rPr>
                <w:i/>
              </w:rPr>
              <w:t>ViiV</w:t>
            </w:r>
            <w:proofErr w:type="spellEnd"/>
            <w:r w:rsidRPr="00DB2B91">
              <w:rPr>
                <w:i/>
              </w:rPr>
              <w:t xml:space="preserve"> commits to ensuring that CMI is aligned with the PI. Based on changes made to the PI, </w:t>
            </w:r>
            <w:proofErr w:type="spellStart"/>
            <w:r w:rsidRPr="00DB2B91">
              <w:rPr>
                <w:i/>
              </w:rPr>
              <w:t>ViiV</w:t>
            </w:r>
            <w:proofErr w:type="spellEnd"/>
            <w:r w:rsidRPr="00DB2B91">
              <w:rPr>
                <w:i/>
              </w:rPr>
              <w:t xml:space="preserve"> has updated the CMI and included th</w:t>
            </w:r>
            <w:r w:rsidR="00974790" w:rsidRPr="00DB2B91">
              <w:rPr>
                <w:i/>
              </w:rPr>
              <w:t>e new version</w:t>
            </w:r>
            <w:r w:rsidRPr="00DB2B91">
              <w:rPr>
                <w:i/>
              </w:rPr>
              <w:t>.</w:t>
            </w:r>
          </w:p>
        </w:tc>
        <w:tc>
          <w:tcPr>
            <w:tcW w:w="1215" w:type="pct"/>
            <w:noWrap/>
          </w:tcPr>
          <w:p w:rsidR="00A85830" w:rsidRPr="00DB2B91" w:rsidRDefault="003D1463" w:rsidP="003D1463">
            <w:pPr>
              <w:ind w:left="62"/>
            </w:pPr>
            <w:r>
              <w:t>Refer to Recommendation 5.</w:t>
            </w:r>
          </w:p>
        </w:tc>
      </w:tr>
    </w:tbl>
    <w:p w:rsidR="008E7846" w:rsidRDefault="008E7846" w:rsidP="003D1463">
      <w:pPr>
        <w:pStyle w:val="Heading4"/>
        <w:rPr>
          <w:lang w:eastAsia="en-AU"/>
        </w:rPr>
      </w:pPr>
      <w:r>
        <w:rPr>
          <w:lang w:eastAsia="en-AU"/>
        </w:rPr>
        <w:lastRenderedPageBreak/>
        <w:t xml:space="preserve">Summary of </w:t>
      </w:r>
      <w:r w:rsidR="003A7F6C">
        <w:rPr>
          <w:lang w:eastAsia="en-AU"/>
        </w:rPr>
        <w:t>r</w:t>
      </w:r>
      <w:r>
        <w:rPr>
          <w:lang w:eastAsia="en-AU"/>
        </w:rPr>
        <w:t>ecommendations</w:t>
      </w:r>
    </w:p>
    <w:p w:rsidR="00A85830" w:rsidRPr="00107999" w:rsidRDefault="001F7D25" w:rsidP="003D1463">
      <w:pPr>
        <w:pStyle w:val="Heading5"/>
      </w:pPr>
      <w:bookmarkStart w:id="114" w:name="_Toc314842510"/>
      <w:r>
        <w:t>Issues in relation to the RMP</w:t>
      </w:r>
    </w:p>
    <w:p w:rsidR="00A85830" w:rsidRDefault="00A85830" w:rsidP="003D1463">
      <w:r>
        <w:t>Details on the following outstanding issues are in section 5. ‘Reconciliation of issues outlined in the RMP report’.</w:t>
      </w:r>
    </w:p>
    <w:p w:rsidR="00A85830" w:rsidRDefault="00A85830" w:rsidP="003D1463">
      <w:r>
        <w:rPr>
          <w:b/>
        </w:rPr>
        <w:t xml:space="preserve">Recommendation 5: </w:t>
      </w:r>
      <w:r>
        <w:t>The recommendation(s) on the draft Product Information remain, awaiting consideration by the Delegate.</w:t>
      </w:r>
    </w:p>
    <w:p w:rsidR="00A85830" w:rsidRDefault="001F7D25" w:rsidP="003D1463">
      <w:pPr>
        <w:pStyle w:val="Heading5"/>
      </w:pPr>
      <w:r>
        <w:t>Additional recommendations</w:t>
      </w:r>
    </w:p>
    <w:p w:rsidR="00A85830" w:rsidRDefault="00A85830" w:rsidP="003D1463">
      <w:r>
        <w:t>The following safety concerns identified in the clinical evaluation report should be added to the safety concern list in</w:t>
      </w:r>
      <w:r w:rsidR="00D33F1A">
        <w:t xml:space="preserve"> the Australian Specific Annex:</w:t>
      </w:r>
    </w:p>
    <w:p w:rsidR="00A85830" w:rsidRPr="00797148" w:rsidRDefault="00A85830" w:rsidP="00B62617">
      <w:pPr>
        <w:spacing w:before="0" w:line="240" w:lineRule="auto"/>
        <w:ind w:left="284"/>
        <w:rPr>
          <w:rFonts w:asciiTheme="minorHAnsi" w:hAnsiTheme="minorHAnsi"/>
          <w:b/>
          <w:i/>
        </w:rPr>
      </w:pPr>
      <w:r w:rsidRPr="00797148">
        <w:rPr>
          <w:rFonts w:asciiTheme="minorHAnsi" w:hAnsiTheme="minorHAnsi"/>
          <w:b/>
          <w:i/>
        </w:rPr>
        <w:t>‘Identified risk</w:t>
      </w:r>
    </w:p>
    <w:p w:rsidR="00A85830" w:rsidRPr="00797148" w:rsidRDefault="00A85830" w:rsidP="00B62617">
      <w:pPr>
        <w:spacing w:before="0" w:line="240" w:lineRule="auto"/>
        <w:ind w:left="284"/>
        <w:rPr>
          <w:rFonts w:asciiTheme="minorHAnsi" w:hAnsiTheme="minorHAnsi"/>
          <w:i/>
        </w:rPr>
      </w:pPr>
      <w:r w:rsidRPr="00797148">
        <w:rPr>
          <w:rFonts w:asciiTheme="minorHAnsi" w:hAnsiTheme="minorHAnsi"/>
          <w:i/>
        </w:rPr>
        <w:t>Rebound hepatitis following discontinuation of lamivudine.</w:t>
      </w:r>
    </w:p>
    <w:p w:rsidR="00A85830" w:rsidRPr="00797148" w:rsidRDefault="00A85830" w:rsidP="00B62617">
      <w:pPr>
        <w:spacing w:before="0" w:line="240" w:lineRule="auto"/>
        <w:ind w:left="284"/>
        <w:rPr>
          <w:rFonts w:asciiTheme="minorHAnsi" w:hAnsiTheme="minorHAnsi"/>
          <w:b/>
          <w:i/>
        </w:rPr>
      </w:pPr>
      <w:r w:rsidRPr="00797148">
        <w:rPr>
          <w:rFonts w:asciiTheme="minorHAnsi" w:hAnsiTheme="minorHAnsi"/>
          <w:b/>
          <w:i/>
        </w:rPr>
        <w:t>Potential risks</w:t>
      </w:r>
    </w:p>
    <w:p w:rsidR="00A85830" w:rsidRPr="00797148" w:rsidRDefault="00A85830" w:rsidP="00B62617">
      <w:pPr>
        <w:spacing w:before="0" w:line="240" w:lineRule="auto"/>
        <w:ind w:left="284"/>
        <w:rPr>
          <w:rFonts w:asciiTheme="minorHAnsi" w:hAnsiTheme="minorHAnsi"/>
          <w:i/>
        </w:rPr>
      </w:pPr>
      <w:r w:rsidRPr="00797148">
        <w:rPr>
          <w:rFonts w:asciiTheme="minorHAnsi" w:hAnsiTheme="minorHAnsi"/>
          <w:i/>
        </w:rPr>
        <w:t>Mitochondrial dysfunction for ABC and/or 3TC</w:t>
      </w:r>
    </w:p>
    <w:p w:rsidR="00A85830" w:rsidRPr="00797148" w:rsidRDefault="00A85830" w:rsidP="00B62617">
      <w:pPr>
        <w:spacing w:before="0" w:line="240" w:lineRule="auto"/>
        <w:ind w:left="284"/>
        <w:rPr>
          <w:rFonts w:asciiTheme="minorHAnsi" w:hAnsiTheme="minorHAnsi"/>
          <w:i/>
        </w:rPr>
      </w:pPr>
      <w:r w:rsidRPr="00797148">
        <w:rPr>
          <w:rFonts w:asciiTheme="minorHAnsi" w:hAnsiTheme="minorHAnsi"/>
          <w:i/>
        </w:rPr>
        <w:t>Bone disorders</w:t>
      </w:r>
    </w:p>
    <w:p w:rsidR="00A85830" w:rsidRPr="00797148" w:rsidRDefault="00A85830" w:rsidP="00B62617">
      <w:pPr>
        <w:spacing w:before="0" w:line="240" w:lineRule="auto"/>
        <w:ind w:left="284"/>
        <w:rPr>
          <w:rFonts w:asciiTheme="minorHAnsi" w:hAnsiTheme="minorHAnsi"/>
          <w:i/>
        </w:rPr>
      </w:pPr>
      <w:r w:rsidRPr="00797148">
        <w:rPr>
          <w:rFonts w:asciiTheme="minorHAnsi" w:hAnsiTheme="minorHAnsi"/>
          <w:i/>
        </w:rPr>
        <w:t>Overdose</w:t>
      </w:r>
    </w:p>
    <w:p w:rsidR="00A85830" w:rsidRPr="00797148" w:rsidRDefault="00A85830" w:rsidP="00B62617">
      <w:pPr>
        <w:spacing w:before="0" w:line="240" w:lineRule="auto"/>
        <w:ind w:left="284"/>
        <w:rPr>
          <w:rFonts w:asciiTheme="minorHAnsi" w:hAnsiTheme="minorHAnsi"/>
          <w:i/>
        </w:rPr>
      </w:pPr>
      <w:r w:rsidRPr="00797148">
        <w:rPr>
          <w:rFonts w:asciiTheme="minorHAnsi" w:hAnsiTheme="minorHAnsi"/>
          <w:i/>
        </w:rPr>
        <w:t xml:space="preserve">Patient misuse of antacids and iron containing medications risking loss of efficacy for </w:t>
      </w:r>
      <w:proofErr w:type="spellStart"/>
      <w:r w:rsidRPr="00797148">
        <w:rPr>
          <w:rFonts w:asciiTheme="minorHAnsi" w:hAnsiTheme="minorHAnsi"/>
          <w:i/>
        </w:rPr>
        <w:t>dolutegravir</w:t>
      </w:r>
      <w:proofErr w:type="spellEnd"/>
    </w:p>
    <w:p w:rsidR="00A85830" w:rsidRPr="00797148" w:rsidRDefault="00A85830" w:rsidP="00B62617">
      <w:pPr>
        <w:spacing w:before="0" w:line="240" w:lineRule="auto"/>
        <w:ind w:left="284"/>
        <w:rPr>
          <w:rFonts w:asciiTheme="minorHAnsi" w:hAnsiTheme="minorHAnsi"/>
          <w:b/>
          <w:i/>
        </w:rPr>
      </w:pPr>
      <w:r w:rsidRPr="00797148">
        <w:rPr>
          <w:rFonts w:asciiTheme="minorHAnsi" w:hAnsiTheme="minorHAnsi"/>
          <w:b/>
          <w:i/>
        </w:rPr>
        <w:t>Missing information</w:t>
      </w:r>
    </w:p>
    <w:p w:rsidR="00A85830" w:rsidRPr="00797148" w:rsidRDefault="00A85830" w:rsidP="00B62617">
      <w:pPr>
        <w:spacing w:before="0" w:line="240" w:lineRule="auto"/>
        <w:ind w:left="284"/>
        <w:rPr>
          <w:rFonts w:asciiTheme="minorHAnsi" w:hAnsiTheme="minorHAnsi"/>
          <w:i/>
        </w:rPr>
      </w:pPr>
      <w:r w:rsidRPr="00797148">
        <w:rPr>
          <w:rFonts w:asciiTheme="minorHAnsi" w:hAnsiTheme="minorHAnsi"/>
          <w:i/>
        </w:rPr>
        <w:t xml:space="preserve">Long term follow-up of individuals exposed in utero should be considered separately from the </w:t>
      </w:r>
      <w:r w:rsidR="00074320">
        <w:rPr>
          <w:rFonts w:asciiTheme="minorHAnsi" w:hAnsiTheme="minorHAnsi"/>
          <w:i/>
        </w:rPr>
        <w:t>‘</w:t>
      </w:r>
      <w:r w:rsidRPr="00797148">
        <w:rPr>
          <w:rFonts w:asciiTheme="minorHAnsi" w:hAnsiTheme="minorHAnsi"/>
          <w:i/>
        </w:rPr>
        <w:t>Long term safety data</w:t>
      </w:r>
      <w:r w:rsidR="00074320">
        <w:rPr>
          <w:rFonts w:asciiTheme="minorHAnsi" w:hAnsiTheme="minorHAnsi"/>
          <w:i/>
        </w:rPr>
        <w:t>’</w:t>
      </w:r>
      <w:r w:rsidRPr="00797148">
        <w:rPr>
          <w:rFonts w:asciiTheme="minorHAnsi" w:hAnsiTheme="minorHAnsi"/>
          <w:i/>
        </w:rPr>
        <w:t xml:space="preserve"> included in.</w:t>
      </w:r>
    </w:p>
    <w:p w:rsidR="00A85830" w:rsidRPr="00797148" w:rsidRDefault="00A85830" w:rsidP="00B62617">
      <w:pPr>
        <w:spacing w:before="0" w:line="240" w:lineRule="auto"/>
        <w:ind w:left="284"/>
        <w:rPr>
          <w:rFonts w:asciiTheme="minorHAnsi" w:hAnsiTheme="minorHAnsi"/>
          <w:i/>
        </w:rPr>
      </w:pPr>
      <w:r w:rsidRPr="00797148">
        <w:rPr>
          <w:rFonts w:asciiTheme="minorHAnsi" w:hAnsiTheme="minorHAnsi"/>
          <w:i/>
        </w:rPr>
        <w:t>The large size of the tablet is a potential problem, especially for patients with oral and oesophageal problems</w:t>
      </w:r>
    </w:p>
    <w:p w:rsidR="00A85830" w:rsidRPr="00797148" w:rsidRDefault="00A85830" w:rsidP="00B62617">
      <w:pPr>
        <w:spacing w:before="0" w:line="240" w:lineRule="auto"/>
        <w:ind w:left="284"/>
        <w:rPr>
          <w:rFonts w:asciiTheme="minorHAnsi" w:hAnsiTheme="minorHAnsi"/>
        </w:rPr>
      </w:pPr>
      <w:r w:rsidRPr="00797148">
        <w:rPr>
          <w:rFonts w:asciiTheme="minorHAnsi" w:hAnsiTheme="minorHAnsi"/>
          <w:i/>
        </w:rPr>
        <w:t>Interaction study between DTG and lamivudine has not been done’</w:t>
      </w:r>
    </w:p>
    <w:p w:rsidR="00A85830" w:rsidRPr="00B62617" w:rsidRDefault="00A85830" w:rsidP="003D1463">
      <w:pPr>
        <w:pStyle w:val="Heading5"/>
      </w:pPr>
      <w:r w:rsidRPr="00B62617">
        <w:t xml:space="preserve">Advice from the </w:t>
      </w:r>
      <w:r w:rsidRPr="00B62617">
        <w:rPr>
          <w:rStyle w:val="st1"/>
        </w:rPr>
        <w:t>Advisory Committee on the Safety of Medicines (ACSOM)</w:t>
      </w:r>
    </w:p>
    <w:p w:rsidR="00A85830" w:rsidRDefault="00A85830" w:rsidP="003D1463">
      <w:r w:rsidRPr="00C5350C">
        <w:t>ACSOM advice was not sought for this submission.</w:t>
      </w:r>
    </w:p>
    <w:p w:rsidR="00A85830" w:rsidRPr="003F6536" w:rsidRDefault="00A85830" w:rsidP="003D1463">
      <w:pPr>
        <w:pStyle w:val="Heading5"/>
      </w:pPr>
      <w:r w:rsidRPr="003F6536">
        <w:t>Suggested wording for conditions of registration</w:t>
      </w:r>
    </w:p>
    <w:p w:rsidR="00A85830" w:rsidRDefault="00A85830" w:rsidP="003D1463">
      <w:proofErr w:type="spellStart"/>
      <w:r w:rsidRPr="00EE3BC7">
        <w:t>Triumeq</w:t>
      </w:r>
      <w:proofErr w:type="spellEnd"/>
      <w:r w:rsidRPr="00EE3BC7">
        <w:t xml:space="preserve"> EU-RMP version 1.0, dated 3 October 2013 </w:t>
      </w:r>
      <w:r>
        <w:t xml:space="preserve">(data lock point 31 May 2013) and </w:t>
      </w:r>
      <w:r w:rsidRPr="00EE3BC7">
        <w:t>Austr</w:t>
      </w:r>
      <w:r>
        <w:t>alian-specific Annex to be revised to the satisfaction of the TGA, should be implemented.</w:t>
      </w:r>
    </w:p>
    <w:p w:rsidR="008E7846" w:rsidRPr="00792A32" w:rsidRDefault="008E7846" w:rsidP="003D1463">
      <w:pPr>
        <w:pStyle w:val="Heading2"/>
      </w:pPr>
      <w:bookmarkStart w:id="115" w:name="_Toc423434306"/>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4"/>
      <w:bookmarkEnd w:id="113"/>
      <w:bookmarkEnd w:id="114"/>
      <w:bookmarkEnd w:id="115"/>
    </w:p>
    <w:p w:rsidR="008E7846" w:rsidRDefault="008E7846" w:rsidP="003D1463">
      <w:bookmarkStart w:id="116"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3D1463">
      <w:pPr>
        <w:pStyle w:val="Heading3"/>
      </w:pPr>
      <w:bookmarkStart w:id="117" w:name="_Toc314842511"/>
      <w:bookmarkStart w:id="118" w:name="_Toc423434307"/>
      <w:r>
        <w:t>Quality</w:t>
      </w:r>
      <w:bookmarkEnd w:id="116"/>
      <w:bookmarkEnd w:id="117"/>
      <w:bookmarkEnd w:id="118"/>
    </w:p>
    <w:p w:rsidR="00CB5329" w:rsidRPr="00C7732C" w:rsidRDefault="00CB5329" w:rsidP="003D1463">
      <w:bookmarkStart w:id="119" w:name="_Toc314842512"/>
      <w:r w:rsidRPr="00C7732C">
        <w:t xml:space="preserve">The sponsor </w:t>
      </w:r>
      <w:r>
        <w:t xml:space="preserve">is required to </w:t>
      </w:r>
      <w:r w:rsidRPr="00C7732C">
        <w:t>provide an update of the GMP status of all overseas manufacturing sites</w:t>
      </w:r>
      <w:r>
        <w:t xml:space="preserve"> prior to registration</w:t>
      </w:r>
      <w:r w:rsidRPr="00C7732C">
        <w:t>.</w:t>
      </w:r>
    </w:p>
    <w:p w:rsidR="00CB5329" w:rsidRPr="00C7732C" w:rsidRDefault="00CB5329" w:rsidP="003D1463">
      <w:r>
        <w:t>T</w:t>
      </w:r>
      <w:r w:rsidRPr="00C7732C">
        <w:t xml:space="preserve">here are no </w:t>
      </w:r>
      <w:r>
        <w:t xml:space="preserve">other </w:t>
      </w:r>
      <w:r w:rsidRPr="00C7732C">
        <w:t xml:space="preserve">objections regarding registration of </w:t>
      </w:r>
      <w:proofErr w:type="spellStart"/>
      <w:r w:rsidRPr="00C7732C">
        <w:t>dolutegravir</w:t>
      </w:r>
      <w:proofErr w:type="spellEnd"/>
      <w:r w:rsidRPr="00C7732C">
        <w:t xml:space="preserve">/ </w:t>
      </w:r>
      <w:proofErr w:type="spellStart"/>
      <w:r w:rsidRPr="00C7732C">
        <w:t>abacavir</w:t>
      </w:r>
      <w:proofErr w:type="spellEnd"/>
      <w:r w:rsidRPr="00C7732C">
        <w:t>/ lamivudine tablets from a pharmaceutical chemistry perspective.</w:t>
      </w:r>
    </w:p>
    <w:p w:rsidR="00CB5329" w:rsidRPr="003F08CF" w:rsidRDefault="00CB5329" w:rsidP="003D1463">
      <w:r>
        <w:t>A</w:t>
      </w:r>
      <w:r w:rsidRPr="00C7732C">
        <w:t xml:space="preserve"> shelf life of 15 months when stored below 30 °C is </w:t>
      </w:r>
      <w:r>
        <w:t>currently supported.</w:t>
      </w:r>
    </w:p>
    <w:p w:rsidR="008E7846" w:rsidRDefault="008E7846" w:rsidP="003D1463">
      <w:pPr>
        <w:pStyle w:val="Heading3"/>
      </w:pPr>
      <w:bookmarkStart w:id="120" w:name="_Toc423434308"/>
      <w:r>
        <w:lastRenderedPageBreak/>
        <w:t>Nonclinical</w:t>
      </w:r>
      <w:bookmarkEnd w:id="119"/>
      <w:bookmarkEnd w:id="120"/>
    </w:p>
    <w:p w:rsidR="00CB5329" w:rsidRDefault="00B62617" w:rsidP="003D1463">
      <w:bookmarkStart w:id="121" w:name="_Toc247691530"/>
      <w:bookmarkStart w:id="122" w:name="_Toc314842513"/>
      <w:r>
        <w:t>The nonclinical submission</w:t>
      </w:r>
      <w:r w:rsidR="00CB5329" w:rsidRPr="00015BD4">
        <w:t xml:space="preserve"> comprised two new pharmacokinetic studies investigating potential pharmacokinetic interactions between DTG and substrates of a range of membrane transporters and an in vivo </w:t>
      </w:r>
      <w:proofErr w:type="spellStart"/>
      <w:r w:rsidR="00CB5329" w:rsidRPr="00015BD4">
        <w:t>clastogenicity</w:t>
      </w:r>
      <w:proofErr w:type="spellEnd"/>
      <w:r w:rsidR="00CB5329" w:rsidRPr="00015BD4">
        <w:t xml:space="preserve"> assay with ABC and 3TC. No </w:t>
      </w:r>
      <w:r w:rsidR="00CB5329">
        <w:t xml:space="preserve">toxicity </w:t>
      </w:r>
      <w:r w:rsidR="00CB5329" w:rsidRPr="00015BD4">
        <w:t>studies have been conducted with the proposed combination</w:t>
      </w:r>
      <w:r w:rsidR="00CB5329">
        <w:t xml:space="preserve">. The evaluator </w:t>
      </w:r>
      <w:r w:rsidR="00CB5329" w:rsidRPr="009B3C59">
        <w:t xml:space="preserve">considered </w:t>
      </w:r>
      <w:r w:rsidR="00CB5329" w:rsidRPr="00015BD4">
        <w:t>the potential for additive or synergistic toxicity at clinically relevant concentrations to be low</w:t>
      </w:r>
      <w:r w:rsidR="00CB5329">
        <w:t>.</w:t>
      </w:r>
    </w:p>
    <w:p w:rsidR="00CB5329" w:rsidRDefault="00CB5329" w:rsidP="003D1463">
      <w:r w:rsidRPr="009B3C59">
        <w:t>There are no nonclinical objections to the proposed new fixed dose combination.</w:t>
      </w:r>
    </w:p>
    <w:p w:rsidR="008E7846" w:rsidRDefault="008E7846" w:rsidP="003D1463">
      <w:pPr>
        <w:pStyle w:val="Heading3"/>
      </w:pPr>
      <w:bookmarkStart w:id="123" w:name="_Toc423434309"/>
      <w:r>
        <w:t>Clinical</w:t>
      </w:r>
      <w:bookmarkEnd w:id="121"/>
      <w:bookmarkEnd w:id="122"/>
      <w:bookmarkEnd w:id="123"/>
    </w:p>
    <w:p w:rsidR="00CB5329" w:rsidRDefault="00CB5329" w:rsidP="003D1463">
      <w:bookmarkStart w:id="124" w:name="_Toc314842514"/>
      <w:r w:rsidRPr="00E873B3">
        <w:t xml:space="preserve">To </w:t>
      </w:r>
      <w:r w:rsidRPr="00E80AF2">
        <w:t xml:space="preserve">support </w:t>
      </w:r>
      <w:r>
        <w:t>this</w:t>
      </w:r>
      <w:r w:rsidR="00E873CA">
        <w:t xml:space="preserve"> </w:t>
      </w:r>
      <w:r w:rsidRPr="00E80AF2">
        <w:t xml:space="preserve">application to register the new fixed dose product including </w:t>
      </w:r>
      <w:proofErr w:type="spellStart"/>
      <w:r w:rsidRPr="00E80AF2">
        <w:t>dolutegravir</w:t>
      </w:r>
      <w:proofErr w:type="spellEnd"/>
      <w:r w:rsidRPr="00E80AF2">
        <w:t xml:space="preserve">, </w:t>
      </w:r>
      <w:proofErr w:type="spellStart"/>
      <w:r w:rsidRPr="00E80AF2">
        <w:t>abacavir</w:t>
      </w:r>
      <w:proofErr w:type="spellEnd"/>
      <w:r w:rsidRPr="00E80AF2">
        <w:t xml:space="preserve"> and lamivudine, a pivotal bioequivalence </w:t>
      </w:r>
      <w:r w:rsidR="00B62617">
        <w:t>S</w:t>
      </w:r>
      <w:r w:rsidRPr="00E80AF2">
        <w:t xml:space="preserve">tudy ING114580 and a pivotal safety and efficacy </w:t>
      </w:r>
      <w:r w:rsidR="00B62617">
        <w:t>S</w:t>
      </w:r>
      <w:r w:rsidRPr="00E80AF2">
        <w:t>tudy ING114467</w:t>
      </w:r>
      <w:r>
        <w:t xml:space="preserve"> have been submitted</w:t>
      </w:r>
      <w:r w:rsidRPr="00E80AF2">
        <w:t>.</w:t>
      </w:r>
    </w:p>
    <w:p w:rsidR="00526F57" w:rsidRDefault="00CB5329" w:rsidP="003D1463">
      <w:r w:rsidRPr="00E80AF2">
        <w:t xml:space="preserve">Also included in the data package are supportive safety and efficacy </w:t>
      </w:r>
      <w:r w:rsidR="00B62617">
        <w:t>S</w:t>
      </w:r>
      <w:r w:rsidRPr="00E80AF2">
        <w:t xml:space="preserve">tudies ING113086, ING114915 and ING111762, and drug interaction </w:t>
      </w:r>
      <w:r w:rsidR="00B62617">
        <w:t>Study ING</w:t>
      </w:r>
      <w:r w:rsidRPr="00E80AF2">
        <w:t xml:space="preserve">116898 and </w:t>
      </w:r>
      <w:proofErr w:type="spellStart"/>
      <w:r>
        <w:t>p</w:t>
      </w:r>
      <w:r w:rsidRPr="00E80AF2">
        <w:t>harmacodynamic</w:t>
      </w:r>
      <w:proofErr w:type="spellEnd"/>
      <w:r w:rsidRPr="00E80AF2">
        <w:t xml:space="preserve"> </w:t>
      </w:r>
      <w:r w:rsidR="00B62617">
        <w:t>Study ING</w:t>
      </w:r>
      <w:r w:rsidRPr="00E80AF2">
        <w:t>116070.</w:t>
      </w:r>
    </w:p>
    <w:p w:rsidR="00CB5329" w:rsidRDefault="00CB5329" w:rsidP="003D1463">
      <w:r>
        <w:t xml:space="preserve">A summary of submitted clinical studies </w:t>
      </w:r>
      <w:r w:rsidR="00526F57">
        <w:t xml:space="preserve">and the evaluator’s overall conclusions are </w:t>
      </w:r>
      <w:r>
        <w:t xml:space="preserve">provided </w:t>
      </w:r>
      <w:r w:rsidR="00B62617">
        <w:t>in Attachment 2</w:t>
      </w:r>
      <w:r>
        <w:t>.</w:t>
      </w:r>
    </w:p>
    <w:p w:rsidR="00B62617" w:rsidRDefault="00CB5329" w:rsidP="003D1463">
      <w:pPr>
        <w:pStyle w:val="Heading4"/>
      </w:pPr>
      <w:r w:rsidRPr="003F08CF">
        <w:t>Pharmacology</w:t>
      </w:r>
    </w:p>
    <w:p w:rsidR="00CB5329" w:rsidRDefault="00CB5329" w:rsidP="003D1463">
      <w:r w:rsidRPr="00E77BDF">
        <w:t xml:space="preserve">ING114580 was a single-centre, </w:t>
      </w:r>
      <w:r w:rsidR="00C21C47">
        <w:t>randomise</w:t>
      </w:r>
      <w:r w:rsidRPr="00E77BDF">
        <w:t>d, two-part, open-label, crossover to evaluate the single-dose pharmacokinetics of an oral DTG 50 mg/ABC 600 mg/3TC 300 mg combination tablet formulation proposed for commercial use, compared to co-administration of the separate tablet formulations of DTG 50 mg and the US registered fixed dose combination of ABC/3TC</w:t>
      </w:r>
      <w:r>
        <w:t>, in the fasted state</w:t>
      </w:r>
      <w:r w:rsidRPr="00E77BDF">
        <w:t>. For each of DTG, ABC, and 3TC, the 90% CIs for the geometric least-squares mean ratios for each of the bioequivalence parameters were within the bioequivalence criteria range of 0.8 to 1.25.</w:t>
      </w:r>
      <w:r>
        <w:t xml:space="preserve"> Part B of this study involved a subset who had completed the two doses in the fasted state, </w:t>
      </w:r>
      <w:proofErr w:type="gramStart"/>
      <w:r>
        <w:t>who</w:t>
      </w:r>
      <w:proofErr w:type="gramEnd"/>
      <w:r>
        <w:t xml:space="preserve"> were administered </w:t>
      </w:r>
      <w:r w:rsidRPr="009F4612">
        <w:t>oral DTG 50 mg/ABC 600 mg/3TC 300 mg combination tablet</w:t>
      </w:r>
      <w:r>
        <w:t xml:space="preserve"> with a high fat meal. T</w:t>
      </w:r>
      <w:r w:rsidRPr="009F4612">
        <w:t>he results for DTG for the FDC tablet following the high fat meal were approximately 48% higher for AUC and 37% higher for C</w:t>
      </w:r>
      <w:r w:rsidRPr="00B62617">
        <w:rPr>
          <w:vertAlign w:val="subscript"/>
        </w:rPr>
        <w:t>max</w:t>
      </w:r>
      <w:r w:rsidRPr="009F4612">
        <w:t xml:space="preserve"> than in the fasted condition</w:t>
      </w:r>
      <w:r>
        <w:t xml:space="preserve"> but the applicant did not consider these inc</w:t>
      </w:r>
      <w:r w:rsidR="00B62617">
        <w:t>r</w:t>
      </w:r>
      <w:r>
        <w:t>eases were clinically significant</w:t>
      </w:r>
      <w:r w:rsidRPr="009F4612">
        <w:t>. For both ABC and 3TC the results indicate that plasma exposures from the FDC tablet administered with a high fat meal were similar to those in the fasted state, although the C</w:t>
      </w:r>
      <w:r w:rsidRPr="00B62617">
        <w:rPr>
          <w:vertAlign w:val="subscript"/>
        </w:rPr>
        <w:t>max</w:t>
      </w:r>
      <w:r w:rsidRPr="009F4612">
        <w:t xml:space="preserve"> for ABC was approximately 23% lower when the FDC tablet was taken with food.</w:t>
      </w:r>
      <w:r>
        <w:t xml:space="preserve"> These results are presented in </w:t>
      </w:r>
      <w:r w:rsidR="00B62617">
        <w:t>Attachment 2</w:t>
      </w:r>
      <w:r w:rsidR="00506FED">
        <w:t>.</w:t>
      </w:r>
    </w:p>
    <w:p w:rsidR="00CB5329" w:rsidRDefault="00CB5329" w:rsidP="003D1463">
      <w:r w:rsidRPr="00E80AF2">
        <w:t xml:space="preserve">ING116898 </w:t>
      </w:r>
      <w:r>
        <w:t xml:space="preserve">was an interaction study to evaluate effects of </w:t>
      </w:r>
      <w:r w:rsidRPr="00E80AF2">
        <w:t xml:space="preserve">calcium carbonate 1200 mg and ferrous </w:t>
      </w:r>
      <w:proofErr w:type="spellStart"/>
      <w:r w:rsidRPr="00E80AF2">
        <w:t>fumarate</w:t>
      </w:r>
      <w:proofErr w:type="spellEnd"/>
      <w:r w:rsidRPr="00E80AF2">
        <w:t xml:space="preserve"> 324 mg on pharmacokinetics of DTG 50 mg in healthy adults</w:t>
      </w:r>
      <w:r>
        <w:t>.</w:t>
      </w:r>
      <w:r w:rsidRPr="00E80AF2">
        <w:t xml:space="preserve"> </w:t>
      </w:r>
      <w:r w:rsidRPr="00E80AF2">
        <w:rPr>
          <w:rFonts w:hint="eastAsia"/>
        </w:rPr>
        <w:t xml:space="preserve">Co-administration of DTG with either calcium carbonate or ferrous </w:t>
      </w:r>
      <w:proofErr w:type="spellStart"/>
      <w:r w:rsidRPr="00E80AF2">
        <w:rPr>
          <w:rFonts w:hint="eastAsia"/>
        </w:rPr>
        <w:t>fumarate</w:t>
      </w:r>
      <w:proofErr w:type="spellEnd"/>
      <w:r w:rsidRPr="00E80AF2">
        <w:rPr>
          <w:rFonts w:hint="eastAsia"/>
        </w:rPr>
        <w:t xml:space="preserve"> under fasted condition resulted in reduction in plasma DTG exposures; plasma DTG AUC</w:t>
      </w:r>
      <w:r w:rsidRPr="00B62617">
        <w:rPr>
          <w:rFonts w:hint="eastAsia"/>
          <w:vertAlign w:val="subscript"/>
        </w:rPr>
        <w:t>(0-t)</w:t>
      </w:r>
      <w:r w:rsidRPr="00E80AF2">
        <w:rPr>
          <w:rFonts w:hint="eastAsia"/>
        </w:rPr>
        <w:t>, AUC</w:t>
      </w:r>
      <w:r w:rsidRPr="00B62617">
        <w:rPr>
          <w:rFonts w:hint="eastAsia"/>
          <w:vertAlign w:val="subscript"/>
        </w:rPr>
        <w:t>(0-∞)</w:t>
      </w:r>
      <w:r w:rsidRPr="00E80AF2">
        <w:rPr>
          <w:rFonts w:hint="eastAsia"/>
        </w:rPr>
        <w:t>, C</w:t>
      </w:r>
      <w:r w:rsidRPr="00B62617">
        <w:rPr>
          <w:rFonts w:hint="eastAsia"/>
          <w:vertAlign w:val="subscript"/>
        </w:rPr>
        <w:t>max</w:t>
      </w:r>
      <w:r w:rsidRPr="00E80AF2">
        <w:rPr>
          <w:rFonts w:hint="eastAsia"/>
        </w:rPr>
        <w:t xml:space="preserve"> and C24 by approximately 37 </w:t>
      </w:r>
      <w:r w:rsidR="00B62617">
        <w:t>to</w:t>
      </w:r>
      <w:r w:rsidRPr="00E80AF2">
        <w:rPr>
          <w:rFonts w:hint="eastAsia"/>
        </w:rPr>
        <w:t xml:space="preserve"> 39% with calcium carbonate and 54 </w:t>
      </w:r>
      <w:r w:rsidR="00B62617">
        <w:t>to</w:t>
      </w:r>
      <w:r w:rsidRPr="00E80AF2">
        <w:rPr>
          <w:rFonts w:hint="eastAsia"/>
        </w:rPr>
        <w:t xml:space="preserve"> 57% with</w:t>
      </w:r>
      <w:r w:rsidRPr="00E80AF2">
        <w:t xml:space="preserve"> ferrous </w:t>
      </w:r>
      <w:proofErr w:type="spellStart"/>
      <w:r w:rsidRPr="00E80AF2">
        <w:t>fumerate</w:t>
      </w:r>
      <w:proofErr w:type="spellEnd"/>
      <w:r w:rsidRPr="00E80AF2">
        <w:t xml:space="preserve">. Co-administration of DTG with calcium carbonate or ferrous </w:t>
      </w:r>
      <w:proofErr w:type="spellStart"/>
      <w:r w:rsidRPr="00E80AF2">
        <w:t>fumarate</w:t>
      </w:r>
      <w:proofErr w:type="spellEnd"/>
      <w:r w:rsidRPr="00E80AF2">
        <w:t xml:space="preserve"> under fed condition counteracted the interaction and provided plasma exposures comparable to DTG alone under fasted conditions. Similarly, DTG administered under fasted conditions 2 hours prior to administration of a single dose of calcium carbonate or ferrous </w:t>
      </w:r>
      <w:proofErr w:type="spellStart"/>
      <w:r w:rsidRPr="00E80AF2">
        <w:t>fumarate</w:t>
      </w:r>
      <w:proofErr w:type="spellEnd"/>
      <w:r w:rsidRPr="00E80AF2">
        <w:t xml:space="preserve"> resulted in plasma exposures comparable to DTG alone.</w:t>
      </w:r>
    </w:p>
    <w:p w:rsidR="00B62617" w:rsidRDefault="00CB5329" w:rsidP="003D1463">
      <w:pPr>
        <w:pStyle w:val="Heading4"/>
      </w:pPr>
      <w:r>
        <w:lastRenderedPageBreak/>
        <w:t>Pharmacodynamics</w:t>
      </w:r>
    </w:p>
    <w:p w:rsidR="00CB5329" w:rsidRDefault="00CB5329" w:rsidP="003D1463">
      <w:r w:rsidRPr="00AB5BE5">
        <w:t xml:space="preserve">ING116070 is an ongoing Phase IIIb single-arm, open-label, multicentre study of HIV-1 infected ART-naïve patients to determine the potential for </w:t>
      </w:r>
      <w:proofErr w:type="spellStart"/>
      <w:r w:rsidRPr="00AB5BE5">
        <w:t>dolutegravir</w:t>
      </w:r>
      <w:proofErr w:type="spellEnd"/>
      <w:r w:rsidRPr="00AB5BE5">
        <w:t xml:space="preserve"> to enter the cerebrospinal fluid (CSF) compartment</w:t>
      </w:r>
      <w:r>
        <w:t>. Week 16 results were submitted for 11 participants.</w:t>
      </w:r>
      <w:r w:rsidR="00E873CA">
        <w:t xml:space="preserve"> </w:t>
      </w:r>
      <w:r w:rsidRPr="00AB5BE5">
        <w:t>DTG concentrations observed in CSF at both Week 2 and Week 16 exceed the in vitro IC</w:t>
      </w:r>
      <w:r w:rsidRPr="00B62617">
        <w:rPr>
          <w:vertAlign w:val="subscript"/>
        </w:rPr>
        <w:t>50</w:t>
      </w:r>
      <w:r w:rsidRPr="00AB5BE5">
        <w:t xml:space="preserve"> against wild-type viruses </w:t>
      </w:r>
      <w:proofErr w:type="gramStart"/>
      <w:r w:rsidRPr="00AB5BE5">
        <w:t>(0.2 ng/mL)</w:t>
      </w:r>
      <w:proofErr w:type="gramEnd"/>
      <w:r w:rsidRPr="00AB5BE5">
        <w:t xml:space="preserve"> for all subjects suggesting that DTG is able to achieve therapeutic concentrations in the CSF.</w:t>
      </w:r>
      <w:r w:rsidRPr="009157AE">
        <w:t xml:space="preserve"> A regimen of DTG + ABC/3TC was effective in decreasing CSF HIV-1 RNA levels.</w:t>
      </w:r>
    </w:p>
    <w:p w:rsidR="00B62617" w:rsidRDefault="00CB5329" w:rsidP="003D1463">
      <w:pPr>
        <w:pStyle w:val="Heading5"/>
      </w:pPr>
      <w:r w:rsidRPr="003F08CF">
        <w:t>Efficacy</w:t>
      </w:r>
      <w:r>
        <w:t xml:space="preserve"> </w:t>
      </w:r>
      <w:r w:rsidR="001F7D25">
        <w:t>s</w:t>
      </w:r>
      <w:r w:rsidRPr="009157AE">
        <w:t>tudy ING114467</w:t>
      </w:r>
    </w:p>
    <w:p w:rsidR="00CB5329" w:rsidRPr="009157AE" w:rsidRDefault="00B62617" w:rsidP="003D1463">
      <w:r>
        <w:t>This is a</w:t>
      </w:r>
      <w:r w:rsidR="00CB5329" w:rsidRPr="009157AE">
        <w:t xml:space="preserve"> single </w:t>
      </w:r>
      <w:r w:rsidR="00CB5329">
        <w:t xml:space="preserve">ongoing </w:t>
      </w:r>
      <w:r w:rsidR="00CB5329" w:rsidRPr="009157AE">
        <w:t xml:space="preserve">pivotal study in </w:t>
      </w:r>
      <w:r w:rsidR="00CB5329">
        <w:t>t</w:t>
      </w:r>
      <w:r w:rsidR="00CB5329" w:rsidRPr="009157AE">
        <w:t>reatment-</w:t>
      </w:r>
      <w:r w:rsidR="00CB5329">
        <w:t>n</w:t>
      </w:r>
      <w:r w:rsidR="00CB5329" w:rsidRPr="009157AE">
        <w:t>aïve adult patients</w:t>
      </w:r>
      <w:r w:rsidR="00CB5329" w:rsidRPr="005F3DA7">
        <w:t xml:space="preserve">. </w:t>
      </w:r>
      <w:r w:rsidR="00CB5329">
        <w:t>The study involves a</w:t>
      </w:r>
      <w:r w:rsidR="00E873CA">
        <w:t xml:space="preserve"> </w:t>
      </w:r>
      <w:r>
        <w:t>P</w:t>
      </w:r>
      <w:r w:rsidR="00CB5329" w:rsidRPr="00D07E13">
        <w:t xml:space="preserve">hase </w:t>
      </w:r>
      <w:r w:rsidR="00CB5329">
        <w:t>III</w:t>
      </w:r>
      <w:r w:rsidR="00CB5329" w:rsidRPr="00D07E13">
        <w:t>, parallel group, randomised, double-blind</w:t>
      </w:r>
      <w:r w:rsidR="00CB5329">
        <w:t xml:space="preserve"> design and compares </w:t>
      </w:r>
      <w:r w:rsidR="00CB5329" w:rsidRPr="00D07E13">
        <w:t>DTG + ABC/3TC (</w:t>
      </w:r>
      <w:proofErr w:type="spellStart"/>
      <w:r w:rsidR="00CB5329" w:rsidRPr="00D07E13">
        <w:t>Epzicom</w:t>
      </w:r>
      <w:proofErr w:type="spellEnd"/>
      <w:r w:rsidR="00CB5329" w:rsidRPr="00D07E13">
        <w:t xml:space="preserve">) with </w:t>
      </w:r>
      <w:proofErr w:type="spellStart"/>
      <w:r w:rsidR="00CB5329" w:rsidRPr="00D07E13">
        <w:t>emtricitabine</w:t>
      </w:r>
      <w:proofErr w:type="spellEnd"/>
      <w:r w:rsidR="00CB5329" w:rsidRPr="00D07E13">
        <w:t>/</w:t>
      </w:r>
      <w:proofErr w:type="spellStart"/>
      <w:r w:rsidR="00CB5329" w:rsidRPr="00D07E13">
        <w:t>tenofovir</w:t>
      </w:r>
      <w:proofErr w:type="spellEnd"/>
      <w:r w:rsidR="00CB5329" w:rsidRPr="00D07E13">
        <w:t>/</w:t>
      </w:r>
      <w:proofErr w:type="spellStart"/>
      <w:r w:rsidR="00CB5329" w:rsidRPr="00D07E13">
        <w:t>efavirenz</w:t>
      </w:r>
      <w:proofErr w:type="spellEnd"/>
      <w:r w:rsidR="00CB5329" w:rsidRPr="00D07E13">
        <w:t xml:space="preserve"> (EFV/TDF/FTC).</w:t>
      </w:r>
      <w:r w:rsidR="00CB5329">
        <w:t xml:space="preserve"> The study commenced in 2011 and this submission provides a Week 96 analysis report with last observation dated May 2013. </w:t>
      </w:r>
      <w:r>
        <w:t xml:space="preserve">The </w:t>
      </w:r>
      <w:r w:rsidR="00CB5329">
        <w:t xml:space="preserve">48 week data from this study were included in initial </w:t>
      </w:r>
      <w:proofErr w:type="spellStart"/>
      <w:r w:rsidR="00CB5329">
        <w:t>dolutegravir</w:t>
      </w:r>
      <w:proofErr w:type="spellEnd"/>
      <w:r w:rsidR="00CB5329">
        <w:t xml:space="preserve"> submission (SINGLE).</w:t>
      </w:r>
    </w:p>
    <w:p w:rsidR="00CB5329" w:rsidRDefault="00CB5329" w:rsidP="003D1463">
      <w:r w:rsidRPr="00B614C9">
        <w:t>At Week 48 (previously evaluated), the adjusted difference (DTG- EFV) was 7.4 % (95% CI: 2.5-12.3) (p=0.003) consistent with conclusion of superiority of DTG + ABC/3TC.</w:t>
      </w:r>
      <w:r w:rsidR="00E873CA">
        <w:t xml:space="preserve"> </w:t>
      </w:r>
      <w:r w:rsidRPr="00B614C9">
        <w:t>The primary efficacy endpoint was reassessed as a secondary objective at Week 96. The adjusted difference, DTG minus EFV/TDF/FTC was 7.3% (95% CI: +1.4%, +13.3%). The result supported the Week 48 finding.</w:t>
      </w:r>
    </w:p>
    <w:p w:rsidR="00CB5329" w:rsidRDefault="00CB5329" w:rsidP="003D1463">
      <w:proofErr w:type="spellStart"/>
      <w:r w:rsidRPr="00B614C9">
        <w:t>Virologic</w:t>
      </w:r>
      <w:proofErr w:type="spellEnd"/>
      <w:r w:rsidRPr="00B614C9">
        <w:t xml:space="preserve"> response rate differences between DTG+ABC/3TC and EFV/TDF/FTC were due</w:t>
      </w:r>
      <w:r w:rsidR="00B62617">
        <w:t xml:space="preserve"> </w:t>
      </w:r>
      <w:r w:rsidRPr="00B614C9">
        <w:t xml:space="preserve">to a lower rate of discontinuations due to AEs on the DTG+ABC/3TC arm (13/414, 3% on DTG+ABC/3TC versus 48/419, 11% on EFV/TDF/FTC). Eight percent (8%) of EFV/TDF/FTC participants were </w:t>
      </w:r>
      <w:proofErr w:type="spellStart"/>
      <w:r w:rsidRPr="00B614C9">
        <w:t>virologic</w:t>
      </w:r>
      <w:proofErr w:type="spellEnd"/>
      <w:r w:rsidRPr="00B614C9">
        <w:t xml:space="preserve"> non responders compared with 7% in the DTG+ABC/3TC group. Twenty percent (20%) of participants in the EFV/TDF/FTC group and 12% in the DTG + ABC/3TC group were considered non responders because of lack of </w:t>
      </w:r>
      <w:proofErr w:type="spellStart"/>
      <w:r w:rsidRPr="00B614C9">
        <w:t>virologic</w:t>
      </w:r>
      <w:proofErr w:type="spellEnd"/>
      <w:r w:rsidRPr="00B614C9">
        <w:t xml:space="preserve"> data at Week 96.</w:t>
      </w:r>
    </w:p>
    <w:p w:rsidR="00B62617" w:rsidRDefault="00CB5329" w:rsidP="003D1463">
      <w:pPr>
        <w:pStyle w:val="Heading5"/>
      </w:pPr>
      <w:r w:rsidRPr="007A663F">
        <w:t>Study ING113086 (</w:t>
      </w:r>
      <w:r w:rsidR="001F7D25">
        <w:t>s</w:t>
      </w:r>
      <w:r w:rsidRPr="007A663F">
        <w:t>pring-2</w:t>
      </w:r>
      <w:r w:rsidRPr="00A37B15">
        <w:t>)</w:t>
      </w:r>
    </w:p>
    <w:p w:rsidR="00CB5329" w:rsidRDefault="00B62617" w:rsidP="003D1463">
      <w:r>
        <w:t xml:space="preserve">This </w:t>
      </w:r>
      <w:r w:rsidR="00CB5329">
        <w:t>is an ongoing</w:t>
      </w:r>
      <w:r w:rsidR="00E873CA">
        <w:t xml:space="preserve"> </w:t>
      </w:r>
      <w:r w:rsidR="00CB5329">
        <w:t>supportive study in treatment naïve patients.</w:t>
      </w:r>
      <w:r w:rsidR="00E873CA">
        <w:t xml:space="preserve"> </w:t>
      </w:r>
      <w:r w:rsidR="00CB5329" w:rsidRPr="00A37B15">
        <w:t>The study involves a</w:t>
      </w:r>
      <w:r w:rsidR="00E873CA">
        <w:t xml:space="preserve"> </w:t>
      </w:r>
      <w:r>
        <w:t>P</w:t>
      </w:r>
      <w:r w:rsidR="00CB5329" w:rsidRPr="00A37B15">
        <w:t xml:space="preserve">hase </w:t>
      </w:r>
      <w:proofErr w:type="gramStart"/>
      <w:r w:rsidR="00CB5329">
        <w:t>III,</w:t>
      </w:r>
      <w:proofErr w:type="gramEnd"/>
      <w:r w:rsidR="00CB5329" w:rsidRPr="00A37B15">
        <w:t xml:space="preserve"> parallel group, randomised double-blind design and compares DTG </w:t>
      </w:r>
      <w:r w:rsidR="00CB5329">
        <w:t>v</w:t>
      </w:r>
      <w:r>
        <w:t>ersu</w:t>
      </w:r>
      <w:r w:rsidR="00CB5329">
        <w:t xml:space="preserve">s </w:t>
      </w:r>
      <w:proofErr w:type="spellStart"/>
      <w:r w:rsidR="00CB5329">
        <w:t>raltegravir</w:t>
      </w:r>
      <w:proofErr w:type="spellEnd"/>
      <w:r w:rsidR="00CB5329">
        <w:t xml:space="preserve"> each administered with either ABC/3TC or TDF/FTC. The study commenced in October 2010. T</w:t>
      </w:r>
      <w:r w:rsidR="00CB5329" w:rsidRPr="00A37B15">
        <w:t>his submission provides a Week 96 analysis report</w:t>
      </w:r>
      <w:r w:rsidR="00CB5329">
        <w:t>.</w:t>
      </w:r>
    </w:p>
    <w:p w:rsidR="00CB5329" w:rsidRDefault="00CB5329" w:rsidP="003D1463">
      <w:r w:rsidRPr="00A37B15">
        <w:t>The key secondary objective was to demonstrate the antiviral activity of DTG</w:t>
      </w:r>
      <w:r w:rsidR="00C21C47">
        <w:t xml:space="preserve"> versus</w:t>
      </w:r>
      <w:r w:rsidRPr="00A37B15">
        <w:t xml:space="preserve"> RAL over 96 weeks.</w:t>
      </w:r>
      <w:r w:rsidR="00E873CA">
        <w:t xml:space="preserve"> </w:t>
      </w:r>
      <w:r w:rsidRPr="007A663F">
        <w:t xml:space="preserve">At </w:t>
      </w:r>
      <w:r w:rsidR="00B62617">
        <w:t>W</w:t>
      </w:r>
      <w:r w:rsidRPr="007A663F">
        <w:t>eek 96, 81% of the DTG group and 76% of the</w:t>
      </w:r>
      <w:r w:rsidR="00E873CA">
        <w:t xml:space="preserve"> </w:t>
      </w:r>
      <w:r w:rsidRPr="007A663F">
        <w:t>RAL group achieved &lt;</w:t>
      </w:r>
      <w:r w:rsidR="00B62617">
        <w:t> </w:t>
      </w:r>
      <w:r w:rsidRPr="007A663F">
        <w:t>50 c/mL plasma HIV-1 RNA</w:t>
      </w:r>
      <w:r>
        <w:t xml:space="preserve"> in ITT-E population.</w:t>
      </w:r>
      <w:r w:rsidR="00E873CA">
        <w:t xml:space="preserve"> </w:t>
      </w:r>
      <w:r w:rsidRPr="007A663F">
        <w:t>The per-protocol results were 83% and 80% respectively. The difference in proportions (95% CI) for the ITT-E population was 4.4% (-1.2, 10.0).</w:t>
      </w:r>
      <w:r>
        <w:t xml:space="preserve"> </w:t>
      </w:r>
      <w:r w:rsidRPr="007A663F">
        <w:t>Kaplan-Meier estimates of the proportion of subjects without treatment/efficacy related failure by Week 96 were similar for DTG and RAL. DTG administered once daily with two NRTIs demonstrated non-inferiority to RAL at Week 96</w:t>
      </w:r>
      <w:r>
        <w:t>.</w:t>
      </w:r>
      <w:r w:rsidRPr="007A663F">
        <w:t xml:space="preserve"> The proportion of subjects with HIV RNA &lt;50 c/mL (81%) compares favourably with RAL (76%) through 96 weeks.</w:t>
      </w:r>
    </w:p>
    <w:p w:rsidR="00B62617" w:rsidRDefault="00CB5329" w:rsidP="003D1463">
      <w:pPr>
        <w:pStyle w:val="Heading5"/>
      </w:pPr>
      <w:r w:rsidRPr="007A663F">
        <w:t>Study ING114915 (</w:t>
      </w:r>
      <w:r w:rsidR="001F7D25">
        <w:t>flamingo)</w:t>
      </w:r>
    </w:p>
    <w:p w:rsidR="00CB5329" w:rsidRDefault="00B62617" w:rsidP="003D1463">
      <w:r>
        <w:t xml:space="preserve">This </w:t>
      </w:r>
      <w:r w:rsidR="00CB5329" w:rsidRPr="007A663F">
        <w:t>is an ongoing</w:t>
      </w:r>
      <w:r w:rsidR="00E873CA">
        <w:t xml:space="preserve"> </w:t>
      </w:r>
      <w:r w:rsidR="00CB5329" w:rsidRPr="007A663F">
        <w:t>supportive study in treatment naïve patients. The study involves a</w:t>
      </w:r>
      <w:r w:rsidR="00E873CA">
        <w:t xml:space="preserve"> </w:t>
      </w:r>
      <w:r>
        <w:t>P</w:t>
      </w:r>
      <w:r w:rsidR="00CB5329" w:rsidRPr="007A663F">
        <w:t>hase III</w:t>
      </w:r>
      <w:r w:rsidR="00CB5329">
        <w:t>b</w:t>
      </w:r>
      <w:r w:rsidR="00CB5329" w:rsidRPr="007A663F">
        <w:t xml:space="preserve">, parallel group, randomised, </w:t>
      </w:r>
      <w:r w:rsidR="00CB5329">
        <w:t>open-label</w:t>
      </w:r>
      <w:r w:rsidR="00CB5329" w:rsidRPr="007A663F">
        <w:t xml:space="preserve"> design and compares DTG v</w:t>
      </w:r>
      <w:r>
        <w:t>ersu</w:t>
      </w:r>
      <w:r w:rsidR="00CB5329" w:rsidRPr="007A663F">
        <w:t xml:space="preserve">s </w:t>
      </w:r>
      <w:proofErr w:type="spellStart"/>
      <w:r w:rsidR="00CB5329">
        <w:t>darunavir+ritonavir</w:t>
      </w:r>
      <w:proofErr w:type="spellEnd"/>
      <w:r w:rsidR="00CB5329">
        <w:t>, each in combination with</w:t>
      </w:r>
      <w:r w:rsidR="00E873CA">
        <w:t xml:space="preserve"> </w:t>
      </w:r>
      <w:r w:rsidR="00CB5329" w:rsidRPr="00584EB3">
        <w:t>ABC/3TC or TDF/FTC</w:t>
      </w:r>
      <w:r w:rsidR="00CB5329">
        <w:t xml:space="preserve">. </w:t>
      </w:r>
      <w:r w:rsidR="00CB5329" w:rsidRPr="007A663F">
        <w:t>The study commenced in October 2010</w:t>
      </w:r>
    </w:p>
    <w:p w:rsidR="00CB5329" w:rsidRDefault="00CB5329" w:rsidP="003D1463">
      <w:r w:rsidRPr="00584EB3">
        <w:t xml:space="preserve">The primary objective was to demonstrate the non-inferior antiviral </w:t>
      </w:r>
      <w:r>
        <w:t>activity of DTG compared to DRV+</w:t>
      </w:r>
      <w:r w:rsidRPr="00584EB3">
        <w:t>RTV over 48 weeks of treatment.</w:t>
      </w:r>
      <w:r w:rsidR="00E873CA">
        <w:t xml:space="preserve"> </w:t>
      </w:r>
      <w:r w:rsidRPr="00584EB3">
        <w:t xml:space="preserve">Antiviral activity was assessed as the proportion of participants with plasma HIV-1 RNA &lt; 50 c/mL determined by the FDA </w:t>
      </w:r>
      <w:r w:rsidRPr="00584EB3">
        <w:lastRenderedPageBreak/>
        <w:t xml:space="preserve">Snapshot algorithm. </w:t>
      </w:r>
      <w:r>
        <w:t>N</w:t>
      </w:r>
      <w:r w:rsidRPr="00584EB3">
        <w:t xml:space="preserve">on-inferior </w:t>
      </w:r>
      <w:r>
        <w:t xml:space="preserve">criteria were </w:t>
      </w:r>
      <w:r w:rsidRPr="00584EB3">
        <w:t xml:space="preserve">if the lower end of a two-sided 95% confidence interval for the difference between the two groups in response rates at Week 48 was above - 12%. The primary population used in analysis was the </w:t>
      </w:r>
      <w:proofErr w:type="spellStart"/>
      <w:r w:rsidRPr="00584EB3">
        <w:t>mITT</w:t>
      </w:r>
      <w:proofErr w:type="spellEnd"/>
      <w:r w:rsidRPr="00584EB3">
        <w:t xml:space="preserve">-E population, defined as all </w:t>
      </w:r>
      <w:r w:rsidR="00C21C47">
        <w:t>randomise</w:t>
      </w:r>
      <w:r w:rsidRPr="00584EB3">
        <w:t>d subjects who received at least 1 dose of IP.</w:t>
      </w:r>
    </w:p>
    <w:p w:rsidR="00CB5329" w:rsidRDefault="00CB5329" w:rsidP="003D1463">
      <w:r w:rsidRPr="00584EB3">
        <w:t>Of 488 patents randomly assigned, 484 received at least 1 dose of study medication. The rates of premature withdrawals were: DTG 7%; DRV+RTV 12%. The proportions withdrawing due to AEs were: DTG 1%, DRV+RTV 4%, and lost to follow-up: DTG 2%, DRV+RTV 4%.</w:t>
      </w:r>
    </w:p>
    <w:p w:rsidR="00CB5329" w:rsidRDefault="00CB5329" w:rsidP="003D1463">
      <w:r w:rsidRPr="00584EB3">
        <w:t xml:space="preserve">Most participants were </w:t>
      </w:r>
      <w:r w:rsidR="00B62617">
        <w:t>W</w:t>
      </w:r>
      <w:r w:rsidRPr="00584EB3">
        <w:t>hite (72%) and male (85%) with median age of 34 years. Most had negative screening test for hepatitis B and HCV (90%), were in CDC Class A (84%), and identified homosexual activity as an HIV risk factor (70%).</w:t>
      </w:r>
    </w:p>
    <w:p w:rsidR="00CB5329" w:rsidRDefault="00CB5329" w:rsidP="003D1463">
      <w:r w:rsidRPr="00073D0A">
        <w:t>Initially 33% of subjects were prescribed ABC/3TC as background NRTI, the remainder receiving TDF/FTC.</w:t>
      </w:r>
    </w:p>
    <w:p w:rsidR="00CB5329" w:rsidRDefault="00CB5329" w:rsidP="003D1463">
      <w:r w:rsidRPr="00073D0A">
        <w:t>The primary analysis demonstrated non-inferiority of DTG compared to DRV+RTV; superiority was also concluded. At Week 48, 90% of the DTG group</w:t>
      </w:r>
      <w:r w:rsidR="00C21C47">
        <w:t xml:space="preserve"> versus</w:t>
      </w:r>
      <w:r w:rsidRPr="00073D0A">
        <w:t xml:space="preserve"> 83% of the DRV+RTV group achieved the primary endpoint. The difference (95% CI) = 7.1% (0.9, 13.2). The results for the </w:t>
      </w:r>
      <w:r w:rsidR="00B62617">
        <w:t>Per Protocol (</w:t>
      </w:r>
      <w:r w:rsidRPr="00073D0A">
        <w:t>PP</w:t>
      </w:r>
      <w:r w:rsidR="00B62617">
        <w:t>)</w:t>
      </w:r>
      <w:r w:rsidRPr="00073D0A">
        <w:t xml:space="preserve"> analysis supported the </w:t>
      </w:r>
      <w:proofErr w:type="spellStart"/>
      <w:r w:rsidRPr="00073D0A">
        <w:t>mITT</w:t>
      </w:r>
      <w:proofErr w:type="spellEnd"/>
      <w:r w:rsidRPr="00073D0A">
        <w:t>-E analysis: 91% and 84% of DTG and DRV+RTV subjects, respectively, achieved &lt;50 c/mL plasma HIV-1 RNA at Week 48 and the lower end of the 95% CI for the adjusted treatment difference was 1.4%</w:t>
      </w:r>
      <w:r>
        <w:t>.</w:t>
      </w:r>
    </w:p>
    <w:p w:rsidR="00CB5329" w:rsidRDefault="00CB5329" w:rsidP="003D1463">
      <w:r w:rsidRPr="00073D0A">
        <w:t xml:space="preserve">Differences in </w:t>
      </w:r>
      <w:proofErr w:type="spellStart"/>
      <w:r w:rsidRPr="00073D0A">
        <w:t>virologic</w:t>
      </w:r>
      <w:proofErr w:type="spellEnd"/>
      <w:r w:rsidRPr="00073D0A">
        <w:t xml:space="preserve"> response rate were primarily driven by discontinuations due to AEs (DTG 1%, DRV+RTV 4%) and other reasons (DTG 2%, DRV+RTV 5%).</w:t>
      </w:r>
    </w:p>
    <w:p w:rsidR="00CB5329" w:rsidRDefault="00CB5329" w:rsidP="003D1463">
      <w:r w:rsidRPr="00073D0A">
        <w:t>Treatment differences for DTG compared to DRV+RTV across the baseline stratification factors were supportive of the primary analysis. Treatment differences for DTG compared to DRV+RTV across demographic subgroups</w:t>
      </w:r>
      <w:r>
        <w:t xml:space="preserve"> </w:t>
      </w:r>
      <w:r w:rsidRPr="00073D0A">
        <w:t>were generally supportive of the primary analysis.</w:t>
      </w:r>
      <w:r w:rsidR="00E873CA">
        <w:t xml:space="preserve"> </w:t>
      </w:r>
      <w:r>
        <w:t xml:space="preserve"> </w:t>
      </w:r>
      <w:r w:rsidRPr="00073D0A">
        <w:t>The median time to suppression was 28 days for subjects in the DTG treatment group compared to 85 days in the DRV+RTV treatment group.</w:t>
      </w:r>
      <w:r>
        <w:t xml:space="preserve"> </w:t>
      </w:r>
      <w:r w:rsidRPr="00453368">
        <w:t>The</w:t>
      </w:r>
      <w:r>
        <w:t xml:space="preserve"> CER comments that</w:t>
      </w:r>
      <w:r w:rsidR="00E873CA">
        <w:t xml:space="preserve"> </w:t>
      </w:r>
      <w:r w:rsidRPr="00453368">
        <w:t xml:space="preserve">relevance of this study to </w:t>
      </w:r>
      <w:proofErr w:type="spellStart"/>
      <w:r w:rsidRPr="00453368">
        <w:t>Triumeq</w:t>
      </w:r>
      <w:proofErr w:type="spellEnd"/>
      <w:r w:rsidRPr="00453368">
        <w:t xml:space="preserve"> is limited as the numbers treated with DTG/ABC/3TC were relatively small.</w:t>
      </w:r>
    </w:p>
    <w:p w:rsidR="00CF4CF2" w:rsidRDefault="00CB5329" w:rsidP="003D1463">
      <w:pPr>
        <w:pStyle w:val="Heading5"/>
      </w:pPr>
      <w:r w:rsidRPr="00453368">
        <w:t>Study ING111762 (</w:t>
      </w:r>
      <w:r w:rsidR="001F7D25">
        <w:t>s</w:t>
      </w:r>
      <w:r w:rsidRPr="00453368">
        <w:t xml:space="preserve">ailing) - </w:t>
      </w:r>
      <w:r w:rsidR="001F7D25">
        <w:t>t</w:t>
      </w:r>
      <w:r w:rsidRPr="00453368">
        <w:t>reatment-</w:t>
      </w:r>
      <w:r w:rsidR="001F7D25">
        <w:t>e</w:t>
      </w:r>
      <w:r w:rsidRPr="00453368">
        <w:t>xperienced</w:t>
      </w:r>
    </w:p>
    <w:p w:rsidR="00CB5329" w:rsidRDefault="00CF4CF2" w:rsidP="003D1463">
      <w:r>
        <w:t xml:space="preserve">This </w:t>
      </w:r>
      <w:r w:rsidR="00CB5329" w:rsidRPr="00453368">
        <w:t xml:space="preserve">is an ongoing </w:t>
      </w:r>
      <w:r w:rsidR="00CB5329">
        <w:t>supportive study in treatment experienced patients</w:t>
      </w:r>
      <w:proofErr w:type="gramStart"/>
      <w:r w:rsidR="00CB5329">
        <w:t>.</w:t>
      </w:r>
      <w:r w:rsidR="00CB5329" w:rsidRPr="005F3DA7">
        <w:t>.</w:t>
      </w:r>
      <w:proofErr w:type="gramEnd"/>
      <w:r w:rsidR="00E873CA">
        <w:t xml:space="preserve"> </w:t>
      </w:r>
      <w:r w:rsidR="00CB5329" w:rsidRPr="00453368">
        <w:t>The</w:t>
      </w:r>
      <w:r w:rsidR="00CB5329">
        <w:t xml:space="preserve"> study involves a</w:t>
      </w:r>
      <w:r w:rsidR="00CB5329" w:rsidRPr="00453368">
        <w:t xml:space="preserve"> </w:t>
      </w:r>
      <w:r>
        <w:t>P</w:t>
      </w:r>
      <w:r w:rsidR="00CB5329" w:rsidRPr="00453368">
        <w:t>hase III</w:t>
      </w:r>
      <w:r w:rsidR="00CB5329">
        <w:t>,</w:t>
      </w:r>
      <w:r w:rsidR="00CB5329" w:rsidRPr="00453368">
        <w:t xml:space="preserve"> </w:t>
      </w:r>
      <w:r w:rsidR="00C21C47">
        <w:t>randomise</w:t>
      </w:r>
      <w:r w:rsidR="00CB5329" w:rsidRPr="00453368">
        <w:t xml:space="preserve">d, double-blind </w:t>
      </w:r>
      <w:r w:rsidR="00CB5329">
        <w:t xml:space="preserve">design comparing </w:t>
      </w:r>
      <w:r w:rsidR="00CB5329" w:rsidRPr="00453368">
        <w:t>DTG 50 mg once daily versus RAL 400 mg twice daily, both administered with an investigator selected background regimen to HIV-1 infected, integrase inhibitor-naïve, antiretroviral therapy- experienced adults</w:t>
      </w:r>
      <w:r w:rsidR="00CB5329">
        <w:t xml:space="preserve"> with documented resistance to 2 or more different classes of antiretroviral agents. </w:t>
      </w:r>
      <w:r w:rsidR="00CB5329" w:rsidRPr="00453368">
        <w:t>T</w:t>
      </w:r>
      <w:r w:rsidR="00CB5329">
        <w:t>he study commenced in Oct</w:t>
      </w:r>
      <w:r>
        <w:t>ober</w:t>
      </w:r>
      <w:r w:rsidR="00CB5329">
        <w:t xml:space="preserve"> 2010.</w:t>
      </w:r>
      <w:r w:rsidR="00CB5329" w:rsidRPr="00453368">
        <w:t xml:space="preserve"> The Week 48 results </w:t>
      </w:r>
      <w:r w:rsidR="00CB5329">
        <w:t xml:space="preserve">are </w:t>
      </w:r>
      <w:r w:rsidR="00CB5329" w:rsidRPr="00453368">
        <w:t xml:space="preserve">reported in this submission, the Week 24 week results having been previously evaluated for </w:t>
      </w:r>
      <w:r>
        <w:t xml:space="preserve">registration of </w:t>
      </w:r>
      <w:proofErr w:type="spellStart"/>
      <w:r>
        <w:t>dolutegravir</w:t>
      </w:r>
      <w:proofErr w:type="spellEnd"/>
      <w:r>
        <w:t>.</w:t>
      </w:r>
    </w:p>
    <w:p w:rsidR="00CB5329" w:rsidRDefault="00CB5329" w:rsidP="003D1463">
      <w:r w:rsidRPr="003E5984">
        <w:t>The primary objective was to demonstrate the antiviral efficacy of DTG 50 mg once daily compared to RAL 400 mg twice daily each with a background regimen consisting of one to two fully active single agents</w:t>
      </w:r>
      <w:r w:rsidR="00CF4CF2">
        <w:t>.</w:t>
      </w:r>
      <w:r w:rsidRPr="003E5984">
        <w:t xml:space="preserve"> The primary endpoint was the proportion of participants with HIV-1 RNA &lt; 50 c/mL to Week 48 using the Snapshot algorithm</w:t>
      </w:r>
      <w:r>
        <w:t>.</w:t>
      </w:r>
    </w:p>
    <w:p w:rsidR="00CB5329" w:rsidRDefault="00CB5329" w:rsidP="003D1463">
      <w:r w:rsidRPr="003E5984">
        <w:t>At Week 48, 71% of patients receiving DTG and 64% receiving RAL achieved HIV-1 RNA &lt;</w:t>
      </w:r>
      <w:r w:rsidR="00CF4CF2">
        <w:t> </w:t>
      </w:r>
      <w:r w:rsidRPr="003E5984">
        <w:t>50 c/mL. The difference, DTG - RAL, (95% CI) was 7.2 (0.3, 14.0). The pre-specified basis for concluding non-inferiority and superiority were met.</w:t>
      </w:r>
    </w:p>
    <w:p w:rsidR="00CB5329" w:rsidRDefault="00CB5329" w:rsidP="003D1463">
      <w:r w:rsidRPr="003E5984">
        <w:t xml:space="preserve">Within subgroups defined by the </w:t>
      </w:r>
      <w:r>
        <w:t>b</w:t>
      </w:r>
      <w:r w:rsidRPr="003E5984">
        <w:t>aseline randomization strata</w:t>
      </w:r>
      <w:r>
        <w:t>,</w:t>
      </w:r>
      <w:r w:rsidR="00E873CA">
        <w:t xml:space="preserve"> </w:t>
      </w:r>
      <w:r w:rsidRPr="003E5984">
        <w:t>treatment differences were generally supportive of the overall treatment difference; however, DTG and RAL response rates were similar for subjects receiving DRV/</w:t>
      </w:r>
      <w:r>
        <w:t>r without primary PI mutations.</w:t>
      </w:r>
      <w:r w:rsidR="00E873CA">
        <w:t xml:space="preserve"> </w:t>
      </w:r>
      <w:r w:rsidRPr="003E5984">
        <w:t>Other subgroup analyses were generally supportive of the overall result.</w:t>
      </w:r>
      <w:r>
        <w:t xml:space="preserve"> </w:t>
      </w:r>
      <w:r w:rsidRPr="003E5984">
        <w:t xml:space="preserve">The </w:t>
      </w:r>
      <w:r>
        <w:t xml:space="preserve">CER </w:t>
      </w:r>
      <w:r>
        <w:lastRenderedPageBreak/>
        <w:t xml:space="preserve">comments that this </w:t>
      </w:r>
      <w:r w:rsidRPr="003E5984">
        <w:t>study included very few participants with background therapy of ABC/3TC.</w:t>
      </w:r>
    </w:p>
    <w:p w:rsidR="00CF4CF2" w:rsidRDefault="00CB5329" w:rsidP="003D1463">
      <w:pPr>
        <w:pStyle w:val="Heading4"/>
      </w:pPr>
      <w:r w:rsidRPr="005F3DA7">
        <w:t>Virology</w:t>
      </w:r>
    </w:p>
    <w:p w:rsidR="00CB5329" w:rsidRDefault="00CB5329" w:rsidP="00797148">
      <w:r w:rsidRPr="003D1463">
        <w:rPr>
          <w:b/>
        </w:rPr>
        <w:t>In ING114467</w:t>
      </w:r>
      <w:r>
        <w:t xml:space="preserve">, the pivotal study in treatment naïve patients, </w:t>
      </w:r>
      <w:r w:rsidR="00CF4CF2">
        <w:t xml:space="preserve">the </w:t>
      </w:r>
      <w:r>
        <w:t>p</w:t>
      </w:r>
      <w:r w:rsidRPr="003E5984">
        <w:t>rotocol define</w:t>
      </w:r>
      <w:r w:rsidR="00CF4CF2">
        <w:t>s</w:t>
      </w:r>
      <w:r w:rsidRPr="003E5984">
        <w:t xml:space="preserve"> </w:t>
      </w:r>
      <w:proofErr w:type="spellStart"/>
      <w:r w:rsidRPr="003E5984">
        <w:t>virologic</w:t>
      </w:r>
      <w:proofErr w:type="spellEnd"/>
      <w:r w:rsidRPr="003E5984">
        <w:t xml:space="preserve"> failure (PDVF) </w:t>
      </w:r>
      <w:r w:rsidR="00CF4CF2">
        <w:t>as</w:t>
      </w:r>
      <w:r w:rsidRPr="003E5984">
        <w:t xml:space="preserve"> two consecutive HIV-1 RNA values ≥ 50 c/mL on or after Week 24. PDVF mandated testing for resistance and withdrawal from the trial. </w:t>
      </w:r>
      <w:proofErr w:type="spellStart"/>
      <w:r w:rsidRPr="003E5984">
        <w:t>Virologic</w:t>
      </w:r>
      <w:proofErr w:type="spellEnd"/>
      <w:r w:rsidRPr="003E5984">
        <w:t xml:space="preserve"> failure occurred in 25/414 (6%) in the DTG + ABC/3TC group and 25/419 (6%) in the EFV/TDF/FTC group.</w:t>
      </w:r>
      <w:r w:rsidRPr="00C82ED3">
        <w:t xml:space="preserve"> The majority with confirmed PDVF had low-level </w:t>
      </w:r>
      <w:proofErr w:type="spellStart"/>
      <w:r w:rsidRPr="00C82ED3">
        <w:t>viraemia</w:t>
      </w:r>
      <w:proofErr w:type="spellEnd"/>
      <w:r>
        <w:t xml:space="preserve">. </w:t>
      </w:r>
      <w:r w:rsidRPr="00C82ED3">
        <w:t xml:space="preserve">Thirteen participants in the DTG + ABC/3TC group and 10 in the EFV/TDF/FTC </w:t>
      </w:r>
      <w:r w:rsidR="004C4F5B">
        <w:t xml:space="preserve">group </w:t>
      </w:r>
      <w:r w:rsidRPr="00C82ED3">
        <w:t>arm had IN genotype and phenotype at both Baseline and PDVF. No INI resistance mutations were found. One participant in the DTG + ABC/3TC group had a treatment emergent substitution E157Q/P at Week 24, without accompanying DTG phenotypic resistance</w:t>
      </w:r>
      <w:r>
        <w:t>.</w:t>
      </w:r>
    </w:p>
    <w:p w:rsidR="00CB5329" w:rsidRDefault="00CB5329" w:rsidP="00797148">
      <w:r w:rsidRPr="003D1463">
        <w:rPr>
          <w:b/>
        </w:rPr>
        <w:t>In ING113086</w:t>
      </w:r>
      <w:r w:rsidR="00CF4CF2" w:rsidRPr="003D1463">
        <w:rPr>
          <w:b/>
        </w:rPr>
        <w:t xml:space="preserve"> </w:t>
      </w:r>
      <w:r w:rsidRPr="003D1463">
        <w:rPr>
          <w:b/>
        </w:rPr>
        <w:t>(</w:t>
      </w:r>
      <w:r w:rsidR="003D1463">
        <w:rPr>
          <w:b/>
        </w:rPr>
        <w:t>S</w:t>
      </w:r>
      <w:r w:rsidRPr="003D1463">
        <w:rPr>
          <w:b/>
        </w:rPr>
        <w:t>pring -2)</w:t>
      </w:r>
      <w:r>
        <w:t>, a supportive study in treatment naïve patients,</w:t>
      </w:r>
      <w:r w:rsidR="00E873CA">
        <w:t xml:space="preserve"> </w:t>
      </w:r>
      <w:r w:rsidRPr="00C82ED3">
        <w:t>PDVF was met by 22 (5%) in the DTG group</w:t>
      </w:r>
      <w:r w:rsidR="00C21C47">
        <w:t xml:space="preserve"> versus</w:t>
      </w:r>
      <w:r w:rsidRPr="00C82ED3">
        <w:t xml:space="preserve"> 29 (7%) in the RAL group. Three participants had PDVF after Week </w:t>
      </w:r>
      <w:r w:rsidRPr="00444334">
        <w:t>48 (</w:t>
      </w:r>
      <w:r w:rsidR="00444334" w:rsidRPr="00444334">
        <w:t xml:space="preserve">2 </w:t>
      </w:r>
      <w:r w:rsidRPr="00444334">
        <w:t xml:space="preserve">DTG </w:t>
      </w:r>
      <w:r w:rsidR="00444334" w:rsidRPr="00444334">
        <w:t xml:space="preserve">patients and </w:t>
      </w:r>
      <w:proofErr w:type="gramStart"/>
      <w:r w:rsidR="00444334" w:rsidRPr="00444334">
        <w:t xml:space="preserve">1 </w:t>
      </w:r>
      <w:r w:rsidRPr="00444334">
        <w:t xml:space="preserve"> RAL</w:t>
      </w:r>
      <w:proofErr w:type="gramEnd"/>
      <w:r w:rsidRPr="00444334">
        <w:t xml:space="preserve"> </w:t>
      </w:r>
      <w:r w:rsidR="00444334" w:rsidRPr="00444334">
        <w:t>patient</w:t>
      </w:r>
      <w:r w:rsidRPr="00444334">
        <w:t>). No</w:t>
      </w:r>
      <w:r w:rsidRPr="00C82ED3">
        <w:t xml:space="preserve"> treatment emergent IN or NRTI resistance mutations were detected. Overall, there was a low rate of discontinuation due to </w:t>
      </w:r>
      <w:proofErr w:type="spellStart"/>
      <w:r w:rsidRPr="00C82ED3">
        <w:t>virologic</w:t>
      </w:r>
      <w:proofErr w:type="spellEnd"/>
      <w:r w:rsidRPr="00C82ED3">
        <w:t xml:space="preserve"> failure in both treatment arms, with only three additional subjects with PDVF identified after Week 48. The durability of the </w:t>
      </w:r>
      <w:proofErr w:type="spellStart"/>
      <w:r w:rsidRPr="00C82ED3">
        <w:t>virologic</w:t>
      </w:r>
      <w:proofErr w:type="spellEnd"/>
      <w:r w:rsidRPr="00C82ED3">
        <w:t xml:space="preserve"> response </w:t>
      </w:r>
      <w:r w:rsidR="00444334">
        <w:t>in the</w:t>
      </w:r>
      <w:r w:rsidR="00444334" w:rsidRPr="00C82ED3">
        <w:t xml:space="preserve"> </w:t>
      </w:r>
      <w:r w:rsidRPr="00C82ED3">
        <w:t xml:space="preserve">DTG and RAL </w:t>
      </w:r>
      <w:r w:rsidR="00444334">
        <w:t xml:space="preserve">groups </w:t>
      </w:r>
      <w:r w:rsidRPr="00C82ED3">
        <w:t>was maintained through Week 96. Both INI (RAL) and NRTI primary resistance mutations were observed in subjects on RAL with PDVF up to Week 48. No treatment emergent primary INI or NRTI resistance mutations were observed for those subjects on DTG with PDVF throughout the study.</w:t>
      </w:r>
    </w:p>
    <w:p w:rsidR="00444334" w:rsidRDefault="00CB5329" w:rsidP="00797148">
      <w:r w:rsidRPr="003D1463">
        <w:rPr>
          <w:b/>
        </w:rPr>
        <w:t>In ING114915 (</w:t>
      </w:r>
      <w:r w:rsidR="003D1463">
        <w:rPr>
          <w:b/>
        </w:rPr>
        <w:t>F</w:t>
      </w:r>
      <w:r w:rsidRPr="003D1463">
        <w:rPr>
          <w:b/>
        </w:rPr>
        <w:t>lamingo)</w:t>
      </w:r>
      <w:r>
        <w:t xml:space="preserve"> in treatment naïve patients, t</w:t>
      </w:r>
      <w:r w:rsidRPr="00C82ED3">
        <w:t xml:space="preserve">wo participants (&lt;1%) in </w:t>
      </w:r>
      <w:r>
        <w:t>DTG</w:t>
      </w:r>
      <w:r w:rsidR="00E873CA">
        <w:t xml:space="preserve"> </w:t>
      </w:r>
      <w:r w:rsidRPr="00C82ED3">
        <w:t xml:space="preserve">treatment group </w:t>
      </w:r>
      <w:r>
        <w:t xml:space="preserve">and 2 patients in DRV+RTV group </w:t>
      </w:r>
      <w:r w:rsidRPr="00C82ED3">
        <w:t>met PDVF</w:t>
      </w:r>
      <w:r>
        <w:t xml:space="preserve"> up to </w:t>
      </w:r>
      <w:r w:rsidR="00CF4CF2">
        <w:t>W</w:t>
      </w:r>
      <w:r>
        <w:t>eek 48</w:t>
      </w:r>
      <w:r w:rsidRPr="00C82ED3">
        <w:t>.</w:t>
      </w:r>
      <w:r w:rsidRPr="00165328">
        <w:t xml:space="preserve"> </w:t>
      </w:r>
      <w:r>
        <w:t xml:space="preserve">No </w:t>
      </w:r>
      <w:r w:rsidRPr="00165328">
        <w:t xml:space="preserve">treatment-emergent </w:t>
      </w:r>
      <w:r>
        <w:t>primary IN or NRTI resistance mutations were observed in either treatment group.</w:t>
      </w:r>
    </w:p>
    <w:p w:rsidR="00CB5329" w:rsidRDefault="00CB5329" w:rsidP="003D1463">
      <w:r w:rsidRPr="003D1463">
        <w:rPr>
          <w:b/>
        </w:rPr>
        <w:t>In ING11762 (Sailing)</w:t>
      </w:r>
      <w:r>
        <w:t>, a supportive study in treatment experienced patients, a</w:t>
      </w:r>
      <w:r w:rsidRPr="00165328">
        <w:t>t Week 48</w:t>
      </w:r>
      <w:r w:rsidR="00E873CA">
        <w:t xml:space="preserve"> </w:t>
      </w:r>
      <w:r w:rsidRPr="00165328">
        <w:t>21 (6%) and 45 (12%) PDVFs were reported for DTG and RAL respectively.</w:t>
      </w:r>
      <w:r w:rsidRPr="000B3330">
        <w:t xml:space="preserve"> At Week 48, 17 participants with PDVF in the DTG arm had matched Baseline and PDVF IN</w:t>
      </w:r>
      <w:r>
        <w:t>I</w:t>
      </w:r>
      <w:r w:rsidRPr="000B3330">
        <w:t xml:space="preserve"> genotypic resistance testing results available. Four patients in the DTG arm had emergent integrase</w:t>
      </w:r>
      <w:r w:rsidR="00526F57">
        <w:noBreakHyphen/>
      </w:r>
      <w:r w:rsidRPr="000B3330">
        <w:t>defined substitutions: 3</w:t>
      </w:r>
      <w:r w:rsidR="00526F57">
        <w:t xml:space="preserve"> out of </w:t>
      </w:r>
      <w:r w:rsidRPr="000B3330">
        <w:t xml:space="preserve">4 experienced </w:t>
      </w:r>
      <w:proofErr w:type="spellStart"/>
      <w:r w:rsidRPr="000B3330">
        <w:t>virologic</w:t>
      </w:r>
      <w:proofErr w:type="spellEnd"/>
      <w:r w:rsidRPr="000B3330">
        <w:t xml:space="preserve"> rebound; 1 experienced non-response.</w:t>
      </w:r>
      <w:r w:rsidR="00E873CA">
        <w:t xml:space="preserve"> </w:t>
      </w:r>
      <w:r w:rsidRPr="000B3330">
        <w:t xml:space="preserve"> Integrase substitutions emerged at the RAL associated T97, E138, and polymorphic V151 positions and at R263. At Week 48, 38 participants with PDVF in the RAL arm had matched Baseline and PDVF IN</w:t>
      </w:r>
      <w:r>
        <w:t>I</w:t>
      </w:r>
      <w:r w:rsidRPr="000B3330">
        <w:t xml:space="preserve"> genotypic resistance testing results available.</w:t>
      </w:r>
      <w:r>
        <w:t xml:space="preserve"> </w:t>
      </w:r>
      <w:r w:rsidRPr="000B3330">
        <w:t>Integrase substitutions emerged at positions commonly observed during RAL therapy including primary resistance mutations at Y134, Q148, and N155 as well as associated secondary mutations.</w:t>
      </w:r>
      <w:r>
        <w:t xml:space="preserve"> N</w:t>
      </w:r>
      <w:r w:rsidRPr="000B3330">
        <w:t>o DTG subjects had treatment-emergent INI phenotypic resistance at PDVF.</w:t>
      </w:r>
      <w:r>
        <w:t xml:space="preserve"> </w:t>
      </w:r>
      <w:r w:rsidR="00526F57">
        <w:t>Thirteen</w:t>
      </w:r>
      <w:r w:rsidRPr="000B3330">
        <w:t xml:space="preserve"> subjects receiving RAL had evidence of treatment-emergent INI phenotypic resistance to RAL at PDVF.</w:t>
      </w:r>
    </w:p>
    <w:p w:rsidR="00CB5329" w:rsidRDefault="00CB5329" w:rsidP="003D1463">
      <w:r w:rsidRPr="00954672">
        <w:t>The study design presented a risk that many subjects w</w:t>
      </w:r>
      <w:r>
        <w:t xml:space="preserve">ould have </w:t>
      </w:r>
      <w:r w:rsidRPr="00954672">
        <w:t>resistance to only two classes of ART (most likely to NRTIs and NNRTIs but not PIs)</w:t>
      </w:r>
      <w:r>
        <w:t>.</w:t>
      </w:r>
    </w:p>
    <w:p w:rsidR="00526F57" w:rsidRDefault="00CB5329" w:rsidP="003D1463">
      <w:pPr>
        <w:pStyle w:val="Heading4"/>
      </w:pPr>
      <w:r w:rsidRPr="003F08CF">
        <w:t>Safety</w:t>
      </w:r>
    </w:p>
    <w:p w:rsidR="00CB5329" w:rsidRPr="000F218C" w:rsidRDefault="00CB5329" w:rsidP="003D1463">
      <w:r w:rsidRPr="003D1463">
        <w:rPr>
          <w:b/>
        </w:rPr>
        <w:t xml:space="preserve">ING114580 </w:t>
      </w:r>
      <w:r w:rsidRPr="000F218C">
        <w:t>was the pivotal study in healthy adults evaluating the single-dose pharmacokinetics of an oral DTG ABC/3TC combination tablet formulation proposed for commercial use, compared to co-administration of the separate tablet formulations of DTG 50 + ABC/3TC. Sixty-six participants received at least one dose of study medication</w:t>
      </w:r>
      <w:r>
        <w:t xml:space="preserve">. </w:t>
      </w:r>
      <w:r w:rsidRPr="000F218C">
        <w:t>Adverse events were reported by 38</w:t>
      </w:r>
      <w:r w:rsidR="00526F57">
        <w:t xml:space="preserve"> to</w:t>
      </w:r>
      <w:r w:rsidRPr="000F218C">
        <w:t xml:space="preserve"> 40% of participants</w:t>
      </w:r>
      <w:r>
        <w:t xml:space="preserve">, with nausea and headache most frequent events. </w:t>
      </w:r>
      <w:r w:rsidRPr="000F218C">
        <w:t>There was no Grade 3 or 4 adverse event</w:t>
      </w:r>
      <w:r>
        <w:t>s and</w:t>
      </w:r>
      <w:r w:rsidR="00E873CA">
        <w:t xml:space="preserve"> </w:t>
      </w:r>
      <w:r>
        <w:t>no SAEs</w:t>
      </w:r>
      <w:r w:rsidR="00E873CA">
        <w:t xml:space="preserve"> </w:t>
      </w:r>
      <w:r w:rsidRPr="000F218C">
        <w:t>reported</w:t>
      </w:r>
      <w:r>
        <w:t>.</w:t>
      </w:r>
    </w:p>
    <w:p w:rsidR="00CB5329" w:rsidRDefault="00CB5329" w:rsidP="003D1463">
      <w:r w:rsidRPr="003D1463">
        <w:rPr>
          <w:b/>
        </w:rPr>
        <w:lastRenderedPageBreak/>
        <w:t>ING114467</w:t>
      </w:r>
      <w:r w:rsidRPr="003D1463">
        <w:t xml:space="preserve"> </w:t>
      </w:r>
      <w:r w:rsidRPr="000F218C">
        <w:t xml:space="preserve">is </w:t>
      </w:r>
      <w:r>
        <w:t>the pivotal</w:t>
      </w:r>
      <w:r w:rsidR="00E873CA">
        <w:t xml:space="preserve"> </w:t>
      </w:r>
      <w:r w:rsidRPr="000F218C">
        <w:t xml:space="preserve">ongoing, </w:t>
      </w:r>
      <w:r w:rsidR="00526F57">
        <w:t>P</w:t>
      </w:r>
      <w:r w:rsidRPr="000F218C">
        <w:t xml:space="preserve">hase </w:t>
      </w:r>
      <w:r w:rsidR="00526F57">
        <w:t>III</w:t>
      </w:r>
      <w:r w:rsidRPr="000F218C">
        <w:t>, parallel group, randomised, double-blind, active-controlled, multinational study of DTG + ABC/3TC compared with EFV/TDF/FTC in treatment of HIV-1 infected ART naïve adult patients.</w:t>
      </w:r>
      <w:r>
        <w:t xml:space="preserve"> Safety results are </w:t>
      </w:r>
      <w:r w:rsidRPr="00EB12BA">
        <w:t xml:space="preserve">presented </w:t>
      </w:r>
      <w:r w:rsidR="00526F57">
        <w:t>in Attachment 2</w:t>
      </w:r>
      <w:r w:rsidRPr="00EB12BA">
        <w:t>.</w:t>
      </w:r>
      <w:r>
        <w:t xml:space="preserve"> A total of 843 patients were included in the safety population. </w:t>
      </w:r>
      <w:r w:rsidRPr="000F218C">
        <w:t xml:space="preserve">Treatment related events were more common in the EFV/TDF/FTC group. The most common drug related adverse events were dizziness </w:t>
      </w:r>
      <w:r>
        <w:t>(67% v</w:t>
      </w:r>
      <w:r w:rsidR="00526F57">
        <w:t>ersu</w:t>
      </w:r>
      <w:r>
        <w:t xml:space="preserve">s 44%) </w:t>
      </w:r>
      <w:r w:rsidRPr="000F218C">
        <w:t>and abnormal dreams</w:t>
      </w:r>
      <w:r>
        <w:t xml:space="preserve"> (33% v</w:t>
      </w:r>
      <w:r w:rsidR="00526F57">
        <w:t>ersu</w:t>
      </w:r>
      <w:r>
        <w:t>s 7%)</w:t>
      </w:r>
      <w:r w:rsidRPr="000F218C">
        <w:t>, both of which were reported more commonly in the EFV/TDF/FTC group</w:t>
      </w:r>
      <w:r>
        <w:t>.</w:t>
      </w:r>
      <w:r w:rsidRPr="00E1669A">
        <w:t xml:space="preserve"> The incidence of Grade 3 and 4 events combined was </w:t>
      </w:r>
      <w:r w:rsidR="00D45495" w:rsidRPr="00E1669A">
        <w:t>57/414 (14%)</w:t>
      </w:r>
      <w:r w:rsidR="00D45495">
        <w:t xml:space="preserve"> for the </w:t>
      </w:r>
      <w:r w:rsidRPr="00E1669A">
        <w:t xml:space="preserve">DTG+ABC/3TC </w:t>
      </w:r>
      <w:r w:rsidR="00D45495">
        <w:t xml:space="preserve">group </w:t>
      </w:r>
      <w:r w:rsidR="00C21C47">
        <w:t>versus</w:t>
      </w:r>
      <w:r w:rsidRPr="00E1669A">
        <w:t xml:space="preserve"> </w:t>
      </w:r>
      <w:r w:rsidR="00D45495" w:rsidRPr="00E1669A">
        <w:t>83/419 (20%)</w:t>
      </w:r>
      <w:r w:rsidR="00D45495">
        <w:t xml:space="preserve"> for the </w:t>
      </w:r>
      <w:r w:rsidRPr="00E1669A">
        <w:t xml:space="preserve">EFV/TDF/FTC </w:t>
      </w:r>
      <w:r w:rsidR="00D45495">
        <w:t>group</w:t>
      </w:r>
      <w:r w:rsidRPr="00E1669A">
        <w:t xml:space="preserve">. In the DTG/ABC/3TC group, Grade 4 events (also reported as SAEs and considered unrelated) were subdural haematoma, priapism, homicidal and suicidal ideation and intentional overdose/ suicide attempt. Five participants reported non-serious </w:t>
      </w:r>
      <w:r w:rsidR="00526F57">
        <w:t>G</w:t>
      </w:r>
      <w:r w:rsidRPr="00E1669A">
        <w:t xml:space="preserve">rade 4 events in the EFV/TDF/FTC group: muscle injury, creatinine phosphokinase (CPK) increase (2 participants) and </w:t>
      </w:r>
      <w:proofErr w:type="spellStart"/>
      <w:r w:rsidRPr="00E1669A">
        <w:t>hyperglyceridaemia</w:t>
      </w:r>
      <w:proofErr w:type="spellEnd"/>
      <w:r w:rsidRPr="00E1669A">
        <w:t xml:space="preserve"> (considered IP related).</w:t>
      </w:r>
    </w:p>
    <w:p w:rsidR="00526F57" w:rsidRDefault="00CB5329" w:rsidP="003D1463">
      <w:r w:rsidRPr="00E1669A">
        <w:t>Two participants treated with EFV/TDF/FTC reported at least one drug related Grade 4 event, also reported as an SAE: one with cerebrovascular accident, one with paranoia and suicidal ideation. In the DTG + ABC/3TC group, one SAE was considered related to IP (drug hypersensitivity). Nine in the EFV/TDF/FTC group had SAEs considered related to study treatment: syncope (2); depression, homicidal ideation and suicidal ideation; paranoia and suicidal ideation; drug hypersensitivity; cerebrovascular accident; hallucination, visual; and bipolar (1 each).There were two deaths to Week 96, both in the EFV/TDF/FTC treatment group and included in the Week 48 analysis. One event, renal failure, was considered possibly related to study drug.</w:t>
      </w:r>
    </w:p>
    <w:p w:rsidR="00CB5329" w:rsidRDefault="00CB5329" w:rsidP="003D1463">
      <w:r>
        <w:t xml:space="preserve">Any AE leading to permanent discontinuation and withdrawal was reported in 3% of DTG +ABC/3TC and 12% of </w:t>
      </w:r>
      <w:r w:rsidRPr="00EB12BA">
        <w:t xml:space="preserve">EFV/TDF/FTC </w:t>
      </w:r>
      <w:r>
        <w:t>group.</w:t>
      </w:r>
    </w:p>
    <w:p w:rsidR="00CB5329" w:rsidRDefault="00CB5329" w:rsidP="003D1463">
      <w:r w:rsidRPr="00EB12BA">
        <w:t>Four participants in the DTG group and 6 in the EFV/TDF/FTC group reported hypersensitivity.</w:t>
      </w:r>
    </w:p>
    <w:p w:rsidR="00CB5329" w:rsidRPr="00444334" w:rsidRDefault="00CB5329" w:rsidP="003D1463">
      <w:r w:rsidRPr="00444334">
        <w:t>The distribution and number of graded treatment emergent clinical chemistry toxicities was similar between the DTG + ABC/3TC and EFV/TDF/FTC treatment groups.</w:t>
      </w:r>
    </w:p>
    <w:p w:rsidR="00CB5329" w:rsidRPr="00444334" w:rsidRDefault="00CB5329" w:rsidP="003D1463">
      <w:r w:rsidRPr="00444334">
        <w:t>There was a low rate of elevated liver chemistries in both arms. For ALT &gt; 3xULN reported numbers were</w:t>
      </w:r>
      <w:r w:rsidR="00E873CA" w:rsidRPr="00444334">
        <w:t xml:space="preserve"> </w:t>
      </w:r>
      <w:r w:rsidR="00D45495" w:rsidRPr="00444334">
        <w:t xml:space="preserve">7 (2%) for the </w:t>
      </w:r>
      <w:r w:rsidRPr="00444334">
        <w:t>DTG+ABC/3TC</w:t>
      </w:r>
      <w:r w:rsidR="00D2320D" w:rsidRPr="00444334">
        <w:t xml:space="preserve"> </w:t>
      </w:r>
      <w:r w:rsidR="00D45495" w:rsidRPr="00444334">
        <w:t xml:space="preserve">group </w:t>
      </w:r>
      <w:r w:rsidRPr="00444334">
        <w:t xml:space="preserve">and </w:t>
      </w:r>
      <w:r w:rsidR="00D45495" w:rsidRPr="00444334">
        <w:t xml:space="preserve">17 (4%) for the </w:t>
      </w:r>
      <w:r w:rsidRPr="00444334">
        <w:t>EFV/TDF/</w:t>
      </w:r>
      <w:proofErr w:type="spellStart"/>
      <w:r w:rsidRPr="00444334">
        <w:t>FTC</w:t>
      </w:r>
      <w:r w:rsidR="00D45495" w:rsidRPr="00444334">
        <w:t>group</w:t>
      </w:r>
      <w:proofErr w:type="spellEnd"/>
      <w:r w:rsidRPr="00444334">
        <w:t>. Reports for elevated ALP</w:t>
      </w:r>
      <w:r w:rsidR="00E873CA" w:rsidRPr="00444334">
        <w:t xml:space="preserve"> </w:t>
      </w:r>
      <w:r w:rsidRPr="00444334">
        <w:t xml:space="preserve">were </w:t>
      </w:r>
      <w:r w:rsidR="00D45495" w:rsidRPr="00444334">
        <w:t xml:space="preserve">14 (3%) for the </w:t>
      </w:r>
      <w:r w:rsidRPr="00444334">
        <w:t>DTG/ABC/3TC</w:t>
      </w:r>
      <w:r w:rsidR="00D45495" w:rsidRPr="00444334">
        <w:t>group</w:t>
      </w:r>
      <w:r w:rsidRPr="00444334">
        <w:t xml:space="preserve">; </w:t>
      </w:r>
      <w:r w:rsidR="00D45495" w:rsidRPr="00444334">
        <w:t xml:space="preserve">47, (11%) for the </w:t>
      </w:r>
      <w:r w:rsidRPr="00444334">
        <w:t>EFV/TDF/</w:t>
      </w:r>
      <w:proofErr w:type="spellStart"/>
      <w:r w:rsidRPr="00444334">
        <w:t>FTC</w:t>
      </w:r>
      <w:r w:rsidR="00D45495" w:rsidRPr="00444334">
        <w:t>group</w:t>
      </w:r>
      <w:proofErr w:type="spellEnd"/>
      <w:r w:rsidRPr="00444334">
        <w:t>. No one in either group reported combined ALT &gt;3xULN, total bilirubin &gt;2xULN and ALP &lt;2xULN.</w:t>
      </w:r>
    </w:p>
    <w:p w:rsidR="00CB5329" w:rsidRPr="00EB12BA" w:rsidRDefault="00CB5329" w:rsidP="003D1463">
      <w:r w:rsidRPr="00444334">
        <w:t>Rhabdomyolysis and myositis were not reported for DTG/ABC/3TC</w:t>
      </w:r>
      <w:r w:rsidR="00D2320D" w:rsidRPr="00444334">
        <w:t xml:space="preserve"> group</w:t>
      </w:r>
      <w:r w:rsidRPr="00444334">
        <w:t>. One case of myositis was reported for EFV/TDF/FTC</w:t>
      </w:r>
      <w:r w:rsidR="00D2320D" w:rsidRPr="00444334">
        <w:t xml:space="preserve"> group</w:t>
      </w:r>
      <w:r w:rsidRPr="00444334">
        <w:t>. The incidence of musculoskeletal and connective tissue disorders was comparable between treatment groups (DTG/ABC/3TC 109/414 (26%),</w:t>
      </w:r>
      <w:r w:rsidR="00C21C47" w:rsidRPr="00444334">
        <w:t xml:space="preserve"> versus</w:t>
      </w:r>
      <w:r w:rsidRPr="00444334">
        <w:t xml:space="preserve"> EFV/TDF/FTC 93/419 (22%). The incidence of </w:t>
      </w:r>
      <w:proofErr w:type="spellStart"/>
      <w:r w:rsidRPr="00444334">
        <w:t>arthragia</w:t>
      </w:r>
      <w:proofErr w:type="spellEnd"/>
      <w:r w:rsidRPr="00444334">
        <w:t xml:space="preserve"> was, DTG+ABC/3TC 23/414 (6%),</w:t>
      </w:r>
      <w:r w:rsidR="00C21C47" w:rsidRPr="00444334">
        <w:t xml:space="preserve"> versus</w:t>
      </w:r>
      <w:r w:rsidRPr="00444334">
        <w:t xml:space="preserve"> EFV/TDF/FTC 20/419 (5%). Myalgia was reported by 16</w:t>
      </w:r>
      <w:r w:rsidR="008B6DB0" w:rsidRPr="00444334">
        <w:t xml:space="preserve"> of </w:t>
      </w:r>
      <w:r w:rsidRPr="00444334">
        <w:t>419 (4%)</w:t>
      </w:r>
      <w:r w:rsidR="00D2320D" w:rsidRPr="00444334">
        <w:t xml:space="preserve"> </w:t>
      </w:r>
      <w:r w:rsidR="008B6DB0" w:rsidRPr="00444334">
        <w:t>in the</w:t>
      </w:r>
      <w:r w:rsidRPr="00444334">
        <w:t xml:space="preserve"> EFV/TDF/FTC</w:t>
      </w:r>
      <w:r w:rsidR="008B6DB0" w:rsidRPr="00444334">
        <w:t xml:space="preserve"> group</w:t>
      </w:r>
      <w:r w:rsidR="00C21C47" w:rsidRPr="00444334">
        <w:t xml:space="preserve"> versus</w:t>
      </w:r>
      <w:r w:rsidR="00D2320D" w:rsidRPr="00444334">
        <w:t xml:space="preserve"> 7 of 414 (2%)</w:t>
      </w:r>
      <w:r w:rsidR="008B6DB0" w:rsidRPr="00444334">
        <w:t xml:space="preserve"> the</w:t>
      </w:r>
      <w:r w:rsidRPr="00444334">
        <w:t xml:space="preserve"> DTG/ABC/3TC </w:t>
      </w:r>
      <w:r w:rsidR="008B6DB0" w:rsidRPr="00444334">
        <w:t>group</w:t>
      </w:r>
      <w:r w:rsidRPr="00444334">
        <w:t>.</w:t>
      </w:r>
    </w:p>
    <w:p w:rsidR="00526F57" w:rsidRDefault="00CB5329" w:rsidP="003D1463">
      <w:r w:rsidRPr="00EB12BA">
        <w:t>The most commonly reported treatment emergent h</w:t>
      </w:r>
      <w:r w:rsidR="00526F57">
        <w:t>a</w:t>
      </w:r>
      <w:r w:rsidRPr="00EB12BA">
        <w:t>ematology abnormality was decreased absolute neutrophil</w:t>
      </w:r>
      <w:r>
        <w:t>s</w:t>
      </w:r>
      <w:r w:rsidRPr="00EB12BA">
        <w:t>. No clinically significant differences were reported between the two treatment arms with respect to haematology abnormalities.</w:t>
      </w:r>
    </w:p>
    <w:p w:rsidR="00CB5329" w:rsidRDefault="00CB5329" w:rsidP="003D1463">
      <w:r w:rsidRPr="00EB12BA">
        <w:t>The mean changes in LDL and total cholesterol were small.</w:t>
      </w:r>
    </w:p>
    <w:p w:rsidR="00CB5329" w:rsidRDefault="00CB5329" w:rsidP="003D1463">
      <w:r w:rsidRPr="00A13E76">
        <w:t xml:space="preserve">Twelve participants became pregnant (DTG+ABC/3TC 5/414, EFV/TDF/FTC 7/419). Four normal neonates have been delivered (2 in each group). Three participants in the DTG/ABC/3TC group and 1 in the EFV/TDF/FTC group had elective terminations. A further elective termination was carried out due to an ectopic pregnancy (EFV/TDF/FTC). Three spontaneous abortions were reported; 1 in the DTG/ABC/3TC group 2 in the </w:t>
      </w:r>
      <w:r w:rsidRPr="00A13E76">
        <w:lastRenderedPageBreak/>
        <w:t>EFV/TDF/FTC group; none were considered related to IP. No congenital anomalies were reported. One pregnancy in the EFV/TDF/FTC group was ongoing at data cut off. The partner of a male participant in the</w:t>
      </w:r>
      <w:r w:rsidR="00E873CA">
        <w:t xml:space="preserve"> </w:t>
      </w:r>
      <w:r w:rsidRPr="00A13E76">
        <w:t>DTG/ABC/3TC group delivered a normal infant.</w:t>
      </w:r>
    </w:p>
    <w:p w:rsidR="00CB5329" w:rsidRPr="00EB12BA" w:rsidRDefault="00CB5329" w:rsidP="003D1463">
      <w:r>
        <w:t xml:space="preserve">Safety conclusions </w:t>
      </w:r>
      <w:r w:rsidR="00D45495">
        <w:t xml:space="preserve">for the </w:t>
      </w:r>
      <w:r w:rsidRPr="00EB12BA">
        <w:t>DTG/ABC/3TC</w:t>
      </w:r>
      <w:r w:rsidR="00D45495">
        <w:t xml:space="preserve"> group of patients</w:t>
      </w:r>
      <w:r w:rsidRPr="00EB12BA">
        <w:t xml:space="preserve"> demonstrated a safety and tolerability profile that was generally favourable to that of EFV/TDF/FTC</w:t>
      </w:r>
      <w:r w:rsidR="00D45495">
        <w:t xml:space="preserve"> group</w:t>
      </w:r>
      <w:r w:rsidRPr="00EB12BA">
        <w:t xml:space="preserve"> over the period of the study.</w:t>
      </w:r>
    </w:p>
    <w:p w:rsidR="00CB5329" w:rsidRPr="00EB12BA" w:rsidRDefault="00CB5329" w:rsidP="003D1463">
      <w:pPr>
        <w:pStyle w:val="ListBullet"/>
      </w:pPr>
      <w:r w:rsidRPr="00EB12BA">
        <w:t xml:space="preserve">Based on Week 96 data, there appears to be no increased risk of either hepatic or renal toxicity for </w:t>
      </w:r>
      <w:r w:rsidR="00D45495">
        <w:t xml:space="preserve">patients treated with </w:t>
      </w:r>
      <w:r w:rsidRPr="00EB12BA">
        <w:t xml:space="preserve">DTG/ABC/3TC compared to </w:t>
      </w:r>
      <w:r w:rsidR="00D45495">
        <w:t xml:space="preserve">those treated with </w:t>
      </w:r>
      <w:r w:rsidR="001F7D25">
        <w:t>EFV/TDF/FTC</w:t>
      </w:r>
    </w:p>
    <w:p w:rsidR="00CB5329" w:rsidRPr="00EB12BA" w:rsidRDefault="00526F57" w:rsidP="003D1463">
      <w:pPr>
        <w:pStyle w:val="ListBullet"/>
      </w:pPr>
      <w:r>
        <w:t>N</w:t>
      </w:r>
      <w:r w:rsidR="00CB5329" w:rsidRPr="00EB12BA">
        <w:t xml:space="preserve">ervous system and psychiatric disorders were more frequent </w:t>
      </w:r>
      <w:r w:rsidR="0047070B">
        <w:t xml:space="preserve">in patients treated </w:t>
      </w:r>
      <w:r w:rsidR="00CB5329" w:rsidRPr="00EB12BA">
        <w:t xml:space="preserve">with EFV/TDF/FTC, with the exception of insomnia, which was more frequent </w:t>
      </w:r>
      <w:r w:rsidR="0047070B">
        <w:t>in the</w:t>
      </w:r>
      <w:r w:rsidR="0047070B" w:rsidRPr="00EB12BA">
        <w:t xml:space="preserve"> </w:t>
      </w:r>
      <w:r w:rsidR="00CB5329" w:rsidRPr="00EB12BA">
        <w:t>DTG/ABC/3TC</w:t>
      </w:r>
      <w:r w:rsidR="0047070B">
        <w:t xml:space="preserve"> group</w:t>
      </w:r>
    </w:p>
    <w:p w:rsidR="00CB5329" w:rsidRPr="00EB12BA" w:rsidRDefault="00CB5329" w:rsidP="003D1463">
      <w:pPr>
        <w:pStyle w:val="ListBullet"/>
      </w:pPr>
      <w:r w:rsidRPr="00EB12BA">
        <w:t>The superiority of the efficacy response rate</w:t>
      </w:r>
      <w:r w:rsidR="0047070B">
        <w:t xml:space="preserve"> in the</w:t>
      </w:r>
      <w:r w:rsidRPr="00EB12BA">
        <w:t xml:space="preserve"> </w:t>
      </w:r>
      <w:r w:rsidR="0047070B" w:rsidRPr="00EB12BA">
        <w:t>DTG/ABC/3TC</w:t>
      </w:r>
      <w:r w:rsidR="0047070B">
        <w:t xml:space="preserve">  group</w:t>
      </w:r>
      <w:r w:rsidR="0047070B" w:rsidRPr="00EB12BA">
        <w:t xml:space="preserve"> </w:t>
      </w:r>
      <w:r w:rsidRPr="00EB12BA">
        <w:t>was due to a higher rate of participants on EFV/TDF/FTC reporting events leading to withdrawal from the study; specifically from the psychiatric disorders, nervous system disorders, gastrointestinal disorders and general disorders and administrat</w:t>
      </w:r>
      <w:r w:rsidR="001F7D25">
        <w:t>ion site conditions events SOCs</w:t>
      </w:r>
    </w:p>
    <w:p w:rsidR="00526F57" w:rsidRDefault="00CB5329" w:rsidP="003D1463">
      <w:pPr>
        <w:pStyle w:val="ListBullet"/>
      </w:pPr>
      <w:r w:rsidRPr="00EB12BA">
        <w:t xml:space="preserve">There is no evidence from this study for increased risk of rash with or without systemic symptoms </w:t>
      </w:r>
      <w:r w:rsidR="0047070B">
        <w:t xml:space="preserve">in patients treated </w:t>
      </w:r>
      <w:r w:rsidRPr="00EB12BA">
        <w:t xml:space="preserve">with DTG/ABC/3TC. There was no increase in suspected </w:t>
      </w:r>
      <w:proofErr w:type="spellStart"/>
      <w:r w:rsidRPr="00EB12BA">
        <w:t>abacavir</w:t>
      </w:r>
      <w:proofErr w:type="spellEnd"/>
      <w:r w:rsidRPr="00EB12BA">
        <w:t xml:space="preserve"> HSR for DTG/ABC/3TC in this HLA-B*5701 pre-screened population</w:t>
      </w:r>
      <w:r>
        <w:t>.</w:t>
      </w:r>
    </w:p>
    <w:p w:rsidR="00CB5329" w:rsidRPr="00A13E76" w:rsidRDefault="00CB5329" w:rsidP="003D1463">
      <w:r w:rsidRPr="003D1463">
        <w:rPr>
          <w:b/>
        </w:rPr>
        <w:t>ING113086 (</w:t>
      </w:r>
      <w:r w:rsidR="003D1463">
        <w:rPr>
          <w:b/>
        </w:rPr>
        <w:t>S</w:t>
      </w:r>
      <w:r w:rsidRPr="003D1463">
        <w:rPr>
          <w:b/>
        </w:rPr>
        <w:t xml:space="preserve">pring-2) </w:t>
      </w:r>
      <w:r>
        <w:t>was a supporting study comparing DTG and RAL in treatment naïve patients, in which around 40% of patients received ABC/3TC as backbone NRTI.</w:t>
      </w:r>
      <w:r w:rsidRPr="00A13E76">
        <w:t xml:space="preserve"> </w:t>
      </w:r>
      <w:r>
        <w:t xml:space="preserve">A total of 822 patients received at least 1 dose of study medication. </w:t>
      </w:r>
      <w:r w:rsidRPr="00A13E76">
        <w:t xml:space="preserve">With respect to safety, the most commonly reported clinical AEs among participants receiving DTG and RAL were nausea, nasopharyngitis, diarrhoea and headache with no appreciable difference between treatment groups. Most events in both treatment groups were considered </w:t>
      </w:r>
      <w:r w:rsidR="00526F57">
        <w:t>Grade 1 or 2. There were 18 G</w:t>
      </w:r>
      <w:r w:rsidRPr="00A13E76">
        <w:t xml:space="preserve">rade 4 events reported in the DTG group, 2 of which were reported as SAEs and considered IP related: drug hypersensitivity and hepatitis. Seven participants </w:t>
      </w:r>
      <w:r w:rsidR="00C21C47">
        <w:t>randomise</w:t>
      </w:r>
      <w:r w:rsidRPr="00A13E76">
        <w:t>d to RAL reported Grade 4 AEs, all reported as serious and none related to IP.</w:t>
      </w:r>
    </w:p>
    <w:p w:rsidR="00CB5329" w:rsidRPr="00A13E76" w:rsidRDefault="00CB5329" w:rsidP="003D1463">
      <w:r w:rsidRPr="00A13E76">
        <w:t xml:space="preserve">Reporting rates for IP related AEs were: DTG 124/411 (30%); RAL 121/411 (29%). The only drug-related AE reported in </w:t>
      </w:r>
      <w:r w:rsidR="00526F57">
        <w:t>≥</w:t>
      </w:r>
      <w:r w:rsidRPr="00A13E76">
        <w:t xml:space="preserve"> 5% of subjects in each treatment group was nausea: DTG 40/411 (10%); RAL 45/411 (11%). Grade 3/4 events considered possibly or probably related to IP in each group were reported for 4 in the DTG 4 group, 4 in the RAL group. For DTG, the events were: Grade 3: headache, dizziness, feeling abnormal, arrhythmia; Grade 4: Drug hypersensitivity with associated ALT/AST/ALP/total bilirubin/LFT and hepatitis (one participant each). For RAL, the events reported for the five participants with Grade 3 events assessed as possibly/probably related were: Grade 3: nausea, abdominal pain, aphasia, drug eruption, fatigue, ALT increased, CPK increased, lipase increased</w:t>
      </w:r>
      <w:r w:rsidR="00526F57">
        <w:t xml:space="preserve"> and</w:t>
      </w:r>
      <w:r w:rsidRPr="00A13E76">
        <w:t xml:space="preserve"> decreased appetite</w:t>
      </w:r>
      <w:r w:rsidR="00526F57">
        <w:t>.</w:t>
      </w:r>
    </w:p>
    <w:p w:rsidR="00CB5329" w:rsidRDefault="00CB5329" w:rsidP="003D1463">
      <w:r w:rsidRPr="00A13E76">
        <w:t xml:space="preserve">There were no deaths related to IP. At least one SAE was reported by 10% for DTG and 12% for RAL. Drug related events were reported by &lt; 1% of those taking DTG and 1% for RAL. All individually reported SAE preferred terms had an incidence of ≤ 1% in either treatment group. The SAEs considered to be related to DTG (N = 3) were: Arrhythmia leading to withdrawal; hypersensitivity considered by the investigator to be related to DTG (the </w:t>
      </w:r>
      <w:r w:rsidR="00526F57">
        <w:t>s</w:t>
      </w:r>
      <w:r w:rsidRPr="00A13E76">
        <w:t>ponsor also implicated co-suspect ABC/3TC) and hepatitis considered possibly drug induced.</w:t>
      </w:r>
    </w:p>
    <w:p w:rsidR="00CB5329" w:rsidRDefault="00CB5329" w:rsidP="003D1463">
      <w:r w:rsidRPr="00C51C02">
        <w:t>DTG demonstrated a safety and tolerability profile that was similar to that of RAL over the period of the study.</w:t>
      </w:r>
      <w:r>
        <w:t xml:space="preserve"> N</w:t>
      </w:r>
      <w:r w:rsidRPr="00C51C02">
        <w:t xml:space="preserve">o new DTG safety concern was uncovered between Weeks 48 and 96. The conditions labelled for RAL including serious rash and myopathy and rhabdomyolysis </w:t>
      </w:r>
      <w:r w:rsidRPr="00C51C02">
        <w:lastRenderedPageBreak/>
        <w:t>were not reported for DTG. Numbers studied may preclude identification of rare events. Serious hypersensitivity events were rare and there was no increased risk for DTG compared to RAL</w:t>
      </w:r>
      <w:r w:rsidR="00444334">
        <w:t>.</w:t>
      </w:r>
    </w:p>
    <w:p w:rsidR="00CB5329" w:rsidRDefault="00CB5329" w:rsidP="00797148">
      <w:r w:rsidRPr="003D1463">
        <w:rPr>
          <w:b/>
        </w:rPr>
        <w:t>ING114915 (</w:t>
      </w:r>
      <w:r w:rsidR="003D1463">
        <w:rPr>
          <w:b/>
        </w:rPr>
        <w:t>F</w:t>
      </w:r>
      <w:r w:rsidRPr="003D1463">
        <w:rPr>
          <w:b/>
        </w:rPr>
        <w:t>lamingo)</w:t>
      </w:r>
      <w:r>
        <w:t xml:space="preserve"> </w:t>
      </w:r>
      <w:r w:rsidRPr="00194083">
        <w:t xml:space="preserve">is a </w:t>
      </w:r>
      <w:r>
        <w:t>supporting study</w:t>
      </w:r>
      <w:r w:rsidR="00E873CA">
        <w:t xml:space="preserve"> </w:t>
      </w:r>
      <w:r>
        <w:t>comparing DTG and DRV+RTV , with either ABC/3TC (33%) or TDF/FTC (67%), in treatment naïve patients. 484 patients received at least 1 dose of study medication.</w:t>
      </w:r>
      <w:r w:rsidR="00E873CA">
        <w:t xml:space="preserve"> </w:t>
      </w:r>
      <w:r>
        <w:t>T</w:t>
      </w:r>
      <w:r w:rsidRPr="00194083">
        <w:t>he most commonly reported AEs in both treatment groups were diarrhoea, nausea, headache and nasopharyngitis. Diarrhoea and upper respiratory tract infection were more frequently reported among those in the DRV+RTV group and headache was more frequently reported in the DTG group. The majority of events reported in both groups were considered to be of Grade 1 or Grade 2. The incidences of drug-related events were similar except for diarrhoea which was reported more frequently in the DRV+RTV group. The discrepancy in incidence was largely due to higher numbers in the DRV</w:t>
      </w:r>
      <w:r>
        <w:t>+RTV group with Grade 1 events.</w:t>
      </w:r>
    </w:p>
    <w:p w:rsidR="00CB5329" w:rsidRDefault="00CB5329" w:rsidP="003D1463">
      <w:r w:rsidRPr="00194083">
        <w:t>No deaths were reported. One patient in the DTG treatment group reported an SAE considered by the investigator to be related to IP</w:t>
      </w:r>
      <w:r w:rsidR="00B87A36">
        <w:t>;</w:t>
      </w:r>
      <w:r w:rsidRPr="00194083">
        <w:t xml:space="preserve"> a suicide attempt. SAEs were individually reported by &lt; 1% of participants. One SAE report of hypersensitivity reaction </w:t>
      </w:r>
      <w:r w:rsidR="00B87A36">
        <w:t>G</w:t>
      </w:r>
      <w:r w:rsidRPr="00194083">
        <w:t xml:space="preserve">rade 2, disseminated </w:t>
      </w:r>
      <w:proofErr w:type="spellStart"/>
      <w:r w:rsidRPr="00194083">
        <w:t>maculopapular</w:t>
      </w:r>
      <w:proofErr w:type="spellEnd"/>
      <w:r w:rsidRPr="00194083">
        <w:t xml:space="preserve"> rash and erythema without associated symptoms</w:t>
      </w:r>
      <w:r w:rsidR="00B87A36">
        <w:t>,</w:t>
      </w:r>
      <w:r w:rsidRPr="00194083">
        <w:t xml:space="preserve"> was suspected by the investigator to be due to ABC; however, the sponsor did not consider the event to be a convincing case of ABC hypersensitivity reaction due to lack of multisystem involvement and considered D</w:t>
      </w:r>
      <w:r>
        <w:t>RV+RTV to be the likely cause.</w:t>
      </w:r>
    </w:p>
    <w:p w:rsidR="00CB5329" w:rsidRDefault="00CB5329" w:rsidP="002559EF">
      <w:r w:rsidRPr="00194083">
        <w:t>The incidence of psychiatric disorders was 19% for the DGT group and 14% for the DRV+RTV group. Insomnia, depression, and anxiety were the most commonly reported. The frequencies were: insomnia DTG 18 (7%); DRV+RTV 15 (6%); anxiety: DTG 10 (4%); DRV+RTV 7 (3%) and depression DTG 11 (5%); DRV+RTV 6 (2%). All other events in this SOC were reported in ≤ 1%. Insomnia was considered drug related for 2% of the DTG group and 1% of the DRV+RTV group.</w:t>
      </w:r>
    </w:p>
    <w:p w:rsidR="00CB5329" w:rsidRDefault="00CB5329" w:rsidP="002559EF">
      <w:r w:rsidRPr="002559EF">
        <w:rPr>
          <w:b/>
        </w:rPr>
        <w:t>ING11762 (Sailing)</w:t>
      </w:r>
      <w:r>
        <w:t xml:space="preserve"> is a supporting study comparing </w:t>
      </w:r>
      <w:r w:rsidRPr="00D02194">
        <w:t>DTG 50 mg once daily versus RAL 400 mg twice daily,</w:t>
      </w:r>
      <w:r>
        <w:t xml:space="preserve"> with an investigator selected background regimen, in treatment experienced adults. Week 48 results are presented.</w:t>
      </w:r>
      <w:r w:rsidRPr="00D02194">
        <w:t xml:space="preserve"> The numbers included in the safety populations were DTG 357 and RAL 362</w:t>
      </w:r>
      <w:r>
        <w:t xml:space="preserve"> with 7 or 9 participants treated with DTG+ABC/3TC. </w:t>
      </w:r>
      <w:r w:rsidRPr="00C350F6">
        <w:t xml:space="preserve">The most common </w:t>
      </w:r>
      <w:r w:rsidR="00B87A36">
        <w:t>G</w:t>
      </w:r>
      <w:r w:rsidRPr="00C350F6">
        <w:t xml:space="preserve">rade 2 </w:t>
      </w:r>
      <w:r w:rsidR="00B87A36">
        <w:t xml:space="preserve">to </w:t>
      </w:r>
      <w:r w:rsidRPr="00C350F6">
        <w:t>4 drug related AEs were diarrhoea, nausea, headache, and abdominal pain. AEs leading to discontinuation of treatment occurred in less than one percent of patients in each group.</w:t>
      </w:r>
      <w:r>
        <w:t xml:space="preserve"> </w:t>
      </w:r>
      <w:r w:rsidRPr="00C350F6">
        <w:t xml:space="preserve">Six participants in the DTG group were identified as having IRIS or possible IRIS. Five of these six were considered to have hepatitis B and/or hepatitis C IRIS </w:t>
      </w:r>
      <w:r>
        <w:t xml:space="preserve">There was a signal of HCV IRIS with DTG. </w:t>
      </w:r>
      <w:r w:rsidRPr="00C350F6">
        <w:t xml:space="preserve">The </w:t>
      </w:r>
      <w:r w:rsidR="00B87A36">
        <w:t>clinical evaluator</w:t>
      </w:r>
      <w:r w:rsidRPr="00C350F6">
        <w:t xml:space="preserve"> considered it was not possible to make generalisation regarding the similarity of safety compared to studies enrolling treatment-naïve patients.</w:t>
      </w:r>
    </w:p>
    <w:p w:rsidR="00CB5329" w:rsidRPr="00633D21" w:rsidRDefault="00B87A36" w:rsidP="002559EF">
      <w:pPr>
        <w:pStyle w:val="Heading4"/>
      </w:pPr>
      <w:r>
        <w:t>Clinical evaluator’s c</w:t>
      </w:r>
      <w:r w:rsidR="00CB5329" w:rsidRPr="00633D21">
        <w:t xml:space="preserve">onclusions </w:t>
      </w:r>
      <w:r>
        <w:t>and recommendation</w:t>
      </w:r>
    </w:p>
    <w:p w:rsidR="00CB5329" w:rsidRPr="00C350F6" w:rsidRDefault="00CB5329" w:rsidP="00797148">
      <w:r w:rsidRPr="002559EF">
        <w:rPr>
          <w:b/>
        </w:rPr>
        <w:t>Benefits:</w:t>
      </w:r>
      <w:r>
        <w:t xml:space="preserve"> </w:t>
      </w:r>
      <w:r w:rsidRPr="00C350F6">
        <w:t>The DTG/ABC/3TC fixed dose combination has been shown to be bioequivalent to DTG + ABC/3TC. The latter combination has been shown to be effective in maintaining viral suppression as shown in ING114467. There were no unexpected safety concerns detected in ING114467. There was a high barrier to resistance reported in the study. The FDC may increase treatment compliance although this remains hypothetical.</w:t>
      </w:r>
    </w:p>
    <w:p w:rsidR="00CB5329" w:rsidRPr="00C350F6" w:rsidRDefault="00CB5329" w:rsidP="00DB2B91">
      <w:r w:rsidRPr="002559EF">
        <w:rPr>
          <w:b/>
        </w:rPr>
        <w:t>Risk:</w:t>
      </w:r>
      <w:r>
        <w:t xml:space="preserve"> </w:t>
      </w:r>
      <w:r w:rsidRPr="00C350F6">
        <w:t xml:space="preserve">The safety profiles of lamivudine and </w:t>
      </w:r>
      <w:proofErr w:type="spellStart"/>
      <w:r w:rsidRPr="00C350F6">
        <w:t>abacavir</w:t>
      </w:r>
      <w:proofErr w:type="spellEnd"/>
      <w:r w:rsidRPr="00C350F6">
        <w:t xml:space="preserve"> have been established since first registration in the US of lamivudine in 1995 and </w:t>
      </w:r>
      <w:proofErr w:type="spellStart"/>
      <w:r w:rsidRPr="00C350F6">
        <w:t>abacavir</w:t>
      </w:r>
      <w:proofErr w:type="spellEnd"/>
      <w:r w:rsidRPr="00C350F6">
        <w:t xml:space="preserve"> in 1998. The safety profile of the recently registered </w:t>
      </w:r>
      <w:proofErr w:type="spellStart"/>
      <w:r w:rsidRPr="00C350F6">
        <w:t>dolutegravir</w:t>
      </w:r>
      <w:proofErr w:type="spellEnd"/>
      <w:r w:rsidRPr="00C350F6">
        <w:t xml:space="preserve"> is not so well established. For individual patients, there is the potential for development of significant adverse events consistent with the known safety profiles.</w:t>
      </w:r>
    </w:p>
    <w:p w:rsidR="00CB5329" w:rsidRDefault="00CB5329" w:rsidP="002559EF">
      <w:r w:rsidRPr="00C350F6">
        <w:t>The large dimensions of the tablet (22 x 11x7.6 mm with circumference 54.6 mm) may preclude use, or result in misuse of</w:t>
      </w:r>
      <w:r w:rsidR="00506FED">
        <w:t xml:space="preserve"> the product for some patients.</w:t>
      </w:r>
    </w:p>
    <w:p w:rsidR="00CB5329" w:rsidRPr="00C350F6" w:rsidRDefault="00CB5329" w:rsidP="002559EF">
      <w:r w:rsidRPr="00C350F6">
        <w:lastRenderedPageBreak/>
        <w:t xml:space="preserve">Registration of the fixed dose combination, </w:t>
      </w:r>
      <w:proofErr w:type="spellStart"/>
      <w:r w:rsidRPr="00C350F6">
        <w:t>dolutegravir</w:t>
      </w:r>
      <w:proofErr w:type="spellEnd"/>
      <w:r w:rsidRPr="00C350F6">
        <w:t>/</w:t>
      </w:r>
      <w:proofErr w:type="spellStart"/>
      <w:r w:rsidRPr="00C350F6">
        <w:t>abacavir</w:t>
      </w:r>
      <w:proofErr w:type="spellEnd"/>
      <w:r w:rsidRPr="00C350F6">
        <w:t xml:space="preserve">/lamivudine </w:t>
      </w:r>
      <w:r w:rsidR="00B87A36">
        <w:t>wa</w:t>
      </w:r>
      <w:r w:rsidRPr="00C350F6">
        <w:t>s recommended.</w:t>
      </w:r>
    </w:p>
    <w:p w:rsidR="008E7846" w:rsidRDefault="00386150" w:rsidP="002559EF">
      <w:pPr>
        <w:pStyle w:val="Heading3"/>
        <w:rPr>
          <w:lang w:eastAsia="en-AU"/>
        </w:rPr>
      </w:pPr>
      <w:bookmarkStart w:id="125" w:name="_Toc423434310"/>
      <w:r>
        <w:rPr>
          <w:lang w:eastAsia="en-AU"/>
        </w:rPr>
        <w:t>Risk m</w:t>
      </w:r>
      <w:r w:rsidR="008E7846">
        <w:rPr>
          <w:lang w:eastAsia="en-AU"/>
        </w:rPr>
        <w:t xml:space="preserve">anagement </w:t>
      </w:r>
      <w:r>
        <w:rPr>
          <w:lang w:eastAsia="en-AU"/>
        </w:rPr>
        <w:t>p</w:t>
      </w:r>
      <w:r w:rsidR="008E7846">
        <w:rPr>
          <w:lang w:eastAsia="en-AU"/>
        </w:rPr>
        <w:t>lan</w:t>
      </w:r>
      <w:bookmarkEnd w:id="124"/>
      <w:bookmarkEnd w:id="125"/>
    </w:p>
    <w:p w:rsidR="00CB5329" w:rsidRPr="00E56197" w:rsidRDefault="00CB5329" w:rsidP="002559EF">
      <w:r w:rsidRPr="00E56197">
        <w:t>Outstanding issues in relation to the RMP were the safety concerns identified in the clinical evaluation report should be added to the safety concern list in the Australian Specific Annex.</w:t>
      </w:r>
    </w:p>
    <w:p w:rsidR="00CB5329" w:rsidRPr="00E56197" w:rsidRDefault="00CB5329" w:rsidP="002559EF">
      <w:r w:rsidRPr="00E56197">
        <w:t>ACSOM advice was not sought for this submission.</w:t>
      </w:r>
    </w:p>
    <w:p w:rsidR="008E7846" w:rsidRDefault="00AA0ED0" w:rsidP="002559EF">
      <w:pPr>
        <w:pStyle w:val="Heading3"/>
      </w:pPr>
      <w:bookmarkStart w:id="126" w:name="_Toc247691531"/>
      <w:bookmarkStart w:id="127" w:name="_Toc314842515"/>
      <w:bookmarkStart w:id="128" w:name="_Toc423434311"/>
      <w:bookmarkStart w:id="129" w:name="_Toc196046505"/>
      <w:bookmarkStart w:id="130" w:name="_Toc196046949"/>
      <w:r>
        <w:t>Risk-benefit a</w:t>
      </w:r>
      <w:r w:rsidR="008E7846">
        <w:t>nalysis</w:t>
      </w:r>
      <w:bookmarkEnd w:id="126"/>
      <w:bookmarkEnd w:id="127"/>
      <w:bookmarkEnd w:id="128"/>
    </w:p>
    <w:p w:rsidR="00D23139" w:rsidRDefault="00D23139" w:rsidP="002559EF">
      <w:pPr>
        <w:pStyle w:val="Heading4"/>
      </w:pPr>
      <w:r w:rsidRPr="00D23139">
        <w:t xml:space="preserve">Delegate’s considerations </w:t>
      </w:r>
    </w:p>
    <w:p w:rsidR="00CB5329" w:rsidRDefault="00B87A36" w:rsidP="002559EF">
      <w:r>
        <w:t>The Delegate</w:t>
      </w:r>
      <w:r w:rsidR="00CB5329" w:rsidRPr="001B3833">
        <w:t xml:space="preserve"> agree</w:t>
      </w:r>
      <w:r>
        <w:t>s</w:t>
      </w:r>
      <w:r w:rsidR="00CB5329" w:rsidRPr="001B3833">
        <w:t xml:space="preserve"> with the </w:t>
      </w:r>
      <w:r>
        <w:t>clinical</w:t>
      </w:r>
      <w:r w:rsidR="00CB5329" w:rsidRPr="001B3833">
        <w:t xml:space="preserve"> </w:t>
      </w:r>
      <w:r w:rsidR="00CB5329">
        <w:t xml:space="preserve">assessment of the benefits and risk of this fixed dose combination tablet. </w:t>
      </w:r>
      <w:r>
        <w:t>The Delegate</w:t>
      </w:r>
      <w:r w:rsidR="00CB5329">
        <w:t xml:space="preserve"> concur</w:t>
      </w:r>
      <w:r>
        <w:t>s</w:t>
      </w:r>
      <w:r w:rsidR="00CB5329">
        <w:t xml:space="preserve"> with the recommendation for registration.</w:t>
      </w:r>
    </w:p>
    <w:p w:rsidR="00CB5329" w:rsidRDefault="00CB5329" w:rsidP="002559EF">
      <w:r>
        <w:t xml:space="preserve">The </w:t>
      </w:r>
      <w:r w:rsidR="00B87A36">
        <w:t>clinical evaluator</w:t>
      </w:r>
      <w:r>
        <w:t xml:space="preserve"> comments on the </w:t>
      </w:r>
      <w:r w:rsidR="00B87A36">
        <w:t>large dimensions of the tablet</w:t>
      </w:r>
      <w:r>
        <w:t xml:space="preserve">. The sponsor has noted that </w:t>
      </w:r>
      <w:proofErr w:type="spellStart"/>
      <w:r>
        <w:t>Kivexa</w:t>
      </w:r>
      <w:proofErr w:type="spellEnd"/>
      <w:r>
        <w:t xml:space="preserve"> and </w:t>
      </w:r>
      <w:proofErr w:type="spellStart"/>
      <w:r>
        <w:t>Atripla</w:t>
      </w:r>
      <w:proofErr w:type="spellEnd"/>
      <w:r>
        <w:t xml:space="preserve"> are other fixed dose combination tablets with similar dimensions.</w:t>
      </w:r>
      <w:r w:rsidR="00E873CA">
        <w:t xml:space="preserve"> </w:t>
      </w:r>
      <w:r>
        <w:t>The sponsor has also commented that difficulty swallowing has been reported in only 2 cases with no adverse effect on medication adherence in DTG/ABC/3TC FDC development studies.</w:t>
      </w:r>
    </w:p>
    <w:p w:rsidR="00CB5329" w:rsidRPr="00CB5329" w:rsidRDefault="00CB5329" w:rsidP="002559EF">
      <w:r>
        <w:t xml:space="preserve">The </w:t>
      </w:r>
      <w:r w:rsidR="00B87A36">
        <w:t>clinical evaluator</w:t>
      </w:r>
      <w:r>
        <w:t xml:space="preserve"> recommends del</w:t>
      </w:r>
      <w:r w:rsidRPr="00C37A31">
        <w:t xml:space="preserve">etion of references in the </w:t>
      </w:r>
      <w:r w:rsidRPr="00B87A36">
        <w:rPr>
          <w:i/>
        </w:rPr>
        <w:t>Clinical Trials</w:t>
      </w:r>
      <w:r w:rsidRPr="00C37A31">
        <w:t xml:space="preserve"> section of </w:t>
      </w:r>
      <w:r>
        <w:t xml:space="preserve">this product to studies </w:t>
      </w:r>
      <w:r w:rsidRPr="00C37A31">
        <w:t>ING113086 (Spring-2)</w:t>
      </w:r>
      <w:r>
        <w:t>,</w:t>
      </w:r>
      <w:r w:rsidR="00E873CA">
        <w:t xml:space="preserve"> </w:t>
      </w:r>
      <w:r w:rsidRPr="00C37A31">
        <w:t>ING114915 (Flamingo)</w:t>
      </w:r>
      <w:r>
        <w:t xml:space="preserve"> and </w:t>
      </w:r>
      <w:r w:rsidRPr="00C37A31">
        <w:t>ING111762 (Sailing)</w:t>
      </w:r>
      <w:r w:rsidR="00E873CA">
        <w:t xml:space="preserve"> </w:t>
      </w:r>
      <w:r>
        <w:t xml:space="preserve">as a minority of participants received the DTG+ABC/3TC combination, and the results for subgroup analyses were considered insufficiently rigorous for inclusion in PI. </w:t>
      </w:r>
      <w:r w:rsidR="00B87A36">
        <w:t>The Delegate</w:t>
      </w:r>
      <w:r>
        <w:t xml:space="preserve"> support</w:t>
      </w:r>
      <w:r w:rsidR="00B87A36">
        <w:t>s</w:t>
      </w:r>
      <w:r>
        <w:t xml:space="preserve"> this recommendation.</w:t>
      </w:r>
    </w:p>
    <w:p w:rsidR="00CB5329" w:rsidRDefault="00CB5329" w:rsidP="002559EF">
      <w:pPr>
        <w:pStyle w:val="Heading4"/>
      </w:pPr>
      <w:r>
        <w:t>Summary of issues</w:t>
      </w:r>
    </w:p>
    <w:p w:rsidR="00CB5329" w:rsidRDefault="00CB5329" w:rsidP="002559EF">
      <w:r w:rsidRPr="00860567">
        <w:t xml:space="preserve">The </w:t>
      </w:r>
      <w:r>
        <w:t xml:space="preserve">clinical evaluation report concludes the </w:t>
      </w:r>
      <w:r w:rsidRPr="00860567">
        <w:t>DTG/ABC/3TC fixed dose combination has been shown to be bioequivalent to DTG + ABC/3TC. The latter combination has been shown to be effective in maintaining viral suppression as shown in ING114467. There were no unexpected safety concerns detected in ING114467. There was a high barrier to resistance reported in the study.</w:t>
      </w:r>
      <w:r>
        <w:t xml:space="preserve"> The </w:t>
      </w:r>
      <w:r w:rsidRPr="00860567">
        <w:t>clinical evaluation</w:t>
      </w:r>
      <w:r>
        <w:t xml:space="preserve"> supports registration of the fixed dose combination tablet.</w:t>
      </w:r>
    </w:p>
    <w:p w:rsidR="00CB5329" w:rsidRDefault="00CB5329" w:rsidP="002559EF">
      <w:r>
        <w:t>The clinical evaluation report considers t</w:t>
      </w:r>
      <w:r w:rsidRPr="00860567">
        <w:t>he large dimensions of the tablet may preclude use, or result in misuse of the product for some patients.</w:t>
      </w:r>
      <w:r>
        <w:t xml:space="preserve"> </w:t>
      </w:r>
      <w:r w:rsidR="00B87A36">
        <w:t>The Delegate</w:t>
      </w:r>
      <w:r>
        <w:t xml:space="preserve"> accept</w:t>
      </w:r>
      <w:r w:rsidR="00B87A36">
        <w:t>s</w:t>
      </w:r>
      <w:r>
        <w:t xml:space="preserve"> the sponsor comment that other registered fixed dose combination tablets, such as </w:t>
      </w:r>
      <w:proofErr w:type="spellStart"/>
      <w:r>
        <w:t>Kivexa</w:t>
      </w:r>
      <w:proofErr w:type="spellEnd"/>
      <w:r>
        <w:t>, have similar dimensions.</w:t>
      </w:r>
    </w:p>
    <w:p w:rsidR="00CB5329" w:rsidRPr="00CB5329" w:rsidRDefault="00B87A36" w:rsidP="002559EF">
      <w:r>
        <w:t>The Delegate</w:t>
      </w:r>
      <w:r w:rsidR="00CB5329" w:rsidRPr="00AD337A">
        <w:t xml:space="preserve"> support</w:t>
      </w:r>
      <w:r>
        <w:t>s</w:t>
      </w:r>
      <w:r w:rsidR="00CB5329" w:rsidRPr="00AD337A">
        <w:t xml:space="preserve"> th</w:t>
      </w:r>
      <w:r>
        <w:t xml:space="preserve">e clinical </w:t>
      </w:r>
      <w:proofErr w:type="spellStart"/>
      <w:r>
        <w:t>evalautor’s</w:t>
      </w:r>
      <w:proofErr w:type="spellEnd"/>
      <w:r w:rsidR="00CB5329" w:rsidRPr="00AD337A">
        <w:t xml:space="preserve"> recommendation</w:t>
      </w:r>
      <w:r w:rsidR="00CB5329">
        <w:t xml:space="preserve"> in relation to </w:t>
      </w:r>
      <w:r>
        <w:t xml:space="preserve">inclusion of the Studies </w:t>
      </w:r>
      <w:r w:rsidRPr="00C37A31">
        <w:t>ING113086 (Spring-2)</w:t>
      </w:r>
      <w:r>
        <w:t xml:space="preserve">, </w:t>
      </w:r>
      <w:r w:rsidRPr="00C37A31">
        <w:t>ING114915 (Flamingo)</w:t>
      </w:r>
      <w:r>
        <w:t xml:space="preserve"> and </w:t>
      </w:r>
      <w:r w:rsidRPr="00C37A31">
        <w:t>ING111762 (Sailing)</w:t>
      </w:r>
      <w:r>
        <w:t xml:space="preserve"> </w:t>
      </w:r>
      <w:r w:rsidR="00CB5329">
        <w:t xml:space="preserve">in </w:t>
      </w:r>
      <w:r>
        <w:t xml:space="preserve">the </w:t>
      </w:r>
      <w:proofErr w:type="spellStart"/>
      <w:r w:rsidR="003401D1">
        <w:t>Triumeq</w:t>
      </w:r>
      <w:proofErr w:type="spellEnd"/>
      <w:r w:rsidR="00CB5329">
        <w:t xml:space="preserve"> PI</w:t>
      </w:r>
      <w:r>
        <w:t xml:space="preserve"> (see </w:t>
      </w:r>
      <w:r w:rsidRPr="00B87A36">
        <w:rPr>
          <w:i/>
        </w:rPr>
        <w:t>Delegate’s considerations</w:t>
      </w:r>
      <w:r>
        <w:t xml:space="preserve"> above)</w:t>
      </w:r>
      <w:r w:rsidR="00CB5329" w:rsidRPr="00AD337A">
        <w:t>.</w:t>
      </w:r>
    </w:p>
    <w:p w:rsidR="00D23139" w:rsidRDefault="00D23139" w:rsidP="002559EF">
      <w:pPr>
        <w:pStyle w:val="Heading4"/>
      </w:pPr>
      <w:r w:rsidRPr="00D23139">
        <w:t>Proposed action</w:t>
      </w:r>
    </w:p>
    <w:p w:rsidR="00CB5329" w:rsidRPr="00CB5329" w:rsidRDefault="00B87A36" w:rsidP="002559EF">
      <w:r>
        <w:t>The Delegate had</w:t>
      </w:r>
      <w:r w:rsidR="00CB5329" w:rsidRPr="00C80339">
        <w:t xml:space="preserve"> no reason to say, at this time, that the application for </w:t>
      </w:r>
      <w:proofErr w:type="spellStart"/>
      <w:r w:rsidR="003401D1">
        <w:t>Triumeq</w:t>
      </w:r>
      <w:proofErr w:type="spellEnd"/>
      <w:r w:rsidR="00CB5329">
        <w:t xml:space="preserve"> </w:t>
      </w:r>
      <w:r w:rsidR="00CB5329" w:rsidRPr="00C80339">
        <w:t>should not be approved for registration.</w:t>
      </w:r>
    </w:p>
    <w:p w:rsidR="00D23139" w:rsidRDefault="00D23139" w:rsidP="002559EF">
      <w:pPr>
        <w:pStyle w:val="Heading4"/>
      </w:pPr>
      <w:r w:rsidRPr="00D23139">
        <w:t>Request for ACPM advice</w:t>
      </w:r>
    </w:p>
    <w:p w:rsidR="00CB5329" w:rsidRPr="00C80339" w:rsidRDefault="00CB5329" w:rsidP="002559EF">
      <w:r w:rsidRPr="00C80339">
        <w:t>The committee is requested to provide advice on the following specific issues:</w:t>
      </w:r>
    </w:p>
    <w:p w:rsidR="00CB5329" w:rsidRPr="00C80339" w:rsidRDefault="00CB5329" w:rsidP="002559EF">
      <w:pPr>
        <w:pStyle w:val="Numberbullet0"/>
        <w:numPr>
          <w:ilvl w:val="0"/>
          <w:numId w:val="11"/>
        </w:numPr>
      </w:pPr>
      <w:r>
        <w:lastRenderedPageBreak/>
        <w:t xml:space="preserve">Does the ACPM consider it is appropriate to include clinical </w:t>
      </w:r>
      <w:r w:rsidR="00B87A36">
        <w:t>S</w:t>
      </w:r>
      <w:r w:rsidRPr="00AD337A">
        <w:t>tudies ING113086 (Spring-2), ING114915 (Flamingo) and ING111762 (Sailing)</w:t>
      </w:r>
      <w:r w:rsidR="00E873CA">
        <w:t xml:space="preserve"> </w:t>
      </w:r>
      <w:r>
        <w:t xml:space="preserve">in the Clinical Trials Section of PI for </w:t>
      </w:r>
      <w:proofErr w:type="spellStart"/>
      <w:r w:rsidR="003401D1">
        <w:t>Triumeq</w:t>
      </w:r>
      <w:proofErr w:type="spellEnd"/>
      <w:r>
        <w:t>?</w:t>
      </w:r>
    </w:p>
    <w:p w:rsidR="00CB5329" w:rsidRPr="00CB5329" w:rsidRDefault="00CB5329" w:rsidP="002559EF">
      <w:r w:rsidRPr="00C80339">
        <w:t>The committee is also</w:t>
      </w:r>
      <w:r>
        <w:t xml:space="preserve"> </w:t>
      </w:r>
      <w:r w:rsidRPr="00C80339">
        <w:t>requested to provide advice on any other issues that it thinks may be relevant to a decision on whether or not to approve this application.</w:t>
      </w:r>
    </w:p>
    <w:p w:rsidR="00D23139" w:rsidRDefault="00D23139" w:rsidP="002559EF">
      <w:pPr>
        <w:pStyle w:val="Heading4"/>
      </w:pPr>
      <w:r w:rsidRPr="00D23139">
        <w:t xml:space="preserve">Response from </w:t>
      </w:r>
      <w:r w:rsidR="001F7D25">
        <w:t>sponsor</w:t>
      </w:r>
    </w:p>
    <w:p w:rsidR="00CB5329" w:rsidRPr="00DB2B91" w:rsidRDefault="00CB5329" w:rsidP="002559EF">
      <w:pPr>
        <w:pStyle w:val="Heading5"/>
        <w:rPr>
          <w:rFonts w:eastAsiaTheme="minorHAnsi"/>
        </w:rPr>
      </w:pPr>
      <w:r w:rsidRPr="00CB5329">
        <w:rPr>
          <w:rFonts w:eastAsiaTheme="minorHAnsi"/>
        </w:rPr>
        <w:t xml:space="preserve">Executive </w:t>
      </w:r>
      <w:r w:rsidR="001F7D25">
        <w:rPr>
          <w:rFonts w:eastAsiaTheme="minorHAnsi"/>
        </w:rPr>
        <w:t>s</w:t>
      </w:r>
      <w:r w:rsidRPr="00CB5329">
        <w:rPr>
          <w:rFonts w:eastAsiaTheme="minorHAnsi"/>
        </w:rPr>
        <w:t>ummary</w:t>
      </w:r>
    </w:p>
    <w:p w:rsidR="00CB5329" w:rsidRPr="00CB5329" w:rsidRDefault="003401D1" w:rsidP="002559EF">
      <w:proofErr w:type="spellStart"/>
      <w:r>
        <w:t>Triumeq</w:t>
      </w:r>
      <w:proofErr w:type="spellEnd"/>
      <w:r w:rsidR="00CB5329" w:rsidRPr="00CB5329">
        <w:t xml:space="preserve"> is a once-daily FDC that combines the novel integrase inhibitor (INI) </w:t>
      </w:r>
      <w:proofErr w:type="spellStart"/>
      <w:r w:rsidR="00CB5329" w:rsidRPr="00CB5329">
        <w:t>dolutegravir</w:t>
      </w:r>
      <w:proofErr w:type="spellEnd"/>
      <w:r w:rsidR="00CB5329" w:rsidRPr="00CB5329">
        <w:t xml:space="preserve"> (DTG) with the nucleoside reverse transcriptase inhibitors (NRTIs) </w:t>
      </w:r>
      <w:proofErr w:type="spellStart"/>
      <w:r w:rsidR="00CB5329" w:rsidRPr="00CB5329">
        <w:t>abacavir</w:t>
      </w:r>
      <w:proofErr w:type="spellEnd"/>
      <w:r w:rsidR="00CB5329" w:rsidRPr="00CB5329">
        <w:t xml:space="preserve"> </w:t>
      </w:r>
      <w:proofErr w:type="spellStart"/>
      <w:r w:rsidR="00CB5329" w:rsidRPr="00CB5329">
        <w:t>sulfate</w:t>
      </w:r>
      <w:proofErr w:type="spellEnd"/>
      <w:r w:rsidR="00CB5329" w:rsidRPr="00CB5329">
        <w:t xml:space="preserve"> (</w:t>
      </w:r>
      <w:proofErr w:type="spellStart"/>
      <w:r w:rsidR="00CB5329" w:rsidRPr="00CB5329">
        <w:t>abacavir</w:t>
      </w:r>
      <w:proofErr w:type="spellEnd"/>
      <w:r w:rsidR="00CB5329" w:rsidRPr="00CB5329">
        <w:t xml:space="preserve">, ABC) and lamivudine (3TC). </w:t>
      </w:r>
      <w:proofErr w:type="spellStart"/>
      <w:r>
        <w:t>Triumeq</w:t>
      </w:r>
      <w:proofErr w:type="spellEnd"/>
      <w:r w:rsidR="00CB5329" w:rsidRPr="00CB5329">
        <w:t xml:space="preserve"> has been developed as a single treatment regimen (STR) for the treatment of HIV infection and has recently been approved by the US and the EMA on 22 Aug 2014 and 2 Sep 2014, respectively</w:t>
      </w:r>
      <w:r w:rsidR="00B87A36">
        <w:t>.</w:t>
      </w:r>
    </w:p>
    <w:p w:rsidR="00CB5329" w:rsidRPr="00CB5329" w:rsidRDefault="00CB5329" w:rsidP="002559EF">
      <w:proofErr w:type="spellStart"/>
      <w:r w:rsidRPr="00CB5329">
        <w:t>ViiV</w:t>
      </w:r>
      <w:proofErr w:type="spellEnd"/>
      <w:r w:rsidRPr="00CB5329">
        <w:t xml:space="preserve"> welcomes the </w:t>
      </w:r>
      <w:r w:rsidRPr="00B87A36">
        <w:rPr>
          <w:bCs/>
        </w:rPr>
        <w:t>TGA Delegate’s</w:t>
      </w:r>
      <w:r w:rsidRPr="00CB5329">
        <w:rPr>
          <w:b/>
          <w:bCs/>
        </w:rPr>
        <w:t xml:space="preserve"> </w:t>
      </w:r>
      <w:r w:rsidRPr="00CB5329">
        <w:t xml:space="preserve">assessment that there are no reasons that the application for </w:t>
      </w:r>
      <w:proofErr w:type="spellStart"/>
      <w:r w:rsidR="003401D1">
        <w:t>Triumeq</w:t>
      </w:r>
      <w:proofErr w:type="spellEnd"/>
      <w:r w:rsidRPr="00CB5329">
        <w:t xml:space="preserve"> should not be approved for registration. This recommendation is also supported by the </w:t>
      </w:r>
      <w:r w:rsidR="00B87A36" w:rsidRPr="00CB5329">
        <w:t xml:space="preserve">clinical evaluator </w:t>
      </w:r>
      <w:r w:rsidRPr="00CB5329">
        <w:t xml:space="preserve">who has stated that </w:t>
      </w:r>
      <w:r w:rsidR="00074320">
        <w:t>‘</w:t>
      </w:r>
      <w:r w:rsidRPr="00CB5329">
        <w:rPr>
          <w:i/>
          <w:iCs/>
        </w:rPr>
        <w:t>The balance is considered to lie on the side of benefit</w:t>
      </w:r>
      <w:r w:rsidR="00074320">
        <w:t>’</w:t>
      </w:r>
      <w:r w:rsidRPr="00CB5329">
        <w:t xml:space="preserve"> and </w:t>
      </w:r>
      <w:r w:rsidR="00074320">
        <w:t>‘</w:t>
      </w:r>
      <w:r w:rsidRPr="00CB5329">
        <w:rPr>
          <w:i/>
          <w:iCs/>
        </w:rPr>
        <w:t xml:space="preserve">Registration of the fixed dose combination, </w:t>
      </w:r>
      <w:proofErr w:type="spellStart"/>
      <w:r w:rsidRPr="00CB5329">
        <w:rPr>
          <w:i/>
          <w:iCs/>
        </w:rPr>
        <w:t>dolutegravir</w:t>
      </w:r>
      <w:proofErr w:type="spellEnd"/>
      <w:r w:rsidRPr="00CB5329">
        <w:rPr>
          <w:i/>
          <w:iCs/>
        </w:rPr>
        <w:t>/</w:t>
      </w:r>
      <w:proofErr w:type="spellStart"/>
      <w:r w:rsidRPr="00CB5329">
        <w:rPr>
          <w:i/>
          <w:iCs/>
        </w:rPr>
        <w:t>abacavir</w:t>
      </w:r>
      <w:proofErr w:type="spellEnd"/>
      <w:r w:rsidRPr="00CB5329">
        <w:rPr>
          <w:i/>
          <w:iCs/>
        </w:rPr>
        <w:t>/lamivudine is recommended</w:t>
      </w:r>
      <w:r w:rsidR="00074320">
        <w:t>’</w:t>
      </w:r>
      <w:r w:rsidRPr="00CB5329">
        <w:t>.</w:t>
      </w:r>
    </w:p>
    <w:p w:rsidR="00CB5329" w:rsidRPr="00CB5329" w:rsidRDefault="00CB5329" w:rsidP="002559EF">
      <w:r w:rsidRPr="00CB5329">
        <w:t>The proposed indication, as amended, is as follows:</w:t>
      </w:r>
    </w:p>
    <w:p w:rsidR="00CB5329" w:rsidRPr="00B87A36" w:rsidRDefault="003401D1" w:rsidP="00B87A36">
      <w:pPr>
        <w:ind w:left="720"/>
        <w:rPr>
          <w:i/>
        </w:rPr>
      </w:pPr>
      <w:proofErr w:type="spellStart"/>
      <w:r w:rsidRPr="00B87A36">
        <w:rPr>
          <w:i/>
        </w:rPr>
        <w:t>Triumeq</w:t>
      </w:r>
      <w:proofErr w:type="spellEnd"/>
      <w:r w:rsidR="00CB5329" w:rsidRPr="00B87A36">
        <w:rPr>
          <w:i/>
        </w:rPr>
        <w:t xml:space="preserve"> is indicated as a complete regimen for the treatment of Human Immunodeficiency Virus (HIV) infection in adults and adolescents from 12 years of age who are antiretroviral treatment-naïve or are infected with HIV without documented or clinically suspected resistance to any of the three antiretroviral agents </w:t>
      </w:r>
      <w:r w:rsidR="00CB5329" w:rsidRPr="00B87A36">
        <w:rPr>
          <w:i/>
          <w:u w:val="single"/>
        </w:rPr>
        <w:t>(</w:t>
      </w:r>
      <w:proofErr w:type="spellStart"/>
      <w:r w:rsidR="00CB5329" w:rsidRPr="00B87A36">
        <w:rPr>
          <w:i/>
          <w:u w:val="single"/>
        </w:rPr>
        <w:t>dolutegravir</w:t>
      </w:r>
      <w:proofErr w:type="spellEnd"/>
      <w:r w:rsidR="00CB5329" w:rsidRPr="00B87A36">
        <w:rPr>
          <w:i/>
          <w:u w:val="single"/>
        </w:rPr>
        <w:t xml:space="preserve">, </w:t>
      </w:r>
      <w:proofErr w:type="spellStart"/>
      <w:r w:rsidR="00CB5329" w:rsidRPr="00B87A36">
        <w:rPr>
          <w:i/>
          <w:u w:val="single"/>
        </w:rPr>
        <w:t>abacavir</w:t>
      </w:r>
      <w:proofErr w:type="spellEnd"/>
      <w:r w:rsidR="00CB5329" w:rsidRPr="00B87A36">
        <w:rPr>
          <w:i/>
          <w:u w:val="single"/>
        </w:rPr>
        <w:t xml:space="preserve"> or lamivudine) </w:t>
      </w:r>
      <w:r w:rsidR="00CB5329" w:rsidRPr="00B87A36">
        <w:rPr>
          <w:i/>
        </w:rPr>
        <w:t xml:space="preserve">in </w:t>
      </w:r>
      <w:proofErr w:type="spellStart"/>
      <w:r w:rsidRPr="00B87A36">
        <w:rPr>
          <w:i/>
        </w:rPr>
        <w:t>Triumeq</w:t>
      </w:r>
      <w:proofErr w:type="spellEnd"/>
      <w:r w:rsidR="00CB5329" w:rsidRPr="00B87A36">
        <w:rPr>
          <w:i/>
        </w:rPr>
        <w:t>.</w:t>
      </w:r>
    </w:p>
    <w:p w:rsidR="00CB5329" w:rsidRPr="00CB5329" w:rsidRDefault="00CB5329" w:rsidP="002559EF">
      <w:r w:rsidRPr="00CB5329">
        <w:t xml:space="preserve">The sponsor believes that </w:t>
      </w:r>
      <w:proofErr w:type="spellStart"/>
      <w:r w:rsidR="003401D1">
        <w:t>Triumeq</w:t>
      </w:r>
      <w:proofErr w:type="spellEnd"/>
      <w:r w:rsidRPr="00CB5329">
        <w:t xml:space="preserve"> will be a valuable new therapeutic option for patients and prescribers, as it allows the benefits of a maximally simplified daily treatment (</w:t>
      </w:r>
      <w:r w:rsidR="00B87A36">
        <w:t>that is,</w:t>
      </w:r>
      <w:r w:rsidRPr="00CB5329">
        <w:t xml:space="preserve"> a once-daily single tablet regimen). </w:t>
      </w:r>
      <w:proofErr w:type="spellStart"/>
      <w:r w:rsidR="003401D1">
        <w:t>Triumeq</w:t>
      </w:r>
      <w:proofErr w:type="spellEnd"/>
      <w:r w:rsidRPr="00CB5329">
        <w:t xml:space="preserve"> offers improved tolerability and treatment outcomes versus </w:t>
      </w:r>
      <w:proofErr w:type="spellStart"/>
      <w:r w:rsidRPr="00CB5329">
        <w:t>Atripla</w:t>
      </w:r>
      <w:proofErr w:type="spellEnd"/>
      <w:r w:rsidRPr="00CB5329">
        <w:t>, and DTG’s high barrier to resistance versus other non-nucleoside reverse-transcriptase inhibitor (NNRTI) or INI-based STRs.</w:t>
      </w:r>
    </w:p>
    <w:p w:rsidR="00CB5329" w:rsidRPr="00CB5329" w:rsidRDefault="00CB5329" w:rsidP="002559EF">
      <w:r w:rsidRPr="00CB5329">
        <w:t xml:space="preserve">The only advice sought by the TGA Delegate from ACPM is regarding the recommendation to remove discussion of the ING113086 (Spring-2), ING114915 (Flamingo) and ING111762 (Sailing) studies from the Clinical Trials section of the PI. </w:t>
      </w:r>
      <w:proofErr w:type="spellStart"/>
      <w:r w:rsidRPr="00B87A36">
        <w:rPr>
          <w:bCs/>
        </w:rPr>
        <w:t>ViiV</w:t>
      </w:r>
      <w:proofErr w:type="spellEnd"/>
      <w:r w:rsidRPr="00B87A36">
        <w:rPr>
          <w:bCs/>
        </w:rPr>
        <w:t xml:space="preserve"> agrees</w:t>
      </w:r>
      <w:r w:rsidRPr="00CB5329">
        <w:rPr>
          <w:b/>
          <w:bCs/>
        </w:rPr>
        <w:t xml:space="preserve"> </w:t>
      </w:r>
      <w:r w:rsidRPr="00CB5329">
        <w:t>to this recommendation.</w:t>
      </w:r>
    </w:p>
    <w:p w:rsidR="00CB5329" w:rsidRPr="00CB5329" w:rsidRDefault="003401D1" w:rsidP="002559EF">
      <w:proofErr w:type="spellStart"/>
      <w:r>
        <w:t>Triumeq</w:t>
      </w:r>
      <w:proofErr w:type="spellEnd"/>
      <w:r w:rsidR="00CB5329" w:rsidRPr="00CB5329">
        <w:t xml:space="preserve"> is also being assessed for reimbursement at the </w:t>
      </w:r>
      <w:r w:rsidR="00CB5329" w:rsidRPr="00B87A36">
        <w:t xml:space="preserve">November 2014 </w:t>
      </w:r>
      <w:r w:rsidR="00B87A36" w:rsidRPr="00B87A36">
        <w:t>Pharmaceutical Benefits Advisory Committee (</w:t>
      </w:r>
      <w:r w:rsidR="00CB5329" w:rsidRPr="00B87A36">
        <w:t>PBAC</w:t>
      </w:r>
      <w:r w:rsidR="00B87A36" w:rsidRPr="00B87A36">
        <w:t>)</w:t>
      </w:r>
      <w:r w:rsidR="00CB5329" w:rsidRPr="00B87A36">
        <w:t xml:space="preserve"> meeting under the parallel processing</w:t>
      </w:r>
      <w:r w:rsidR="00CB5329" w:rsidRPr="00CB5329">
        <w:t xml:space="preserve"> arrangement. </w:t>
      </w:r>
      <w:proofErr w:type="spellStart"/>
      <w:r w:rsidR="00CB5329" w:rsidRPr="00CB5329">
        <w:t>ViiV</w:t>
      </w:r>
      <w:proofErr w:type="spellEnd"/>
      <w:r w:rsidR="00CB5329" w:rsidRPr="00CB5329">
        <w:t xml:space="preserve"> would like to thank and acknowledge the TGA for providing the Delegate’s Overview</w:t>
      </w:r>
      <w:r w:rsidR="00D33F1A">
        <w:t xml:space="preserve"> in time for this PBAC meeting.</w:t>
      </w:r>
    </w:p>
    <w:p w:rsidR="00CB5329" w:rsidRPr="003343C4" w:rsidRDefault="001F7D25" w:rsidP="002559EF">
      <w:pPr>
        <w:pStyle w:val="Heading5"/>
        <w:rPr>
          <w:rFonts w:eastAsiaTheme="minorHAnsi"/>
        </w:rPr>
      </w:pPr>
      <w:r>
        <w:rPr>
          <w:rFonts w:eastAsiaTheme="minorHAnsi"/>
        </w:rPr>
        <w:t>Efficacy</w:t>
      </w:r>
    </w:p>
    <w:p w:rsidR="00CB5329" w:rsidRPr="00CB5329" w:rsidRDefault="00CB5329" w:rsidP="002559EF">
      <w:r w:rsidRPr="00CB5329">
        <w:t xml:space="preserve">For the </w:t>
      </w:r>
      <w:proofErr w:type="spellStart"/>
      <w:r w:rsidR="003401D1">
        <w:t>Triumeq</w:t>
      </w:r>
      <w:proofErr w:type="spellEnd"/>
      <w:r w:rsidRPr="00CB5329">
        <w:t xml:space="preserve"> development program, one pivotal study and five supportive studies provide safety and efficacy data in support of this combination product. These studies were conducted in the intended populations, and they provide data from subjects taking all three DTG/ABC/3TC FDC components concomitantly and/or DTG + 2 NRTIs (or at least 1 fully-active agent in the case of the ART-experienced, INI-naive </w:t>
      </w:r>
      <w:r w:rsidR="00B62617">
        <w:t>Study ING</w:t>
      </w:r>
      <w:r w:rsidRPr="00CB5329">
        <w:t>111762).</w:t>
      </w:r>
    </w:p>
    <w:p w:rsidR="00CB5329" w:rsidRPr="00CB5329" w:rsidRDefault="00CB5329" w:rsidP="002559EF">
      <w:r w:rsidRPr="00CB5329">
        <w:t xml:space="preserve">The pivotal </w:t>
      </w:r>
      <w:proofErr w:type="spellStart"/>
      <w:r w:rsidR="003401D1">
        <w:t>Triumeq</w:t>
      </w:r>
      <w:proofErr w:type="spellEnd"/>
      <w:r w:rsidRPr="00CB5329">
        <w:t xml:space="preserve"> study is ING114467 (SINGLE). This study evaluated a regimen of once-daily DTG 50 mg + ABC/3TC 600/300 mg FDC as one of two </w:t>
      </w:r>
      <w:r w:rsidR="00C21C47">
        <w:t>randomise</w:t>
      </w:r>
      <w:r w:rsidRPr="00CB5329">
        <w:t>d study treatments. Superiority of DTG + ABC/3TC</w:t>
      </w:r>
      <w:r w:rsidR="0015304F">
        <w:t xml:space="preserve"> combination</w:t>
      </w:r>
      <w:r w:rsidRPr="00CB5329">
        <w:t xml:space="preserve"> over EFV/TDF/FTC (</w:t>
      </w:r>
      <w:proofErr w:type="spellStart"/>
      <w:r w:rsidRPr="00CB5329">
        <w:t>Atripla</w:t>
      </w:r>
      <w:proofErr w:type="spellEnd"/>
      <w:r w:rsidRPr="00CB5329">
        <w:t xml:space="preserve">), a recommended first-line therapy in US Department of Health and Human Services (DHHS), European AIDS Clinical Society (EACS), World Health Organization (WHO), and other </w:t>
      </w:r>
      <w:r w:rsidRPr="00CB5329">
        <w:lastRenderedPageBreak/>
        <w:t>treatment guidelines for HIV-1-infected, antiretroviral therapy (ART)-naïve subjects, was demonstrated at both Week 48 and 96.</w:t>
      </w:r>
    </w:p>
    <w:p w:rsidR="00CB5329" w:rsidRPr="00CB5329" w:rsidRDefault="00CB5329" w:rsidP="002559EF">
      <w:pPr>
        <w:pStyle w:val="ListBullet"/>
      </w:pPr>
      <w:r w:rsidRPr="00CB5329">
        <w:t xml:space="preserve">Differences in efficacy were primarily driven by a lower rate of discontinuation due </w:t>
      </w:r>
      <w:r w:rsidR="001F7D25">
        <w:t>to AEs on the DTG + ABC/3TC arm</w:t>
      </w:r>
    </w:p>
    <w:p w:rsidR="00CB5329" w:rsidRPr="00CB5329" w:rsidRDefault="00CB5329" w:rsidP="002559EF">
      <w:pPr>
        <w:pStyle w:val="ListBullet"/>
      </w:pPr>
      <w:r w:rsidRPr="00CB5329">
        <w:t>Week 48 (the time point for the primary endpoint analysis) treatment differences between DTG + ABC/3TC</w:t>
      </w:r>
      <w:r w:rsidR="0015304F">
        <w:t xml:space="preserve"> combination</w:t>
      </w:r>
      <w:r w:rsidRPr="00CB5329">
        <w:t xml:space="preserve"> and EFV/TDF/FTC were consistent across the B</w:t>
      </w:r>
      <w:r w:rsidR="001F7D25">
        <w:t>aseline stratification factors</w:t>
      </w:r>
    </w:p>
    <w:p w:rsidR="00CB5329" w:rsidRPr="00CB5329" w:rsidRDefault="00CB5329" w:rsidP="002559EF">
      <w:pPr>
        <w:pStyle w:val="ListBullet"/>
      </w:pPr>
      <w:r w:rsidRPr="00CB5329">
        <w:t xml:space="preserve">The results from the pivotal </w:t>
      </w:r>
      <w:r w:rsidR="00B62617">
        <w:t>Study ING</w:t>
      </w:r>
      <w:r w:rsidRPr="00CB5329">
        <w:t>114467 demonstrate that a treatment regimen with DTG/ABC/3TC is at least as effective as treatment regimens with EFV/TDF/FTC</w:t>
      </w:r>
      <w:r w:rsidR="0015304F">
        <w:t xml:space="preserve"> combination</w:t>
      </w:r>
      <w:r w:rsidRPr="00CB5329">
        <w:t>, including subjects with a Baseline viral load &gt;100,000 c/</w:t>
      </w:r>
      <w:proofErr w:type="spellStart"/>
      <w:r w:rsidRPr="00CB5329">
        <w:t>mL.</w:t>
      </w:r>
      <w:proofErr w:type="spellEnd"/>
    </w:p>
    <w:p w:rsidR="00CB5329" w:rsidRDefault="00CB5329" w:rsidP="002559EF">
      <w:r w:rsidRPr="00CB5329">
        <w:t xml:space="preserve">Underpinning all the clinical efficacy studies was the bioequivalence (BE) </w:t>
      </w:r>
      <w:r w:rsidR="00B62617">
        <w:t>Study ING</w:t>
      </w:r>
      <w:r w:rsidRPr="00CB5329">
        <w:t xml:space="preserve">114580, establishing that </w:t>
      </w:r>
      <w:proofErr w:type="spellStart"/>
      <w:r w:rsidR="003401D1">
        <w:t>Triumeq</w:t>
      </w:r>
      <w:proofErr w:type="spellEnd"/>
      <w:r w:rsidRPr="00CB5329">
        <w:t xml:space="preserve"> is bioequivalent to DTG+ABC/3TC administered concomitantly. The broad experience with the constituent antiretroviral agents combined with confirmatory BE data establishes the</w:t>
      </w:r>
      <w:r>
        <w:t xml:space="preserve"> </w:t>
      </w:r>
      <w:r w:rsidR="003343C4">
        <w:rPr>
          <w:bCs/>
        </w:rPr>
        <w:t>sa</w:t>
      </w:r>
      <w:r w:rsidRPr="003343C4">
        <w:rPr>
          <w:bCs/>
        </w:rPr>
        <w:t>fety</w:t>
      </w:r>
      <w:r w:rsidR="003343C4" w:rsidRPr="003343C4">
        <w:rPr>
          <w:bCs/>
        </w:rPr>
        <w:t>.</w:t>
      </w:r>
    </w:p>
    <w:p w:rsidR="00CB5329" w:rsidRDefault="00CB5329" w:rsidP="002559EF">
      <w:r>
        <w:t xml:space="preserve">The </w:t>
      </w:r>
      <w:r w:rsidR="003343C4" w:rsidRPr="003343C4">
        <w:rPr>
          <w:bCs/>
        </w:rPr>
        <w:t>clinical evaluator</w:t>
      </w:r>
      <w:r w:rsidR="003343C4">
        <w:rPr>
          <w:b/>
          <w:bCs/>
        </w:rPr>
        <w:t xml:space="preserve"> </w:t>
      </w:r>
      <w:r>
        <w:t xml:space="preserve">has concluded that </w:t>
      </w:r>
      <w:r w:rsidR="00074320">
        <w:t>‘</w:t>
      </w:r>
      <w:r w:rsidRPr="003343C4">
        <w:rPr>
          <w:i/>
        </w:rPr>
        <w:t>there were no unexpected safety concerns detected in ING114467</w:t>
      </w:r>
      <w:r w:rsidR="00074320">
        <w:t>’</w:t>
      </w:r>
      <w:r>
        <w:t xml:space="preserve">. The safety and tolerability profile of </w:t>
      </w:r>
      <w:proofErr w:type="spellStart"/>
      <w:r w:rsidR="003401D1">
        <w:t>Triumeq</w:t>
      </w:r>
      <w:proofErr w:type="spellEnd"/>
      <w:r>
        <w:t xml:space="preserve"> has been shown to be favourable:</w:t>
      </w:r>
    </w:p>
    <w:p w:rsidR="00CB5329" w:rsidRPr="003343C4" w:rsidRDefault="00CB5329" w:rsidP="002559EF">
      <w:pPr>
        <w:pStyle w:val="ListBullet"/>
      </w:pPr>
      <w:r w:rsidRPr="003343C4">
        <w:t xml:space="preserve">The risk of toxicity with DTG+ABC/3TC </w:t>
      </w:r>
      <w:r w:rsidR="0015304F">
        <w:t xml:space="preserve">combination </w:t>
      </w:r>
      <w:r w:rsidRPr="003343C4">
        <w:t>appears to be no different to that observed with either DTG alone or the ABC/3TC FDC when used with other ARV- ag</w:t>
      </w:r>
      <w:r w:rsidR="001F7D25">
        <w:t>ents in combination ART (</w:t>
      </w:r>
      <w:proofErr w:type="spellStart"/>
      <w:r w:rsidR="001F7D25">
        <w:t>cART</w:t>
      </w:r>
      <w:proofErr w:type="spellEnd"/>
      <w:r w:rsidR="001F7D25">
        <w:t>)</w:t>
      </w:r>
    </w:p>
    <w:p w:rsidR="00CB5329" w:rsidRPr="003343C4" w:rsidRDefault="00CB5329" w:rsidP="002559EF">
      <w:pPr>
        <w:pStyle w:val="ListBullet"/>
      </w:pPr>
      <w:r w:rsidRPr="003343C4">
        <w:t xml:space="preserve">The safety profile for DTG + ABC/3TC was generally favourable compared with </w:t>
      </w:r>
      <w:proofErr w:type="spellStart"/>
      <w:r w:rsidRPr="003343C4">
        <w:t>Atripla</w:t>
      </w:r>
      <w:proofErr w:type="spellEnd"/>
      <w:r w:rsidRPr="003343C4">
        <w:t xml:space="preserve"> and comparable to RAL+ABC/3TC and DRV+RTV + ABC/3TC</w:t>
      </w:r>
      <w:r w:rsidR="0015304F">
        <w:t xml:space="preserve"> combinations</w:t>
      </w:r>
      <w:r w:rsidRPr="003343C4">
        <w:t xml:space="preserve"> in ART</w:t>
      </w:r>
      <w:r w:rsidR="001F7D25">
        <w:t>- naïve HIV- infected patients</w:t>
      </w:r>
    </w:p>
    <w:p w:rsidR="00CB5329" w:rsidRPr="003343C4" w:rsidRDefault="00CB5329" w:rsidP="002559EF">
      <w:pPr>
        <w:pStyle w:val="ListBullet"/>
      </w:pPr>
      <w:r w:rsidRPr="003343C4">
        <w:t xml:space="preserve">Cases of hypersensitivity reaction have been uncommon with DTG+ABC/3TC, with rates comparable to </w:t>
      </w:r>
      <w:proofErr w:type="spellStart"/>
      <w:r w:rsidRPr="003343C4">
        <w:t>Atripla</w:t>
      </w:r>
      <w:proofErr w:type="spellEnd"/>
      <w:r w:rsidRPr="003343C4">
        <w:t>, RAL+ABC/3TC and DRV+RTV+ABC/3TC</w:t>
      </w:r>
      <w:r w:rsidR="0015304F">
        <w:t xml:space="preserve"> combinations</w:t>
      </w:r>
    </w:p>
    <w:p w:rsidR="00CB5329" w:rsidRPr="003343C4" w:rsidRDefault="00CB5329" w:rsidP="002559EF">
      <w:pPr>
        <w:pStyle w:val="ListBullet"/>
      </w:pPr>
      <w:r w:rsidRPr="003343C4">
        <w:t xml:space="preserve">Cumulative data suggest a hepatic safety profile for DTG + ABC/3TC that is comparable to </w:t>
      </w:r>
      <w:proofErr w:type="spellStart"/>
      <w:r w:rsidRPr="003343C4">
        <w:t>Atripla</w:t>
      </w:r>
      <w:proofErr w:type="spellEnd"/>
      <w:r w:rsidRPr="003343C4">
        <w:t>, RAL + ABC/3TC and DRV +RTV + ABC/3TC</w:t>
      </w:r>
      <w:r w:rsidR="0015304F">
        <w:t xml:space="preserve"> combinations</w:t>
      </w:r>
    </w:p>
    <w:p w:rsidR="00CB5329" w:rsidRPr="003343C4" w:rsidRDefault="00CB5329" w:rsidP="002559EF">
      <w:pPr>
        <w:pStyle w:val="ListBullet"/>
      </w:pPr>
      <w:r w:rsidRPr="003343C4">
        <w:t>The incidence of rash</w:t>
      </w:r>
      <w:r w:rsidR="0015304F">
        <w:t xml:space="preserve"> in patients treated</w:t>
      </w:r>
      <w:r w:rsidRPr="003343C4">
        <w:t xml:space="preserve"> with DTG+ABC/3TC FDC was lower than with </w:t>
      </w:r>
      <w:proofErr w:type="spellStart"/>
      <w:r w:rsidRPr="003343C4">
        <w:t>Atripla</w:t>
      </w:r>
      <w:proofErr w:type="spellEnd"/>
      <w:r w:rsidRPr="003343C4">
        <w:t xml:space="preserve"> but comparable to RAL+ABC/3TC and DRV+RTV+ABC/3TC.</w:t>
      </w:r>
    </w:p>
    <w:p w:rsidR="00CB5329" w:rsidRDefault="00CB5329" w:rsidP="002559EF">
      <w:r>
        <w:t xml:space="preserve">The safety profile of ABC and 3TC is well defined and supported by years of postmarketing experience and extensive clinical trial data. The safety and efficacy profile of the component drug DTG has been established from the DTG clinical program although it is recognised that DTG is a newer agent which was approved by the TGA in January 2014. The safety of DTG and </w:t>
      </w:r>
      <w:proofErr w:type="spellStart"/>
      <w:r w:rsidR="003401D1">
        <w:t>Triumeq</w:t>
      </w:r>
      <w:proofErr w:type="spellEnd"/>
      <w:r>
        <w:t xml:space="preserve"> will be continually monitored via further c</w:t>
      </w:r>
      <w:r w:rsidR="003343C4">
        <w:t>linical development and post</w:t>
      </w:r>
      <w:r>
        <w:t>marketing monitoring. Reporting of safety data and any changes in benefit-risk profile will be captured in periodic benefit risk evaluation reports and updates to the risk management plan.</w:t>
      </w:r>
    </w:p>
    <w:p w:rsidR="00CB5329" w:rsidRDefault="00CB5329" w:rsidP="002559EF">
      <w:r>
        <w:t xml:space="preserve">Identified risks for </w:t>
      </w:r>
      <w:proofErr w:type="spellStart"/>
      <w:r w:rsidR="003401D1">
        <w:t>Triumeq</w:t>
      </w:r>
      <w:proofErr w:type="spellEnd"/>
      <w:r>
        <w:t xml:space="preserve"> include hypersensitivity reactions, hepatitis and a potentially serious drug interaction with </w:t>
      </w:r>
      <w:proofErr w:type="spellStart"/>
      <w:r>
        <w:t>dofetilide</w:t>
      </w:r>
      <w:proofErr w:type="spellEnd"/>
      <w:r>
        <w:t>/</w:t>
      </w:r>
      <w:proofErr w:type="spellStart"/>
      <w:r>
        <w:t>pilsicainide</w:t>
      </w:r>
      <w:proofErr w:type="spellEnd"/>
      <w:r>
        <w:t>. The sponsor believes that appropriate labelling and risk management activities have been assigned to mitigate these risks.</w:t>
      </w:r>
    </w:p>
    <w:p w:rsidR="00CB5329" w:rsidRPr="003343C4" w:rsidRDefault="00DB2B91" w:rsidP="002559EF">
      <w:pPr>
        <w:pStyle w:val="Heading5"/>
      </w:pPr>
      <w:r>
        <w:t>The sponsor’s</w:t>
      </w:r>
      <w:r w:rsidR="00CB5329">
        <w:t xml:space="preserve"> </w:t>
      </w:r>
      <w:r>
        <w:t>c</w:t>
      </w:r>
      <w:r w:rsidR="00CB5329">
        <w:t xml:space="preserve">omments on </w:t>
      </w:r>
      <w:r w:rsidR="001F7D25">
        <w:t>d</w:t>
      </w:r>
      <w:r w:rsidR="00CB5329">
        <w:t xml:space="preserve">elegate’s </w:t>
      </w:r>
      <w:r w:rsidR="001F7D25">
        <w:t>r</w:t>
      </w:r>
      <w:r w:rsidR="00CB5329">
        <w:t>equest for ACPM ad</w:t>
      </w:r>
      <w:r w:rsidR="002559EF">
        <w:t>vice</w:t>
      </w:r>
    </w:p>
    <w:p w:rsidR="00CB5329" w:rsidRPr="003343C4" w:rsidRDefault="00CB5329" w:rsidP="00D45C20">
      <w:pPr>
        <w:pStyle w:val="Numberbullet0"/>
        <w:numPr>
          <w:ilvl w:val="0"/>
          <w:numId w:val="13"/>
        </w:numPr>
        <w:rPr>
          <w:i/>
        </w:rPr>
      </w:pPr>
      <w:r w:rsidRPr="003343C4">
        <w:rPr>
          <w:i/>
        </w:rPr>
        <w:t xml:space="preserve">Does the ACPM consider it is appropriate to include clinical studies ING113086 (Spring-2), ING114915 (Flamingo) and ING111762 (Sailing) in the Clinical Trials section of the PI for </w:t>
      </w:r>
      <w:proofErr w:type="spellStart"/>
      <w:r w:rsidR="003401D1" w:rsidRPr="003343C4">
        <w:rPr>
          <w:i/>
        </w:rPr>
        <w:t>Triumeq</w:t>
      </w:r>
      <w:proofErr w:type="spellEnd"/>
      <w:r w:rsidRPr="003343C4">
        <w:rPr>
          <w:i/>
        </w:rPr>
        <w:t>?</w:t>
      </w:r>
    </w:p>
    <w:p w:rsidR="00CB5329" w:rsidRDefault="00CB5329" w:rsidP="002559EF">
      <w:r>
        <w:lastRenderedPageBreak/>
        <w:t xml:space="preserve">The effectiveness of </w:t>
      </w:r>
      <w:proofErr w:type="spellStart"/>
      <w:r w:rsidR="003401D1">
        <w:t>Triumeq</w:t>
      </w:r>
      <w:proofErr w:type="spellEnd"/>
      <w:r>
        <w:t xml:space="preserve"> for the treatment of HIV-1 infection is demonstrated with results from clinical studies conducted over many years under the development programs for DTG, ABC, 3TC, and the ABC/3TC FDC.</w:t>
      </w:r>
    </w:p>
    <w:p w:rsidR="00CB5329" w:rsidRDefault="00CB5329" w:rsidP="002559EF">
      <w:r>
        <w:t xml:space="preserve">The efficacy of </w:t>
      </w:r>
      <w:proofErr w:type="spellStart"/>
      <w:r w:rsidR="003401D1">
        <w:t>Triumeq</w:t>
      </w:r>
      <w:proofErr w:type="spellEnd"/>
      <w:r>
        <w:t xml:space="preserve"> in ART-naïve subjects is primarily demonstrated in the pivotal Study ING114467 (SINGLE), but also in the supportive Studies ING113086 (SPRING-2) and ING114915 (FLAMINGO). ART-experienced subjects were included in supportive </w:t>
      </w:r>
      <w:r w:rsidR="00B62617">
        <w:t>Study ING</w:t>
      </w:r>
      <w:r>
        <w:t>111762 (SAILING).</w:t>
      </w:r>
    </w:p>
    <w:p w:rsidR="00CB5329" w:rsidRDefault="00CB5329" w:rsidP="002559EF">
      <w:r>
        <w:t xml:space="preserve">The </w:t>
      </w:r>
      <w:r w:rsidR="003343C4">
        <w:t>s</w:t>
      </w:r>
      <w:r>
        <w:t xml:space="preserve">ponsor accepts the position of the TGA Delegate and the </w:t>
      </w:r>
      <w:r w:rsidR="003343C4">
        <w:t xml:space="preserve">clinical evaluator </w:t>
      </w:r>
      <w:r>
        <w:t xml:space="preserve">that a relatively small proportion of the patients included in these supportive studies received all three components of </w:t>
      </w:r>
      <w:proofErr w:type="spellStart"/>
      <w:r w:rsidR="003401D1">
        <w:t>Triumeq</w:t>
      </w:r>
      <w:proofErr w:type="spellEnd"/>
      <w:r>
        <w:t xml:space="preserve">. The </w:t>
      </w:r>
      <w:r w:rsidR="003343C4">
        <w:t>s</w:t>
      </w:r>
      <w:r>
        <w:t xml:space="preserve">ponsor believes that these studies are of value in the additional demonstration of the efficacy and safety of </w:t>
      </w:r>
      <w:proofErr w:type="spellStart"/>
      <w:r w:rsidR="003401D1">
        <w:t>Triumeq</w:t>
      </w:r>
      <w:proofErr w:type="spellEnd"/>
      <w:r>
        <w:t xml:space="preserve">. </w:t>
      </w:r>
      <w:proofErr w:type="spellStart"/>
      <w:r>
        <w:t>ViiV</w:t>
      </w:r>
      <w:proofErr w:type="spellEnd"/>
      <w:r>
        <w:t xml:space="preserve"> is prepared to accept the position of the TGA Delegate that discussion of these studies therefore should be removed from the </w:t>
      </w:r>
      <w:proofErr w:type="spellStart"/>
      <w:r w:rsidR="003401D1">
        <w:t>Triumeq</w:t>
      </w:r>
      <w:proofErr w:type="spellEnd"/>
      <w:r>
        <w:t xml:space="preserve"> PI and replaced by a cross reference to the </w:t>
      </w:r>
      <w:proofErr w:type="spellStart"/>
      <w:r w:rsidR="003343C4">
        <w:t>Tivicay</w:t>
      </w:r>
      <w:proofErr w:type="spellEnd"/>
      <w:r w:rsidR="003343C4">
        <w:t xml:space="preserve"> </w:t>
      </w:r>
      <w:r>
        <w:t>PI.</w:t>
      </w:r>
    </w:p>
    <w:p w:rsidR="00D23139" w:rsidRDefault="00CB5329" w:rsidP="002559EF">
      <w:pPr>
        <w:rPr>
          <w:i/>
          <w:iCs/>
        </w:rPr>
      </w:pPr>
      <w:r>
        <w:t xml:space="preserve">Accordingly, </w:t>
      </w:r>
      <w:proofErr w:type="spellStart"/>
      <w:r>
        <w:t>ViiV</w:t>
      </w:r>
      <w:proofErr w:type="spellEnd"/>
      <w:r>
        <w:t xml:space="preserve"> therefore proposes to remove the detail of these studies from the Clinical Trials section of the Australian PI and add </w:t>
      </w:r>
      <w:r w:rsidR="003343C4">
        <w:t xml:space="preserve">a </w:t>
      </w:r>
      <w:r>
        <w:t>statement based of the US</w:t>
      </w:r>
      <w:r w:rsidR="003343C4">
        <w:t xml:space="preserve"> </w:t>
      </w:r>
      <w:r>
        <w:t>PI instead</w:t>
      </w:r>
      <w:r w:rsidR="003343C4">
        <w:t>.</w:t>
      </w:r>
    </w:p>
    <w:p w:rsidR="00CB5329" w:rsidRPr="003343C4" w:rsidRDefault="00CB5329" w:rsidP="002559EF">
      <w:pPr>
        <w:pStyle w:val="Heading5"/>
        <w:rPr>
          <w:rFonts w:eastAsiaTheme="minorHAnsi"/>
        </w:rPr>
      </w:pPr>
      <w:r w:rsidRPr="00CB5329">
        <w:rPr>
          <w:rFonts w:eastAsiaTheme="minorHAnsi"/>
        </w:rPr>
        <w:t xml:space="preserve">Dimensions of </w:t>
      </w:r>
      <w:r w:rsidR="001F7D25">
        <w:rPr>
          <w:rFonts w:eastAsiaTheme="minorHAnsi"/>
        </w:rPr>
        <w:t>tablet</w:t>
      </w:r>
    </w:p>
    <w:p w:rsidR="00CB5329" w:rsidRPr="00CB5329" w:rsidRDefault="00CB5329" w:rsidP="002559EF">
      <w:r w:rsidRPr="00CB5329">
        <w:t xml:space="preserve">Since the early days of </w:t>
      </w:r>
      <w:proofErr w:type="spellStart"/>
      <w:r w:rsidRPr="00CB5329">
        <w:t>cART</w:t>
      </w:r>
      <w:proofErr w:type="spellEnd"/>
      <w:r w:rsidRPr="00CB5329">
        <w:t xml:space="preserve">, where patients struggled with many pills, two or three times daily, to contemporary years, patients and health care providers have advocated the development of as simple as possible of regimens. </w:t>
      </w:r>
      <w:proofErr w:type="spellStart"/>
      <w:r w:rsidR="003401D1">
        <w:t>Triumeq</w:t>
      </w:r>
      <w:proofErr w:type="spellEnd"/>
      <w:r w:rsidRPr="00CB5329">
        <w:t xml:space="preserve"> is a once daily tablet without food requirements.</w:t>
      </w:r>
    </w:p>
    <w:p w:rsidR="00CB5329" w:rsidRPr="00CB5329" w:rsidRDefault="00CB5329" w:rsidP="002559EF">
      <w:r w:rsidRPr="00CB5329">
        <w:t xml:space="preserve">The </w:t>
      </w:r>
      <w:proofErr w:type="spellStart"/>
      <w:r w:rsidR="003401D1">
        <w:t>Triumeq</w:t>
      </w:r>
      <w:proofErr w:type="spellEnd"/>
      <w:r w:rsidRPr="00CB5329">
        <w:t xml:space="preserve"> tablet is very close in size to the other single table regimens, especially </w:t>
      </w:r>
      <w:proofErr w:type="spellStart"/>
      <w:r w:rsidRPr="00CB5329">
        <w:t>Atripla</w:t>
      </w:r>
      <w:proofErr w:type="spellEnd"/>
      <w:r w:rsidRPr="00CB5329">
        <w:t xml:space="preserve">, as well as the </w:t>
      </w:r>
      <w:proofErr w:type="spellStart"/>
      <w:r w:rsidR="003343C4" w:rsidRPr="00CB5329">
        <w:t>Kivexa</w:t>
      </w:r>
      <w:proofErr w:type="spellEnd"/>
      <w:r w:rsidR="003343C4" w:rsidRPr="00CB5329">
        <w:t xml:space="preserve"> </w:t>
      </w:r>
      <w:r w:rsidRPr="00CB5329">
        <w:t xml:space="preserve">formulation. </w:t>
      </w:r>
      <w:r w:rsidR="003343C4">
        <w:t xml:space="preserve">The fact that </w:t>
      </w:r>
      <w:proofErr w:type="spellStart"/>
      <w:r w:rsidR="003401D1">
        <w:t>Triumeq</w:t>
      </w:r>
      <w:proofErr w:type="spellEnd"/>
      <w:r w:rsidR="003343C4">
        <w:t xml:space="preserve"> has a</w:t>
      </w:r>
      <w:r w:rsidRPr="00CB5329">
        <w:t xml:space="preserve"> very similar size to these already marketed formulations </w:t>
      </w:r>
      <w:r w:rsidR="003343C4">
        <w:t xml:space="preserve">would </w:t>
      </w:r>
      <w:r w:rsidRPr="00CB5329">
        <w:t xml:space="preserve">predict that adherence should not be negatively affected. This is especially true when taking into account the </w:t>
      </w:r>
      <w:proofErr w:type="spellStart"/>
      <w:r w:rsidR="003343C4" w:rsidRPr="00CB5329">
        <w:t>Kivexa</w:t>
      </w:r>
      <w:proofErr w:type="spellEnd"/>
      <w:r w:rsidR="003343C4" w:rsidRPr="00CB5329">
        <w:t xml:space="preserve"> </w:t>
      </w:r>
      <w:r w:rsidRPr="00CB5329">
        <w:t>formulation, since that product has been in use in Australia since its listing on the Pharmaceutical Benefits Scheme in 2005.</w:t>
      </w:r>
    </w:p>
    <w:p w:rsidR="00CB5329" w:rsidRPr="00CB5329" w:rsidRDefault="00CB5329" w:rsidP="002559EF">
      <w:r w:rsidRPr="00CB5329">
        <w:t xml:space="preserve">Two clinical trials provide insight on any patient impact regarding tablet size: the pivotal BE trial, ING 114580, which was conducted in adult subjects, and a large, ongoing multi-center, international Phase IIIB-study, ING117172, which has </w:t>
      </w:r>
      <w:r w:rsidR="00C21C47">
        <w:t>randomise</w:t>
      </w:r>
      <w:r w:rsidRPr="00CB5329">
        <w:t xml:space="preserve">d over 300 women to date to </w:t>
      </w:r>
      <w:proofErr w:type="spellStart"/>
      <w:r w:rsidR="003401D1">
        <w:t>Triumeq</w:t>
      </w:r>
      <w:proofErr w:type="spellEnd"/>
      <w:r w:rsidRPr="00CB5329">
        <w:t xml:space="preserve"> or </w:t>
      </w:r>
      <w:proofErr w:type="spellStart"/>
      <w:r w:rsidRPr="00CB5329">
        <w:t>tenofovir</w:t>
      </w:r>
      <w:proofErr w:type="spellEnd"/>
      <w:r w:rsidRPr="00CB5329">
        <w:t>/</w:t>
      </w:r>
      <w:proofErr w:type="spellStart"/>
      <w:r w:rsidRPr="00CB5329">
        <w:t>emtricitabine</w:t>
      </w:r>
      <w:proofErr w:type="spellEnd"/>
      <w:r w:rsidRPr="00CB5329">
        <w:t xml:space="preserve"> plus </w:t>
      </w:r>
      <w:proofErr w:type="spellStart"/>
      <w:r w:rsidRPr="00CB5329">
        <w:t>atazanavir</w:t>
      </w:r>
      <w:proofErr w:type="spellEnd"/>
      <w:r w:rsidRPr="00CB5329">
        <w:t xml:space="preserve">/ritonavir. As of October 2014, the sponsor is aware of only three cases regarding an issue with the formulation from subjects in the development studies: in one case the subject had some difficulty swallowing the </w:t>
      </w:r>
      <w:proofErr w:type="spellStart"/>
      <w:r w:rsidRPr="00CB5329">
        <w:t>Kivexa</w:t>
      </w:r>
      <w:proofErr w:type="spellEnd"/>
      <w:r w:rsidRPr="00CB5329">
        <w:t xml:space="preserve"> tablet (commercial) in the BE trial (PK sampling was discontinued) and the patient remained in the trial</w:t>
      </w:r>
      <w:r w:rsidR="003343C4">
        <w:t>;</w:t>
      </w:r>
      <w:r w:rsidRPr="00CB5329">
        <w:t xml:space="preserve"> one subject in the ongoing ING117172 study has mentioned difficulty in swallowing the </w:t>
      </w:r>
      <w:proofErr w:type="spellStart"/>
      <w:r w:rsidR="003401D1">
        <w:t>Triumeq</w:t>
      </w:r>
      <w:proofErr w:type="spellEnd"/>
      <w:r w:rsidRPr="00CB5329">
        <w:t xml:space="preserve"> tablet but has remained in the trial for over 6 months and is still participating</w:t>
      </w:r>
      <w:r w:rsidR="003343C4">
        <w:t>;</w:t>
      </w:r>
      <w:r w:rsidRPr="00CB5329">
        <w:t xml:space="preserve"> and one subject in Thailand (September 2014) who was recovering from tonsillitis/tonsillectomy reported having difficulty swallowing the </w:t>
      </w:r>
      <w:proofErr w:type="spellStart"/>
      <w:r w:rsidR="003401D1">
        <w:t>Triumeq</w:t>
      </w:r>
      <w:proofErr w:type="spellEnd"/>
      <w:r w:rsidRPr="00CB5329">
        <w:t xml:space="preserve"> tablet but is also continuing to participate in the study.</w:t>
      </w:r>
    </w:p>
    <w:p w:rsidR="00CB5329" w:rsidRPr="00CB5329" w:rsidRDefault="00CB5329" w:rsidP="002559EF">
      <w:r w:rsidRPr="00CB5329">
        <w:t xml:space="preserve">Additionally </w:t>
      </w:r>
      <w:r w:rsidR="003343C4">
        <w:t>the sponsor</w:t>
      </w:r>
      <w:r w:rsidRPr="00CB5329">
        <w:t xml:space="preserve"> ha</w:t>
      </w:r>
      <w:r w:rsidR="003343C4">
        <w:t>s</w:t>
      </w:r>
      <w:r w:rsidRPr="00CB5329">
        <w:t xml:space="preserve"> initiated a large multi-</w:t>
      </w:r>
      <w:proofErr w:type="spellStart"/>
      <w:r w:rsidRPr="00CB5329">
        <w:t>center</w:t>
      </w:r>
      <w:proofErr w:type="spellEnd"/>
      <w:r w:rsidRPr="00CB5329">
        <w:t xml:space="preserve">, Phase IIIB, </w:t>
      </w:r>
      <w:r w:rsidR="00C21C47">
        <w:t>randomise</w:t>
      </w:r>
      <w:r w:rsidRPr="00CB5329">
        <w:t>d, open-label, non-inferiority study, 201147 (</w:t>
      </w:r>
      <w:proofErr w:type="spellStart"/>
      <w:r w:rsidRPr="00CB5329">
        <w:t>STRiiVING</w:t>
      </w:r>
      <w:proofErr w:type="spellEnd"/>
      <w:r w:rsidRPr="00CB5329">
        <w:t xml:space="preserve">), comparing </w:t>
      </w:r>
      <w:proofErr w:type="spellStart"/>
      <w:r w:rsidR="003401D1">
        <w:t>Triumeq</w:t>
      </w:r>
      <w:proofErr w:type="spellEnd"/>
      <w:r w:rsidRPr="00CB5329">
        <w:t xml:space="preserve"> versus current ART regimen in treatment-experienced adults using the </w:t>
      </w:r>
      <w:proofErr w:type="spellStart"/>
      <w:r w:rsidR="003401D1">
        <w:t>Triumeq</w:t>
      </w:r>
      <w:proofErr w:type="spellEnd"/>
      <w:r w:rsidRPr="00CB5329">
        <w:t xml:space="preserve"> clinical tablets, which are the same size as the commercial tablets. As of 29 October 2014, there are 276 subjects </w:t>
      </w:r>
      <w:r w:rsidR="00C21C47">
        <w:t>randomise</w:t>
      </w:r>
      <w:r w:rsidRPr="00CB5329">
        <w:t xml:space="preserve">d to </w:t>
      </w:r>
      <w:proofErr w:type="spellStart"/>
      <w:r w:rsidR="003401D1">
        <w:t>Triumeq</w:t>
      </w:r>
      <w:proofErr w:type="spellEnd"/>
      <w:r w:rsidRPr="00CB5329">
        <w:t xml:space="preserve"> and </w:t>
      </w:r>
      <w:r w:rsidR="003343C4">
        <w:t>the sponsor is</w:t>
      </w:r>
      <w:r w:rsidRPr="00CB5329">
        <w:t xml:space="preserve"> not aware of any AEs/SAEs reported for </w:t>
      </w:r>
      <w:r w:rsidR="00074320">
        <w:t>‘</w:t>
      </w:r>
      <w:r w:rsidRPr="00CB5329">
        <w:t>difficulty swallowing</w:t>
      </w:r>
      <w:r w:rsidR="00074320">
        <w:t>’</w:t>
      </w:r>
      <w:r w:rsidRPr="00CB5329">
        <w:t xml:space="preserve"> or </w:t>
      </w:r>
      <w:r w:rsidR="00074320">
        <w:t>‘</w:t>
      </w:r>
      <w:r w:rsidRPr="00CB5329">
        <w:t>dysphagia</w:t>
      </w:r>
      <w:r w:rsidR="00074320">
        <w:t>’</w:t>
      </w:r>
      <w:r w:rsidRPr="00CB5329">
        <w:t>.</w:t>
      </w:r>
    </w:p>
    <w:p w:rsidR="00CB5329" w:rsidRPr="00CB5329" w:rsidRDefault="00CB5329" w:rsidP="002559EF">
      <w:r w:rsidRPr="00CB5329">
        <w:t>The impact of the tablet size for particular patient populations which could potentially be more likely to experience problems swallowing a large tablet, such as paediatric patients or those with oesophageal infections, is not expected to be of sign</w:t>
      </w:r>
      <w:r w:rsidR="003343C4">
        <w:t>i</w:t>
      </w:r>
      <w:r w:rsidRPr="00CB5329">
        <w:t xml:space="preserve">ficance. The indication for </w:t>
      </w:r>
      <w:proofErr w:type="spellStart"/>
      <w:r w:rsidR="003401D1">
        <w:t>Triumeq</w:t>
      </w:r>
      <w:proofErr w:type="spellEnd"/>
      <w:r w:rsidRPr="00CB5329">
        <w:t xml:space="preserve"> is for children from 12 years of age which is also the indication for </w:t>
      </w:r>
      <w:proofErr w:type="spellStart"/>
      <w:r w:rsidR="003343C4" w:rsidRPr="00CB5329">
        <w:t>Kivexa</w:t>
      </w:r>
      <w:proofErr w:type="spellEnd"/>
      <w:r w:rsidRPr="00CB5329">
        <w:t xml:space="preserve">. Therefore difficulty in swallowing is unlikely to be an issue in this older population. Additionally, HIV-infected patients are starting care earlier in their disease process based </w:t>
      </w:r>
      <w:r w:rsidRPr="00CB5329">
        <w:lastRenderedPageBreak/>
        <w:t xml:space="preserve">on current treatment guidelines. Complications related to opportunistic infections such as oesophageal issues like </w:t>
      </w:r>
      <w:proofErr w:type="spellStart"/>
      <w:r w:rsidRPr="00CB5329">
        <w:t>candidal</w:t>
      </w:r>
      <w:proofErr w:type="spellEnd"/>
      <w:r w:rsidRPr="00CB5329">
        <w:t xml:space="preserve"> and HSV oesophagitis tend to be now less common in current care. Based on these facts,</w:t>
      </w:r>
      <w:r w:rsidR="003343C4">
        <w:t xml:space="preserve"> the s</w:t>
      </w:r>
      <w:r w:rsidRPr="00CB5329">
        <w:t>ponsor holds the view that tablet size will not adversely affect medication adherence or result in misuse of the product.</w:t>
      </w:r>
    </w:p>
    <w:p w:rsidR="00CB5329" w:rsidRPr="00CB5329" w:rsidRDefault="00CB5329" w:rsidP="00353E1D">
      <w:r w:rsidRPr="00CB5329">
        <w:t xml:space="preserve">If there are questions or concerns, health care providers or patients are encouraged to contact </w:t>
      </w:r>
      <w:proofErr w:type="spellStart"/>
      <w:r w:rsidRPr="00CB5329">
        <w:t>ViiV</w:t>
      </w:r>
      <w:proofErr w:type="spellEnd"/>
      <w:r w:rsidRPr="00CB5329">
        <w:t xml:space="preserve"> Healthcare consumer lines. If a patient develops a candida infection or other temporary medical condition that affects swallowing (</w:t>
      </w:r>
      <w:r w:rsidR="00FE68FF">
        <w:t>such as</w:t>
      </w:r>
      <w:r w:rsidRPr="00CB5329">
        <w:t xml:space="preserve"> herpes simplex virus, HSV) this probably would not be specific to </w:t>
      </w:r>
      <w:proofErr w:type="spellStart"/>
      <w:r w:rsidR="003401D1">
        <w:t>Triumeq</w:t>
      </w:r>
      <w:proofErr w:type="spellEnd"/>
      <w:r w:rsidRPr="00CB5329">
        <w:t xml:space="preserve">. However, a clinical advantage of fixed dose combination (FDC) is that there is no opportunity for patients to become only partly compliant, by holding the larger pills, and taking smaller ones. This would be a condition that could lead to essential monotherapy and drive resistance development. As most of these are temporary conditions, especially in the era of highly effective HIV therapy, the tablet could be resumed when the patient’s swallowing improves – akin to any other large tablets. Further, if the swallowing condition becomes long term or permanent, the health care provider could change the patient’s regimen to separate tablets or select medicines that are taken as liquids or can be crushed and suspended or are merely smaller pills. Importantly, with earlier initiation of therapy with respect to CD4 cell count and highly effective therapy, opportunistic infections such as </w:t>
      </w:r>
      <w:proofErr w:type="spellStart"/>
      <w:r w:rsidRPr="00CB5329">
        <w:t>candidal</w:t>
      </w:r>
      <w:proofErr w:type="spellEnd"/>
      <w:r w:rsidRPr="00CB5329">
        <w:t xml:space="preserve"> esophagitis are less frequent in the HIV-infected </w:t>
      </w:r>
      <w:r w:rsidRPr="00D157B8">
        <w:t>population.</w:t>
      </w:r>
      <w:r w:rsidR="00D157B8" w:rsidRPr="00D157B8">
        <w:rPr>
          <w:rStyle w:val="FootnoteReference"/>
        </w:rPr>
        <w:footnoteReference w:id="15"/>
      </w:r>
    </w:p>
    <w:p w:rsidR="00CB5329" w:rsidRPr="00CB5329" w:rsidRDefault="00CB5329" w:rsidP="00353E1D">
      <w:pPr>
        <w:pStyle w:val="Heading5"/>
        <w:rPr>
          <w:rFonts w:eastAsiaTheme="minorHAnsi"/>
        </w:rPr>
      </w:pPr>
      <w:r w:rsidRPr="00CB5329">
        <w:rPr>
          <w:rFonts w:eastAsiaTheme="minorHAnsi"/>
        </w:rPr>
        <w:t xml:space="preserve">Addition of safety concerns to the Australian </w:t>
      </w:r>
      <w:r w:rsidR="00D45C20">
        <w:rPr>
          <w:rFonts w:eastAsiaTheme="minorHAnsi"/>
        </w:rPr>
        <w:t>s</w:t>
      </w:r>
      <w:r w:rsidRPr="00CB5329">
        <w:rPr>
          <w:rFonts w:eastAsiaTheme="minorHAnsi"/>
        </w:rPr>
        <w:t xml:space="preserve">pecific </w:t>
      </w:r>
      <w:r w:rsidR="00D45C20">
        <w:rPr>
          <w:rFonts w:eastAsiaTheme="minorHAnsi"/>
        </w:rPr>
        <w:t>a</w:t>
      </w:r>
      <w:r w:rsidRPr="00CB5329">
        <w:rPr>
          <w:rFonts w:eastAsiaTheme="minorHAnsi"/>
        </w:rPr>
        <w:t>nnex of the EU-</w:t>
      </w:r>
      <w:r w:rsidR="00D45C20">
        <w:rPr>
          <w:rFonts w:eastAsiaTheme="minorHAnsi"/>
        </w:rPr>
        <w:t>r</w:t>
      </w:r>
      <w:r w:rsidRPr="00CB5329">
        <w:rPr>
          <w:rFonts w:eastAsiaTheme="minorHAnsi"/>
        </w:rPr>
        <w:t xml:space="preserve">isk </w:t>
      </w:r>
      <w:r w:rsidR="00D45C20">
        <w:rPr>
          <w:rFonts w:eastAsiaTheme="minorHAnsi"/>
        </w:rPr>
        <w:t>m</w:t>
      </w:r>
      <w:r w:rsidRPr="00CB5329">
        <w:rPr>
          <w:rFonts w:eastAsiaTheme="minorHAnsi"/>
        </w:rPr>
        <w:t xml:space="preserve">anagement </w:t>
      </w:r>
      <w:r w:rsidR="00D45C20">
        <w:rPr>
          <w:rFonts w:eastAsiaTheme="minorHAnsi"/>
        </w:rPr>
        <w:t>plan</w:t>
      </w:r>
    </w:p>
    <w:p w:rsidR="00CB5329" w:rsidRDefault="00CB5329" w:rsidP="00353E1D">
      <w:r w:rsidRPr="00CB5329">
        <w:t xml:space="preserve">The TGA Delegate has noted an outstanding issue from the </w:t>
      </w:r>
      <w:r w:rsidR="00FE68FF" w:rsidRPr="00CB5329">
        <w:t xml:space="preserve">clinical evaluator </w:t>
      </w:r>
      <w:r w:rsidRPr="00CB5329">
        <w:t xml:space="preserve">in which some specific safety concerns should be added to the Australian Specific Annex (ASA) of the EU-Risk Management Plan (RMP). </w:t>
      </w:r>
      <w:proofErr w:type="spellStart"/>
      <w:r w:rsidRPr="00CB5329">
        <w:t>ViiV</w:t>
      </w:r>
      <w:proofErr w:type="spellEnd"/>
      <w:r w:rsidRPr="00CB5329">
        <w:t xml:space="preserve"> agrees to add four further requested identified and potential risks to the ASA. </w:t>
      </w:r>
      <w:proofErr w:type="spellStart"/>
      <w:r w:rsidRPr="00CB5329">
        <w:t>ViiV</w:t>
      </w:r>
      <w:proofErr w:type="spellEnd"/>
      <w:r w:rsidRPr="00CB5329">
        <w:t xml:space="preserve"> also agrees that long term follow-up of individuals exposed </w:t>
      </w:r>
      <w:r w:rsidRPr="00FE68FF">
        <w:rPr>
          <w:iCs/>
        </w:rPr>
        <w:t>in utero</w:t>
      </w:r>
      <w:r w:rsidRPr="00CB5329">
        <w:rPr>
          <w:i/>
          <w:iCs/>
        </w:rPr>
        <w:t xml:space="preserve"> </w:t>
      </w:r>
      <w:r w:rsidRPr="00CB5329">
        <w:t xml:space="preserve">should be considered separately from the </w:t>
      </w:r>
      <w:r w:rsidR="00074320">
        <w:t>‘</w:t>
      </w:r>
      <w:r w:rsidRPr="00CB5329">
        <w:t>Long term safety data</w:t>
      </w:r>
      <w:r w:rsidR="00074320">
        <w:t>’</w:t>
      </w:r>
      <w:r w:rsidRPr="00CB5329">
        <w:t>. However, the sponsor does not believe that the tablet size,</w:t>
      </w:r>
      <w:r>
        <w:t xml:space="preserve"> </w:t>
      </w:r>
      <w:r w:rsidR="006A2113" w:rsidRPr="00CB5329">
        <w:t>overdose or an interaction study between DTG and lamivudine should be included, justifications for which are included in the table below</w:t>
      </w:r>
      <w:r w:rsidR="00D157B8">
        <w:t>.</w:t>
      </w:r>
    </w:p>
    <w:p w:rsidR="00D157B8" w:rsidRDefault="00D157B8" w:rsidP="00353E1D">
      <w:pPr>
        <w:pStyle w:val="TableTitle"/>
        <w:rPr>
          <w:bCs/>
        </w:rPr>
      </w:pPr>
      <w:r>
        <w:t>Table 11: Addition of Safety concerns to the ASA</w:t>
      </w:r>
    </w:p>
    <w:tbl>
      <w:tblPr>
        <w:tblStyle w:val="TableTGAblue"/>
        <w:tblW w:w="8717" w:type="dxa"/>
        <w:tblLayout w:type="fixed"/>
        <w:tblLook w:val="0000" w:firstRow="0" w:lastRow="0" w:firstColumn="0" w:lastColumn="0" w:noHBand="0" w:noVBand="0"/>
      </w:tblPr>
      <w:tblGrid>
        <w:gridCol w:w="2622"/>
        <w:gridCol w:w="6095"/>
      </w:tblGrid>
      <w:tr w:rsidR="00353E1D" w:rsidRPr="00353E1D" w:rsidTr="00353E1D">
        <w:trPr>
          <w:trHeight w:val="297"/>
          <w:tblHeader/>
        </w:trPr>
        <w:tc>
          <w:tcPr>
            <w:tcW w:w="2622" w:type="dxa"/>
            <w:shd w:val="clear" w:color="auto" w:fill="006DA7"/>
          </w:tcPr>
          <w:p w:rsidR="00797148" w:rsidRPr="00353E1D" w:rsidRDefault="00797148" w:rsidP="00353E1D">
            <w:pPr>
              <w:ind w:left="0"/>
              <w:rPr>
                <w:color w:val="FFFFFF" w:themeColor="background1"/>
              </w:rPr>
            </w:pPr>
            <w:r w:rsidRPr="00353E1D">
              <w:rPr>
                <w:color w:val="FFFFFF" w:themeColor="background1"/>
              </w:rPr>
              <w:t>Identified Risks</w:t>
            </w:r>
          </w:p>
        </w:tc>
        <w:tc>
          <w:tcPr>
            <w:tcW w:w="6095" w:type="dxa"/>
            <w:shd w:val="clear" w:color="auto" w:fill="006DA7"/>
          </w:tcPr>
          <w:p w:rsidR="00797148" w:rsidRPr="00353E1D" w:rsidRDefault="00DB2B91" w:rsidP="00353E1D">
            <w:pPr>
              <w:ind w:left="72"/>
              <w:rPr>
                <w:color w:val="FFFFFF" w:themeColor="background1"/>
              </w:rPr>
            </w:pPr>
            <w:r w:rsidRPr="00353E1D">
              <w:rPr>
                <w:color w:val="FFFFFF" w:themeColor="background1"/>
              </w:rPr>
              <w:t>Sponsor’s comment</w:t>
            </w:r>
          </w:p>
        </w:tc>
      </w:tr>
      <w:tr w:rsidR="006A2113" w:rsidRPr="00CB5329" w:rsidTr="00353E1D">
        <w:trPr>
          <w:trHeight w:val="297"/>
        </w:trPr>
        <w:tc>
          <w:tcPr>
            <w:tcW w:w="2622" w:type="dxa"/>
          </w:tcPr>
          <w:p w:rsidR="00CB5329" w:rsidRPr="00FE68FF" w:rsidRDefault="00CB5329" w:rsidP="00353E1D">
            <w:pPr>
              <w:ind w:left="0"/>
            </w:pPr>
            <w:r w:rsidRPr="00FE68FF">
              <w:t>Rebound hepatitis following</w:t>
            </w:r>
            <w:r w:rsidR="00353E1D">
              <w:t xml:space="preserve"> discontinuation of lamivudine.</w:t>
            </w:r>
          </w:p>
        </w:tc>
        <w:tc>
          <w:tcPr>
            <w:tcW w:w="6095" w:type="dxa"/>
          </w:tcPr>
          <w:p w:rsidR="00CB5329" w:rsidRPr="00FE68FF" w:rsidRDefault="00CB5329" w:rsidP="00353E1D">
            <w:pPr>
              <w:ind w:left="72"/>
              <w:rPr>
                <w:color w:val="000000"/>
              </w:rPr>
            </w:pPr>
            <w:r w:rsidRPr="00FE68FF">
              <w:rPr>
                <w:color w:val="000000"/>
              </w:rPr>
              <w:t xml:space="preserve">This risk </w:t>
            </w:r>
            <w:r w:rsidR="00DB2B91">
              <w:rPr>
                <w:color w:val="000000"/>
              </w:rPr>
              <w:t xml:space="preserve">is described in the PI and the </w:t>
            </w:r>
            <w:r w:rsidR="00FE68FF" w:rsidRPr="00FE68FF">
              <w:rPr>
                <w:color w:val="000000"/>
              </w:rPr>
              <w:t>s</w:t>
            </w:r>
            <w:r w:rsidR="00DB2B91">
              <w:rPr>
                <w:color w:val="000000"/>
              </w:rPr>
              <w:t>p</w:t>
            </w:r>
            <w:r w:rsidRPr="00FE68FF">
              <w:rPr>
                <w:color w:val="000000"/>
              </w:rPr>
              <w:t>onsor agrees to including it a</w:t>
            </w:r>
            <w:r w:rsidR="00353E1D">
              <w:rPr>
                <w:color w:val="000000"/>
              </w:rPr>
              <w:t>s an identified risk in the ASA</w:t>
            </w:r>
          </w:p>
        </w:tc>
      </w:tr>
      <w:tr w:rsidR="00797148" w:rsidRPr="00CB5329" w:rsidTr="00353E1D">
        <w:trPr>
          <w:trHeight w:val="571"/>
        </w:trPr>
        <w:tc>
          <w:tcPr>
            <w:tcW w:w="2622" w:type="dxa"/>
          </w:tcPr>
          <w:p w:rsidR="00797148" w:rsidRPr="00FE68FF" w:rsidRDefault="00797148" w:rsidP="00353E1D">
            <w:pPr>
              <w:ind w:left="0"/>
            </w:pPr>
            <w:r w:rsidRPr="00FE68FF">
              <w:t>Potential Risks</w:t>
            </w:r>
          </w:p>
        </w:tc>
        <w:tc>
          <w:tcPr>
            <w:tcW w:w="6095" w:type="dxa"/>
          </w:tcPr>
          <w:p w:rsidR="00797148" w:rsidRPr="00FE68FF" w:rsidRDefault="00797148" w:rsidP="00353E1D">
            <w:pPr>
              <w:ind w:left="72"/>
              <w:rPr>
                <w:color w:val="000000"/>
              </w:rPr>
            </w:pPr>
          </w:p>
        </w:tc>
      </w:tr>
      <w:tr w:rsidR="006A2113" w:rsidRPr="00CB5329" w:rsidTr="00353E1D">
        <w:trPr>
          <w:trHeight w:val="571"/>
        </w:trPr>
        <w:tc>
          <w:tcPr>
            <w:tcW w:w="2622" w:type="dxa"/>
          </w:tcPr>
          <w:p w:rsidR="00CB5329" w:rsidRPr="00FE68FF" w:rsidRDefault="00CB5329" w:rsidP="00353E1D">
            <w:pPr>
              <w:ind w:left="0"/>
            </w:pPr>
            <w:r w:rsidRPr="00FE68FF">
              <w:t>Mitochondrial</w:t>
            </w:r>
            <w:r w:rsidR="00353E1D">
              <w:t xml:space="preserve"> dysfunction for ABC and/or 3TC</w:t>
            </w:r>
          </w:p>
        </w:tc>
        <w:tc>
          <w:tcPr>
            <w:tcW w:w="6095" w:type="dxa"/>
          </w:tcPr>
          <w:p w:rsidR="00CB5329" w:rsidRPr="00FE68FF" w:rsidRDefault="00CB5329" w:rsidP="00353E1D">
            <w:pPr>
              <w:ind w:left="72"/>
              <w:rPr>
                <w:color w:val="000000"/>
              </w:rPr>
            </w:pPr>
            <w:r w:rsidRPr="00FE68FF">
              <w:rPr>
                <w:color w:val="000000"/>
              </w:rPr>
              <w:t xml:space="preserve">Mitochondrial dysfunction is included in the EU RMP as a </w:t>
            </w:r>
            <w:proofErr w:type="spellStart"/>
            <w:r w:rsidRPr="00FE68FF">
              <w:rPr>
                <w:color w:val="000000"/>
              </w:rPr>
              <w:t>Pharmacogical</w:t>
            </w:r>
            <w:proofErr w:type="spellEnd"/>
            <w:r w:rsidRPr="00FE68FF">
              <w:rPr>
                <w:color w:val="000000"/>
              </w:rPr>
              <w:t xml:space="preserve"> class effect for the NRTI class and this information is also included in the Australian PI. The sponsor therefore agrees to add this </w:t>
            </w:r>
            <w:r w:rsidR="00353E1D">
              <w:rPr>
                <w:color w:val="000000"/>
              </w:rPr>
              <w:t>to the ASA as a potential risk.</w:t>
            </w:r>
          </w:p>
        </w:tc>
      </w:tr>
      <w:tr w:rsidR="006A2113" w:rsidRPr="00CB5329" w:rsidTr="00353E1D">
        <w:trPr>
          <w:trHeight w:val="985"/>
        </w:trPr>
        <w:tc>
          <w:tcPr>
            <w:tcW w:w="2622" w:type="dxa"/>
          </w:tcPr>
          <w:p w:rsidR="00CB5329" w:rsidRPr="00FE68FF" w:rsidRDefault="00353E1D" w:rsidP="00353E1D">
            <w:pPr>
              <w:ind w:left="0"/>
            </w:pPr>
            <w:r>
              <w:lastRenderedPageBreak/>
              <w:t>Bone disorders</w:t>
            </w:r>
          </w:p>
        </w:tc>
        <w:tc>
          <w:tcPr>
            <w:tcW w:w="6095" w:type="dxa"/>
          </w:tcPr>
          <w:p w:rsidR="00CB5329" w:rsidRPr="00FE68FF" w:rsidRDefault="00CB5329" w:rsidP="00353E1D">
            <w:pPr>
              <w:ind w:left="72"/>
              <w:rPr>
                <w:color w:val="000000"/>
              </w:rPr>
            </w:pPr>
            <w:r w:rsidRPr="00FE68FF">
              <w:rPr>
                <w:color w:val="000000"/>
              </w:rPr>
              <w:t xml:space="preserve">Bone disorders are included in the EU RMP as a Pharmacological class effect for CART. Although the aetiology is considered to be multifactorial (including corticosteroid use, </w:t>
            </w:r>
            <w:proofErr w:type="spellStart"/>
            <w:r w:rsidRPr="00FE68FF">
              <w:rPr>
                <w:color w:val="000000"/>
              </w:rPr>
              <w:t>biphosphonates</w:t>
            </w:r>
            <w:proofErr w:type="spellEnd"/>
            <w:r w:rsidRPr="00FE68FF">
              <w:rPr>
                <w:color w:val="000000"/>
              </w:rPr>
              <w:t xml:space="preserve">, alcohol consumption, severe immunosuppression, higher body mass index), cases of osteonecrosis have been reported in patients with advanced HIV-disease and/or long-term exposure to CART. The sponsor agrees to add this </w:t>
            </w:r>
            <w:r w:rsidR="00353E1D">
              <w:rPr>
                <w:color w:val="000000"/>
              </w:rPr>
              <w:t>to the ASA as a potential risk.</w:t>
            </w:r>
          </w:p>
        </w:tc>
      </w:tr>
      <w:tr w:rsidR="006A2113" w:rsidRPr="00CB5329" w:rsidTr="00353E1D">
        <w:trPr>
          <w:trHeight w:val="1261"/>
        </w:trPr>
        <w:tc>
          <w:tcPr>
            <w:tcW w:w="2622" w:type="dxa"/>
          </w:tcPr>
          <w:p w:rsidR="00CB5329" w:rsidRPr="00FE68FF" w:rsidRDefault="00353E1D" w:rsidP="00353E1D">
            <w:pPr>
              <w:ind w:left="0"/>
            </w:pPr>
            <w:r>
              <w:t>Overdose</w:t>
            </w:r>
          </w:p>
        </w:tc>
        <w:tc>
          <w:tcPr>
            <w:tcW w:w="6095" w:type="dxa"/>
          </w:tcPr>
          <w:p w:rsidR="00CB5329" w:rsidRPr="00FE68FF" w:rsidRDefault="00CB5329" w:rsidP="00353E1D">
            <w:pPr>
              <w:ind w:left="72"/>
              <w:rPr>
                <w:color w:val="000000"/>
              </w:rPr>
            </w:pPr>
            <w:r w:rsidRPr="00FE68FF">
              <w:rPr>
                <w:color w:val="000000"/>
              </w:rPr>
              <w:t>There is currently limited experience w</w:t>
            </w:r>
            <w:r w:rsidR="00353E1D">
              <w:rPr>
                <w:color w:val="000000"/>
              </w:rPr>
              <w:t xml:space="preserve">ith </w:t>
            </w:r>
            <w:proofErr w:type="spellStart"/>
            <w:r w:rsidR="00353E1D">
              <w:rPr>
                <w:color w:val="000000"/>
              </w:rPr>
              <w:t>overdosage</w:t>
            </w:r>
            <w:proofErr w:type="spellEnd"/>
            <w:r w:rsidR="00353E1D">
              <w:rPr>
                <w:color w:val="000000"/>
              </w:rPr>
              <w:t xml:space="preserve"> in </w:t>
            </w:r>
            <w:proofErr w:type="spellStart"/>
            <w:r w:rsidR="00353E1D">
              <w:rPr>
                <w:color w:val="000000"/>
              </w:rPr>
              <w:t>dolutegravir</w:t>
            </w:r>
            <w:proofErr w:type="spellEnd"/>
            <w:r w:rsidR="00353E1D">
              <w:rPr>
                <w:color w:val="000000"/>
              </w:rPr>
              <w:t>.</w:t>
            </w:r>
          </w:p>
          <w:p w:rsidR="00CB5329" w:rsidRPr="00FE68FF" w:rsidRDefault="00CB5329" w:rsidP="00353E1D">
            <w:pPr>
              <w:ind w:left="72"/>
              <w:rPr>
                <w:color w:val="000000"/>
              </w:rPr>
            </w:pPr>
            <w:r w:rsidRPr="00FE68FF">
              <w:rPr>
                <w:color w:val="000000"/>
              </w:rPr>
              <w:t xml:space="preserve">Limited experience of single higher doses (up to 250 mg in healthy patients) revealed no specific symptoms or signs, apart from those listed as adverse reactions. No specific symptoms or signs have been identified following acute overdose with </w:t>
            </w:r>
            <w:proofErr w:type="spellStart"/>
            <w:r w:rsidRPr="00FE68FF">
              <w:rPr>
                <w:color w:val="000000"/>
              </w:rPr>
              <w:t>abacavir</w:t>
            </w:r>
            <w:proofErr w:type="spellEnd"/>
            <w:r w:rsidRPr="00FE68FF">
              <w:rPr>
                <w:color w:val="000000"/>
              </w:rPr>
              <w:t xml:space="preserve"> or lamivudine, apart from those listed as adverse reactions. On the basis that </w:t>
            </w:r>
            <w:proofErr w:type="spellStart"/>
            <w:r w:rsidR="003401D1" w:rsidRPr="00FE68FF">
              <w:rPr>
                <w:color w:val="000000"/>
              </w:rPr>
              <w:t>Triumeq</w:t>
            </w:r>
            <w:proofErr w:type="spellEnd"/>
            <w:r w:rsidRPr="00FE68FF">
              <w:rPr>
                <w:color w:val="000000"/>
              </w:rPr>
              <w:t xml:space="preserve"> is not expected to have an increased likelihood for overdose in clinical practice nor does it have a narrow therapeutic margin, the sponsor does not agree to add this </w:t>
            </w:r>
            <w:r w:rsidR="00353E1D">
              <w:rPr>
                <w:color w:val="000000"/>
              </w:rPr>
              <w:t>to the ASA as a potential risk.</w:t>
            </w:r>
          </w:p>
        </w:tc>
      </w:tr>
      <w:tr w:rsidR="006A2113" w:rsidRPr="00CB5329" w:rsidTr="00353E1D">
        <w:trPr>
          <w:trHeight w:val="571"/>
        </w:trPr>
        <w:tc>
          <w:tcPr>
            <w:tcW w:w="2622" w:type="dxa"/>
          </w:tcPr>
          <w:p w:rsidR="00CB5329" w:rsidRPr="00FE68FF" w:rsidRDefault="00CB5329" w:rsidP="00353E1D">
            <w:pPr>
              <w:ind w:left="0"/>
            </w:pPr>
            <w:r w:rsidRPr="00FE68FF">
              <w:t>Patient misuse of antacids and iron containing medications risking lo</w:t>
            </w:r>
            <w:r w:rsidR="00353E1D">
              <w:t xml:space="preserve">ss of efficacy for </w:t>
            </w:r>
            <w:proofErr w:type="spellStart"/>
            <w:r w:rsidR="00353E1D">
              <w:t>dolutegravir</w:t>
            </w:r>
            <w:proofErr w:type="spellEnd"/>
          </w:p>
        </w:tc>
        <w:tc>
          <w:tcPr>
            <w:tcW w:w="6095" w:type="dxa"/>
          </w:tcPr>
          <w:p w:rsidR="00CB5329" w:rsidRPr="00FE68FF" w:rsidRDefault="00CB5329" w:rsidP="00353E1D">
            <w:pPr>
              <w:ind w:left="72"/>
              <w:rPr>
                <w:color w:val="000000"/>
              </w:rPr>
            </w:pPr>
            <w:r w:rsidRPr="00FE68FF">
              <w:rPr>
                <w:color w:val="000000"/>
              </w:rPr>
              <w:t xml:space="preserve">The PI states that the absorption of </w:t>
            </w:r>
            <w:proofErr w:type="spellStart"/>
            <w:r w:rsidRPr="00FE68FF">
              <w:rPr>
                <w:color w:val="000000"/>
              </w:rPr>
              <w:t>dolutegravir</w:t>
            </w:r>
            <w:proofErr w:type="spellEnd"/>
            <w:r w:rsidRPr="00FE68FF">
              <w:rPr>
                <w:color w:val="000000"/>
              </w:rPr>
              <w:t xml:space="preserve"> is reduced by certain antacids. The </w:t>
            </w:r>
            <w:r w:rsidR="00FE68FF">
              <w:rPr>
                <w:color w:val="000000"/>
              </w:rPr>
              <w:t>s</w:t>
            </w:r>
            <w:r w:rsidRPr="00FE68FF">
              <w:rPr>
                <w:color w:val="000000"/>
              </w:rPr>
              <w:t>ponsor therefore agrees to include it in the ASA as a potential risk.</w:t>
            </w:r>
          </w:p>
        </w:tc>
      </w:tr>
      <w:tr w:rsidR="00797148" w:rsidRPr="00CB5329" w:rsidTr="00353E1D">
        <w:trPr>
          <w:trHeight w:val="711"/>
        </w:trPr>
        <w:tc>
          <w:tcPr>
            <w:tcW w:w="2622" w:type="dxa"/>
          </w:tcPr>
          <w:p w:rsidR="00797148" w:rsidRPr="00FE68FF" w:rsidRDefault="00797148" w:rsidP="00353E1D">
            <w:pPr>
              <w:ind w:left="0"/>
            </w:pPr>
            <w:r w:rsidRPr="00FE68FF">
              <w:t>Missing Information</w:t>
            </w:r>
          </w:p>
        </w:tc>
        <w:tc>
          <w:tcPr>
            <w:tcW w:w="6095" w:type="dxa"/>
          </w:tcPr>
          <w:p w:rsidR="00797148" w:rsidRPr="00797148" w:rsidRDefault="00797148" w:rsidP="00353E1D">
            <w:pPr>
              <w:ind w:left="72"/>
              <w:rPr>
                <w:color w:val="000000"/>
              </w:rPr>
            </w:pPr>
          </w:p>
        </w:tc>
      </w:tr>
      <w:tr w:rsidR="006A2113" w:rsidRPr="00CB5329" w:rsidTr="00353E1D">
        <w:trPr>
          <w:trHeight w:val="711"/>
        </w:trPr>
        <w:tc>
          <w:tcPr>
            <w:tcW w:w="2622" w:type="dxa"/>
          </w:tcPr>
          <w:p w:rsidR="00CB5329" w:rsidRPr="00FE68FF" w:rsidRDefault="00CB5329" w:rsidP="00353E1D">
            <w:pPr>
              <w:ind w:left="0"/>
            </w:pPr>
            <w:r w:rsidRPr="00FE68FF">
              <w:t xml:space="preserve">Long term follow-up of individuals exposed in utero should be considered separately from the </w:t>
            </w:r>
            <w:r w:rsidR="00074320" w:rsidRPr="00FE68FF">
              <w:t>‘</w:t>
            </w:r>
            <w:r w:rsidRPr="00FE68FF">
              <w:t>Long term safety data</w:t>
            </w:r>
            <w:r w:rsidR="00074320" w:rsidRPr="00FE68FF">
              <w:t>’</w:t>
            </w:r>
          </w:p>
        </w:tc>
        <w:tc>
          <w:tcPr>
            <w:tcW w:w="6095" w:type="dxa"/>
          </w:tcPr>
          <w:p w:rsidR="00CB5329" w:rsidRPr="00D157B8" w:rsidRDefault="00CB5329" w:rsidP="00353E1D">
            <w:pPr>
              <w:ind w:left="72"/>
              <w:rPr>
                <w:color w:val="000000"/>
              </w:rPr>
            </w:pPr>
            <w:r w:rsidRPr="00D157B8">
              <w:rPr>
                <w:color w:val="000000"/>
              </w:rPr>
              <w:t>The sponsor agrees to separate these tw</w:t>
            </w:r>
            <w:r w:rsidR="00353E1D">
              <w:rPr>
                <w:color w:val="000000"/>
              </w:rPr>
              <w:t>o types of missing information.</w:t>
            </w:r>
          </w:p>
        </w:tc>
      </w:tr>
      <w:tr w:rsidR="006A2113" w:rsidRPr="00CB5329" w:rsidTr="00353E1D">
        <w:trPr>
          <w:trHeight w:val="571"/>
        </w:trPr>
        <w:tc>
          <w:tcPr>
            <w:tcW w:w="2622" w:type="dxa"/>
          </w:tcPr>
          <w:p w:rsidR="00CB5329" w:rsidRPr="00FE68FF" w:rsidRDefault="00CB5329" w:rsidP="00353E1D">
            <w:pPr>
              <w:ind w:left="0"/>
            </w:pPr>
            <w:r w:rsidRPr="00FE68FF">
              <w:t>The large size of the tablet is a potential problem, especially for patients wit</w:t>
            </w:r>
            <w:r w:rsidR="00353E1D">
              <w:t>h oral and oesophageal problems</w:t>
            </w:r>
          </w:p>
        </w:tc>
        <w:tc>
          <w:tcPr>
            <w:tcW w:w="6095" w:type="dxa"/>
          </w:tcPr>
          <w:p w:rsidR="00CB5329" w:rsidRPr="00D157B8" w:rsidRDefault="00CB5329" w:rsidP="00353E1D">
            <w:pPr>
              <w:ind w:left="72"/>
              <w:rPr>
                <w:color w:val="000000"/>
              </w:rPr>
            </w:pPr>
            <w:r w:rsidRPr="00D157B8">
              <w:rPr>
                <w:color w:val="000000"/>
              </w:rPr>
              <w:t xml:space="preserve">Please refer to the discussion above. The </w:t>
            </w:r>
            <w:r w:rsidR="00D157B8">
              <w:rPr>
                <w:color w:val="000000"/>
              </w:rPr>
              <w:t>s</w:t>
            </w:r>
            <w:r w:rsidRPr="00D157B8">
              <w:rPr>
                <w:color w:val="000000"/>
              </w:rPr>
              <w:t>ponsor continues to hold the view that tablet size will not adversely affect medication adherence or result in misuse of the product and therefore does not agree that t</w:t>
            </w:r>
            <w:r w:rsidR="00353E1D">
              <w:rPr>
                <w:color w:val="000000"/>
              </w:rPr>
              <w:t>his should be added to the ASA.</w:t>
            </w:r>
          </w:p>
        </w:tc>
      </w:tr>
      <w:tr w:rsidR="006A2113" w:rsidRPr="00CB5329" w:rsidTr="00353E1D">
        <w:trPr>
          <w:trHeight w:val="1813"/>
        </w:trPr>
        <w:tc>
          <w:tcPr>
            <w:tcW w:w="2622" w:type="dxa"/>
          </w:tcPr>
          <w:p w:rsidR="00CB5329" w:rsidRPr="00FE68FF" w:rsidRDefault="00CB5329" w:rsidP="00353E1D">
            <w:pPr>
              <w:ind w:left="0"/>
            </w:pPr>
            <w:r w:rsidRPr="00FE68FF">
              <w:t>Interaction study between DTG a</w:t>
            </w:r>
            <w:r w:rsidR="00353E1D">
              <w:t>nd lamivudine has not been done</w:t>
            </w:r>
          </w:p>
        </w:tc>
        <w:tc>
          <w:tcPr>
            <w:tcW w:w="6095" w:type="dxa"/>
          </w:tcPr>
          <w:p w:rsidR="00CB5329" w:rsidRPr="00D157B8" w:rsidRDefault="00CB5329" w:rsidP="00353E1D">
            <w:pPr>
              <w:ind w:left="72"/>
              <w:rPr>
                <w:color w:val="000000"/>
              </w:rPr>
            </w:pPr>
            <w:r w:rsidRPr="00D157B8">
              <w:rPr>
                <w:color w:val="000000"/>
              </w:rPr>
              <w:t xml:space="preserve">The sponsor acknowledges that DTG has the potential to increase lamivudine (3TC) exposure via inhibition of OCT2 which may be involved in 3TC renal excretion, however, based on the accumulated clinical PK and safety data and predicted effect of DTG on 3TC exposure using various static models, no interaction between DTG and 3TC is </w:t>
            </w:r>
            <w:r w:rsidRPr="00D157B8">
              <w:rPr>
                <w:color w:val="000000"/>
              </w:rPr>
              <w:lastRenderedPageBreak/>
              <w:t>observed or expected (details provided below). Therefore, the sponsor does not agree that it is necessary to conduct an interaction study between DTG and 3TC and therefore wou</w:t>
            </w:r>
            <w:r w:rsidR="00353E1D">
              <w:rPr>
                <w:color w:val="000000"/>
              </w:rPr>
              <w:t>ld not include this in the ASA.</w:t>
            </w:r>
          </w:p>
          <w:p w:rsidR="00CB5329" w:rsidRPr="00D157B8" w:rsidRDefault="00CB5329" w:rsidP="00353E1D">
            <w:pPr>
              <w:ind w:left="72"/>
              <w:rPr>
                <w:color w:val="000000"/>
              </w:rPr>
            </w:pPr>
            <w:r w:rsidRPr="00D157B8">
              <w:rPr>
                <w:color w:val="000000"/>
              </w:rPr>
              <w:t>Summary of evidences of no i</w:t>
            </w:r>
            <w:r w:rsidR="00353E1D">
              <w:rPr>
                <w:color w:val="000000"/>
              </w:rPr>
              <w:t>nteraction between DTG and 3TC:</w:t>
            </w:r>
          </w:p>
          <w:p w:rsidR="006A2113" w:rsidRPr="00D157B8" w:rsidRDefault="00CB5329" w:rsidP="00353E1D">
            <w:pPr>
              <w:ind w:left="72"/>
            </w:pPr>
            <w:r w:rsidRPr="00D157B8">
              <w:rPr>
                <w:color w:val="000000"/>
              </w:rPr>
              <w:t xml:space="preserve">Firstly, PK data from </w:t>
            </w:r>
            <w:r w:rsidR="00B62617" w:rsidRPr="00D157B8">
              <w:rPr>
                <w:color w:val="000000"/>
              </w:rPr>
              <w:t>Study ING</w:t>
            </w:r>
            <w:r w:rsidRPr="00D157B8">
              <w:rPr>
                <w:color w:val="000000"/>
              </w:rPr>
              <w:t>114580 and comparisons to historical data (</w:t>
            </w:r>
            <w:r w:rsidR="00D157B8">
              <w:rPr>
                <w:color w:val="000000"/>
              </w:rPr>
              <w:t>S</w:t>
            </w:r>
            <w:r w:rsidRPr="00D157B8">
              <w:rPr>
                <w:color w:val="000000"/>
              </w:rPr>
              <w:t>tudy CAL10001) indicated that 3TC PK parameters were similar</w:t>
            </w:r>
            <w:r w:rsidR="00D157B8">
              <w:rPr>
                <w:color w:val="000000"/>
              </w:rPr>
              <w:t xml:space="preserve"> </w:t>
            </w:r>
            <w:r w:rsidR="006A2113" w:rsidRPr="00D157B8">
              <w:t>with and without co-administration with DTG, implying that there is no significant drug interacti</w:t>
            </w:r>
            <w:r w:rsidR="00353E1D">
              <w:t>on between DTG and 3TC in vivo.</w:t>
            </w:r>
          </w:p>
          <w:p w:rsidR="006A2113" w:rsidRPr="00D157B8" w:rsidRDefault="006A2113" w:rsidP="00353E1D">
            <w:pPr>
              <w:ind w:left="72"/>
            </w:pPr>
            <w:r w:rsidRPr="00D157B8">
              <w:t>Additionally, based on in vitro transporter data, it is not predicted that DTG would have a significant impact on 3TC plasma concentrations. 3TC is predominantly cleared by the kidney via both glomerular filtration and active tubular secretion which represents about 47.5% of total clearance of 3TC. Based on modelling using IC50 of DTG on OCT2 transporter, the increase in 3TC exposure by DTG through OCT2 inhibition i</w:t>
            </w:r>
            <w:r w:rsidR="00353E1D">
              <w:t>s expected to be less than 28%.</w:t>
            </w:r>
          </w:p>
          <w:p w:rsidR="00CB5329" w:rsidRPr="00D157B8" w:rsidRDefault="006A2113" w:rsidP="00353E1D">
            <w:pPr>
              <w:ind w:left="72"/>
              <w:rPr>
                <w:color w:val="000000"/>
              </w:rPr>
            </w:pPr>
            <w:r w:rsidRPr="00D157B8">
              <w:t xml:space="preserve">Finally, DTG has been co-administered with 3TC in multiple Phase </w:t>
            </w:r>
            <w:r w:rsidR="00D157B8">
              <w:t>II</w:t>
            </w:r>
            <w:r w:rsidRPr="00D157B8">
              <w:t>/</w:t>
            </w:r>
            <w:r w:rsidR="00D157B8">
              <w:t>III</w:t>
            </w:r>
            <w:r w:rsidRPr="00D157B8">
              <w:t xml:space="preserve"> clinical studies (ING112276, ING113086, and ING114467) and no significant safety issues have been identified due to co-administration with DTG and 3TC.</w:t>
            </w:r>
          </w:p>
        </w:tc>
      </w:tr>
    </w:tbl>
    <w:p w:rsidR="006A2113" w:rsidRPr="00D157B8" w:rsidRDefault="006A2113" w:rsidP="00353E1D">
      <w:pPr>
        <w:pStyle w:val="Heading5"/>
      </w:pPr>
      <w:r>
        <w:lastRenderedPageBreak/>
        <w:t>Benefit-</w:t>
      </w:r>
      <w:r w:rsidR="00D45C20">
        <w:t>r</w:t>
      </w:r>
      <w:r>
        <w:t xml:space="preserve">isk </w:t>
      </w:r>
      <w:r w:rsidR="00D45C20">
        <w:t>a</w:t>
      </w:r>
      <w:r>
        <w:t xml:space="preserve">ssessment and </w:t>
      </w:r>
      <w:r w:rsidR="00D45C20">
        <w:t>conclusion</w:t>
      </w:r>
    </w:p>
    <w:p w:rsidR="006A2113" w:rsidRDefault="006A2113" w:rsidP="00353E1D">
      <w:r w:rsidRPr="00D157B8">
        <w:t xml:space="preserve">The </w:t>
      </w:r>
      <w:r w:rsidRPr="00D157B8">
        <w:rPr>
          <w:bCs/>
        </w:rPr>
        <w:t>TGA Delegate</w:t>
      </w:r>
      <w:r>
        <w:rPr>
          <w:b/>
          <w:bCs/>
        </w:rPr>
        <w:t xml:space="preserve"> </w:t>
      </w:r>
      <w:r>
        <w:t xml:space="preserve">has stated that he agrees with the </w:t>
      </w:r>
      <w:r w:rsidR="00D157B8">
        <w:t>clinical</w:t>
      </w:r>
      <w:r>
        <w:t xml:space="preserve"> assessment of the benefits and risk and that he concurs with the recommendation for registration.</w:t>
      </w:r>
    </w:p>
    <w:p w:rsidR="006A2113" w:rsidRDefault="003401D1" w:rsidP="00353E1D">
      <w:proofErr w:type="spellStart"/>
      <w:r>
        <w:t>Triumeq</w:t>
      </w:r>
      <w:proofErr w:type="spellEnd"/>
      <w:r w:rsidR="006A2113">
        <w:t xml:space="preserve"> is the first STR with once-daily dosing that contains the benefits of the new INI drug DTG, with the long-established clinical benefits of ABC/3TC.</w:t>
      </w:r>
    </w:p>
    <w:p w:rsidR="006A2113" w:rsidRDefault="006A2113" w:rsidP="00353E1D">
      <w:r>
        <w:t xml:space="preserve">DTG co-administered with ABC/3TC, contained in </w:t>
      </w:r>
      <w:proofErr w:type="spellStart"/>
      <w:r w:rsidR="003401D1">
        <w:t>Triumeq</w:t>
      </w:r>
      <w:proofErr w:type="spellEnd"/>
      <w:r>
        <w:t xml:space="preserve">, have demonstrated improved efficacy and tolerability versus </w:t>
      </w:r>
      <w:proofErr w:type="spellStart"/>
      <w:r>
        <w:t>Atripla</w:t>
      </w:r>
      <w:proofErr w:type="spellEnd"/>
      <w:r>
        <w:t xml:space="preserve">, with substantial reduction of treatment-limiting adverse drug reactions that translate to improved treatment outcomes through 96 weeks of therapy. Furthermore, </w:t>
      </w:r>
      <w:proofErr w:type="spellStart"/>
      <w:r w:rsidR="003401D1">
        <w:t>Triumeq</w:t>
      </w:r>
      <w:proofErr w:type="spellEnd"/>
      <w:r>
        <w:t xml:space="preserve"> offers a high barrier to resistance, with no INI or NRTI emergent resistance seen through 96 weeks in ART-naïve subjects on DTG plus ABC/3TC regimens. </w:t>
      </w:r>
      <w:proofErr w:type="spellStart"/>
      <w:r w:rsidR="003401D1">
        <w:t>Triumeq</w:t>
      </w:r>
      <w:proofErr w:type="spellEnd"/>
      <w:r>
        <w:t xml:space="preserve"> also offers the advantages of DTG in a treatment-experienced patient population, with significantly lower emergent resistance in ART-experienced subjects when compared to RAL through 48 weeks and dosing convenience for patients without NRTI resistance who might benefit from ABC/3TC. </w:t>
      </w:r>
      <w:proofErr w:type="spellStart"/>
      <w:r w:rsidR="003401D1">
        <w:t>Triumeq</w:t>
      </w:r>
      <w:proofErr w:type="spellEnd"/>
      <w:r>
        <w:t xml:space="preserve"> provides convenient once-daily dosing (for ART-naïve and ART-experienced, INI naïve individuals), without the need for a pharmacokinetic booster or induction effects on the metabolism of other drugs, which decreases possible drug interactions with concomitant drugs. </w:t>
      </w:r>
      <w:proofErr w:type="spellStart"/>
      <w:r w:rsidR="003401D1">
        <w:t>Triumeq</w:t>
      </w:r>
      <w:proofErr w:type="spellEnd"/>
      <w:r>
        <w:t xml:space="preserve"> also provides an STR option for patients for whom </w:t>
      </w:r>
      <w:proofErr w:type="spellStart"/>
      <w:r>
        <w:t>tenofovir</w:t>
      </w:r>
      <w:proofErr w:type="spellEnd"/>
      <w:r>
        <w:t xml:space="preserve"> is not considered appropriate due to resistance or safety concerns. From a safety perspective, clinical studies showed that the safety/tolerability of the dosing regimen of DTG 50 mg plus ABC/ 3TC 600/300 mg was consistent with the established safety/tolerability profile of the three individual components.</w:t>
      </w:r>
    </w:p>
    <w:p w:rsidR="006A2113" w:rsidRDefault="006A2113" w:rsidP="00353E1D">
      <w:r>
        <w:t xml:space="preserve">Therefore, </w:t>
      </w:r>
      <w:proofErr w:type="spellStart"/>
      <w:r w:rsidR="003401D1">
        <w:t>Triumeq</w:t>
      </w:r>
      <w:proofErr w:type="spellEnd"/>
      <w:r>
        <w:t xml:space="preserve"> offers an important option for patients with HIV infection who would be optimally treated with a DTG-based regimen and who would benefit from the </w:t>
      </w:r>
      <w:r>
        <w:lastRenderedPageBreak/>
        <w:t xml:space="preserve">adherence advantages associated with STRs. The advantages of this DTG-based regimen include improved efficacy and tolerability over </w:t>
      </w:r>
      <w:proofErr w:type="spellStart"/>
      <w:r>
        <w:t>Atripla</w:t>
      </w:r>
      <w:proofErr w:type="spellEnd"/>
      <w:r>
        <w:t>, a better drug interaction profile without the effects on the metabolism of other drugs (</w:t>
      </w:r>
      <w:r w:rsidR="00D157B8">
        <w:t>that is,</w:t>
      </w:r>
      <w:r>
        <w:t xml:space="preserve"> induction or inhibition of CYP450 enzymes) and the lack of NRTI or INI resistance over 96 weeks of therapy.</w:t>
      </w:r>
    </w:p>
    <w:p w:rsidR="006A2113" w:rsidRDefault="006A2113" w:rsidP="00353E1D">
      <w:r>
        <w:t xml:space="preserve">Consistent with TGA Delegate and </w:t>
      </w:r>
      <w:r w:rsidR="00D157B8">
        <w:t>clinical evaluator</w:t>
      </w:r>
      <w:r>
        <w:t xml:space="preserve">, </w:t>
      </w:r>
      <w:proofErr w:type="spellStart"/>
      <w:r>
        <w:t>ViiV</w:t>
      </w:r>
      <w:proofErr w:type="spellEnd"/>
      <w:r>
        <w:t xml:space="preserve"> believes that the benefit-risk assessment for </w:t>
      </w:r>
      <w:proofErr w:type="spellStart"/>
      <w:r w:rsidR="003401D1">
        <w:t>Triumeq</w:t>
      </w:r>
      <w:proofErr w:type="spellEnd"/>
      <w:r>
        <w:t xml:space="preserve"> (</w:t>
      </w:r>
      <w:proofErr w:type="spellStart"/>
      <w:r>
        <w:t>dolutegravir</w:t>
      </w:r>
      <w:proofErr w:type="spellEnd"/>
      <w:r>
        <w:t xml:space="preserve"> 50</w:t>
      </w:r>
      <w:r w:rsidR="00D157B8">
        <w:t xml:space="preserve"> </w:t>
      </w:r>
      <w:r>
        <w:t>mg/</w:t>
      </w:r>
      <w:proofErr w:type="spellStart"/>
      <w:r>
        <w:t>abacavir</w:t>
      </w:r>
      <w:proofErr w:type="spellEnd"/>
      <w:r>
        <w:t xml:space="preserve"> 600</w:t>
      </w:r>
      <w:r w:rsidR="00D157B8">
        <w:t xml:space="preserve"> </w:t>
      </w:r>
      <w:r>
        <w:t>mg/lamivudine 300</w:t>
      </w:r>
      <w:r w:rsidR="00D157B8">
        <w:t xml:space="preserve"> </w:t>
      </w:r>
      <w:r>
        <w:t>mg) tablets is positive and supports approval for the following indication:</w:t>
      </w:r>
    </w:p>
    <w:p w:rsidR="006A2113" w:rsidRDefault="003401D1" w:rsidP="00797148">
      <w:pPr>
        <w:ind w:left="720"/>
      </w:pPr>
      <w:proofErr w:type="spellStart"/>
      <w:r>
        <w:rPr>
          <w:i/>
          <w:iCs/>
        </w:rPr>
        <w:t>Triumeq</w:t>
      </w:r>
      <w:proofErr w:type="spellEnd"/>
      <w:r w:rsidR="006A2113">
        <w:rPr>
          <w:i/>
          <w:iCs/>
        </w:rPr>
        <w:t xml:space="preserve"> is indicated for the treatment of Human Immunodeficiency Virus (HIV) infection in adults and adolescents from 12 years of age who are antiretroviral treatment-naïve or are infected with HIV without documented or clinically suspected resistance to any of the three antiretroviral agents (</w:t>
      </w:r>
      <w:proofErr w:type="spellStart"/>
      <w:r w:rsidR="006A2113">
        <w:rPr>
          <w:i/>
          <w:iCs/>
        </w:rPr>
        <w:t>dolutegravir</w:t>
      </w:r>
      <w:proofErr w:type="spellEnd"/>
      <w:r w:rsidR="006A2113">
        <w:rPr>
          <w:i/>
          <w:iCs/>
        </w:rPr>
        <w:t xml:space="preserve">, </w:t>
      </w:r>
      <w:proofErr w:type="spellStart"/>
      <w:r w:rsidR="006A2113">
        <w:rPr>
          <w:i/>
          <w:iCs/>
        </w:rPr>
        <w:t>abacavir</w:t>
      </w:r>
      <w:proofErr w:type="spellEnd"/>
      <w:r w:rsidR="006A2113">
        <w:rPr>
          <w:i/>
          <w:iCs/>
        </w:rPr>
        <w:t xml:space="preserve"> or lamivudine) in </w:t>
      </w:r>
      <w:proofErr w:type="spellStart"/>
      <w:r>
        <w:rPr>
          <w:i/>
          <w:iCs/>
        </w:rPr>
        <w:t>Triumeq</w:t>
      </w:r>
      <w:proofErr w:type="spellEnd"/>
      <w:r w:rsidR="006A2113">
        <w:rPr>
          <w:i/>
          <w:iCs/>
        </w:rPr>
        <w:t>.</w:t>
      </w:r>
    </w:p>
    <w:p w:rsidR="008E7846" w:rsidRDefault="008E7846" w:rsidP="00353E1D">
      <w:pPr>
        <w:pStyle w:val="Heading4"/>
      </w:pPr>
      <w:r>
        <w:t>Advisory Committee Considerations</w:t>
      </w:r>
    </w:p>
    <w:p w:rsidR="008E7846" w:rsidRDefault="00D23139" w:rsidP="00353E1D">
      <w:r w:rsidRPr="00D23139">
        <w:t>The Advisory Committee on Prescription Medicines (ACPM), having considered the evaluations and the Delegate’s overview, as well as the sponsor’s response to these documents, advised the following:</w:t>
      </w:r>
    </w:p>
    <w:p w:rsidR="006A2113" w:rsidRPr="005C0F02" w:rsidRDefault="006A2113" w:rsidP="00353E1D">
      <w:pPr>
        <w:rPr>
          <w:b/>
          <w:lang w:eastAsia="ja-JP"/>
        </w:rPr>
      </w:pPr>
      <w:r w:rsidRPr="005C0F02">
        <w:rPr>
          <w:lang w:eastAsia="ja-JP"/>
        </w:rPr>
        <w:t xml:space="preserve">The ACPM, taking into account the submitted evidence of efficacy, safety and quality, agreed with the </w:t>
      </w:r>
      <w:r w:rsidR="00D157B8">
        <w:rPr>
          <w:lang w:eastAsia="ja-JP"/>
        </w:rPr>
        <w:t>D</w:t>
      </w:r>
      <w:r w:rsidRPr="005C0F02">
        <w:rPr>
          <w:lang w:eastAsia="ja-JP"/>
        </w:rPr>
        <w:t xml:space="preserve">elegate and considered </w:t>
      </w:r>
      <w:proofErr w:type="spellStart"/>
      <w:r w:rsidR="003401D1">
        <w:rPr>
          <w:lang w:eastAsia="ja-JP"/>
        </w:rPr>
        <w:t>Triumeq</w:t>
      </w:r>
      <w:proofErr w:type="spellEnd"/>
      <w:r w:rsidRPr="005C0F02">
        <w:rPr>
          <w:lang w:eastAsia="ja-JP"/>
        </w:rPr>
        <w:t xml:space="preserve"> tablet containing </w:t>
      </w:r>
      <w:proofErr w:type="spellStart"/>
      <w:r w:rsidRPr="005C0F02">
        <w:rPr>
          <w:lang w:eastAsia="ja-JP"/>
        </w:rPr>
        <w:t>dolutegravir</w:t>
      </w:r>
      <w:proofErr w:type="spellEnd"/>
      <w:r w:rsidRPr="005C0F02">
        <w:rPr>
          <w:lang w:eastAsia="ja-JP"/>
        </w:rPr>
        <w:t xml:space="preserve"> (as sodium) 50 mg/</w:t>
      </w:r>
      <w:proofErr w:type="spellStart"/>
      <w:r w:rsidRPr="005C0F02">
        <w:rPr>
          <w:lang w:eastAsia="ja-JP"/>
        </w:rPr>
        <w:t>abacavir</w:t>
      </w:r>
      <w:proofErr w:type="spellEnd"/>
      <w:r w:rsidRPr="005C0F02">
        <w:rPr>
          <w:lang w:eastAsia="ja-JP"/>
        </w:rPr>
        <w:t xml:space="preserve"> (as </w:t>
      </w:r>
      <w:proofErr w:type="spellStart"/>
      <w:r w:rsidRPr="005C0F02">
        <w:rPr>
          <w:lang w:eastAsia="ja-JP"/>
        </w:rPr>
        <w:t>sulfate</w:t>
      </w:r>
      <w:proofErr w:type="spellEnd"/>
      <w:r w:rsidRPr="005C0F02">
        <w:rPr>
          <w:lang w:eastAsia="ja-JP"/>
        </w:rPr>
        <w:t>) 600 mg/lamivudine 300 mg to have an overall positive benefit–risk profile for the indication</w:t>
      </w:r>
      <w:r w:rsidRPr="00D33F1A">
        <w:rPr>
          <w:lang w:eastAsia="ja-JP"/>
        </w:rPr>
        <w:t>;</w:t>
      </w:r>
    </w:p>
    <w:p w:rsidR="006A2113" w:rsidRPr="00797148" w:rsidRDefault="003401D1" w:rsidP="00797148">
      <w:pPr>
        <w:ind w:left="720"/>
        <w:rPr>
          <w:bCs/>
          <w:i/>
          <w:lang w:eastAsia="ja-JP"/>
        </w:rPr>
      </w:pPr>
      <w:proofErr w:type="spellStart"/>
      <w:r>
        <w:rPr>
          <w:i/>
          <w:lang w:eastAsia="ja-JP"/>
        </w:rPr>
        <w:t>Triumeq</w:t>
      </w:r>
      <w:proofErr w:type="spellEnd"/>
      <w:r w:rsidR="006A2113" w:rsidRPr="00797148">
        <w:rPr>
          <w:i/>
          <w:lang w:eastAsia="ja-JP"/>
        </w:rPr>
        <w:t xml:space="preserve"> is indicated as a for the treatment of Human Immunodeficiency Virus (HIV) infection in adults and adolescents from 12 years of age who are antiretroviral treatment-naïve or are infected with HIV without documented or clinically suspected resistance to any of the three antiretroviral agents (</w:t>
      </w:r>
      <w:proofErr w:type="spellStart"/>
      <w:r w:rsidR="006A2113" w:rsidRPr="00797148">
        <w:rPr>
          <w:i/>
          <w:lang w:eastAsia="ja-JP"/>
        </w:rPr>
        <w:t>dolutegravir</w:t>
      </w:r>
      <w:proofErr w:type="spellEnd"/>
      <w:r w:rsidR="006A2113" w:rsidRPr="00797148">
        <w:rPr>
          <w:i/>
          <w:lang w:eastAsia="ja-JP"/>
        </w:rPr>
        <w:t xml:space="preserve">, </w:t>
      </w:r>
      <w:proofErr w:type="spellStart"/>
      <w:r w:rsidR="006A2113" w:rsidRPr="00797148">
        <w:rPr>
          <w:i/>
          <w:lang w:eastAsia="ja-JP"/>
        </w:rPr>
        <w:t>abacavir</w:t>
      </w:r>
      <w:proofErr w:type="spellEnd"/>
      <w:r w:rsidR="006A2113" w:rsidRPr="00797148">
        <w:rPr>
          <w:i/>
          <w:lang w:eastAsia="ja-JP"/>
        </w:rPr>
        <w:t xml:space="preserve"> or lamivudine) in </w:t>
      </w:r>
      <w:proofErr w:type="spellStart"/>
      <w:r>
        <w:rPr>
          <w:i/>
          <w:lang w:eastAsia="ja-JP"/>
        </w:rPr>
        <w:t>Triumeq</w:t>
      </w:r>
      <w:proofErr w:type="spellEnd"/>
      <w:r w:rsidR="006A2113" w:rsidRPr="00797148">
        <w:rPr>
          <w:i/>
          <w:lang w:eastAsia="ja-JP"/>
        </w:rPr>
        <w:t>.</w:t>
      </w:r>
    </w:p>
    <w:p w:rsidR="006A2113" w:rsidRPr="004B415D" w:rsidRDefault="006A2113" w:rsidP="00353E1D">
      <w:pPr>
        <w:rPr>
          <w:lang w:eastAsia="ja-JP"/>
        </w:rPr>
      </w:pPr>
      <w:r w:rsidRPr="004B415D">
        <w:rPr>
          <w:lang w:eastAsia="ja-JP"/>
        </w:rPr>
        <w:t>In making this recommendation the ACPM advised that the risk of use in patients carrying resistant virus was a critical risk and should be diligently avoided. PI warnings and advice on resistance testing should be prominent.</w:t>
      </w:r>
    </w:p>
    <w:p w:rsidR="006A2113" w:rsidRPr="005C0F02" w:rsidRDefault="006A2113" w:rsidP="00353E1D">
      <w:pPr>
        <w:pStyle w:val="Heading5"/>
        <w:rPr>
          <w:rFonts w:eastAsia="MS Mincho"/>
          <w:lang w:eastAsia="ja-JP"/>
        </w:rPr>
      </w:pPr>
      <w:r w:rsidRPr="005C0F02">
        <w:rPr>
          <w:rFonts w:eastAsia="MS Mincho"/>
          <w:lang w:eastAsia="ja-JP"/>
        </w:rPr>
        <w:t>Proposed conditions of registration</w:t>
      </w:r>
    </w:p>
    <w:p w:rsidR="006A2113" w:rsidRPr="005C0F02" w:rsidRDefault="006A2113" w:rsidP="00353E1D">
      <w:pPr>
        <w:rPr>
          <w:lang w:eastAsia="ja-JP"/>
        </w:rPr>
      </w:pPr>
      <w:r w:rsidRPr="005C0F02">
        <w:rPr>
          <w:lang w:eastAsia="ja-JP"/>
        </w:rPr>
        <w:t xml:space="preserve">The ACPM agreed with the </w:t>
      </w:r>
      <w:r w:rsidR="00D157B8">
        <w:rPr>
          <w:lang w:eastAsia="ja-JP"/>
        </w:rPr>
        <w:t>D</w:t>
      </w:r>
      <w:r w:rsidRPr="005C0F02">
        <w:rPr>
          <w:lang w:eastAsia="ja-JP"/>
        </w:rPr>
        <w:t>elegate on the proposed conditions of registration.</w:t>
      </w:r>
    </w:p>
    <w:p w:rsidR="006A2113" w:rsidRPr="005C0F02" w:rsidRDefault="006A2113" w:rsidP="00353E1D">
      <w:pPr>
        <w:pStyle w:val="Heading5"/>
        <w:rPr>
          <w:rFonts w:eastAsia="MS Mincho"/>
          <w:u w:val="single"/>
          <w:lang w:eastAsia="ja-JP"/>
        </w:rPr>
      </w:pPr>
      <w:r w:rsidRPr="005C0F02">
        <w:rPr>
          <w:rFonts w:eastAsia="MS Mincho"/>
          <w:lang w:eastAsia="ja-JP"/>
        </w:rPr>
        <w:t>Proposed Product Information (PI)/Consumer Medicine Information (CMI) amendments</w:t>
      </w:r>
    </w:p>
    <w:p w:rsidR="006A2113" w:rsidRPr="005C0F02" w:rsidRDefault="006A2113" w:rsidP="00353E1D">
      <w:pPr>
        <w:rPr>
          <w:lang w:eastAsia="ja-JP"/>
        </w:rPr>
      </w:pPr>
      <w:r w:rsidRPr="005C0F02">
        <w:rPr>
          <w:lang w:eastAsia="ja-JP"/>
        </w:rPr>
        <w:t xml:space="preserve">The ACPM agreed with the </w:t>
      </w:r>
      <w:r w:rsidR="00D157B8">
        <w:rPr>
          <w:lang w:eastAsia="ja-JP"/>
        </w:rPr>
        <w:t>D</w:t>
      </w:r>
      <w:r w:rsidRPr="005C0F02">
        <w:rPr>
          <w:lang w:eastAsia="ja-JP"/>
        </w:rPr>
        <w:t>elegate to the proposed amendments to the Product Information (PI) and Consumer Medicine Information (CMI) and specifically advised on the inclusion of the following:</w:t>
      </w:r>
    </w:p>
    <w:p w:rsidR="006A2113" w:rsidRPr="005C0F02" w:rsidRDefault="006A2113" w:rsidP="00353E1D">
      <w:pPr>
        <w:pStyle w:val="ListBullet"/>
        <w:rPr>
          <w:rFonts w:eastAsia="MS Mincho"/>
          <w:bCs/>
          <w:lang w:eastAsia="ja-JP"/>
        </w:rPr>
      </w:pPr>
      <w:r>
        <w:rPr>
          <w:rFonts w:eastAsia="MS Mincho"/>
          <w:bCs/>
          <w:color w:val="000000"/>
          <w:lang w:eastAsia="ja-JP"/>
        </w:rPr>
        <w:t>S</w:t>
      </w:r>
      <w:r w:rsidRPr="005C0F02">
        <w:rPr>
          <w:rFonts w:eastAsia="MS Mincho"/>
          <w:bCs/>
          <w:color w:val="000000"/>
          <w:lang w:eastAsia="ja-JP"/>
        </w:rPr>
        <w:t>tatement</w:t>
      </w:r>
      <w:r>
        <w:rPr>
          <w:rFonts w:eastAsia="MS Mincho"/>
          <w:bCs/>
          <w:color w:val="000000"/>
          <w:lang w:eastAsia="ja-JP"/>
        </w:rPr>
        <w:t>s</w:t>
      </w:r>
      <w:r w:rsidRPr="005C0F02">
        <w:rPr>
          <w:rFonts w:eastAsia="MS Mincho"/>
          <w:bCs/>
          <w:color w:val="000000"/>
          <w:lang w:eastAsia="ja-JP"/>
        </w:rPr>
        <w:t xml:space="preserve"> in the </w:t>
      </w:r>
      <w:r w:rsidR="00D157B8" w:rsidRPr="00D157B8">
        <w:rPr>
          <w:rFonts w:eastAsia="MS Mincho"/>
          <w:bCs/>
          <w:i/>
          <w:lang w:eastAsia="ja-JP"/>
        </w:rPr>
        <w:t>Precautions</w:t>
      </w:r>
      <w:r w:rsidR="00D157B8" w:rsidRPr="005C0F02">
        <w:t xml:space="preserve"> </w:t>
      </w:r>
      <w:r w:rsidRPr="005C0F02">
        <w:t xml:space="preserve">section </w:t>
      </w:r>
      <w:r w:rsidRPr="005C0F02">
        <w:rPr>
          <w:rFonts w:eastAsia="MS Mincho"/>
          <w:bCs/>
          <w:lang w:eastAsia="ja-JP"/>
        </w:rPr>
        <w:t>against use in presence of resistance</w:t>
      </w:r>
      <w:r>
        <w:rPr>
          <w:rFonts w:eastAsia="MS Mincho"/>
          <w:bCs/>
          <w:lang w:eastAsia="ja-JP"/>
        </w:rPr>
        <w:t xml:space="preserve"> </w:t>
      </w:r>
      <w:r>
        <w:t xml:space="preserve">or previous exposure to integrase inhibitors if there was </w:t>
      </w:r>
      <w:r w:rsidR="00D45C20">
        <w:t>evidence of virological failure</w:t>
      </w:r>
    </w:p>
    <w:p w:rsidR="006A2113" w:rsidRPr="005C0F02" w:rsidRDefault="006A2113" w:rsidP="00353E1D">
      <w:pPr>
        <w:pStyle w:val="ListBullet"/>
        <w:rPr>
          <w:lang w:eastAsia="ja-JP"/>
        </w:rPr>
      </w:pPr>
      <w:r w:rsidRPr="005C0F02">
        <w:rPr>
          <w:lang w:eastAsia="ja-JP"/>
        </w:rPr>
        <w:t>The need for use of the generic descriptors for the active substances is required due to the importance of immediate identification in terms of iden</w:t>
      </w:r>
      <w:r w:rsidR="00D45C20">
        <w:rPr>
          <w:lang w:eastAsia="ja-JP"/>
        </w:rPr>
        <w:t>tification for class resistance</w:t>
      </w:r>
    </w:p>
    <w:p w:rsidR="006A2113" w:rsidRPr="004B415D" w:rsidRDefault="006A2113" w:rsidP="00353E1D">
      <w:pPr>
        <w:pStyle w:val="ListBullet"/>
        <w:rPr>
          <w:rFonts w:eastAsia="MS Mincho"/>
          <w:bCs/>
          <w:lang w:eastAsia="ja-JP"/>
        </w:rPr>
      </w:pPr>
      <w:r w:rsidRPr="004B415D">
        <w:rPr>
          <w:rFonts w:eastAsia="MS Mincho"/>
          <w:bCs/>
          <w:color w:val="000000"/>
          <w:lang w:eastAsia="ja-JP"/>
        </w:rPr>
        <w:t xml:space="preserve">A statement </w:t>
      </w:r>
      <w:r w:rsidRPr="004B415D">
        <w:t xml:space="preserve">highlighting that the dose of </w:t>
      </w:r>
      <w:proofErr w:type="spellStart"/>
      <w:r w:rsidRPr="004B415D">
        <w:t>dolutegravir</w:t>
      </w:r>
      <w:proofErr w:type="spellEnd"/>
      <w:r w:rsidRPr="004B415D">
        <w:t xml:space="preserve"> should be increased if integrase resistance mutations are present</w:t>
      </w:r>
      <w:r>
        <w:t xml:space="preserve"> and therefore a fixed dose combination may be inappropriate</w:t>
      </w:r>
    </w:p>
    <w:p w:rsidR="006A2113" w:rsidRPr="005C0F02" w:rsidRDefault="006A2113" w:rsidP="00353E1D">
      <w:pPr>
        <w:pStyle w:val="ListBullet"/>
        <w:rPr>
          <w:rFonts w:eastAsia="MS Mincho"/>
          <w:bCs/>
          <w:lang w:eastAsia="ja-JP"/>
        </w:rPr>
      </w:pPr>
      <w:r w:rsidRPr="005C0F02">
        <w:rPr>
          <w:rFonts w:eastAsia="MS Mincho"/>
          <w:bCs/>
          <w:color w:val="000000"/>
          <w:lang w:eastAsia="ja-JP"/>
        </w:rPr>
        <w:t xml:space="preserve">A statement in the </w:t>
      </w:r>
      <w:r w:rsidR="00D157B8" w:rsidRPr="00D157B8">
        <w:rPr>
          <w:rFonts w:eastAsia="MS Mincho"/>
          <w:bCs/>
          <w:i/>
          <w:lang w:eastAsia="ja-JP"/>
        </w:rPr>
        <w:t>Clinical Trials</w:t>
      </w:r>
      <w:r w:rsidR="00D157B8" w:rsidRPr="005C0F02">
        <w:t xml:space="preserve"> </w:t>
      </w:r>
      <w:r w:rsidRPr="005C0F02">
        <w:t>section highlighting the issue that studies were conducted on</w:t>
      </w:r>
      <w:r w:rsidR="00D33F1A">
        <w:t>ly in tr</w:t>
      </w:r>
      <w:r w:rsidR="00D45C20">
        <w:t>eatment naïve patients</w:t>
      </w:r>
    </w:p>
    <w:p w:rsidR="006A2113" w:rsidRPr="005C0F02" w:rsidRDefault="006A2113" w:rsidP="00353E1D">
      <w:pPr>
        <w:pStyle w:val="ListBullet"/>
        <w:rPr>
          <w:rFonts w:eastAsia="MS Mincho"/>
          <w:lang w:eastAsia="ja-JP"/>
        </w:rPr>
      </w:pPr>
      <w:r w:rsidRPr="005C0F02">
        <w:rPr>
          <w:lang w:eastAsia="en-AU"/>
        </w:rPr>
        <w:lastRenderedPageBreak/>
        <w:t>The</w:t>
      </w:r>
      <w:r w:rsidRPr="005C0F02">
        <w:rPr>
          <w:b/>
          <w:lang w:eastAsia="en-AU"/>
        </w:rPr>
        <w:t xml:space="preserve"> </w:t>
      </w:r>
      <w:r w:rsidR="00D157B8" w:rsidRPr="00D157B8">
        <w:rPr>
          <w:lang w:eastAsia="en-AU"/>
        </w:rPr>
        <w:t>s</w:t>
      </w:r>
      <w:r w:rsidRPr="005C0F02">
        <w:rPr>
          <w:lang w:eastAsia="en-AU"/>
        </w:rPr>
        <w:t xml:space="preserve">tatement in the </w:t>
      </w:r>
      <w:r w:rsidR="00D157B8" w:rsidRPr="00D157B8">
        <w:rPr>
          <w:i/>
          <w:lang w:eastAsia="en-AU"/>
        </w:rPr>
        <w:t>Preca</w:t>
      </w:r>
      <w:r w:rsidR="00D157B8">
        <w:rPr>
          <w:i/>
          <w:lang w:eastAsia="en-AU"/>
        </w:rPr>
        <w:t>u</w:t>
      </w:r>
      <w:r w:rsidR="00D157B8" w:rsidRPr="00D157B8">
        <w:rPr>
          <w:i/>
          <w:lang w:eastAsia="en-AU"/>
        </w:rPr>
        <w:t>tions</w:t>
      </w:r>
      <w:r w:rsidR="00D157B8" w:rsidRPr="005C0F02">
        <w:rPr>
          <w:lang w:eastAsia="en-AU"/>
        </w:rPr>
        <w:t xml:space="preserve"> </w:t>
      </w:r>
      <w:r w:rsidRPr="005C0F02">
        <w:rPr>
          <w:lang w:eastAsia="en-AU"/>
        </w:rPr>
        <w:t xml:space="preserve">section on </w:t>
      </w:r>
      <w:r w:rsidRPr="00D157B8">
        <w:rPr>
          <w:i/>
          <w:lang w:eastAsia="en-AU"/>
        </w:rPr>
        <w:t>Transmission of Infection</w:t>
      </w:r>
      <w:r w:rsidRPr="005C0F02">
        <w:rPr>
          <w:lang w:eastAsia="en-AU"/>
        </w:rPr>
        <w:t xml:space="preserve"> is no longer valid and </w:t>
      </w:r>
      <w:r>
        <w:rPr>
          <w:lang w:eastAsia="en-AU"/>
        </w:rPr>
        <w:t xml:space="preserve">should </w:t>
      </w:r>
      <w:r w:rsidRPr="005C0F02">
        <w:rPr>
          <w:lang w:eastAsia="en-AU"/>
        </w:rPr>
        <w:t>be amended to better reflect current observations.</w:t>
      </w:r>
    </w:p>
    <w:p w:rsidR="006A2113" w:rsidRPr="005C0F02" w:rsidRDefault="006A2113" w:rsidP="00353E1D">
      <w:pPr>
        <w:pStyle w:val="Heading5"/>
        <w:rPr>
          <w:rFonts w:eastAsia="MS Mincho"/>
          <w:highlight w:val="yellow"/>
          <w:lang w:eastAsia="ja-JP"/>
        </w:rPr>
      </w:pPr>
      <w:r w:rsidRPr="005C0F02">
        <w:rPr>
          <w:rFonts w:eastAsia="MS Mincho"/>
          <w:lang w:eastAsia="ja-JP"/>
        </w:rPr>
        <w:t xml:space="preserve">Specific </w:t>
      </w:r>
      <w:r w:rsidR="00D45C20">
        <w:rPr>
          <w:rFonts w:eastAsia="MS Mincho"/>
          <w:lang w:eastAsia="ja-JP"/>
        </w:rPr>
        <w:t>a</w:t>
      </w:r>
      <w:r w:rsidRPr="005C0F02">
        <w:rPr>
          <w:rFonts w:eastAsia="MS Mincho"/>
          <w:lang w:eastAsia="ja-JP"/>
        </w:rPr>
        <w:t>dvice</w:t>
      </w:r>
    </w:p>
    <w:p w:rsidR="006A2113" w:rsidRPr="005C0F02" w:rsidRDefault="006A2113" w:rsidP="00353E1D">
      <w:pPr>
        <w:rPr>
          <w:b/>
          <w:bCs/>
          <w:iCs/>
          <w:highlight w:val="yellow"/>
          <w:lang w:eastAsia="ja-JP"/>
        </w:rPr>
      </w:pPr>
      <w:r w:rsidRPr="005C0F02">
        <w:rPr>
          <w:lang w:eastAsia="ja-JP"/>
        </w:rPr>
        <w:t xml:space="preserve">The ACPM advised the following in response to the </w:t>
      </w:r>
      <w:r w:rsidR="00D157B8">
        <w:rPr>
          <w:lang w:eastAsia="ja-JP"/>
        </w:rPr>
        <w:t>D</w:t>
      </w:r>
      <w:r w:rsidRPr="005C0F02">
        <w:rPr>
          <w:lang w:eastAsia="ja-JP"/>
        </w:rPr>
        <w:t>elegate’s specific questions on this submission:</w:t>
      </w:r>
    </w:p>
    <w:p w:rsidR="006A2113" w:rsidRPr="00353E1D" w:rsidRDefault="006A2113" w:rsidP="00353E1D">
      <w:pPr>
        <w:pStyle w:val="Numberbullet0"/>
        <w:numPr>
          <w:ilvl w:val="0"/>
          <w:numId w:val="9"/>
        </w:numPr>
        <w:rPr>
          <w:i/>
          <w:lang w:eastAsia="ja-JP"/>
        </w:rPr>
      </w:pPr>
      <w:r w:rsidRPr="00353E1D">
        <w:rPr>
          <w:i/>
          <w:lang w:eastAsia="ja-JP"/>
        </w:rPr>
        <w:t xml:space="preserve">Does the ACPM consider it is appropriate to include clinical studies ING113086 (Spring-2), ING114915 (Flamingo) and ING111762 (Sailing) in the </w:t>
      </w:r>
      <w:r w:rsidRPr="00353E1D">
        <w:rPr>
          <w:i/>
          <w:caps/>
          <w:lang w:eastAsia="ja-JP"/>
        </w:rPr>
        <w:t>Clinical Trials</w:t>
      </w:r>
      <w:r w:rsidRPr="00353E1D">
        <w:rPr>
          <w:i/>
          <w:lang w:eastAsia="ja-JP"/>
        </w:rPr>
        <w:t xml:space="preserve"> Section of PI for </w:t>
      </w:r>
      <w:proofErr w:type="spellStart"/>
      <w:r w:rsidR="003401D1" w:rsidRPr="00353E1D">
        <w:rPr>
          <w:i/>
          <w:lang w:eastAsia="ja-JP"/>
        </w:rPr>
        <w:t>Triumeq</w:t>
      </w:r>
      <w:proofErr w:type="spellEnd"/>
      <w:r w:rsidRPr="00353E1D">
        <w:rPr>
          <w:i/>
          <w:lang w:eastAsia="ja-JP"/>
        </w:rPr>
        <w:t>?</w:t>
      </w:r>
    </w:p>
    <w:p w:rsidR="006A2113" w:rsidRPr="005C0F02" w:rsidRDefault="006A2113" w:rsidP="00353E1D">
      <w:pPr>
        <w:rPr>
          <w:lang w:eastAsia="ja-JP"/>
        </w:rPr>
      </w:pPr>
      <w:r w:rsidRPr="005C0F02">
        <w:rPr>
          <w:lang w:eastAsia="ja-JP"/>
        </w:rPr>
        <w:t xml:space="preserve">The ACPM noted that the </w:t>
      </w:r>
      <w:r w:rsidR="00D157B8">
        <w:rPr>
          <w:lang w:eastAsia="ja-JP"/>
        </w:rPr>
        <w:t>s</w:t>
      </w:r>
      <w:r w:rsidRPr="005C0F02">
        <w:rPr>
          <w:lang w:eastAsia="ja-JP"/>
        </w:rPr>
        <w:t xml:space="preserve">ponsor has agreed to remove references to these studies. The </w:t>
      </w:r>
      <w:r w:rsidR="00D157B8" w:rsidRPr="00D157B8">
        <w:rPr>
          <w:i/>
          <w:lang w:eastAsia="ja-JP"/>
        </w:rPr>
        <w:t>Clinical Trials</w:t>
      </w:r>
      <w:r w:rsidR="00D157B8" w:rsidRPr="005C0F02">
        <w:rPr>
          <w:lang w:eastAsia="ja-JP"/>
        </w:rPr>
        <w:t xml:space="preserve"> </w:t>
      </w:r>
      <w:r w:rsidRPr="005C0F02">
        <w:rPr>
          <w:lang w:eastAsia="ja-JP"/>
        </w:rPr>
        <w:t>section should include a description of the FDC and components.</w:t>
      </w:r>
    </w:p>
    <w:p w:rsidR="006A2113" w:rsidRPr="005C0F02" w:rsidRDefault="006A2113" w:rsidP="00353E1D">
      <w:pPr>
        <w:rPr>
          <w:lang w:eastAsia="ja-JP"/>
        </w:rPr>
      </w:pPr>
      <w:r w:rsidRPr="005C0F02">
        <w:rPr>
          <w:lang w:eastAsia="ja-JP"/>
        </w:rPr>
        <w:t>The ACPM advised that implementation by the sponsor of the recommendations outlined above to the satisfaction of the TGA, in addition to the evidence of efficacy and safety provided would support t</w:t>
      </w:r>
      <w:r>
        <w:rPr>
          <w:lang w:eastAsia="ja-JP"/>
        </w:rPr>
        <w:t>he safe and effective use of this</w:t>
      </w:r>
      <w:r w:rsidRPr="005C0F02">
        <w:rPr>
          <w:lang w:eastAsia="ja-JP"/>
        </w:rPr>
        <w:t xml:space="preserve"> product.</w:t>
      </w:r>
    </w:p>
    <w:p w:rsidR="008E7846" w:rsidRPr="002E238E" w:rsidRDefault="008E7846" w:rsidP="00353E1D">
      <w:pPr>
        <w:pStyle w:val="Heading3"/>
      </w:pPr>
      <w:bookmarkStart w:id="131" w:name="_Toc247691532"/>
      <w:bookmarkStart w:id="132" w:name="_Toc314842516"/>
      <w:bookmarkStart w:id="133" w:name="_Toc423434312"/>
      <w:bookmarkEnd w:id="85"/>
      <w:bookmarkEnd w:id="129"/>
      <w:bookmarkEnd w:id="130"/>
      <w:r>
        <w:t>Outcome</w:t>
      </w:r>
      <w:bookmarkEnd w:id="131"/>
      <w:bookmarkEnd w:id="132"/>
      <w:bookmarkEnd w:id="133"/>
    </w:p>
    <w:p w:rsidR="00D23139" w:rsidRPr="00D23139" w:rsidRDefault="00D23139" w:rsidP="00353E1D">
      <w:bookmarkStart w:id="134" w:name="_Toc247691533"/>
      <w:bookmarkStart w:id="135" w:name="_Toc314842517"/>
      <w:r w:rsidRPr="00D23139">
        <w:t xml:space="preserve">Based on a review of quality, safety and efficacy, TGA approved the registration of </w:t>
      </w:r>
      <w:proofErr w:type="spellStart"/>
      <w:r w:rsidR="006A2113">
        <w:t>Triumeq</w:t>
      </w:r>
      <w:proofErr w:type="spellEnd"/>
      <w:r w:rsidR="006A2113">
        <w:t xml:space="preserve"> containing </w:t>
      </w:r>
      <w:proofErr w:type="spellStart"/>
      <w:r w:rsidR="006A2113">
        <w:t>dolutegravir</w:t>
      </w:r>
      <w:proofErr w:type="spellEnd"/>
      <w:r w:rsidR="006A2113">
        <w:t xml:space="preserve"> (as sodium) 50 mg/</w:t>
      </w:r>
      <w:proofErr w:type="spellStart"/>
      <w:r w:rsidR="006A2113">
        <w:t>abacavir</w:t>
      </w:r>
      <w:proofErr w:type="spellEnd"/>
      <w:r w:rsidR="006A2113">
        <w:t xml:space="preserve"> (as </w:t>
      </w:r>
      <w:proofErr w:type="spellStart"/>
      <w:r w:rsidR="006A2113">
        <w:t>sulfate</w:t>
      </w:r>
      <w:proofErr w:type="spellEnd"/>
      <w:r w:rsidR="006A2113">
        <w:t>) 600 mg/lamivudine 300 mg tablet bottles</w:t>
      </w:r>
      <w:r w:rsidRPr="00D23139">
        <w:t>, indicated for:</w:t>
      </w:r>
    </w:p>
    <w:p w:rsidR="00D23139" w:rsidRPr="006A2113" w:rsidRDefault="006A2113" w:rsidP="006A2113">
      <w:pPr>
        <w:ind w:left="720"/>
        <w:rPr>
          <w:i/>
        </w:rPr>
      </w:pPr>
      <w:proofErr w:type="spellStart"/>
      <w:r w:rsidRPr="006A2113">
        <w:rPr>
          <w:i/>
        </w:rPr>
        <w:t>Triumeq</w:t>
      </w:r>
      <w:proofErr w:type="spellEnd"/>
      <w:r>
        <w:rPr>
          <w:i/>
        </w:rPr>
        <w:t xml:space="preserve"> </w:t>
      </w:r>
      <w:r w:rsidRPr="006A2113">
        <w:rPr>
          <w:i/>
        </w:rPr>
        <w:t xml:space="preserve">is indicated for the treatment of Human Immunodeficiency Virus (HIV) infection in adults and adolescents from 12 years of </w:t>
      </w:r>
      <w:proofErr w:type="gramStart"/>
      <w:r w:rsidRPr="006A2113">
        <w:rPr>
          <w:i/>
        </w:rPr>
        <w:t>age who are</w:t>
      </w:r>
      <w:proofErr w:type="gramEnd"/>
      <w:r w:rsidRPr="006A2113">
        <w:rPr>
          <w:i/>
        </w:rPr>
        <w:t xml:space="preserve"> antiretroviral treatment-naive or are infected with HIV without documented or clinicalIy suspected resistance to any of the three antiretroviral agents (</w:t>
      </w:r>
      <w:proofErr w:type="spellStart"/>
      <w:r w:rsidRPr="006A2113">
        <w:rPr>
          <w:i/>
        </w:rPr>
        <w:t>dolutegravir</w:t>
      </w:r>
      <w:proofErr w:type="spellEnd"/>
      <w:r w:rsidRPr="006A2113">
        <w:rPr>
          <w:i/>
        </w:rPr>
        <w:t xml:space="preserve">, </w:t>
      </w:r>
      <w:proofErr w:type="spellStart"/>
      <w:r w:rsidRPr="006A2113">
        <w:rPr>
          <w:i/>
        </w:rPr>
        <w:t>abacavir</w:t>
      </w:r>
      <w:proofErr w:type="spellEnd"/>
      <w:r w:rsidRPr="006A2113">
        <w:rPr>
          <w:i/>
        </w:rPr>
        <w:t xml:space="preserve"> or </w:t>
      </w:r>
      <w:proofErr w:type="spellStart"/>
      <w:r w:rsidRPr="006A2113">
        <w:rPr>
          <w:i/>
        </w:rPr>
        <w:t>lainivudine</w:t>
      </w:r>
      <w:proofErr w:type="spellEnd"/>
      <w:r w:rsidRPr="006A2113">
        <w:rPr>
          <w:i/>
        </w:rPr>
        <w:t xml:space="preserve">) in </w:t>
      </w:r>
      <w:proofErr w:type="spellStart"/>
      <w:r w:rsidRPr="006A2113">
        <w:rPr>
          <w:i/>
        </w:rPr>
        <w:t>Triumeq</w:t>
      </w:r>
      <w:proofErr w:type="spellEnd"/>
      <w:r w:rsidRPr="006A2113">
        <w:rPr>
          <w:i/>
        </w:rPr>
        <w:t>.</w:t>
      </w:r>
    </w:p>
    <w:p w:rsidR="00D23139" w:rsidRPr="00D23139" w:rsidRDefault="00D23139" w:rsidP="00353E1D">
      <w:pPr>
        <w:pStyle w:val="Heading4"/>
      </w:pPr>
      <w:r w:rsidRPr="00D23139">
        <w:t>Specific conditions of registration applying to these goods</w:t>
      </w:r>
    </w:p>
    <w:p w:rsidR="00F54795" w:rsidRPr="00F54795" w:rsidRDefault="006A2113" w:rsidP="00353E1D">
      <w:r w:rsidRPr="00F54795">
        <w:t>The Risk Management Plan (RMP) for</w:t>
      </w:r>
      <w:r w:rsidR="00F54795" w:rsidRPr="00F54795">
        <w:t xml:space="preserve"> </w:t>
      </w:r>
      <w:proofErr w:type="spellStart"/>
      <w:r w:rsidR="00F54795" w:rsidRPr="00F54795">
        <w:t>Triumeq</w:t>
      </w:r>
      <w:proofErr w:type="spellEnd"/>
      <w:r w:rsidR="00F54795" w:rsidRPr="00F54795">
        <w:t xml:space="preserve"> </w:t>
      </w:r>
      <w:r w:rsidRPr="00F54795">
        <w:t xml:space="preserve">containing </w:t>
      </w:r>
      <w:proofErr w:type="spellStart"/>
      <w:r w:rsidRPr="00F54795">
        <w:t>dolutegravir</w:t>
      </w:r>
      <w:proofErr w:type="spellEnd"/>
      <w:r w:rsidRPr="00F54795">
        <w:t xml:space="preserve"> (as sodium)</w:t>
      </w:r>
      <w:r w:rsidR="00F54795" w:rsidRPr="00F54795">
        <w:t xml:space="preserve"> </w:t>
      </w:r>
      <w:r w:rsidRPr="00F54795">
        <w:t xml:space="preserve">50 </w:t>
      </w:r>
      <w:r w:rsidR="00F54795" w:rsidRPr="00F54795">
        <w:t>m</w:t>
      </w:r>
      <w:r w:rsidRPr="00F54795">
        <w:t>g/</w:t>
      </w:r>
      <w:proofErr w:type="spellStart"/>
      <w:r w:rsidRPr="00F54795">
        <w:t>abacavir</w:t>
      </w:r>
      <w:proofErr w:type="spellEnd"/>
      <w:r w:rsidRPr="00F54795">
        <w:t xml:space="preserve"> (as </w:t>
      </w:r>
      <w:proofErr w:type="spellStart"/>
      <w:r w:rsidRPr="00F54795">
        <w:t>sulfate</w:t>
      </w:r>
      <w:proofErr w:type="spellEnd"/>
      <w:r w:rsidRPr="00F54795">
        <w:t xml:space="preserve">) 600 </w:t>
      </w:r>
      <w:r w:rsidR="00F54795" w:rsidRPr="00F54795">
        <w:t>m</w:t>
      </w:r>
      <w:r w:rsidRPr="00F54795">
        <w:t>g/la</w:t>
      </w:r>
      <w:r w:rsidR="00F54795" w:rsidRPr="00F54795">
        <w:t>m</w:t>
      </w:r>
      <w:r w:rsidRPr="00F54795">
        <w:t>ivudine</w:t>
      </w:r>
      <w:r w:rsidR="00F54795" w:rsidRPr="00F54795">
        <w:t xml:space="preserve"> </w:t>
      </w:r>
      <w:r w:rsidRPr="00F54795">
        <w:t>300</w:t>
      </w:r>
      <w:r w:rsidR="00D157B8">
        <w:t xml:space="preserve"> </w:t>
      </w:r>
      <w:r w:rsidRPr="00F54795">
        <w:t>mg tablet: EU-RMP version 1.0,</w:t>
      </w:r>
      <w:r w:rsidR="00F54795" w:rsidRPr="00F54795">
        <w:t xml:space="preserve"> </w:t>
      </w:r>
      <w:r w:rsidRPr="00F54795">
        <w:t>dated 3 October 2013 (data lock point 31 May 2013) included with submission (PM-</w:t>
      </w:r>
      <w:r w:rsidR="00F54795" w:rsidRPr="00F54795">
        <w:t xml:space="preserve"> 2013-041</w:t>
      </w:r>
      <w:r w:rsidRPr="00F54795">
        <w:t>12-1-2) with Australian-spe</w:t>
      </w:r>
      <w:r w:rsidR="00F54795" w:rsidRPr="00F54795">
        <w:t>cific Annex version 2.0 dated 7 J</w:t>
      </w:r>
      <w:r w:rsidRPr="00F54795">
        <w:t>anuary 2015;</w:t>
      </w:r>
      <w:r w:rsidR="00F54795" w:rsidRPr="00F54795">
        <w:t xml:space="preserve"> </w:t>
      </w:r>
      <w:r w:rsidRPr="00F54795">
        <w:t>and any subsequent revisions, as agreed with the TGA will be implemented in Australia.</w:t>
      </w:r>
    </w:p>
    <w:p w:rsidR="008E7846" w:rsidRDefault="00A80B5B" w:rsidP="00353E1D">
      <w:pPr>
        <w:pStyle w:val="Heading2"/>
      </w:pPr>
      <w:bookmarkStart w:id="136" w:name="_Toc423434313"/>
      <w:proofErr w:type="gramStart"/>
      <w:r>
        <w:t>Attachment 1.</w:t>
      </w:r>
      <w:proofErr w:type="gramEnd"/>
      <w:r>
        <w:t xml:space="preserve"> </w:t>
      </w:r>
      <w:r w:rsidR="008E7846">
        <w:t xml:space="preserve">Product </w:t>
      </w:r>
      <w:r w:rsidR="00AA0ED0">
        <w:t>I</w:t>
      </w:r>
      <w:r w:rsidR="008E7846">
        <w:t>nformation</w:t>
      </w:r>
      <w:bookmarkEnd w:id="134"/>
      <w:bookmarkEnd w:id="135"/>
      <w:bookmarkEnd w:id="136"/>
    </w:p>
    <w:p w:rsidR="00C80137" w:rsidRDefault="002B3624" w:rsidP="00353E1D">
      <w:pPr>
        <w:rPr>
          <w:color w:val="000000"/>
          <w:lang w:eastAsia="en-AU"/>
        </w:rPr>
      </w:pPr>
      <w:r w:rsidRPr="002B3624">
        <w:t xml:space="preserve">The Product Information approved for main </w:t>
      </w:r>
      <w:proofErr w:type="spellStart"/>
      <w:r w:rsidR="006A2113">
        <w:t>Triumeq</w:t>
      </w:r>
      <w:proofErr w:type="spellEnd"/>
      <w:r w:rsidRPr="002B3624">
        <w:t xml:space="preserve"> at the time this AusPAR was published is at Attachment 1. For the most recent Product Information please refer to the TGA website at &lt;</w:t>
      </w:r>
      <w:hyperlink r:id="rId21" w:history="1">
        <w:r w:rsidR="00383221">
          <w:rPr>
            <w:rStyle w:val="Hyperlink"/>
          </w:rPr>
          <w:t>https://www.tga.gov.au/product-information-pi</w:t>
        </w:r>
      </w:hyperlink>
      <w:r w:rsidRPr="002B3624">
        <w:t>&gt;.</w:t>
      </w:r>
    </w:p>
    <w:p w:rsidR="00291957" w:rsidRDefault="00C80137" w:rsidP="00353E1D">
      <w:pPr>
        <w:pStyle w:val="Heading2"/>
        <w:rPr>
          <w:lang w:eastAsia="ja-JP"/>
        </w:rPr>
      </w:pPr>
      <w:bookmarkStart w:id="137" w:name="_Toc423434314"/>
      <w:proofErr w:type="gramStart"/>
      <w:r>
        <w:rPr>
          <w:lang w:eastAsia="en-AU"/>
        </w:rPr>
        <w:t>Attachment 2.</w:t>
      </w:r>
      <w:proofErr w:type="gramEnd"/>
      <w:r w:rsidR="00A80B5B">
        <w:rPr>
          <w:lang w:eastAsia="en-AU"/>
        </w:rPr>
        <w:t xml:space="preserve"> </w:t>
      </w:r>
      <w:r>
        <w:rPr>
          <w:lang w:eastAsia="en-AU"/>
        </w:rPr>
        <w:t>Extract from the Clinical Evaluation Report</w:t>
      </w:r>
      <w:bookmarkEnd w:id="137"/>
    </w:p>
    <w:p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6" w:history="1">
              <w:r w:rsidRPr="004C239D">
                <w:rPr>
                  <w:rStyle w:val="Hyperlink"/>
                </w:rPr>
                <w:t>info@tga.gov.au</w:t>
              </w:r>
            </w:hyperlink>
            <w:r w:rsidR="00E873CA">
              <w:t xml:space="preserve"> </w:t>
            </w:r>
            <w:r w:rsidRPr="00487162">
              <w:t>Phone: 1800 020 653</w:t>
            </w:r>
            <w:r w:rsidR="00E873CA">
              <w:t xml:space="preserve"> </w:t>
            </w:r>
            <w:r w:rsidRPr="00487162">
              <w:t>Fax: 02 6232 8605</w:t>
            </w:r>
          </w:p>
          <w:p w:rsidR="001C32CD" w:rsidRPr="004C239D" w:rsidRDefault="006552E2" w:rsidP="00A05FA4">
            <w:pPr>
              <w:pStyle w:val="Address"/>
              <w:spacing w:line="260" w:lineRule="atLeast"/>
              <w:rPr>
                <w:b/>
                <w:color w:val="0000FF"/>
                <w:u w:val="single"/>
              </w:rPr>
            </w:pPr>
            <w:hyperlink r:id="rId27" w:history="1">
              <w:r w:rsidR="004F47D6">
                <w:rPr>
                  <w:rStyle w:val="Hyperlink"/>
                  <w:b/>
                </w:rPr>
                <w:t>https://www.tga.gov.au</w:t>
              </w:r>
            </w:hyperlink>
          </w:p>
        </w:tc>
      </w:tr>
    </w:tbl>
    <w:p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246" w:rsidRDefault="00442246" w:rsidP="00C40A36">
      <w:pPr>
        <w:spacing w:after="0"/>
      </w:pPr>
      <w:r>
        <w:separator/>
      </w:r>
    </w:p>
  </w:endnote>
  <w:endnote w:type="continuationSeparator" w:id="0">
    <w:p w:rsidR="00442246" w:rsidRDefault="0044224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83" w:usb1="08070000" w:usb2="00000010" w:usb3="00000000" w:csb0="00020009" w:csb1="00000000"/>
  </w:font>
  <w:font w:name="TimesNew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E2" w:rsidRDefault="00655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8364"/>
      <w:gridCol w:w="1134"/>
    </w:tblGrid>
    <w:tr w:rsidR="00442246" w:rsidRPr="00487162" w:rsidTr="006552E2">
      <w:trPr>
        <w:trHeight w:val="269"/>
      </w:trPr>
      <w:tc>
        <w:tcPr>
          <w:tcW w:w="8364" w:type="dxa"/>
          <w:tcMar>
            <w:top w:w="142" w:type="dxa"/>
            <w:bottom w:w="0" w:type="dxa"/>
          </w:tcMar>
        </w:tcPr>
        <w:p w:rsidR="00442246" w:rsidRPr="00487162" w:rsidRDefault="00442246" w:rsidP="006552E2">
          <w:pPr>
            <w:pStyle w:val="Footer"/>
          </w:pPr>
          <w:r w:rsidRPr="00487162">
            <w:t xml:space="preserve">AusPAR </w:t>
          </w:r>
          <w:proofErr w:type="spellStart"/>
          <w:r>
            <w:t>Triumeq</w:t>
          </w:r>
          <w:proofErr w:type="spellEnd"/>
          <w:r>
            <w:t xml:space="preserve"> </w:t>
          </w:r>
          <w:proofErr w:type="spellStart"/>
          <w:r w:rsidRPr="00F463B3">
            <w:rPr>
              <w:rFonts w:asciiTheme="minorHAnsi" w:hAnsiTheme="minorHAnsi" w:cstheme="minorHAnsi"/>
              <w:szCs w:val="24"/>
            </w:rPr>
            <w:t>Dolutegravir</w:t>
          </w:r>
          <w:proofErr w:type="spellEnd"/>
          <w:r w:rsidRPr="00F463B3">
            <w:rPr>
              <w:rFonts w:asciiTheme="minorHAnsi" w:hAnsiTheme="minorHAnsi" w:cstheme="minorHAnsi"/>
              <w:szCs w:val="24"/>
            </w:rPr>
            <w:t xml:space="preserve"> sodium/</w:t>
          </w:r>
          <w:proofErr w:type="spellStart"/>
          <w:r w:rsidRPr="00F463B3">
            <w:rPr>
              <w:rFonts w:asciiTheme="minorHAnsi" w:hAnsiTheme="minorHAnsi" w:cstheme="minorHAnsi"/>
              <w:szCs w:val="24"/>
            </w:rPr>
            <w:t>abacavir</w:t>
          </w:r>
          <w:proofErr w:type="spellEnd"/>
          <w:r w:rsidRPr="00F463B3">
            <w:rPr>
              <w:rFonts w:asciiTheme="minorHAnsi" w:hAnsiTheme="minorHAnsi" w:cstheme="minorHAnsi"/>
              <w:szCs w:val="24"/>
            </w:rPr>
            <w:t xml:space="preserve"> </w:t>
          </w:r>
          <w:proofErr w:type="spellStart"/>
          <w:r w:rsidRPr="00F463B3">
            <w:rPr>
              <w:rFonts w:asciiTheme="minorHAnsi" w:hAnsiTheme="minorHAnsi" w:cstheme="minorHAnsi"/>
              <w:szCs w:val="24"/>
            </w:rPr>
            <w:t>sulfate</w:t>
          </w:r>
          <w:proofErr w:type="spellEnd"/>
          <w:r w:rsidRPr="00F463B3">
            <w:rPr>
              <w:rFonts w:asciiTheme="minorHAnsi" w:hAnsiTheme="minorHAnsi" w:cstheme="minorHAnsi"/>
              <w:szCs w:val="24"/>
            </w:rPr>
            <w:t>/lamivudine</w:t>
          </w:r>
          <w:r w:rsidRPr="00487162">
            <w:t xml:space="preserve"> </w:t>
          </w:r>
          <w:proofErr w:type="spellStart"/>
          <w:r>
            <w:rPr>
              <w:rFonts w:asciiTheme="minorHAnsi" w:hAnsiTheme="minorHAnsi" w:cstheme="minorHAnsi"/>
            </w:rPr>
            <w:t>ViiV</w:t>
          </w:r>
          <w:proofErr w:type="spellEnd"/>
          <w:r>
            <w:rPr>
              <w:rFonts w:asciiTheme="minorHAnsi" w:hAnsiTheme="minorHAnsi" w:cstheme="minorHAnsi"/>
            </w:rPr>
            <w:t xml:space="preserve"> Healthcare Pty Ltd</w:t>
          </w:r>
          <w:r>
            <w:t xml:space="preserve"> </w:t>
          </w:r>
          <w:r w:rsidRPr="00487162">
            <w:t>PM-20</w:t>
          </w:r>
          <w:r>
            <w:t>13</w:t>
          </w:r>
          <w:r w:rsidRPr="00487162">
            <w:t>-</w:t>
          </w:r>
          <w:r>
            <w:t>04112</w:t>
          </w:r>
          <w:r w:rsidRPr="00487162">
            <w:t>-</w:t>
          </w:r>
          <w:r>
            <w:t xml:space="preserve">1-2 </w:t>
          </w:r>
          <w:r w:rsidR="006552E2">
            <w:br/>
          </w:r>
          <w:bookmarkStart w:id="0" w:name="_GoBack"/>
          <w:bookmarkEnd w:id="0"/>
          <w:r>
            <w:t>19 May 2015</w:t>
          </w:r>
        </w:p>
      </w:tc>
      <w:tc>
        <w:tcPr>
          <w:tcW w:w="1134" w:type="dxa"/>
          <w:tcMar>
            <w:top w:w="142" w:type="dxa"/>
            <w:bottom w:w="0" w:type="dxa"/>
          </w:tcMar>
        </w:tcPr>
        <w:p w:rsidR="00442246" w:rsidRPr="00487162" w:rsidRDefault="00442246" w:rsidP="00DB750B">
          <w:pPr>
            <w:pStyle w:val="Footer"/>
            <w:jc w:val="right"/>
          </w:pPr>
          <w:r w:rsidRPr="00487162">
            <w:t xml:space="preserve">Page </w:t>
          </w:r>
          <w:r>
            <w:fldChar w:fldCharType="begin"/>
          </w:r>
          <w:r>
            <w:instrText xml:space="preserve"> PAGE  \* Arabic </w:instrText>
          </w:r>
          <w:r>
            <w:fldChar w:fldCharType="separate"/>
          </w:r>
          <w:r w:rsidR="006552E2">
            <w:rPr>
              <w:noProof/>
            </w:rPr>
            <w:t>2</w:t>
          </w:r>
          <w:r>
            <w:fldChar w:fldCharType="end"/>
          </w:r>
          <w:r w:rsidRPr="00487162">
            <w:t xml:space="preserve"> of </w:t>
          </w:r>
          <w:fldSimple w:instr=" NUMPAGES  \* Arabic ">
            <w:r w:rsidR="006552E2">
              <w:rPr>
                <w:noProof/>
              </w:rPr>
              <w:t>60</w:t>
            </w:r>
          </w:fldSimple>
        </w:p>
      </w:tc>
    </w:tr>
  </w:tbl>
  <w:p w:rsidR="00442246" w:rsidRDefault="00442246"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E2" w:rsidRDefault="006552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442246" w:rsidRPr="00487162" w:rsidTr="00E45619">
      <w:trPr>
        <w:trHeight w:val="269"/>
      </w:trPr>
      <w:tc>
        <w:tcPr>
          <w:tcW w:w="4519" w:type="dxa"/>
          <w:tcBorders>
            <w:top w:val="single" w:sz="4" w:space="0" w:color="auto"/>
          </w:tcBorders>
          <w:tcMar>
            <w:top w:w="142" w:type="dxa"/>
            <w:bottom w:w="0" w:type="dxa"/>
          </w:tcMar>
        </w:tcPr>
        <w:p w:rsidR="00442246" w:rsidRPr="00487162" w:rsidRDefault="00442246" w:rsidP="00FE1DEE">
          <w:pPr>
            <w:pStyle w:val="Footer"/>
          </w:pPr>
          <w:r w:rsidRPr="00487162">
            <w:t>Document title, Part #, Section # - Section title</w:t>
          </w:r>
        </w:p>
        <w:p w:rsidR="00442246" w:rsidRPr="00487162" w:rsidRDefault="00442246" w:rsidP="00FE1DEE">
          <w:pPr>
            <w:pStyle w:val="Footer"/>
          </w:pPr>
          <w:r w:rsidRPr="00487162">
            <w:t>V1.0 October 2010</w:t>
          </w:r>
        </w:p>
      </w:tc>
      <w:tc>
        <w:tcPr>
          <w:tcW w:w="4342" w:type="dxa"/>
          <w:tcBorders>
            <w:top w:val="single" w:sz="4" w:space="0" w:color="auto"/>
          </w:tcBorders>
          <w:tcMar>
            <w:top w:w="142" w:type="dxa"/>
            <w:bottom w:w="0" w:type="dxa"/>
          </w:tcMar>
        </w:tcPr>
        <w:p w:rsidR="00442246" w:rsidRPr="00487162" w:rsidRDefault="0044224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rsidR="00442246" w:rsidRDefault="004422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246" w:rsidRPr="001C32CD" w:rsidRDefault="00442246"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442246" w:rsidTr="0010601F">
      <w:trPr>
        <w:trHeight w:val="108"/>
      </w:trPr>
      <w:tc>
        <w:tcPr>
          <w:tcW w:w="8875" w:type="dxa"/>
          <w:gridSpan w:val="2"/>
          <w:tcBorders>
            <w:bottom w:val="single" w:sz="4" w:space="0" w:color="auto"/>
          </w:tcBorders>
          <w:tcMar>
            <w:right w:w="284" w:type="dxa"/>
          </w:tcMar>
        </w:tcPr>
        <w:p w:rsidR="00442246" w:rsidRDefault="00442246" w:rsidP="006E08B3">
          <w:pPr>
            <w:pStyle w:val="Heading3"/>
          </w:pPr>
          <w:r>
            <w:t>Copyright</w:t>
          </w:r>
        </w:p>
        <w:p w:rsidR="00442246" w:rsidRDefault="00442246" w:rsidP="006E08B3">
          <w:r>
            <w:rPr>
              <w:rFonts w:cs="Arial"/>
            </w:rPr>
            <w:t>©</w:t>
          </w:r>
          <w:r>
            <w:t xml:space="preserve"> Commonwealth of Australia [add year]</w:t>
          </w:r>
        </w:p>
        <w:p w:rsidR="00442246" w:rsidRDefault="00442246" w:rsidP="006E08B3"/>
        <w:p w:rsidR="00442246" w:rsidRDefault="0044224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442246" w:rsidRDefault="00442246" w:rsidP="006E08B3"/>
        <w:p w:rsidR="00442246" w:rsidRDefault="00442246" w:rsidP="006E08B3">
          <w:pPr>
            <w:pStyle w:val="Heading3"/>
          </w:pPr>
          <w:r>
            <w:t>Confidentiality</w:t>
          </w:r>
        </w:p>
        <w:p w:rsidR="00442246" w:rsidRDefault="0044224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442246" w:rsidRDefault="00442246" w:rsidP="006E08B3"/>
        <w:p w:rsidR="00442246" w:rsidRDefault="00442246" w:rsidP="006E08B3">
          <w:r>
            <w:t>For submission made by individuals, all personal details, other than your name, will be removed from your submission before it is published on the TGA’s Internet site.</w:t>
          </w:r>
        </w:p>
        <w:p w:rsidR="00442246" w:rsidRDefault="00442246" w:rsidP="006E08B3"/>
        <w:p w:rsidR="00442246" w:rsidRDefault="00442246" w:rsidP="006E08B3">
          <w:r>
            <w:t>In addition, a list of parties making submissions will be published. If you do not wish to be identified with your submission you must specifically request this in the space provided ib the submission coversheet.</w:t>
          </w:r>
        </w:p>
      </w:tc>
    </w:tr>
    <w:tr w:rsidR="00442246" w:rsidTr="0010601F">
      <w:trPr>
        <w:trHeight w:val="417"/>
      </w:trPr>
      <w:tc>
        <w:tcPr>
          <w:tcW w:w="4519" w:type="dxa"/>
          <w:tcBorders>
            <w:top w:val="single" w:sz="4" w:space="0" w:color="auto"/>
          </w:tcBorders>
          <w:tcMar>
            <w:top w:w="142" w:type="dxa"/>
            <w:bottom w:w="0" w:type="dxa"/>
          </w:tcMar>
        </w:tcPr>
        <w:p w:rsidR="00442246" w:rsidRDefault="00442246" w:rsidP="006E08B3">
          <w:r>
            <w:t>Document title, Part #, Section # - Section title</w:t>
          </w:r>
        </w:p>
        <w:p w:rsidR="00442246" w:rsidRDefault="00442246" w:rsidP="006E08B3">
          <w:r>
            <w:t>V1.0 October 2010</w:t>
          </w:r>
        </w:p>
      </w:tc>
      <w:tc>
        <w:tcPr>
          <w:tcW w:w="4356" w:type="dxa"/>
          <w:tcBorders>
            <w:top w:val="single" w:sz="4" w:space="0" w:color="auto"/>
          </w:tcBorders>
          <w:tcMar>
            <w:top w:w="142" w:type="dxa"/>
            <w:bottom w:w="0" w:type="dxa"/>
          </w:tcMar>
        </w:tcPr>
        <w:p w:rsidR="00442246" w:rsidRDefault="0044224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rsidR="00442246" w:rsidRDefault="004422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246" w:rsidRDefault="00442246" w:rsidP="00C40A36">
      <w:pPr>
        <w:spacing w:after="0"/>
      </w:pPr>
      <w:r>
        <w:separator/>
      </w:r>
    </w:p>
  </w:footnote>
  <w:footnote w:type="continuationSeparator" w:id="0">
    <w:p w:rsidR="00442246" w:rsidRDefault="00442246" w:rsidP="00C40A36">
      <w:pPr>
        <w:spacing w:after="0"/>
      </w:pPr>
      <w:r>
        <w:continuationSeparator/>
      </w:r>
    </w:p>
  </w:footnote>
  <w:footnote w:id="1">
    <w:p w:rsidR="00442246" w:rsidRDefault="00442246" w:rsidP="002757A7">
      <w:pPr>
        <w:pStyle w:val="FootnoteText"/>
      </w:pPr>
      <w:r>
        <w:rPr>
          <w:rStyle w:val="FootnoteReference"/>
        </w:rPr>
        <w:footnoteRef/>
      </w:r>
      <w:r>
        <w:t xml:space="preserve"> </w:t>
      </w:r>
      <w:proofErr w:type="gramStart"/>
      <w:r>
        <w:t>ICH Topic M3 (R2).</w:t>
      </w:r>
      <w:proofErr w:type="gramEnd"/>
      <w:r>
        <w:t xml:space="preserve"> Note for guidance on non-clinical safety studies for the conduct of human clinical trials and marketing authorisation for pharmaceuticals. </w:t>
      </w:r>
      <w:proofErr w:type="gramStart"/>
      <w:r>
        <w:t>CPMP/ICH/286/95.</w:t>
      </w:r>
      <w:proofErr w:type="gramEnd"/>
    </w:p>
  </w:footnote>
  <w:footnote w:id="2">
    <w:p w:rsidR="00442246" w:rsidRPr="00615517" w:rsidRDefault="00442246" w:rsidP="002757A7">
      <w:pPr>
        <w:pStyle w:val="FootnoteText"/>
      </w:pPr>
      <w:r>
        <w:rPr>
          <w:rStyle w:val="FootnoteReference"/>
        </w:rPr>
        <w:footnoteRef/>
      </w:r>
      <w:r>
        <w:t xml:space="preserve"> Fernandez-Fernandez, B. </w:t>
      </w:r>
      <w:r>
        <w:rPr>
          <w:i/>
        </w:rPr>
        <w:t xml:space="preserve">et al </w:t>
      </w:r>
      <w:r>
        <w:t xml:space="preserve">(2011). </w:t>
      </w:r>
      <w:r>
        <w:rPr>
          <w:i/>
        </w:rPr>
        <w:t xml:space="preserve">AIDS Research and Treatment </w:t>
      </w:r>
      <w:r>
        <w:rPr>
          <w:b/>
        </w:rPr>
        <w:t xml:space="preserve">2011 </w:t>
      </w:r>
      <w:hyperlink r:id="rId1" w:history="1">
        <w:r w:rsidRPr="00615517">
          <w:rPr>
            <w:rStyle w:val="Hyperlink"/>
          </w:rPr>
          <w:t>http://dx.doi.org/10.1155/2011/354908</w:t>
        </w:r>
      </w:hyperlink>
    </w:p>
  </w:footnote>
  <w:footnote w:id="3">
    <w:p w:rsidR="00442246" w:rsidRDefault="00442246" w:rsidP="002757A7">
      <w:pPr>
        <w:pStyle w:val="FootnoteText"/>
      </w:pPr>
      <w:r>
        <w:rPr>
          <w:rStyle w:val="FootnoteReference"/>
        </w:rPr>
        <w:footnoteRef/>
      </w:r>
      <w:r>
        <w:t xml:space="preserve"> IC</w:t>
      </w:r>
      <w:r w:rsidRPr="00E62F98">
        <w:rPr>
          <w:vertAlign w:val="subscript"/>
        </w:rPr>
        <w:t>50</w:t>
      </w:r>
      <w:r>
        <w:t xml:space="preserve"> values = 0.66 </w:t>
      </w:r>
      <w:r>
        <w:rPr>
          <w:rFonts w:cstheme="minorHAnsi"/>
        </w:rPr>
        <w:t>μ</w:t>
      </w:r>
      <w:r>
        <w:t xml:space="preserve">M for MATE2-K, 6.2 </w:t>
      </w:r>
      <w:r>
        <w:rPr>
          <w:rFonts w:cstheme="minorHAnsi"/>
        </w:rPr>
        <w:t>μ</w:t>
      </w:r>
      <w:r>
        <w:t xml:space="preserve">M for MATE1 and 13 </w:t>
      </w:r>
      <w:r>
        <w:rPr>
          <w:rFonts w:cstheme="minorHAnsi"/>
        </w:rPr>
        <w:t>μ</w:t>
      </w:r>
      <w:r>
        <w:t>M for OCT2.</w:t>
      </w:r>
    </w:p>
  </w:footnote>
  <w:footnote w:id="4">
    <w:p w:rsidR="00442246" w:rsidRPr="00404DB9" w:rsidRDefault="00442246" w:rsidP="002757A7">
      <w:pPr>
        <w:pStyle w:val="FootnoteText"/>
      </w:pPr>
      <w:r>
        <w:rPr>
          <w:rStyle w:val="FootnoteReference"/>
        </w:rPr>
        <w:footnoteRef/>
      </w:r>
      <w:r>
        <w:t xml:space="preserve"> Moore </w:t>
      </w:r>
      <w:r>
        <w:rPr>
          <w:i/>
        </w:rPr>
        <w:t>et al</w:t>
      </w:r>
      <w:r>
        <w:t xml:space="preserve"> (1996). </w:t>
      </w:r>
    </w:p>
  </w:footnote>
  <w:footnote w:id="5">
    <w:p w:rsidR="00442246" w:rsidRPr="004A28A5" w:rsidRDefault="00442246" w:rsidP="002757A7">
      <w:pPr>
        <w:pStyle w:val="FootnoteText"/>
      </w:pPr>
      <w:r w:rsidRPr="003A7184">
        <w:rPr>
          <w:rStyle w:val="FootnoteReference"/>
          <w:szCs w:val="18"/>
        </w:rPr>
        <w:footnoteRef/>
      </w:r>
      <w:r w:rsidRPr="003A7184">
        <w:t xml:space="preserve"> ICH Topic M3 (R2): Non-Clinical Safety Studies fo</w:t>
      </w:r>
      <w:r>
        <w:t xml:space="preserve">r the Conduct of Human Clinical </w:t>
      </w:r>
      <w:r w:rsidRPr="003A7184">
        <w:t>Trials and Marketing Authorization for Pharmaceuticals. CPMP/ICH/286/95, June 2009.</w:t>
      </w:r>
    </w:p>
  </w:footnote>
  <w:footnote w:id="6">
    <w:p w:rsidR="00442246" w:rsidRDefault="00442246" w:rsidP="002757A7">
      <w:pPr>
        <w:pStyle w:val="FootnoteText"/>
      </w:pPr>
      <w:r>
        <w:rPr>
          <w:rStyle w:val="FootnoteReference"/>
        </w:rPr>
        <w:footnoteRef/>
      </w:r>
      <w:r>
        <w:t xml:space="preserve"> ICH guideline S2 (R1) on genotoxicity testing and data interpretation for pharmaceuticals intended for human use. EMA/CHMP/ICH/126642/2008</w:t>
      </w:r>
    </w:p>
  </w:footnote>
  <w:footnote w:id="7">
    <w:p w:rsidR="00442246" w:rsidRPr="009862C1" w:rsidRDefault="00442246" w:rsidP="002757A7">
      <w:pPr>
        <w:pStyle w:val="FootnoteText"/>
        <w:rPr>
          <w:lang w:val="en"/>
        </w:rPr>
      </w:pPr>
      <w:r w:rsidRPr="000F5822">
        <w:rPr>
          <w:rStyle w:val="FootnoteReference"/>
          <w:rFonts w:asciiTheme="minorHAnsi" w:hAnsiTheme="minorHAnsi"/>
          <w:b/>
          <w:sz w:val="20"/>
        </w:rPr>
        <w:footnoteRef/>
      </w:r>
      <w:r w:rsidRPr="000F5822">
        <w:t xml:space="preserve"> </w:t>
      </w:r>
      <w:r w:rsidRPr="000F5822">
        <w:rPr>
          <w:lang w:val="en"/>
        </w:rPr>
        <w:t>Category B3: Drugs which have been taken by only a limited number of pregnant women and women of childbearing age, without an increase in the frequency of malformation or other direct or indirect harmful effects on the human fetus having been observed.</w:t>
      </w:r>
      <w:r>
        <w:rPr>
          <w:lang w:val="en"/>
        </w:rPr>
        <w:t xml:space="preserve"> </w:t>
      </w:r>
      <w:r w:rsidRPr="000F5822">
        <w:rPr>
          <w:lang w:val="en"/>
        </w:rPr>
        <w:t>Studies in animals have shown evidence of an increased occurrence of fetal damage, the significance of which is considered uncertain in humans.</w:t>
      </w:r>
    </w:p>
  </w:footnote>
  <w:footnote w:id="8">
    <w:p w:rsidR="00442246" w:rsidRDefault="00442246" w:rsidP="00C47D6B">
      <w:pPr>
        <w:pStyle w:val="FootnoteText"/>
      </w:pPr>
      <w:r>
        <w:rPr>
          <w:rStyle w:val="FootnoteReference"/>
        </w:rPr>
        <w:footnoteRef/>
      </w:r>
      <w:r>
        <w:t xml:space="preserve"> </w:t>
      </w:r>
      <w:proofErr w:type="gramStart"/>
      <w:r>
        <w:t>ICH Topic M3 (R2).</w:t>
      </w:r>
      <w:proofErr w:type="gramEnd"/>
      <w:r>
        <w:t xml:space="preserve"> Note for guidance on non-clinical safety studies for the conduct of human clinical trials and marketing authorisation for pharmaceuticals. </w:t>
      </w:r>
      <w:proofErr w:type="gramStart"/>
      <w:r>
        <w:t>CPMP/ICH/286/95.</w:t>
      </w:r>
      <w:proofErr w:type="gramEnd"/>
    </w:p>
  </w:footnote>
  <w:footnote w:id="9">
    <w:p w:rsidR="00442246" w:rsidRPr="00E873CA" w:rsidRDefault="00442246" w:rsidP="002757A7">
      <w:pPr>
        <w:pStyle w:val="FootnoteText"/>
      </w:pPr>
      <w:r w:rsidRPr="00E873CA">
        <w:rPr>
          <w:rStyle w:val="FootnoteReference"/>
          <w:rFonts w:asciiTheme="minorHAnsi" w:hAnsiTheme="minorHAnsi"/>
        </w:rPr>
        <w:footnoteRef/>
      </w:r>
      <w:r w:rsidRPr="00E873CA">
        <w:t xml:space="preserve"> </w:t>
      </w:r>
      <w:r w:rsidRPr="00E873CA">
        <w:rPr>
          <w:rStyle w:val="tgc"/>
          <w:rFonts w:asciiTheme="minorHAnsi" w:hAnsiTheme="minorHAnsi" w:cs="Arial"/>
          <w:bCs/>
          <w:color w:val="222222"/>
        </w:rPr>
        <w:t>CD4 cells</w:t>
      </w:r>
      <w:r w:rsidRPr="00E873CA">
        <w:rPr>
          <w:rStyle w:val="tgc"/>
          <w:rFonts w:asciiTheme="minorHAnsi" w:hAnsiTheme="minorHAnsi" w:cs="Arial"/>
          <w:color w:val="222222"/>
        </w:rPr>
        <w:t xml:space="preserve"> or T-</w:t>
      </w:r>
      <w:r w:rsidRPr="00E873CA">
        <w:rPr>
          <w:rStyle w:val="tgc"/>
          <w:rFonts w:asciiTheme="minorHAnsi" w:hAnsiTheme="minorHAnsi" w:cs="Arial"/>
          <w:bCs/>
          <w:color w:val="222222"/>
        </w:rPr>
        <w:t>cells</w:t>
      </w:r>
      <w:r w:rsidRPr="00E873CA">
        <w:rPr>
          <w:rStyle w:val="tgc"/>
          <w:rFonts w:asciiTheme="minorHAnsi" w:hAnsiTheme="minorHAnsi" w:cs="Arial"/>
          <w:color w:val="222222"/>
        </w:rPr>
        <w:t xml:space="preserve"> are a type of white blood </w:t>
      </w:r>
      <w:r w:rsidRPr="00E873CA">
        <w:rPr>
          <w:rStyle w:val="tgc"/>
          <w:rFonts w:asciiTheme="minorHAnsi" w:hAnsiTheme="minorHAnsi" w:cs="Arial"/>
          <w:bCs/>
          <w:color w:val="222222"/>
        </w:rPr>
        <w:t>cells</w:t>
      </w:r>
      <w:r w:rsidRPr="00E873CA">
        <w:rPr>
          <w:rStyle w:val="tgc"/>
          <w:rFonts w:asciiTheme="minorHAnsi" w:hAnsiTheme="minorHAnsi" w:cs="Arial"/>
          <w:color w:val="222222"/>
        </w:rPr>
        <w:t xml:space="preserve"> that play a major role in protecting your body from infection. They send signals to activate your body's immune response when they detect </w:t>
      </w:r>
      <w:r>
        <w:rPr>
          <w:rStyle w:val="tgc"/>
          <w:rFonts w:asciiTheme="minorHAnsi" w:hAnsiTheme="minorHAnsi" w:cs="Arial"/>
          <w:color w:val="222222"/>
        </w:rPr>
        <w:t>‘</w:t>
      </w:r>
      <w:r w:rsidRPr="00E873CA">
        <w:rPr>
          <w:rStyle w:val="tgc"/>
          <w:rFonts w:asciiTheme="minorHAnsi" w:hAnsiTheme="minorHAnsi" w:cs="Arial"/>
          <w:color w:val="222222"/>
        </w:rPr>
        <w:t>intruders,</w:t>
      </w:r>
      <w:r>
        <w:rPr>
          <w:rStyle w:val="tgc"/>
          <w:rFonts w:asciiTheme="minorHAnsi" w:hAnsiTheme="minorHAnsi" w:cs="Arial"/>
          <w:color w:val="222222"/>
        </w:rPr>
        <w:t>’</w:t>
      </w:r>
      <w:r w:rsidRPr="00E873CA">
        <w:rPr>
          <w:rStyle w:val="tgc"/>
          <w:rFonts w:asciiTheme="minorHAnsi" w:hAnsiTheme="minorHAnsi" w:cs="Arial"/>
          <w:color w:val="222222"/>
        </w:rPr>
        <w:t xml:space="preserve"> like viruses or bacteria.</w:t>
      </w:r>
    </w:p>
  </w:footnote>
  <w:footnote w:id="10">
    <w:p w:rsidR="00442246" w:rsidRDefault="00442246" w:rsidP="002757A7">
      <w:pPr>
        <w:pStyle w:val="FootnoteText"/>
      </w:pPr>
      <w:r>
        <w:rPr>
          <w:rStyle w:val="FootnoteReference"/>
        </w:rPr>
        <w:footnoteRef/>
      </w:r>
      <w:r>
        <w:t xml:space="preserve"> </w:t>
      </w:r>
      <w:r>
        <w:rPr>
          <w:lang w:val="en"/>
        </w:rPr>
        <w:t xml:space="preserve">The HLA-B gene has many different normal variations, allowing each person's immune system to react to a wide range of foreign invaders. Hundreds of versions (alleles) of HLA-B are known, each of which is given a particular number (such as </w:t>
      </w:r>
      <w:hyperlink r:id="rId2" w:tooltip="HLA-B27" w:history="1">
        <w:r>
          <w:rPr>
            <w:rStyle w:val="Hyperlink"/>
            <w:lang w:val="en"/>
          </w:rPr>
          <w:t>HLA-B5701</w:t>
        </w:r>
      </w:hyperlink>
      <w:r>
        <w:rPr>
          <w:lang w:val="en"/>
        </w:rPr>
        <w:t xml:space="preserve">). Among people with HIV infection, a version of HLA-B designated HLA-B*5701 is associated with an extreme sensitivity to </w:t>
      </w:r>
      <w:hyperlink r:id="rId3" w:tooltip="Abacavir" w:history="1">
        <w:proofErr w:type="spellStart"/>
        <w:r>
          <w:rPr>
            <w:rStyle w:val="Hyperlink"/>
            <w:lang w:val="en"/>
          </w:rPr>
          <w:t>abacavir</w:t>
        </w:r>
        <w:proofErr w:type="spellEnd"/>
      </w:hyperlink>
      <w:r>
        <w:rPr>
          <w:lang w:val="en"/>
        </w:rPr>
        <w:t xml:space="preserve">. This drug is a treatment for HIV-1 that slows the spread of the virus in the body. People with </w:t>
      </w:r>
      <w:proofErr w:type="spellStart"/>
      <w:r>
        <w:rPr>
          <w:lang w:val="en"/>
        </w:rPr>
        <w:t>abacavir</w:t>
      </w:r>
      <w:proofErr w:type="spellEnd"/>
      <w:r>
        <w:rPr>
          <w:lang w:val="en"/>
        </w:rPr>
        <w:t xml:space="preserve"> hypersensitivity often develop a fever, chills, rash, upset stomach, and other symptoms when treated with this drug.</w:t>
      </w:r>
    </w:p>
  </w:footnote>
  <w:footnote w:id="11">
    <w:p w:rsidR="00442246" w:rsidRDefault="00442246" w:rsidP="001F7D25">
      <w:pPr>
        <w:pStyle w:val="FootnoteText"/>
      </w:pPr>
      <w:r>
        <w:rPr>
          <w:rStyle w:val="FootnoteReference"/>
        </w:rPr>
        <w:footnoteRef/>
      </w:r>
      <w:r>
        <w:t xml:space="preserve"> </w:t>
      </w:r>
      <w:r w:rsidRPr="001B13D9">
        <w:t xml:space="preserve">FDA Guidance for Industry Size, Shape, and Other Physical Attributes of Generic Tablets and Capsules. DRAFT GUIDANCE </w:t>
      </w:r>
      <w:hyperlink r:id="rId4" w:history="1">
        <w:r w:rsidRPr="001B13D9">
          <w:rPr>
            <w:rStyle w:val="Hyperlink"/>
            <w:sz w:val="20"/>
          </w:rPr>
          <w:t>http://www.fda.gov/downloads/Drugs/GuidanceComplianceRegulatoryInformation/Guidances/UCM377938.pdf</w:t>
        </w:r>
      </w:hyperlink>
      <w:r>
        <w:t xml:space="preserve"> </w:t>
      </w:r>
    </w:p>
    <w:p w:rsidR="00442246" w:rsidRDefault="00442246" w:rsidP="00E2055F">
      <w:pPr>
        <w:pStyle w:val="FootnoteText"/>
      </w:pPr>
    </w:p>
  </w:footnote>
  <w:footnote w:id="12">
    <w:p w:rsidR="00442246" w:rsidRDefault="00442246" w:rsidP="001F7D25">
      <w:pPr>
        <w:pStyle w:val="FootnoteText"/>
      </w:pPr>
      <w:r>
        <w:rPr>
          <w:rStyle w:val="FootnoteReference"/>
        </w:rPr>
        <w:footnoteRef/>
      </w:r>
      <w:r>
        <w:t xml:space="preserve">HIV </w:t>
      </w:r>
      <w:proofErr w:type="spellStart"/>
      <w:r>
        <w:t>InSite</w:t>
      </w:r>
      <w:proofErr w:type="spellEnd"/>
      <w:r>
        <w:t xml:space="preserve">:  </w:t>
      </w:r>
      <w:hyperlink r:id="rId5" w:history="1">
        <w:r>
          <w:rPr>
            <w:rStyle w:val="Hyperlink"/>
          </w:rPr>
          <w:t>http://hivinsite.ucsf.edu/InSite?page=ar-07-03</w:t>
        </w:r>
      </w:hyperlink>
      <w:r>
        <w:t xml:space="preserve"> </w:t>
      </w:r>
    </w:p>
  </w:footnote>
  <w:footnote w:id="13">
    <w:p w:rsidR="00442246" w:rsidRDefault="00442246" w:rsidP="001F7D25">
      <w:pPr>
        <w:pStyle w:val="FootnoteText"/>
      </w:pPr>
      <w:r>
        <w:rPr>
          <w:rStyle w:val="FootnoteReference"/>
        </w:rPr>
        <w:footnoteRef/>
      </w:r>
      <w:r>
        <w:t>At Baseline, one subject (Subject [information redacted]) in the DTG arm (with ATV/r + TDF) harboured virus with RAL associated resistance mutations at Q148H, E138A, G140S, and elevated DTG FC of 12 at Baseline and RAL FC &gt;Max measureable. At PDVF integrase substitutions E138T/</w:t>
      </w:r>
      <w:proofErr w:type="gramStart"/>
      <w:r>
        <w:t>A and</w:t>
      </w:r>
      <w:proofErr w:type="gramEnd"/>
      <w:r>
        <w:t xml:space="preserve"> T97A emerged and DTG and RAL FCs both increased to &gt;Max measureable.</w:t>
      </w:r>
    </w:p>
  </w:footnote>
  <w:footnote w:id="14">
    <w:p w:rsidR="00442246" w:rsidRPr="00B601D5" w:rsidRDefault="00442246" w:rsidP="001F7D25">
      <w:pPr>
        <w:pStyle w:val="FootnoteText"/>
      </w:pPr>
      <w:r w:rsidRPr="00B601D5">
        <w:rPr>
          <w:rStyle w:val="FootnoteReference"/>
          <w:rFonts w:asciiTheme="minorHAnsi" w:hAnsiTheme="minorHAnsi"/>
          <w:szCs w:val="18"/>
        </w:rPr>
        <w:footnoteRef/>
      </w:r>
      <w:r w:rsidRPr="00B601D5">
        <w:t xml:space="preserve"> </w:t>
      </w:r>
      <w:proofErr w:type="spellStart"/>
      <w:r w:rsidRPr="00B601D5">
        <w:rPr>
          <w:lang w:val="en-US"/>
        </w:rPr>
        <w:t>AIDS</w:t>
      </w:r>
      <w:r w:rsidRPr="00B601D5">
        <w:rPr>
          <w:iCs/>
          <w:lang w:val="en-US"/>
        </w:rPr>
        <w:t>info</w:t>
      </w:r>
      <w:proofErr w:type="spellEnd"/>
      <w:r w:rsidRPr="00B601D5">
        <w:rPr>
          <w:iCs/>
          <w:lang w:val="en-US"/>
        </w:rPr>
        <w:t xml:space="preserve"> is</w:t>
      </w:r>
      <w:r w:rsidRPr="00B601D5">
        <w:rPr>
          <w:lang w:val="en-US"/>
        </w:rPr>
        <w:t xml:space="preserve"> a service of the US Department of Health and Human Services (HHS), offer</w:t>
      </w:r>
      <w:r>
        <w:rPr>
          <w:lang w:val="en-US"/>
        </w:rPr>
        <w:t>ing</w:t>
      </w:r>
      <w:r w:rsidRPr="00B601D5">
        <w:rPr>
          <w:lang w:val="en-US"/>
        </w:rPr>
        <w:t xml:space="preserve"> access to the latest, federally approved HIV/AIDS medical practice guidelines, HIV treatment and prevention clinical trials, and other research information for health care providers, researchers, people affected by HIV/AIDS and the general public.</w:t>
      </w:r>
    </w:p>
  </w:footnote>
  <w:footnote w:id="15">
    <w:p w:rsidR="00442246" w:rsidRPr="00D157B8" w:rsidRDefault="00442246" w:rsidP="00D45C20">
      <w:pPr>
        <w:pStyle w:val="FootnoteText"/>
        <w:rPr>
          <w:b/>
          <w:bCs/>
        </w:rPr>
      </w:pPr>
      <w:r w:rsidRPr="00D157B8">
        <w:rPr>
          <w:rStyle w:val="FootnoteReference"/>
          <w:rFonts w:asciiTheme="minorHAnsi" w:hAnsiTheme="minorHAnsi"/>
          <w:szCs w:val="18"/>
        </w:rPr>
        <w:footnoteRef/>
      </w:r>
      <w:r w:rsidRPr="00D157B8">
        <w:t xml:space="preserve">Coelho L, Cardoso SW, </w:t>
      </w:r>
      <w:proofErr w:type="spellStart"/>
      <w:r w:rsidRPr="00D157B8">
        <w:t>Amancio</w:t>
      </w:r>
      <w:proofErr w:type="spellEnd"/>
      <w:r w:rsidRPr="00D157B8">
        <w:t xml:space="preserve"> RT, Moreira RI, Campos DP, et al. (2014) Trends in AIDS-Defining Opportunistic Illnesses Incidence over 25 Years in Rio de Janeiro, Brazil. </w:t>
      </w:r>
      <w:proofErr w:type="spellStart"/>
      <w:r w:rsidRPr="00D157B8">
        <w:t>PLoS</w:t>
      </w:r>
      <w:proofErr w:type="spellEnd"/>
      <w:r w:rsidRPr="00D157B8">
        <w:t xml:space="preserve"> ONE 9(6): e98666. doi:10.1371/journal.pone.0098666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E2" w:rsidRDefault="006552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246" w:rsidRDefault="00442246"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246" w:rsidRDefault="00442246">
    <w:pPr>
      <w:rPr>
        <w:noProof/>
        <w:lang w:eastAsia="en-AU"/>
      </w:rPr>
    </w:pPr>
    <w:r w:rsidRPr="00347824">
      <w:rPr>
        <w:noProof/>
        <w:lang w:eastAsia="en-AU"/>
      </w:rPr>
      <w:drawing>
        <wp:anchor distT="0" distB="0" distL="114300" distR="114300" simplePos="0" relativeHeight="251659264" behindDoc="1" locked="0" layoutInCell="1" allowOverlap="1" wp14:anchorId="4B34CBB7" wp14:editId="43780EDF">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442246" w:rsidRDefault="00442246" w:rsidP="00593AD1">
    <w:pPr>
      <w:pStyle w:val="HeaderNoLine"/>
    </w:pPr>
    <w:r>
      <w:rPr>
        <w:noProof/>
        <w:lang w:eastAsia="en-AU"/>
      </w:rPr>
      <w:drawing>
        <wp:inline distT="0" distB="0" distL="0" distR="0" wp14:anchorId="6FDF6C02" wp14:editId="693F7140">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246" w:rsidRDefault="0044224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246" w:rsidRDefault="00442246">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246" w:rsidRDefault="00442246">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246" w:rsidRDefault="0044224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246" w:rsidRDefault="00442246"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246" w:rsidRDefault="00442246" w:rsidP="006E08B3">
    <w:r>
      <w:t>Therapeutic Goods Administration</w:t>
    </w:r>
  </w:p>
  <w:p w:rsidR="00442246" w:rsidRDefault="00442246"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24173D6E"/>
    <w:multiLevelType w:val="hybridMultilevel"/>
    <w:tmpl w:val="C7D48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9697F5D"/>
    <w:multiLevelType w:val="hybridMultilevel"/>
    <w:tmpl w:val="B6BE278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63366127"/>
    <w:multiLevelType w:val="multilevel"/>
    <w:tmpl w:val="E3782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827DA1"/>
    <w:multiLevelType w:val="hybridMultilevel"/>
    <w:tmpl w:val="E054B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
  </w:num>
  <w:num w:numId="6">
    <w:abstractNumId w:val="2"/>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D6B"/>
    <w:rsid w:val="00002031"/>
    <w:rsid w:val="00004734"/>
    <w:rsid w:val="00006B22"/>
    <w:rsid w:val="0001276A"/>
    <w:rsid w:val="000246AE"/>
    <w:rsid w:val="00025C67"/>
    <w:rsid w:val="00044772"/>
    <w:rsid w:val="0005559E"/>
    <w:rsid w:val="000604D6"/>
    <w:rsid w:val="000734D8"/>
    <w:rsid w:val="00074320"/>
    <w:rsid w:val="00077775"/>
    <w:rsid w:val="00090471"/>
    <w:rsid w:val="00096AA7"/>
    <w:rsid w:val="000A3AED"/>
    <w:rsid w:val="000B3532"/>
    <w:rsid w:val="000B3A75"/>
    <w:rsid w:val="000C00C2"/>
    <w:rsid w:val="000C690F"/>
    <w:rsid w:val="000D070A"/>
    <w:rsid w:val="000D1295"/>
    <w:rsid w:val="000D391B"/>
    <w:rsid w:val="000D3D6D"/>
    <w:rsid w:val="000D4FC7"/>
    <w:rsid w:val="000D7FEE"/>
    <w:rsid w:val="000E6196"/>
    <w:rsid w:val="000F4869"/>
    <w:rsid w:val="000F5822"/>
    <w:rsid w:val="000F5B42"/>
    <w:rsid w:val="000F6E6F"/>
    <w:rsid w:val="0010601F"/>
    <w:rsid w:val="0010788A"/>
    <w:rsid w:val="00107A31"/>
    <w:rsid w:val="00110EA5"/>
    <w:rsid w:val="00112F56"/>
    <w:rsid w:val="00125318"/>
    <w:rsid w:val="001305A2"/>
    <w:rsid w:val="00133238"/>
    <w:rsid w:val="0014197B"/>
    <w:rsid w:val="001447CD"/>
    <w:rsid w:val="001516B1"/>
    <w:rsid w:val="0015304F"/>
    <w:rsid w:val="00154EBB"/>
    <w:rsid w:val="00156316"/>
    <w:rsid w:val="00162D14"/>
    <w:rsid w:val="00165389"/>
    <w:rsid w:val="0017693F"/>
    <w:rsid w:val="0018110E"/>
    <w:rsid w:val="00181684"/>
    <w:rsid w:val="001843C6"/>
    <w:rsid w:val="001850E0"/>
    <w:rsid w:val="0019576C"/>
    <w:rsid w:val="001A2158"/>
    <w:rsid w:val="001A525F"/>
    <w:rsid w:val="001B09F9"/>
    <w:rsid w:val="001B5C90"/>
    <w:rsid w:val="001B6448"/>
    <w:rsid w:val="001C32CD"/>
    <w:rsid w:val="001D2984"/>
    <w:rsid w:val="001E07CF"/>
    <w:rsid w:val="001E59F1"/>
    <w:rsid w:val="001F49EB"/>
    <w:rsid w:val="001F5D7D"/>
    <w:rsid w:val="001F6CBA"/>
    <w:rsid w:val="001F7D25"/>
    <w:rsid w:val="00201D4E"/>
    <w:rsid w:val="002076C9"/>
    <w:rsid w:val="00220B8A"/>
    <w:rsid w:val="002257F3"/>
    <w:rsid w:val="00233456"/>
    <w:rsid w:val="002339A5"/>
    <w:rsid w:val="002559EF"/>
    <w:rsid w:val="00257848"/>
    <w:rsid w:val="0027084A"/>
    <w:rsid w:val="002757A7"/>
    <w:rsid w:val="00286434"/>
    <w:rsid w:val="00286C59"/>
    <w:rsid w:val="002917A5"/>
    <w:rsid w:val="00291957"/>
    <w:rsid w:val="002942D1"/>
    <w:rsid w:val="0029501A"/>
    <w:rsid w:val="002A3721"/>
    <w:rsid w:val="002B1638"/>
    <w:rsid w:val="002B3624"/>
    <w:rsid w:val="002E40B3"/>
    <w:rsid w:val="002E4C9A"/>
    <w:rsid w:val="002F11F8"/>
    <w:rsid w:val="002F3F56"/>
    <w:rsid w:val="002F44B5"/>
    <w:rsid w:val="00311AC0"/>
    <w:rsid w:val="0032583B"/>
    <w:rsid w:val="00327883"/>
    <w:rsid w:val="003343C4"/>
    <w:rsid w:val="00335504"/>
    <w:rsid w:val="003401D1"/>
    <w:rsid w:val="00347824"/>
    <w:rsid w:val="00350567"/>
    <w:rsid w:val="003521E8"/>
    <w:rsid w:val="00353E1D"/>
    <w:rsid w:val="00362C3E"/>
    <w:rsid w:val="00366267"/>
    <w:rsid w:val="003728F3"/>
    <w:rsid w:val="0037496E"/>
    <w:rsid w:val="00383221"/>
    <w:rsid w:val="00386150"/>
    <w:rsid w:val="003874CE"/>
    <w:rsid w:val="00390900"/>
    <w:rsid w:val="003A7F6C"/>
    <w:rsid w:val="003B4D60"/>
    <w:rsid w:val="003B7E39"/>
    <w:rsid w:val="003C58DC"/>
    <w:rsid w:val="003D1463"/>
    <w:rsid w:val="003D1E62"/>
    <w:rsid w:val="003E0B99"/>
    <w:rsid w:val="003E2486"/>
    <w:rsid w:val="003E3208"/>
    <w:rsid w:val="003F0B04"/>
    <w:rsid w:val="0040134E"/>
    <w:rsid w:val="00414E19"/>
    <w:rsid w:val="004334C7"/>
    <w:rsid w:val="00440A2D"/>
    <w:rsid w:val="00442246"/>
    <w:rsid w:val="00444334"/>
    <w:rsid w:val="004564A7"/>
    <w:rsid w:val="004617BF"/>
    <w:rsid w:val="00463658"/>
    <w:rsid w:val="004637A0"/>
    <w:rsid w:val="0047070B"/>
    <w:rsid w:val="004722CC"/>
    <w:rsid w:val="00493323"/>
    <w:rsid w:val="004936E4"/>
    <w:rsid w:val="00494E60"/>
    <w:rsid w:val="00497487"/>
    <w:rsid w:val="004A7390"/>
    <w:rsid w:val="004B7B76"/>
    <w:rsid w:val="004C239D"/>
    <w:rsid w:val="004C2DCA"/>
    <w:rsid w:val="004C4F5B"/>
    <w:rsid w:val="004C61D2"/>
    <w:rsid w:val="004F0C4A"/>
    <w:rsid w:val="004F0F38"/>
    <w:rsid w:val="004F47D6"/>
    <w:rsid w:val="00501921"/>
    <w:rsid w:val="00506FED"/>
    <w:rsid w:val="005078C9"/>
    <w:rsid w:val="00526F57"/>
    <w:rsid w:val="00530354"/>
    <w:rsid w:val="0053625B"/>
    <w:rsid w:val="005434C6"/>
    <w:rsid w:val="00543B39"/>
    <w:rsid w:val="00546154"/>
    <w:rsid w:val="00550096"/>
    <w:rsid w:val="00555280"/>
    <w:rsid w:val="00557FF9"/>
    <w:rsid w:val="00562CB1"/>
    <w:rsid w:val="005711D5"/>
    <w:rsid w:val="00576378"/>
    <w:rsid w:val="00577130"/>
    <w:rsid w:val="00577945"/>
    <w:rsid w:val="00577E38"/>
    <w:rsid w:val="00585322"/>
    <w:rsid w:val="005857C6"/>
    <w:rsid w:val="00592F6E"/>
    <w:rsid w:val="00593AD1"/>
    <w:rsid w:val="005A1793"/>
    <w:rsid w:val="005A68B6"/>
    <w:rsid w:val="005C5570"/>
    <w:rsid w:val="005C79A4"/>
    <w:rsid w:val="005D5442"/>
    <w:rsid w:val="00603F32"/>
    <w:rsid w:val="00605AD4"/>
    <w:rsid w:val="00625A6E"/>
    <w:rsid w:val="00632398"/>
    <w:rsid w:val="00640FC3"/>
    <w:rsid w:val="00642020"/>
    <w:rsid w:val="0065337B"/>
    <w:rsid w:val="0065419D"/>
    <w:rsid w:val="006552E2"/>
    <w:rsid w:val="006604D8"/>
    <w:rsid w:val="00664A5B"/>
    <w:rsid w:val="0066735C"/>
    <w:rsid w:val="006763D2"/>
    <w:rsid w:val="00677A31"/>
    <w:rsid w:val="00680C08"/>
    <w:rsid w:val="006931B1"/>
    <w:rsid w:val="006A15C0"/>
    <w:rsid w:val="006A2113"/>
    <w:rsid w:val="006C3E2A"/>
    <w:rsid w:val="006C642F"/>
    <w:rsid w:val="006D03E5"/>
    <w:rsid w:val="006D5D3E"/>
    <w:rsid w:val="006E08B3"/>
    <w:rsid w:val="006F17AC"/>
    <w:rsid w:val="006F25B8"/>
    <w:rsid w:val="006F572E"/>
    <w:rsid w:val="007046D6"/>
    <w:rsid w:val="00705DB0"/>
    <w:rsid w:val="00722B57"/>
    <w:rsid w:val="00730F8A"/>
    <w:rsid w:val="00735A8C"/>
    <w:rsid w:val="0074253D"/>
    <w:rsid w:val="0074429B"/>
    <w:rsid w:val="007615BC"/>
    <w:rsid w:val="00762F05"/>
    <w:rsid w:val="007652FF"/>
    <w:rsid w:val="00770EF1"/>
    <w:rsid w:val="00773EF7"/>
    <w:rsid w:val="00774A97"/>
    <w:rsid w:val="00774E1D"/>
    <w:rsid w:val="007765D8"/>
    <w:rsid w:val="0077675A"/>
    <w:rsid w:val="00780355"/>
    <w:rsid w:val="007819FD"/>
    <w:rsid w:val="00785721"/>
    <w:rsid w:val="00793A59"/>
    <w:rsid w:val="00797148"/>
    <w:rsid w:val="007B179C"/>
    <w:rsid w:val="007B6132"/>
    <w:rsid w:val="007B6E9F"/>
    <w:rsid w:val="007B78D3"/>
    <w:rsid w:val="007C1216"/>
    <w:rsid w:val="007C1AF7"/>
    <w:rsid w:val="00805D27"/>
    <w:rsid w:val="00821776"/>
    <w:rsid w:val="008321F5"/>
    <w:rsid w:val="00832369"/>
    <w:rsid w:val="00834660"/>
    <w:rsid w:val="00836BC2"/>
    <w:rsid w:val="0085156D"/>
    <w:rsid w:val="0085641B"/>
    <w:rsid w:val="00857136"/>
    <w:rsid w:val="00885B11"/>
    <w:rsid w:val="00886D15"/>
    <w:rsid w:val="00887DD8"/>
    <w:rsid w:val="00891BA9"/>
    <w:rsid w:val="00896018"/>
    <w:rsid w:val="008960DD"/>
    <w:rsid w:val="0089635C"/>
    <w:rsid w:val="008A2B9D"/>
    <w:rsid w:val="008A3D9F"/>
    <w:rsid w:val="008A5E0B"/>
    <w:rsid w:val="008A6D59"/>
    <w:rsid w:val="008B4B03"/>
    <w:rsid w:val="008B596F"/>
    <w:rsid w:val="008B6DB0"/>
    <w:rsid w:val="008C159F"/>
    <w:rsid w:val="008C1623"/>
    <w:rsid w:val="008C1850"/>
    <w:rsid w:val="008C51A9"/>
    <w:rsid w:val="008E7846"/>
    <w:rsid w:val="008F02E5"/>
    <w:rsid w:val="008F1CCC"/>
    <w:rsid w:val="008F2967"/>
    <w:rsid w:val="008F6943"/>
    <w:rsid w:val="00902A21"/>
    <w:rsid w:val="009124D2"/>
    <w:rsid w:val="00920330"/>
    <w:rsid w:val="009219D7"/>
    <w:rsid w:val="00922D53"/>
    <w:rsid w:val="00923B70"/>
    <w:rsid w:val="00924482"/>
    <w:rsid w:val="00930237"/>
    <w:rsid w:val="00940A89"/>
    <w:rsid w:val="00946EA5"/>
    <w:rsid w:val="00963C08"/>
    <w:rsid w:val="00974790"/>
    <w:rsid w:val="0098585A"/>
    <w:rsid w:val="009862C1"/>
    <w:rsid w:val="009A4CED"/>
    <w:rsid w:val="009A5AAE"/>
    <w:rsid w:val="009A690D"/>
    <w:rsid w:val="009B1D12"/>
    <w:rsid w:val="009B416B"/>
    <w:rsid w:val="009C4BD5"/>
    <w:rsid w:val="009D7B77"/>
    <w:rsid w:val="009E0BB0"/>
    <w:rsid w:val="009E3FBB"/>
    <w:rsid w:val="00A04F85"/>
    <w:rsid w:val="00A05FA4"/>
    <w:rsid w:val="00A102E4"/>
    <w:rsid w:val="00A12C42"/>
    <w:rsid w:val="00A14DF7"/>
    <w:rsid w:val="00A31019"/>
    <w:rsid w:val="00A3246D"/>
    <w:rsid w:val="00A36FA7"/>
    <w:rsid w:val="00A44DDB"/>
    <w:rsid w:val="00A475B7"/>
    <w:rsid w:val="00A47AF7"/>
    <w:rsid w:val="00A47C3E"/>
    <w:rsid w:val="00A50226"/>
    <w:rsid w:val="00A55F97"/>
    <w:rsid w:val="00A60BAD"/>
    <w:rsid w:val="00A80B5B"/>
    <w:rsid w:val="00A84E36"/>
    <w:rsid w:val="00A85830"/>
    <w:rsid w:val="00A964D1"/>
    <w:rsid w:val="00AA0ED0"/>
    <w:rsid w:val="00AA2F46"/>
    <w:rsid w:val="00AC2B40"/>
    <w:rsid w:val="00AC2BB2"/>
    <w:rsid w:val="00AC2C3C"/>
    <w:rsid w:val="00AC512D"/>
    <w:rsid w:val="00AD0083"/>
    <w:rsid w:val="00AD3935"/>
    <w:rsid w:val="00AE65EB"/>
    <w:rsid w:val="00AE67A7"/>
    <w:rsid w:val="00AF1D94"/>
    <w:rsid w:val="00AF60C5"/>
    <w:rsid w:val="00B009C6"/>
    <w:rsid w:val="00B01548"/>
    <w:rsid w:val="00B13EBD"/>
    <w:rsid w:val="00B21D29"/>
    <w:rsid w:val="00B25034"/>
    <w:rsid w:val="00B33588"/>
    <w:rsid w:val="00B33863"/>
    <w:rsid w:val="00B37D17"/>
    <w:rsid w:val="00B4175E"/>
    <w:rsid w:val="00B44424"/>
    <w:rsid w:val="00B452CE"/>
    <w:rsid w:val="00B500B0"/>
    <w:rsid w:val="00B54C25"/>
    <w:rsid w:val="00B55EE1"/>
    <w:rsid w:val="00B601D5"/>
    <w:rsid w:val="00B609DB"/>
    <w:rsid w:val="00B62617"/>
    <w:rsid w:val="00B71A8D"/>
    <w:rsid w:val="00B76B91"/>
    <w:rsid w:val="00B77EB1"/>
    <w:rsid w:val="00B811C6"/>
    <w:rsid w:val="00B855B0"/>
    <w:rsid w:val="00B87A36"/>
    <w:rsid w:val="00B92E08"/>
    <w:rsid w:val="00BC622A"/>
    <w:rsid w:val="00BE0A78"/>
    <w:rsid w:val="00BE79F0"/>
    <w:rsid w:val="00BF046D"/>
    <w:rsid w:val="00BF1190"/>
    <w:rsid w:val="00BF2D11"/>
    <w:rsid w:val="00BF5D04"/>
    <w:rsid w:val="00BF7822"/>
    <w:rsid w:val="00C1164D"/>
    <w:rsid w:val="00C16861"/>
    <w:rsid w:val="00C21C47"/>
    <w:rsid w:val="00C346AB"/>
    <w:rsid w:val="00C404A6"/>
    <w:rsid w:val="00C40A36"/>
    <w:rsid w:val="00C44419"/>
    <w:rsid w:val="00C45E7B"/>
    <w:rsid w:val="00C471B1"/>
    <w:rsid w:val="00C47D6B"/>
    <w:rsid w:val="00C6316B"/>
    <w:rsid w:val="00C634A9"/>
    <w:rsid w:val="00C64586"/>
    <w:rsid w:val="00C70D53"/>
    <w:rsid w:val="00C73D0B"/>
    <w:rsid w:val="00C772FF"/>
    <w:rsid w:val="00C80137"/>
    <w:rsid w:val="00C801AF"/>
    <w:rsid w:val="00C80256"/>
    <w:rsid w:val="00C9747E"/>
    <w:rsid w:val="00CB5329"/>
    <w:rsid w:val="00CB6BC0"/>
    <w:rsid w:val="00CB7617"/>
    <w:rsid w:val="00CC1B7C"/>
    <w:rsid w:val="00CC727F"/>
    <w:rsid w:val="00CF15C3"/>
    <w:rsid w:val="00CF2B6F"/>
    <w:rsid w:val="00CF2F3E"/>
    <w:rsid w:val="00CF4CF2"/>
    <w:rsid w:val="00CF58B6"/>
    <w:rsid w:val="00D0062D"/>
    <w:rsid w:val="00D017ED"/>
    <w:rsid w:val="00D040D3"/>
    <w:rsid w:val="00D04C65"/>
    <w:rsid w:val="00D157B8"/>
    <w:rsid w:val="00D201D2"/>
    <w:rsid w:val="00D224FE"/>
    <w:rsid w:val="00D23139"/>
    <w:rsid w:val="00D2320D"/>
    <w:rsid w:val="00D25BDD"/>
    <w:rsid w:val="00D33F1A"/>
    <w:rsid w:val="00D425BB"/>
    <w:rsid w:val="00D45495"/>
    <w:rsid w:val="00D45C20"/>
    <w:rsid w:val="00D6493E"/>
    <w:rsid w:val="00D7195D"/>
    <w:rsid w:val="00D7301E"/>
    <w:rsid w:val="00D83AE1"/>
    <w:rsid w:val="00D855D4"/>
    <w:rsid w:val="00D93466"/>
    <w:rsid w:val="00DA1124"/>
    <w:rsid w:val="00DB2B91"/>
    <w:rsid w:val="00DB6124"/>
    <w:rsid w:val="00DB750B"/>
    <w:rsid w:val="00DB75B7"/>
    <w:rsid w:val="00DC6E02"/>
    <w:rsid w:val="00DE02AE"/>
    <w:rsid w:val="00DF1D7F"/>
    <w:rsid w:val="00DF4BE4"/>
    <w:rsid w:val="00E02FB4"/>
    <w:rsid w:val="00E13FC7"/>
    <w:rsid w:val="00E2055F"/>
    <w:rsid w:val="00E20571"/>
    <w:rsid w:val="00E235F7"/>
    <w:rsid w:val="00E23659"/>
    <w:rsid w:val="00E239D4"/>
    <w:rsid w:val="00E26130"/>
    <w:rsid w:val="00E40B22"/>
    <w:rsid w:val="00E44711"/>
    <w:rsid w:val="00E44ED1"/>
    <w:rsid w:val="00E45619"/>
    <w:rsid w:val="00E4588F"/>
    <w:rsid w:val="00E46DA3"/>
    <w:rsid w:val="00E51BB1"/>
    <w:rsid w:val="00E624A5"/>
    <w:rsid w:val="00E64BA4"/>
    <w:rsid w:val="00E7344E"/>
    <w:rsid w:val="00E873CA"/>
    <w:rsid w:val="00EA1FA7"/>
    <w:rsid w:val="00EB0798"/>
    <w:rsid w:val="00EB40AD"/>
    <w:rsid w:val="00EB586E"/>
    <w:rsid w:val="00EB5FC8"/>
    <w:rsid w:val="00EC7A85"/>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795"/>
    <w:rsid w:val="00F54B65"/>
    <w:rsid w:val="00F640B6"/>
    <w:rsid w:val="00F80E40"/>
    <w:rsid w:val="00F848D9"/>
    <w:rsid w:val="00FA5B82"/>
    <w:rsid w:val="00FA639E"/>
    <w:rsid w:val="00FC25E4"/>
    <w:rsid w:val="00FC4EF7"/>
    <w:rsid w:val="00FD0824"/>
    <w:rsid w:val="00FD119B"/>
    <w:rsid w:val="00FD1EDC"/>
    <w:rsid w:val="00FE1DEE"/>
    <w:rsid w:val="00FE68FF"/>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74A97"/>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99"/>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styleId="BodyText">
    <w:name w:val="Body Text"/>
    <w:basedOn w:val="Normal"/>
    <w:link w:val="BodyTextChar"/>
    <w:rsid w:val="00C47D6B"/>
    <w:pPr>
      <w:spacing w:before="0" w:line="240" w:lineRule="auto"/>
    </w:pPr>
    <w:rPr>
      <w:rFonts w:ascii="Times New Roman" w:eastAsia="Times New Roman" w:hAnsi="Times New Roman"/>
      <w:sz w:val="24"/>
      <w:szCs w:val="20"/>
      <w:lang w:eastAsia="en-AU"/>
    </w:rPr>
  </w:style>
  <w:style w:type="character" w:customStyle="1" w:styleId="BodyTextChar">
    <w:name w:val="Body Text Char"/>
    <w:basedOn w:val="DefaultParagraphFont"/>
    <w:link w:val="BodyText"/>
    <w:rsid w:val="00C47D6B"/>
    <w:rPr>
      <w:rFonts w:ascii="Times New Roman" w:eastAsia="Times New Roman" w:hAnsi="Times New Roman" w:cs="Times New Roman"/>
      <w:sz w:val="24"/>
      <w:szCs w:val="20"/>
      <w:lang w:eastAsia="en-AU"/>
    </w:rPr>
  </w:style>
  <w:style w:type="paragraph" w:customStyle="1" w:styleId="WhiteSpace">
    <w:name w:val="White Space"/>
    <w:basedOn w:val="Normal"/>
    <w:link w:val="WhiteSpaceChar"/>
    <w:rsid w:val="000D7FEE"/>
    <w:pPr>
      <w:spacing w:before="0" w:after="0" w:line="252" w:lineRule="auto"/>
    </w:pPr>
    <w:rPr>
      <w:rFonts w:eastAsia="Times New Roman"/>
      <w:snapToGrid w:val="0"/>
      <w:kern w:val="16"/>
      <w:sz w:val="16"/>
      <w:szCs w:val="16"/>
    </w:rPr>
  </w:style>
  <w:style w:type="character" w:customStyle="1" w:styleId="WhiteSpaceChar">
    <w:name w:val="White Space Char"/>
    <w:basedOn w:val="DefaultParagraphFont"/>
    <w:link w:val="WhiteSpace"/>
    <w:rsid w:val="00C47D6B"/>
    <w:rPr>
      <w:rFonts w:ascii="Cambria" w:eastAsia="Times New Roman" w:hAnsi="Cambria" w:cs="Times New Roman"/>
      <w:snapToGrid w:val="0"/>
      <w:kern w:val="16"/>
      <w:sz w:val="16"/>
      <w:szCs w:val="16"/>
    </w:rPr>
  </w:style>
  <w:style w:type="paragraph" w:customStyle="1" w:styleId="Bulletpoint">
    <w:name w:val="Bullet point"/>
    <w:basedOn w:val="Normal"/>
    <w:rsid w:val="000D7FEE"/>
    <w:pPr>
      <w:numPr>
        <w:numId w:val="5"/>
      </w:numPr>
      <w:tabs>
        <w:tab w:val="clear" w:pos="369"/>
        <w:tab w:val="left" w:pos="397"/>
        <w:tab w:val="num" w:pos="511"/>
      </w:tabs>
      <w:spacing w:before="0" w:after="180" w:line="252" w:lineRule="auto"/>
      <w:ind w:left="397" w:firstLine="0"/>
    </w:pPr>
    <w:rPr>
      <w:rFonts w:eastAsia="Times New Roman"/>
      <w:snapToGrid w:val="0"/>
      <w:kern w:val="16"/>
      <w:szCs w:val="24"/>
    </w:rPr>
  </w:style>
  <w:style w:type="paragraph" w:styleId="ListParagraph">
    <w:name w:val="List Paragraph"/>
    <w:basedOn w:val="Normal"/>
    <w:uiPriority w:val="34"/>
    <w:qFormat/>
    <w:rsid w:val="00C47D6B"/>
    <w:pPr>
      <w:spacing w:before="0" w:after="0" w:line="240" w:lineRule="auto"/>
      <w:ind w:left="720"/>
      <w:contextualSpacing/>
    </w:pPr>
    <w:rPr>
      <w:rFonts w:eastAsia="MS Mincho" w:cstheme="minorBidi"/>
      <w:sz w:val="23"/>
    </w:rPr>
  </w:style>
  <w:style w:type="paragraph" w:customStyle="1" w:styleId="TableCaption">
    <w:name w:val="Table Caption"/>
    <w:basedOn w:val="Normal"/>
    <w:link w:val="TableCaptionChar"/>
    <w:rsid w:val="000D7FEE"/>
    <w:pPr>
      <w:spacing w:before="60" w:after="440" w:line="215" w:lineRule="exact"/>
      <w:ind w:left="170"/>
    </w:pPr>
    <w:rPr>
      <w:sz w:val="19"/>
    </w:rPr>
  </w:style>
  <w:style w:type="paragraph" w:customStyle="1" w:styleId="AssessmentSubsection">
    <w:name w:val="Assessment Subsection"/>
    <w:basedOn w:val="Normal"/>
    <w:rsid w:val="000D7FEE"/>
    <w:pPr>
      <w:keepNext/>
      <w:spacing w:before="0" w:after="110" w:line="252" w:lineRule="auto"/>
      <w:outlineLvl w:val="2"/>
    </w:pPr>
    <w:rPr>
      <w:rFonts w:eastAsia="Times New Roman"/>
      <w:b/>
      <w:i/>
      <w:snapToGrid w:val="0"/>
      <w:kern w:val="16"/>
      <w:szCs w:val="24"/>
    </w:rPr>
  </w:style>
  <w:style w:type="character" w:customStyle="1" w:styleId="TabletextChar">
    <w:name w:val="Table text Char"/>
    <w:basedOn w:val="DefaultParagraphFont"/>
    <w:link w:val="Tabletext"/>
    <w:rsid w:val="00C47D6B"/>
    <w:rPr>
      <w:rFonts w:ascii="Cambria" w:eastAsia="Cambria" w:hAnsi="Cambria" w:cs="Times New Roman"/>
      <w:sz w:val="19"/>
    </w:rPr>
  </w:style>
  <w:style w:type="character" w:customStyle="1" w:styleId="TableCaptionChar">
    <w:name w:val="Table Caption Char"/>
    <w:basedOn w:val="TabletextChar"/>
    <w:link w:val="TableCaption"/>
    <w:rsid w:val="00C47D6B"/>
    <w:rPr>
      <w:rFonts w:ascii="Cambria" w:eastAsia="Cambria" w:hAnsi="Cambria" w:cs="Times New Roman"/>
      <w:sz w:val="19"/>
    </w:rPr>
  </w:style>
  <w:style w:type="paragraph" w:customStyle="1" w:styleId="AssessmentSubsection2">
    <w:name w:val="Assessment Subsection 2"/>
    <w:basedOn w:val="AssessmentSubsection"/>
    <w:next w:val="Normal"/>
    <w:rsid w:val="00C47D6B"/>
    <w:pPr>
      <w:outlineLvl w:val="3"/>
    </w:pPr>
    <w:rPr>
      <w:b w:val="0"/>
    </w:rPr>
  </w:style>
  <w:style w:type="character" w:customStyle="1" w:styleId="st1">
    <w:name w:val="st1"/>
    <w:basedOn w:val="DefaultParagraphFont"/>
    <w:rsid w:val="00A85830"/>
  </w:style>
  <w:style w:type="paragraph" w:customStyle="1" w:styleId="Default">
    <w:name w:val="Default"/>
    <w:rsid w:val="00CB53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BoldUnderlineAfter6pt">
    <w:name w:val="Arial Bold Underline After:  6 pt"/>
    <w:basedOn w:val="Default"/>
    <w:next w:val="Default"/>
    <w:uiPriority w:val="99"/>
    <w:rsid w:val="00CB5329"/>
    <w:rPr>
      <w:color w:val="auto"/>
    </w:rPr>
  </w:style>
  <w:style w:type="paragraph" w:customStyle="1" w:styleId="tabletext0">
    <w:name w:val="table:text"/>
    <w:basedOn w:val="Default"/>
    <w:next w:val="Default"/>
    <w:uiPriority w:val="99"/>
    <w:rsid w:val="00CB5329"/>
    <w:rPr>
      <w:color w:val="auto"/>
    </w:rPr>
  </w:style>
  <w:style w:type="character" w:customStyle="1" w:styleId="st">
    <w:name w:val="st"/>
    <w:basedOn w:val="DefaultParagraphFont"/>
    <w:rsid w:val="00B44424"/>
  </w:style>
  <w:style w:type="paragraph" w:styleId="NormalWeb">
    <w:name w:val="Normal (Web)"/>
    <w:basedOn w:val="Normal"/>
    <w:uiPriority w:val="99"/>
    <w:semiHidden/>
    <w:unhideWhenUsed/>
    <w:rsid w:val="000F5822"/>
    <w:pPr>
      <w:spacing w:before="240" w:after="240"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A31019"/>
    <w:rPr>
      <w:b/>
      <w:bCs/>
      <w:i w:val="0"/>
      <w:iCs w:val="0"/>
    </w:rPr>
  </w:style>
  <w:style w:type="character" w:customStyle="1" w:styleId="tgc">
    <w:name w:val="_tgc"/>
    <w:basedOn w:val="DefaultParagraphFont"/>
    <w:rsid w:val="00E873CA"/>
  </w:style>
  <w:style w:type="character" w:styleId="CommentReference">
    <w:name w:val="annotation reference"/>
    <w:basedOn w:val="DefaultParagraphFont"/>
    <w:uiPriority w:val="99"/>
    <w:semiHidden/>
    <w:unhideWhenUsed/>
    <w:rsid w:val="008B6DB0"/>
    <w:rPr>
      <w:sz w:val="16"/>
      <w:szCs w:val="16"/>
    </w:rPr>
  </w:style>
  <w:style w:type="paragraph" w:styleId="CommentText">
    <w:name w:val="annotation text"/>
    <w:basedOn w:val="Normal"/>
    <w:link w:val="CommentTextChar"/>
    <w:uiPriority w:val="99"/>
    <w:semiHidden/>
    <w:unhideWhenUsed/>
    <w:rsid w:val="008B6DB0"/>
    <w:pPr>
      <w:spacing w:line="240" w:lineRule="auto"/>
    </w:pPr>
    <w:rPr>
      <w:sz w:val="20"/>
      <w:szCs w:val="20"/>
    </w:rPr>
  </w:style>
  <w:style w:type="character" w:customStyle="1" w:styleId="CommentTextChar">
    <w:name w:val="Comment Text Char"/>
    <w:basedOn w:val="DefaultParagraphFont"/>
    <w:link w:val="CommentText"/>
    <w:uiPriority w:val="99"/>
    <w:semiHidden/>
    <w:rsid w:val="008B6DB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B6DB0"/>
    <w:rPr>
      <w:b/>
      <w:bCs/>
    </w:rPr>
  </w:style>
  <w:style w:type="character" w:customStyle="1" w:styleId="CommentSubjectChar">
    <w:name w:val="Comment Subject Char"/>
    <w:basedOn w:val="CommentTextChar"/>
    <w:link w:val="CommentSubject"/>
    <w:uiPriority w:val="99"/>
    <w:semiHidden/>
    <w:rsid w:val="008B6DB0"/>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74A97"/>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99"/>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styleId="BodyText">
    <w:name w:val="Body Text"/>
    <w:basedOn w:val="Normal"/>
    <w:link w:val="BodyTextChar"/>
    <w:rsid w:val="00C47D6B"/>
    <w:pPr>
      <w:spacing w:before="0" w:line="240" w:lineRule="auto"/>
    </w:pPr>
    <w:rPr>
      <w:rFonts w:ascii="Times New Roman" w:eastAsia="Times New Roman" w:hAnsi="Times New Roman"/>
      <w:sz w:val="24"/>
      <w:szCs w:val="20"/>
      <w:lang w:eastAsia="en-AU"/>
    </w:rPr>
  </w:style>
  <w:style w:type="character" w:customStyle="1" w:styleId="BodyTextChar">
    <w:name w:val="Body Text Char"/>
    <w:basedOn w:val="DefaultParagraphFont"/>
    <w:link w:val="BodyText"/>
    <w:rsid w:val="00C47D6B"/>
    <w:rPr>
      <w:rFonts w:ascii="Times New Roman" w:eastAsia="Times New Roman" w:hAnsi="Times New Roman" w:cs="Times New Roman"/>
      <w:sz w:val="24"/>
      <w:szCs w:val="20"/>
      <w:lang w:eastAsia="en-AU"/>
    </w:rPr>
  </w:style>
  <w:style w:type="paragraph" w:customStyle="1" w:styleId="WhiteSpace">
    <w:name w:val="White Space"/>
    <w:basedOn w:val="Normal"/>
    <w:link w:val="WhiteSpaceChar"/>
    <w:rsid w:val="000D7FEE"/>
    <w:pPr>
      <w:spacing w:before="0" w:after="0" w:line="252" w:lineRule="auto"/>
    </w:pPr>
    <w:rPr>
      <w:rFonts w:eastAsia="Times New Roman"/>
      <w:snapToGrid w:val="0"/>
      <w:kern w:val="16"/>
      <w:sz w:val="16"/>
      <w:szCs w:val="16"/>
    </w:rPr>
  </w:style>
  <w:style w:type="character" w:customStyle="1" w:styleId="WhiteSpaceChar">
    <w:name w:val="White Space Char"/>
    <w:basedOn w:val="DefaultParagraphFont"/>
    <w:link w:val="WhiteSpace"/>
    <w:rsid w:val="00C47D6B"/>
    <w:rPr>
      <w:rFonts w:ascii="Cambria" w:eastAsia="Times New Roman" w:hAnsi="Cambria" w:cs="Times New Roman"/>
      <w:snapToGrid w:val="0"/>
      <w:kern w:val="16"/>
      <w:sz w:val="16"/>
      <w:szCs w:val="16"/>
    </w:rPr>
  </w:style>
  <w:style w:type="paragraph" w:customStyle="1" w:styleId="Bulletpoint">
    <w:name w:val="Bullet point"/>
    <w:basedOn w:val="Normal"/>
    <w:rsid w:val="000D7FEE"/>
    <w:pPr>
      <w:numPr>
        <w:numId w:val="5"/>
      </w:numPr>
      <w:tabs>
        <w:tab w:val="clear" w:pos="369"/>
        <w:tab w:val="left" w:pos="397"/>
        <w:tab w:val="num" w:pos="511"/>
      </w:tabs>
      <w:spacing w:before="0" w:after="180" w:line="252" w:lineRule="auto"/>
      <w:ind w:left="397" w:firstLine="0"/>
    </w:pPr>
    <w:rPr>
      <w:rFonts w:eastAsia="Times New Roman"/>
      <w:snapToGrid w:val="0"/>
      <w:kern w:val="16"/>
      <w:szCs w:val="24"/>
    </w:rPr>
  </w:style>
  <w:style w:type="paragraph" w:styleId="ListParagraph">
    <w:name w:val="List Paragraph"/>
    <w:basedOn w:val="Normal"/>
    <w:uiPriority w:val="34"/>
    <w:qFormat/>
    <w:rsid w:val="00C47D6B"/>
    <w:pPr>
      <w:spacing w:before="0" w:after="0" w:line="240" w:lineRule="auto"/>
      <w:ind w:left="720"/>
      <w:contextualSpacing/>
    </w:pPr>
    <w:rPr>
      <w:rFonts w:eastAsia="MS Mincho" w:cstheme="minorBidi"/>
      <w:sz w:val="23"/>
    </w:rPr>
  </w:style>
  <w:style w:type="paragraph" w:customStyle="1" w:styleId="TableCaption">
    <w:name w:val="Table Caption"/>
    <w:basedOn w:val="Normal"/>
    <w:link w:val="TableCaptionChar"/>
    <w:rsid w:val="000D7FEE"/>
    <w:pPr>
      <w:spacing w:before="60" w:after="440" w:line="215" w:lineRule="exact"/>
      <w:ind w:left="170"/>
    </w:pPr>
    <w:rPr>
      <w:sz w:val="19"/>
    </w:rPr>
  </w:style>
  <w:style w:type="paragraph" w:customStyle="1" w:styleId="AssessmentSubsection">
    <w:name w:val="Assessment Subsection"/>
    <w:basedOn w:val="Normal"/>
    <w:rsid w:val="000D7FEE"/>
    <w:pPr>
      <w:keepNext/>
      <w:spacing w:before="0" w:after="110" w:line="252" w:lineRule="auto"/>
      <w:outlineLvl w:val="2"/>
    </w:pPr>
    <w:rPr>
      <w:rFonts w:eastAsia="Times New Roman"/>
      <w:b/>
      <w:i/>
      <w:snapToGrid w:val="0"/>
      <w:kern w:val="16"/>
      <w:szCs w:val="24"/>
    </w:rPr>
  </w:style>
  <w:style w:type="character" w:customStyle="1" w:styleId="TabletextChar">
    <w:name w:val="Table text Char"/>
    <w:basedOn w:val="DefaultParagraphFont"/>
    <w:link w:val="Tabletext"/>
    <w:rsid w:val="00C47D6B"/>
    <w:rPr>
      <w:rFonts w:ascii="Cambria" w:eastAsia="Cambria" w:hAnsi="Cambria" w:cs="Times New Roman"/>
      <w:sz w:val="19"/>
    </w:rPr>
  </w:style>
  <w:style w:type="character" w:customStyle="1" w:styleId="TableCaptionChar">
    <w:name w:val="Table Caption Char"/>
    <w:basedOn w:val="TabletextChar"/>
    <w:link w:val="TableCaption"/>
    <w:rsid w:val="00C47D6B"/>
    <w:rPr>
      <w:rFonts w:ascii="Cambria" w:eastAsia="Cambria" w:hAnsi="Cambria" w:cs="Times New Roman"/>
      <w:sz w:val="19"/>
    </w:rPr>
  </w:style>
  <w:style w:type="paragraph" w:customStyle="1" w:styleId="AssessmentSubsection2">
    <w:name w:val="Assessment Subsection 2"/>
    <w:basedOn w:val="AssessmentSubsection"/>
    <w:next w:val="Normal"/>
    <w:rsid w:val="00C47D6B"/>
    <w:pPr>
      <w:outlineLvl w:val="3"/>
    </w:pPr>
    <w:rPr>
      <w:b w:val="0"/>
    </w:rPr>
  </w:style>
  <w:style w:type="character" w:customStyle="1" w:styleId="st1">
    <w:name w:val="st1"/>
    <w:basedOn w:val="DefaultParagraphFont"/>
    <w:rsid w:val="00A85830"/>
  </w:style>
  <w:style w:type="paragraph" w:customStyle="1" w:styleId="Default">
    <w:name w:val="Default"/>
    <w:rsid w:val="00CB53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BoldUnderlineAfter6pt">
    <w:name w:val="Arial Bold Underline After:  6 pt"/>
    <w:basedOn w:val="Default"/>
    <w:next w:val="Default"/>
    <w:uiPriority w:val="99"/>
    <w:rsid w:val="00CB5329"/>
    <w:rPr>
      <w:color w:val="auto"/>
    </w:rPr>
  </w:style>
  <w:style w:type="paragraph" w:customStyle="1" w:styleId="tabletext0">
    <w:name w:val="table:text"/>
    <w:basedOn w:val="Default"/>
    <w:next w:val="Default"/>
    <w:uiPriority w:val="99"/>
    <w:rsid w:val="00CB5329"/>
    <w:rPr>
      <w:color w:val="auto"/>
    </w:rPr>
  </w:style>
  <w:style w:type="character" w:customStyle="1" w:styleId="st">
    <w:name w:val="st"/>
    <w:basedOn w:val="DefaultParagraphFont"/>
    <w:rsid w:val="00B44424"/>
  </w:style>
  <w:style w:type="paragraph" w:styleId="NormalWeb">
    <w:name w:val="Normal (Web)"/>
    <w:basedOn w:val="Normal"/>
    <w:uiPriority w:val="99"/>
    <w:semiHidden/>
    <w:unhideWhenUsed/>
    <w:rsid w:val="000F5822"/>
    <w:pPr>
      <w:spacing w:before="240" w:after="240"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A31019"/>
    <w:rPr>
      <w:b/>
      <w:bCs/>
      <w:i w:val="0"/>
      <w:iCs w:val="0"/>
    </w:rPr>
  </w:style>
  <w:style w:type="character" w:customStyle="1" w:styleId="tgc">
    <w:name w:val="_tgc"/>
    <w:basedOn w:val="DefaultParagraphFont"/>
    <w:rsid w:val="00E873CA"/>
  </w:style>
  <w:style w:type="character" w:styleId="CommentReference">
    <w:name w:val="annotation reference"/>
    <w:basedOn w:val="DefaultParagraphFont"/>
    <w:uiPriority w:val="99"/>
    <w:semiHidden/>
    <w:unhideWhenUsed/>
    <w:rsid w:val="008B6DB0"/>
    <w:rPr>
      <w:sz w:val="16"/>
      <w:szCs w:val="16"/>
    </w:rPr>
  </w:style>
  <w:style w:type="paragraph" w:styleId="CommentText">
    <w:name w:val="annotation text"/>
    <w:basedOn w:val="Normal"/>
    <w:link w:val="CommentTextChar"/>
    <w:uiPriority w:val="99"/>
    <w:semiHidden/>
    <w:unhideWhenUsed/>
    <w:rsid w:val="008B6DB0"/>
    <w:pPr>
      <w:spacing w:line="240" w:lineRule="auto"/>
    </w:pPr>
    <w:rPr>
      <w:sz w:val="20"/>
      <w:szCs w:val="20"/>
    </w:rPr>
  </w:style>
  <w:style w:type="character" w:customStyle="1" w:styleId="CommentTextChar">
    <w:name w:val="Comment Text Char"/>
    <w:basedOn w:val="DefaultParagraphFont"/>
    <w:link w:val="CommentText"/>
    <w:uiPriority w:val="99"/>
    <w:semiHidden/>
    <w:rsid w:val="008B6DB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B6DB0"/>
    <w:rPr>
      <w:b/>
      <w:bCs/>
    </w:rPr>
  </w:style>
  <w:style w:type="character" w:customStyle="1" w:styleId="CommentSubjectChar">
    <w:name w:val="Comment Subject Char"/>
    <w:basedOn w:val="CommentTextChar"/>
    <w:link w:val="CommentSubject"/>
    <w:uiPriority w:val="99"/>
    <w:semiHidden/>
    <w:rsid w:val="008B6DB0"/>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226">
      <w:bodyDiv w:val="1"/>
      <w:marLeft w:val="0"/>
      <w:marRight w:val="0"/>
      <w:marTop w:val="0"/>
      <w:marBottom w:val="0"/>
      <w:divBdr>
        <w:top w:val="none" w:sz="0" w:space="0" w:color="auto"/>
        <w:left w:val="none" w:sz="0" w:space="0" w:color="auto"/>
        <w:bottom w:val="none" w:sz="0" w:space="0" w:color="auto"/>
        <w:right w:val="none" w:sz="0" w:space="0" w:color="auto"/>
      </w:divBdr>
    </w:div>
    <w:div w:id="54596145">
      <w:bodyDiv w:val="1"/>
      <w:marLeft w:val="0"/>
      <w:marRight w:val="0"/>
      <w:marTop w:val="0"/>
      <w:marBottom w:val="0"/>
      <w:divBdr>
        <w:top w:val="none" w:sz="0" w:space="0" w:color="auto"/>
        <w:left w:val="none" w:sz="0" w:space="0" w:color="auto"/>
        <w:bottom w:val="none" w:sz="0" w:space="0" w:color="auto"/>
        <w:right w:val="none" w:sz="0" w:space="0" w:color="auto"/>
      </w:divBdr>
    </w:div>
    <w:div w:id="241723619">
      <w:bodyDiv w:val="1"/>
      <w:marLeft w:val="0"/>
      <w:marRight w:val="0"/>
      <w:marTop w:val="0"/>
      <w:marBottom w:val="0"/>
      <w:divBdr>
        <w:top w:val="none" w:sz="0" w:space="0" w:color="auto"/>
        <w:left w:val="none" w:sz="0" w:space="0" w:color="auto"/>
        <w:bottom w:val="none" w:sz="0" w:space="0" w:color="auto"/>
        <w:right w:val="none" w:sz="0" w:space="0" w:color="auto"/>
      </w:divBdr>
      <w:divsChild>
        <w:div w:id="1487164619">
          <w:marLeft w:val="0"/>
          <w:marRight w:val="0"/>
          <w:marTop w:val="0"/>
          <w:marBottom w:val="0"/>
          <w:divBdr>
            <w:top w:val="none" w:sz="0" w:space="0" w:color="auto"/>
            <w:left w:val="none" w:sz="0" w:space="0" w:color="auto"/>
            <w:bottom w:val="none" w:sz="0" w:space="0" w:color="auto"/>
            <w:right w:val="none" w:sz="0" w:space="0" w:color="auto"/>
          </w:divBdr>
          <w:divsChild>
            <w:div w:id="302125420">
              <w:marLeft w:val="0"/>
              <w:marRight w:val="0"/>
              <w:marTop w:val="0"/>
              <w:marBottom w:val="0"/>
              <w:divBdr>
                <w:top w:val="none" w:sz="0" w:space="0" w:color="auto"/>
                <w:left w:val="none" w:sz="0" w:space="0" w:color="auto"/>
                <w:bottom w:val="none" w:sz="0" w:space="0" w:color="auto"/>
                <w:right w:val="none" w:sz="0" w:space="0" w:color="auto"/>
              </w:divBdr>
              <w:divsChild>
                <w:div w:id="280234979">
                  <w:marLeft w:val="0"/>
                  <w:marRight w:val="0"/>
                  <w:marTop w:val="0"/>
                  <w:marBottom w:val="0"/>
                  <w:divBdr>
                    <w:top w:val="none" w:sz="0" w:space="0" w:color="auto"/>
                    <w:left w:val="none" w:sz="0" w:space="0" w:color="auto"/>
                    <w:bottom w:val="none" w:sz="0" w:space="0" w:color="auto"/>
                    <w:right w:val="none" w:sz="0" w:space="0" w:color="auto"/>
                  </w:divBdr>
                  <w:divsChild>
                    <w:div w:id="1630043005">
                      <w:marLeft w:val="0"/>
                      <w:marRight w:val="0"/>
                      <w:marTop w:val="0"/>
                      <w:marBottom w:val="0"/>
                      <w:divBdr>
                        <w:top w:val="none" w:sz="0" w:space="0" w:color="auto"/>
                        <w:left w:val="none" w:sz="0" w:space="0" w:color="auto"/>
                        <w:bottom w:val="none" w:sz="0" w:space="0" w:color="auto"/>
                        <w:right w:val="none" w:sz="0" w:space="0" w:color="auto"/>
                      </w:divBdr>
                      <w:divsChild>
                        <w:div w:id="1611621726">
                          <w:marLeft w:val="0"/>
                          <w:marRight w:val="0"/>
                          <w:marTop w:val="0"/>
                          <w:marBottom w:val="0"/>
                          <w:divBdr>
                            <w:top w:val="none" w:sz="0" w:space="0" w:color="auto"/>
                            <w:left w:val="none" w:sz="0" w:space="0" w:color="auto"/>
                            <w:bottom w:val="none" w:sz="0" w:space="0" w:color="auto"/>
                            <w:right w:val="none" w:sz="0" w:space="0" w:color="auto"/>
                          </w:divBdr>
                          <w:divsChild>
                            <w:div w:id="16737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003679">
      <w:bodyDiv w:val="1"/>
      <w:marLeft w:val="0"/>
      <w:marRight w:val="0"/>
      <w:marTop w:val="0"/>
      <w:marBottom w:val="0"/>
      <w:divBdr>
        <w:top w:val="none" w:sz="0" w:space="0" w:color="auto"/>
        <w:left w:val="none" w:sz="0" w:space="0" w:color="auto"/>
        <w:bottom w:val="none" w:sz="0" w:space="0" w:color="auto"/>
        <w:right w:val="none" w:sz="0" w:space="0" w:color="auto"/>
      </w:divBdr>
    </w:div>
    <w:div w:id="1869561481">
      <w:bodyDiv w:val="1"/>
      <w:marLeft w:val="0"/>
      <w:marRight w:val="0"/>
      <w:marTop w:val="0"/>
      <w:marBottom w:val="0"/>
      <w:divBdr>
        <w:top w:val="none" w:sz="0" w:space="0" w:color="auto"/>
        <w:left w:val="none" w:sz="0" w:space="0" w:color="auto"/>
        <w:bottom w:val="none" w:sz="0" w:space="0" w:color="auto"/>
        <w:right w:val="none" w:sz="0" w:space="0" w:color="auto"/>
      </w:divBdr>
      <w:divsChild>
        <w:div w:id="2103522067">
          <w:marLeft w:val="0"/>
          <w:marRight w:val="0"/>
          <w:marTop w:val="0"/>
          <w:marBottom w:val="0"/>
          <w:divBdr>
            <w:top w:val="none" w:sz="0" w:space="0" w:color="auto"/>
            <w:left w:val="none" w:sz="0" w:space="0" w:color="auto"/>
            <w:bottom w:val="none" w:sz="0" w:space="0" w:color="auto"/>
            <w:right w:val="none" w:sz="0" w:space="0" w:color="auto"/>
          </w:divBdr>
          <w:divsChild>
            <w:div w:id="1314137264">
              <w:marLeft w:val="0"/>
              <w:marRight w:val="0"/>
              <w:marTop w:val="0"/>
              <w:marBottom w:val="0"/>
              <w:divBdr>
                <w:top w:val="none" w:sz="0" w:space="0" w:color="auto"/>
                <w:left w:val="none" w:sz="0" w:space="0" w:color="auto"/>
                <w:bottom w:val="none" w:sz="0" w:space="0" w:color="auto"/>
                <w:right w:val="none" w:sz="0" w:space="0" w:color="auto"/>
              </w:divBdr>
              <w:divsChild>
                <w:div w:id="713969331">
                  <w:marLeft w:val="0"/>
                  <w:marRight w:val="0"/>
                  <w:marTop w:val="0"/>
                  <w:marBottom w:val="0"/>
                  <w:divBdr>
                    <w:top w:val="none" w:sz="0" w:space="0" w:color="auto"/>
                    <w:left w:val="none" w:sz="0" w:space="0" w:color="auto"/>
                    <w:bottom w:val="none" w:sz="0" w:space="0" w:color="auto"/>
                    <w:right w:val="none" w:sz="0" w:space="0" w:color="auto"/>
                  </w:divBdr>
                  <w:divsChild>
                    <w:div w:id="33697509">
                      <w:marLeft w:val="0"/>
                      <w:marRight w:val="0"/>
                      <w:marTop w:val="45"/>
                      <w:marBottom w:val="0"/>
                      <w:divBdr>
                        <w:top w:val="none" w:sz="0" w:space="0" w:color="auto"/>
                        <w:left w:val="none" w:sz="0" w:space="0" w:color="auto"/>
                        <w:bottom w:val="none" w:sz="0" w:space="0" w:color="auto"/>
                        <w:right w:val="none" w:sz="0" w:space="0" w:color="auto"/>
                      </w:divBdr>
                      <w:divsChild>
                        <w:div w:id="439186013">
                          <w:marLeft w:val="0"/>
                          <w:marRight w:val="0"/>
                          <w:marTop w:val="0"/>
                          <w:marBottom w:val="0"/>
                          <w:divBdr>
                            <w:top w:val="none" w:sz="0" w:space="0" w:color="auto"/>
                            <w:left w:val="none" w:sz="0" w:space="0" w:color="auto"/>
                            <w:bottom w:val="none" w:sz="0" w:space="0" w:color="auto"/>
                            <w:right w:val="none" w:sz="0" w:space="0" w:color="auto"/>
                          </w:divBdr>
                          <w:divsChild>
                            <w:div w:id="1384669388">
                              <w:marLeft w:val="2070"/>
                              <w:marRight w:val="3960"/>
                              <w:marTop w:val="0"/>
                              <w:marBottom w:val="0"/>
                              <w:divBdr>
                                <w:top w:val="none" w:sz="0" w:space="0" w:color="auto"/>
                                <w:left w:val="none" w:sz="0" w:space="0" w:color="auto"/>
                                <w:bottom w:val="none" w:sz="0" w:space="0" w:color="auto"/>
                                <w:right w:val="none" w:sz="0" w:space="0" w:color="auto"/>
                              </w:divBdr>
                              <w:divsChild>
                                <w:div w:id="357850351">
                                  <w:marLeft w:val="0"/>
                                  <w:marRight w:val="0"/>
                                  <w:marTop w:val="0"/>
                                  <w:marBottom w:val="0"/>
                                  <w:divBdr>
                                    <w:top w:val="none" w:sz="0" w:space="0" w:color="auto"/>
                                    <w:left w:val="none" w:sz="0" w:space="0" w:color="auto"/>
                                    <w:bottom w:val="none" w:sz="0" w:space="0" w:color="auto"/>
                                    <w:right w:val="none" w:sz="0" w:space="0" w:color="auto"/>
                                  </w:divBdr>
                                  <w:divsChild>
                                    <w:div w:id="704065626">
                                      <w:marLeft w:val="0"/>
                                      <w:marRight w:val="0"/>
                                      <w:marTop w:val="0"/>
                                      <w:marBottom w:val="0"/>
                                      <w:divBdr>
                                        <w:top w:val="none" w:sz="0" w:space="0" w:color="auto"/>
                                        <w:left w:val="none" w:sz="0" w:space="0" w:color="auto"/>
                                        <w:bottom w:val="none" w:sz="0" w:space="0" w:color="auto"/>
                                        <w:right w:val="none" w:sz="0" w:space="0" w:color="auto"/>
                                      </w:divBdr>
                                      <w:divsChild>
                                        <w:div w:id="2146774300">
                                          <w:marLeft w:val="0"/>
                                          <w:marRight w:val="0"/>
                                          <w:marTop w:val="0"/>
                                          <w:marBottom w:val="0"/>
                                          <w:divBdr>
                                            <w:top w:val="none" w:sz="0" w:space="0" w:color="auto"/>
                                            <w:left w:val="none" w:sz="0" w:space="0" w:color="auto"/>
                                            <w:bottom w:val="none" w:sz="0" w:space="0" w:color="auto"/>
                                            <w:right w:val="none" w:sz="0" w:space="0" w:color="auto"/>
                                          </w:divBdr>
                                          <w:divsChild>
                                            <w:div w:id="134839611">
                                              <w:marLeft w:val="0"/>
                                              <w:marRight w:val="0"/>
                                              <w:marTop w:val="0"/>
                                              <w:marBottom w:val="0"/>
                                              <w:divBdr>
                                                <w:top w:val="none" w:sz="0" w:space="0" w:color="auto"/>
                                                <w:left w:val="none" w:sz="0" w:space="0" w:color="auto"/>
                                                <w:bottom w:val="none" w:sz="0" w:space="0" w:color="auto"/>
                                                <w:right w:val="none" w:sz="0" w:space="0" w:color="auto"/>
                                              </w:divBdr>
                                              <w:divsChild>
                                                <w:div w:id="290669072">
                                                  <w:marLeft w:val="0"/>
                                                  <w:marRight w:val="0"/>
                                                  <w:marTop w:val="0"/>
                                                  <w:marBottom w:val="0"/>
                                                  <w:divBdr>
                                                    <w:top w:val="none" w:sz="0" w:space="0" w:color="auto"/>
                                                    <w:left w:val="none" w:sz="0" w:space="0" w:color="auto"/>
                                                    <w:bottom w:val="none" w:sz="0" w:space="0" w:color="auto"/>
                                                    <w:right w:val="none" w:sz="0" w:space="0" w:color="auto"/>
                                                  </w:divBdr>
                                                  <w:divsChild>
                                                    <w:div w:id="1580598783">
                                                      <w:marLeft w:val="0"/>
                                                      <w:marRight w:val="0"/>
                                                      <w:marTop w:val="0"/>
                                                      <w:marBottom w:val="0"/>
                                                      <w:divBdr>
                                                        <w:top w:val="none" w:sz="0" w:space="0" w:color="auto"/>
                                                        <w:left w:val="none" w:sz="0" w:space="0" w:color="auto"/>
                                                        <w:bottom w:val="none" w:sz="0" w:space="0" w:color="auto"/>
                                                        <w:right w:val="none" w:sz="0" w:space="0" w:color="auto"/>
                                                      </w:divBdr>
                                                      <w:divsChild>
                                                        <w:div w:id="21829719">
                                                          <w:marLeft w:val="0"/>
                                                          <w:marRight w:val="0"/>
                                                          <w:marTop w:val="0"/>
                                                          <w:marBottom w:val="0"/>
                                                          <w:divBdr>
                                                            <w:top w:val="none" w:sz="0" w:space="0" w:color="auto"/>
                                                            <w:left w:val="none" w:sz="0" w:space="0" w:color="auto"/>
                                                            <w:bottom w:val="none" w:sz="0" w:space="0" w:color="auto"/>
                                                            <w:right w:val="none" w:sz="0" w:space="0" w:color="auto"/>
                                                          </w:divBdr>
                                                          <w:divsChild>
                                                            <w:div w:id="1713186101">
                                                              <w:marLeft w:val="0"/>
                                                              <w:marRight w:val="0"/>
                                                              <w:marTop w:val="0"/>
                                                              <w:marBottom w:val="0"/>
                                                              <w:divBdr>
                                                                <w:top w:val="none" w:sz="0" w:space="0" w:color="auto"/>
                                                                <w:left w:val="none" w:sz="0" w:space="0" w:color="auto"/>
                                                                <w:bottom w:val="none" w:sz="0" w:space="0" w:color="auto"/>
                                                                <w:right w:val="none" w:sz="0" w:space="0" w:color="auto"/>
                                                              </w:divBdr>
                                                              <w:divsChild>
                                                                <w:div w:id="1322931242">
                                                                  <w:marLeft w:val="0"/>
                                                                  <w:marRight w:val="0"/>
                                                                  <w:marTop w:val="0"/>
                                                                  <w:marBottom w:val="0"/>
                                                                  <w:divBdr>
                                                                    <w:top w:val="none" w:sz="0" w:space="0" w:color="auto"/>
                                                                    <w:left w:val="none" w:sz="0" w:space="0" w:color="auto"/>
                                                                    <w:bottom w:val="none" w:sz="0" w:space="0" w:color="auto"/>
                                                                    <w:right w:val="none" w:sz="0" w:space="0" w:color="auto"/>
                                                                  </w:divBdr>
                                                                  <w:divsChild>
                                                                    <w:div w:id="2037608738">
                                                                      <w:marLeft w:val="0"/>
                                                                      <w:marRight w:val="0"/>
                                                                      <w:marTop w:val="0"/>
                                                                      <w:marBottom w:val="0"/>
                                                                      <w:divBdr>
                                                                        <w:top w:val="none" w:sz="0" w:space="0" w:color="auto"/>
                                                                        <w:left w:val="none" w:sz="0" w:space="0" w:color="auto"/>
                                                                        <w:bottom w:val="none" w:sz="0" w:space="0" w:color="auto"/>
                                                                        <w:right w:val="none" w:sz="0" w:space="0" w:color="auto"/>
                                                                      </w:divBdr>
                                                                      <w:divsChild>
                                                                        <w:div w:id="1472019076">
                                                                          <w:marLeft w:val="0"/>
                                                                          <w:marRight w:val="0"/>
                                                                          <w:marTop w:val="0"/>
                                                                          <w:marBottom w:val="0"/>
                                                                          <w:divBdr>
                                                                            <w:top w:val="none" w:sz="0" w:space="0" w:color="auto"/>
                                                                            <w:left w:val="none" w:sz="0" w:space="0" w:color="auto"/>
                                                                            <w:bottom w:val="none" w:sz="0" w:space="0" w:color="auto"/>
                                                                            <w:right w:val="none" w:sz="0" w:space="0" w:color="auto"/>
                                                                          </w:divBdr>
                                                                          <w:divsChild>
                                                                            <w:div w:id="1353218826">
                                                                              <w:marLeft w:val="0"/>
                                                                              <w:marRight w:val="0"/>
                                                                              <w:marTop w:val="0"/>
                                                                              <w:marBottom w:val="0"/>
                                                                              <w:divBdr>
                                                                                <w:top w:val="none" w:sz="0" w:space="0" w:color="auto"/>
                                                                                <w:left w:val="none" w:sz="0" w:space="0" w:color="auto"/>
                                                                                <w:bottom w:val="none" w:sz="0" w:space="0" w:color="auto"/>
                                                                                <w:right w:val="none" w:sz="0" w:space="0" w:color="auto"/>
                                                                              </w:divBdr>
                                                                              <w:divsChild>
                                                                                <w:div w:id="1317102951">
                                                                                  <w:marLeft w:val="0"/>
                                                                                  <w:marRight w:val="0"/>
                                                                                  <w:marTop w:val="0"/>
                                                                                  <w:marBottom w:val="0"/>
                                                                                  <w:divBdr>
                                                                                    <w:top w:val="none" w:sz="0" w:space="0" w:color="auto"/>
                                                                                    <w:left w:val="none" w:sz="0" w:space="0" w:color="auto"/>
                                                                                    <w:bottom w:val="none" w:sz="0" w:space="0" w:color="auto"/>
                                                                                    <w:right w:val="none" w:sz="0" w:space="0" w:color="auto"/>
                                                                                  </w:divBdr>
                                                                                  <w:divsChild>
                                                                                    <w:div w:id="641933993">
                                                                                      <w:marLeft w:val="0"/>
                                                                                      <w:marRight w:val="0"/>
                                                                                      <w:marTop w:val="0"/>
                                                                                      <w:marBottom w:val="0"/>
                                                                                      <w:divBdr>
                                                                                        <w:top w:val="none" w:sz="0" w:space="0" w:color="auto"/>
                                                                                        <w:left w:val="none" w:sz="0" w:space="0" w:color="auto"/>
                                                                                        <w:bottom w:val="none" w:sz="0" w:space="0" w:color="auto"/>
                                                                                        <w:right w:val="none" w:sz="0" w:space="0" w:color="auto"/>
                                                                                      </w:divBdr>
                                                                                      <w:divsChild>
                                                                                        <w:div w:id="261844664">
                                                                                          <w:marLeft w:val="300"/>
                                                                                          <w:marRight w:val="0"/>
                                                                                          <w:marTop w:val="0"/>
                                                                                          <w:marBottom w:val="0"/>
                                                                                          <w:divBdr>
                                                                                            <w:top w:val="none" w:sz="0" w:space="0" w:color="auto"/>
                                                                                            <w:left w:val="none" w:sz="0" w:space="0" w:color="auto"/>
                                                                                            <w:bottom w:val="none" w:sz="0" w:space="0" w:color="auto"/>
                                                                                            <w:right w:val="none" w:sz="0" w:space="0" w:color="auto"/>
                                                                                          </w:divBdr>
                                                                                          <w:divsChild>
                                                                                            <w:div w:id="713235748">
                                                                                              <w:marLeft w:val="-300"/>
                                                                                              <w:marRight w:val="0"/>
                                                                                              <w:marTop w:val="0"/>
                                                                                              <w:marBottom w:val="0"/>
                                                                                              <w:divBdr>
                                                                                                <w:top w:val="none" w:sz="0" w:space="0" w:color="auto"/>
                                                                                                <w:left w:val="none" w:sz="0" w:space="0" w:color="auto"/>
                                                                                                <w:bottom w:val="none" w:sz="0" w:space="0" w:color="auto"/>
                                                                                                <w:right w:val="none" w:sz="0" w:space="0" w:color="auto"/>
                                                                                              </w:divBdr>
                                                                                              <w:divsChild>
                                                                                                <w:div w:id="648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tga.gov.au/product-information-pi"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mailto:tga.copyright@tga.gov.au" TargetMode="External"/><Relationship Id="rId19" Type="http://schemas.openxmlformats.org/officeDocument/2006/relationships/image" Target="media/image4.emf"/><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s://www.tga.gov.au"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Abacavir" TargetMode="External"/><Relationship Id="rId2" Type="http://schemas.openxmlformats.org/officeDocument/2006/relationships/hyperlink" Target="http://en.wikipedia.org/wiki/HLA-B27" TargetMode="External"/><Relationship Id="rId1" Type="http://schemas.openxmlformats.org/officeDocument/2006/relationships/hyperlink" Target="http://dx.doi.org/10.1155/2011/354908" TargetMode="External"/><Relationship Id="rId5" Type="http://schemas.openxmlformats.org/officeDocument/2006/relationships/hyperlink" Target="http://hivinsite.ucsf.edu/InSite?page=ar-07-03" TargetMode="External"/><Relationship Id="rId4" Type="http://schemas.openxmlformats.org/officeDocument/2006/relationships/hyperlink" Target="http://www.fda.gov/downloads/Drugs/GuidanceComplianceRegulatoryInformation/Guidances/UCM377938.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5308\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3E0A9-125D-4CE3-B6F1-E0B0CFA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217</TotalTime>
  <Pages>60</Pages>
  <Words>22368</Words>
  <Characters>127499</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Australian Public Assessment Report for Triumeq</vt:lpstr>
    </vt:vector>
  </TitlesOfParts>
  <Company>Department of Health Therapeutic Goods Administration</Company>
  <LinksUpToDate>false</LinksUpToDate>
  <CharactersWithSpaces>149568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Triumeq</dc:title>
  <dc:subject>prescription medicine regulation</dc:subject>
  <dc:creator>Therapeutic Goods Administration</dc:creator>
  <cp:keywords>auspar, prescription, medicine, assessment, regulation, australia, dolutegravir, sodium, abacavir, sulfate, lamivudine, triumeq, viiv healthcare</cp:keywords>
  <cp:lastModifiedBy>Lack, Janet</cp:lastModifiedBy>
  <cp:revision>8</cp:revision>
  <cp:lastPrinted>2010-12-20T22:59:00Z</cp:lastPrinted>
  <dcterms:created xsi:type="dcterms:W3CDTF">2015-06-25T01:44:00Z</dcterms:created>
  <dcterms:modified xsi:type="dcterms:W3CDTF">2015-07-14T04:28:00Z</dcterms:modified>
  <cp:category>External publication</cp:category>
</cp:coreProperties>
</file>