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66D3859" w14:textId="77777777" w:rsidTr="00BF1190">
        <w:trPr>
          <w:trHeight w:val="1863"/>
        </w:trPr>
        <w:tc>
          <w:tcPr>
            <w:tcW w:w="3652" w:type="dxa"/>
            <w:tcBorders>
              <w:top w:val="nil"/>
              <w:left w:val="nil"/>
              <w:bottom w:val="nil"/>
              <w:right w:val="nil"/>
            </w:tcBorders>
          </w:tcPr>
          <w:p w14:paraId="588BCE11" w14:textId="77777777" w:rsidR="008E7846" w:rsidRPr="00096AA7" w:rsidRDefault="00215397" w:rsidP="00096AA7">
            <w:pPr>
              <w:rPr>
                <w:rFonts w:ascii="Arial" w:hAnsi="Arial" w:cs="Arial"/>
                <w:b/>
                <w:color w:val="002C47"/>
                <w:sz w:val="36"/>
                <w:szCs w:val="36"/>
              </w:rPr>
            </w:pPr>
            <w:r>
              <w:rPr>
                <w:rFonts w:ascii="Arial" w:hAnsi="Arial" w:cs="Arial"/>
                <w:b/>
                <w:color w:val="002C47"/>
                <w:sz w:val="36"/>
                <w:szCs w:val="36"/>
              </w:rPr>
              <w:t>November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6695B5F" w14:textId="77777777" w:rsidTr="0032583B">
        <w:trPr>
          <w:trHeight w:val="868"/>
        </w:trPr>
        <w:tc>
          <w:tcPr>
            <w:tcW w:w="9079" w:type="dxa"/>
          </w:tcPr>
          <w:p w14:paraId="27175D77"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215397">
              <w:rPr>
                <w:color w:val="FFFFFF" w:themeColor="background1"/>
              </w:rPr>
              <w:t>Dolutegravir</w:t>
            </w:r>
            <w:proofErr w:type="spellEnd"/>
            <w:r w:rsidR="00215397">
              <w:rPr>
                <w:color w:val="FFFFFF" w:themeColor="background1"/>
              </w:rPr>
              <w:t>/L</w:t>
            </w:r>
            <w:r w:rsidR="00215397" w:rsidRPr="00215397">
              <w:rPr>
                <w:color w:val="FFFFFF" w:themeColor="background1"/>
              </w:rPr>
              <w:t>amivudine</w:t>
            </w:r>
          </w:p>
        </w:tc>
      </w:tr>
      <w:tr w:rsidR="0032583B" w:rsidRPr="00B64760" w14:paraId="705EB0E1" w14:textId="77777777" w:rsidTr="0032583B">
        <w:tc>
          <w:tcPr>
            <w:tcW w:w="9079" w:type="dxa"/>
          </w:tcPr>
          <w:p w14:paraId="52E32DBE" w14:textId="77777777" w:rsidR="0032583B" w:rsidRPr="008E7846" w:rsidRDefault="0032583B" w:rsidP="00215397">
            <w:pPr>
              <w:pStyle w:val="Subtitle"/>
              <w:rPr>
                <w:color w:val="FFFFFF" w:themeColor="background1"/>
              </w:rPr>
            </w:pPr>
            <w:r w:rsidRPr="008E7846">
              <w:rPr>
                <w:color w:val="FFFFFF" w:themeColor="background1"/>
              </w:rPr>
              <w:t xml:space="preserve">Proprietary Product Name: </w:t>
            </w:r>
            <w:proofErr w:type="spellStart"/>
            <w:r w:rsidR="00215397">
              <w:rPr>
                <w:color w:val="FFFFFF" w:themeColor="background1"/>
              </w:rPr>
              <w:t>Dovato</w:t>
            </w:r>
            <w:proofErr w:type="spellEnd"/>
          </w:p>
        </w:tc>
      </w:tr>
      <w:tr w:rsidR="0032583B" w:rsidRPr="00B64760" w14:paraId="5C5C5D24" w14:textId="77777777" w:rsidTr="0032583B">
        <w:trPr>
          <w:trHeight w:val="486"/>
        </w:trPr>
        <w:tc>
          <w:tcPr>
            <w:tcW w:w="9079" w:type="dxa"/>
          </w:tcPr>
          <w:p w14:paraId="7BB4A64A" w14:textId="77777777" w:rsidR="0032583B" w:rsidRPr="008E7846" w:rsidRDefault="00215397" w:rsidP="00215397">
            <w:pPr>
              <w:pStyle w:val="Subtitle"/>
              <w:rPr>
                <w:color w:val="FFFFFF" w:themeColor="background1"/>
              </w:rPr>
            </w:pPr>
            <w:r>
              <w:rPr>
                <w:color w:val="FFFFFF" w:themeColor="background1"/>
              </w:rPr>
              <w:t xml:space="preserve">Sponsor: </w:t>
            </w:r>
            <w:proofErr w:type="spellStart"/>
            <w:r w:rsidRPr="00215397">
              <w:rPr>
                <w:color w:val="FFFFFF" w:themeColor="background1"/>
              </w:rPr>
              <w:t>ViiV</w:t>
            </w:r>
            <w:proofErr w:type="spellEnd"/>
            <w:r w:rsidRPr="00215397">
              <w:rPr>
                <w:color w:val="FFFFFF" w:themeColor="background1"/>
              </w:rPr>
              <w:t xml:space="preserve"> Healthcare Pty Ltd</w:t>
            </w:r>
          </w:p>
        </w:tc>
      </w:tr>
    </w:tbl>
    <w:p w14:paraId="5E6E1C72" w14:textId="77777777" w:rsidR="008E7846" w:rsidRPr="0085156D" w:rsidRDefault="008E7846" w:rsidP="0085156D">
      <w:r w:rsidRPr="0085156D">
        <w:br w:type="page"/>
      </w:r>
    </w:p>
    <w:p w14:paraId="4146309C" w14:textId="77777777" w:rsidR="008E7846" w:rsidRPr="001F6CBA" w:rsidRDefault="008E7846" w:rsidP="008E7846">
      <w:pPr>
        <w:pStyle w:val="NonTOCHeading2"/>
      </w:pPr>
      <w:r w:rsidRPr="001F6CBA">
        <w:lastRenderedPageBreak/>
        <w:t>About the Therapeutic Goods Administration (TGA)</w:t>
      </w:r>
    </w:p>
    <w:p w14:paraId="3CC3996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6E1D2C0"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05ED5A9"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13779EE"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84D6884"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7CAF6D9C" w14:textId="77777777" w:rsidR="008E7846" w:rsidRDefault="008E7846" w:rsidP="00875A6B">
      <w:pPr>
        <w:pStyle w:val="NonTOCHeading2"/>
      </w:pPr>
      <w:r>
        <w:t>About AusPARs</w:t>
      </w:r>
    </w:p>
    <w:p w14:paraId="710CFBD2"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A2594C3" w14:textId="77777777" w:rsidR="008E7846" w:rsidRDefault="008E7846" w:rsidP="008E7846">
      <w:pPr>
        <w:pStyle w:val="ListBullet"/>
        <w:numPr>
          <w:ilvl w:val="0"/>
          <w:numId w:val="3"/>
        </w:numPr>
        <w:ind w:left="357" w:hanging="357"/>
      </w:pPr>
      <w:r>
        <w:t>AusPARs are prepared and published by the TGA.</w:t>
      </w:r>
    </w:p>
    <w:p w14:paraId="2EC8BEDA"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64E8C02"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E5E0842"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86FBC85" w14:textId="77777777" w:rsidR="00924482" w:rsidRPr="00DF1D7F" w:rsidRDefault="00924482" w:rsidP="00F54B65">
      <w:pPr>
        <w:pStyle w:val="LegalSubheading"/>
        <w:spacing w:before="3120"/>
      </w:pPr>
      <w:r w:rsidRPr="00DF1D7F">
        <w:t>Copyright</w:t>
      </w:r>
    </w:p>
    <w:p w14:paraId="61A00D8F"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54351F95"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50981E8" w14:textId="77777777" w:rsidR="0089635C" w:rsidRPr="0089635C" w:rsidRDefault="0089635C" w:rsidP="0010788A">
          <w:pPr>
            <w:pStyle w:val="Contents"/>
          </w:pPr>
          <w:r w:rsidRPr="0010788A">
            <w:t>Contents</w:t>
          </w:r>
          <w:bookmarkStart w:id="2" w:name="_GoBack"/>
          <w:bookmarkEnd w:id="2"/>
        </w:p>
        <w:p w14:paraId="3FF55C76" w14:textId="26A57160" w:rsidR="007E478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8080712" w:history="1">
            <w:r w:rsidR="007E4787" w:rsidRPr="00E64A76">
              <w:rPr>
                <w:rStyle w:val="Hyperlink"/>
                <w:noProof/>
              </w:rPr>
              <w:t>Common abbreviations</w:t>
            </w:r>
            <w:r w:rsidR="007E4787">
              <w:rPr>
                <w:noProof/>
                <w:webHidden/>
              </w:rPr>
              <w:tab/>
            </w:r>
            <w:r w:rsidR="007E4787">
              <w:rPr>
                <w:noProof/>
                <w:webHidden/>
              </w:rPr>
              <w:fldChar w:fldCharType="begin"/>
            </w:r>
            <w:r w:rsidR="007E4787">
              <w:rPr>
                <w:noProof/>
                <w:webHidden/>
              </w:rPr>
              <w:instrText xml:space="preserve"> PAGEREF _Toc28080712 \h </w:instrText>
            </w:r>
            <w:r w:rsidR="007E4787">
              <w:rPr>
                <w:noProof/>
                <w:webHidden/>
              </w:rPr>
            </w:r>
            <w:r w:rsidR="007E4787">
              <w:rPr>
                <w:noProof/>
                <w:webHidden/>
              </w:rPr>
              <w:fldChar w:fldCharType="separate"/>
            </w:r>
            <w:r w:rsidR="007E4787">
              <w:rPr>
                <w:noProof/>
                <w:webHidden/>
              </w:rPr>
              <w:t>4</w:t>
            </w:r>
            <w:r w:rsidR="007E4787">
              <w:rPr>
                <w:noProof/>
                <w:webHidden/>
              </w:rPr>
              <w:fldChar w:fldCharType="end"/>
            </w:r>
          </w:hyperlink>
        </w:p>
        <w:p w14:paraId="42E8F754" w14:textId="4FDE6A63" w:rsidR="007E4787" w:rsidRDefault="007E4787">
          <w:pPr>
            <w:pStyle w:val="TOC2"/>
            <w:rPr>
              <w:rFonts w:asciiTheme="minorHAnsi" w:eastAsiaTheme="minorEastAsia" w:hAnsiTheme="minorHAnsi" w:cstheme="minorBidi"/>
              <w:b w:val="0"/>
              <w:noProof/>
              <w:sz w:val="22"/>
              <w:lang w:eastAsia="en-AU"/>
            </w:rPr>
          </w:pPr>
          <w:hyperlink w:anchor="_Toc28080713" w:history="1">
            <w:r w:rsidRPr="00E64A76">
              <w:rPr>
                <w:rStyle w:val="Hyperlink"/>
                <w:noProof/>
              </w:rPr>
              <w:t>I. Introduction to product submission</w:t>
            </w:r>
            <w:r>
              <w:rPr>
                <w:noProof/>
                <w:webHidden/>
              </w:rPr>
              <w:tab/>
            </w:r>
            <w:r>
              <w:rPr>
                <w:noProof/>
                <w:webHidden/>
              </w:rPr>
              <w:fldChar w:fldCharType="begin"/>
            </w:r>
            <w:r>
              <w:rPr>
                <w:noProof/>
                <w:webHidden/>
              </w:rPr>
              <w:instrText xml:space="preserve"> PAGEREF _Toc28080713 \h </w:instrText>
            </w:r>
            <w:r>
              <w:rPr>
                <w:noProof/>
                <w:webHidden/>
              </w:rPr>
            </w:r>
            <w:r>
              <w:rPr>
                <w:noProof/>
                <w:webHidden/>
              </w:rPr>
              <w:fldChar w:fldCharType="separate"/>
            </w:r>
            <w:r>
              <w:rPr>
                <w:noProof/>
                <w:webHidden/>
              </w:rPr>
              <w:t>8</w:t>
            </w:r>
            <w:r>
              <w:rPr>
                <w:noProof/>
                <w:webHidden/>
              </w:rPr>
              <w:fldChar w:fldCharType="end"/>
            </w:r>
          </w:hyperlink>
        </w:p>
        <w:p w14:paraId="7E6530E5" w14:textId="0BEE4750" w:rsidR="007E4787" w:rsidRDefault="007E4787">
          <w:pPr>
            <w:pStyle w:val="TOC3"/>
            <w:rPr>
              <w:rFonts w:asciiTheme="minorHAnsi" w:eastAsiaTheme="minorEastAsia" w:hAnsiTheme="minorHAnsi" w:cstheme="minorBidi"/>
              <w:noProof/>
              <w:lang w:eastAsia="en-AU"/>
            </w:rPr>
          </w:pPr>
          <w:hyperlink w:anchor="_Toc28080714" w:history="1">
            <w:r w:rsidRPr="00E64A76">
              <w:rPr>
                <w:rStyle w:val="Hyperlink"/>
                <w:noProof/>
                <w:lang w:eastAsia="en-AU"/>
              </w:rPr>
              <w:t>Submission details</w:t>
            </w:r>
            <w:r>
              <w:rPr>
                <w:noProof/>
                <w:webHidden/>
              </w:rPr>
              <w:tab/>
            </w:r>
            <w:r>
              <w:rPr>
                <w:noProof/>
                <w:webHidden/>
              </w:rPr>
              <w:fldChar w:fldCharType="begin"/>
            </w:r>
            <w:r>
              <w:rPr>
                <w:noProof/>
                <w:webHidden/>
              </w:rPr>
              <w:instrText xml:space="preserve"> PAGEREF _Toc28080714 \h </w:instrText>
            </w:r>
            <w:r>
              <w:rPr>
                <w:noProof/>
                <w:webHidden/>
              </w:rPr>
            </w:r>
            <w:r>
              <w:rPr>
                <w:noProof/>
                <w:webHidden/>
              </w:rPr>
              <w:fldChar w:fldCharType="separate"/>
            </w:r>
            <w:r>
              <w:rPr>
                <w:noProof/>
                <w:webHidden/>
              </w:rPr>
              <w:t>8</w:t>
            </w:r>
            <w:r>
              <w:rPr>
                <w:noProof/>
                <w:webHidden/>
              </w:rPr>
              <w:fldChar w:fldCharType="end"/>
            </w:r>
          </w:hyperlink>
        </w:p>
        <w:p w14:paraId="0B11CA2A" w14:textId="5C657408" w:rsidR="007E4787" w:rsidRDefault="007E4787">
          <w:pPr>
            <w:pStyle w:val="TOC3"/>
            <w:rPr>
              <w:rFonts w:asciiTheme="minorHAnsi" w:eastAsiaTheme="minorEastAsia" w:hAnsiTheme="minorHAnsi" w:cstheme="minorBidi"/>
              <w:noProof/>
              <w:lang w:eastAsia="en-AU"/>
            </w:rPr>
          </w:pPr>
          <w:hyperlink w:anchor="_Toc28080715" w:history="1">
            <w:r w:rsidRPr="00E64A76">
              <w:rPr>
                <w:rStyle w:val="Hyperlink"/>
                <w:noProof/>
              </w:rPr>
              <w:t>Product background</w:t>
            </w:r>
            <w:r>
              <w:rPr>
                <w:noProof/>
                <w:webHidden/>
              </w:rPr>
              <w:tab/>
            </w:r>
            <w:r>
              <w:rPr>
                <w:noProof/>
                <w:webHidden/>
              </w:rPr>
              <w:fldChar w:fldCharType="begin"/>
            </w:r>
            <w:r>
              <w:rPr>
                <w:noProof/>
                <w:webHidden/>
              </w:rPr>
              <w:instrText xml:space="preserve"> PAGEREF _Toc28080715 \h </w:instrText>
            </w:r>
            <w:r>
              <w:rPr>
                <w:noProof/>
                <w:webHidden/>
              </w:rPr>
            </w:r>
            <w:r>
              <w:rPr>
                <w:noProof/>
                <w:webHidden/>
              </w:rPr>
              <w:fldChar w:fldCharType="separate"/>
            </w:r>
            <w:r>
              <w:rPr>
                <w:noProof/>
                <w:webHidden/>
              </w:rPr>
              <w:t>9</w:t>
            </w:r>
            <w:r>
              <w:rPr>
                <w:noProof/>
                <w:webHidden/>
              </w:rPr>
              <w:fldChar w:fldCharType="end"/>
            </w:r>
          </w:hyperlink>
        </w:p>
        <w:p w14:paraId="4485623B" w14:textId="491096CC" w:rsidR="007E4787" w:rsidRDefault="007E4787">
          <w:pPr>
            <w:pStyle w:val="TOC3"/>
            <w:rPr>
              <w:rFonts w:asciiTheme="minorHAnsi" w:eastAsiaTheme="minorEastAsia" w:hAnsiTheme="minorHAnsi" w:cstheme="minorBidi"/>
              <w:noProof/>
              <w:lang w:eastAsia="en-AU"/>
            </w:rPr>
          </w:pPr>
          <w:hyperlink w:anchor="_Toc28080716" w:history="1">
            <w:r w:rsidRPr="00E64A76">
              <w:rPr>
                <w:rStyle w:val="Hyperlink"/>
                <w:noProof/>
              </w:rPr>
              <w:t>Regulatory status</w:t>
            </w:r>
            <w:r>
              <w:rPr>
                <w:noProof/>
                <w:webHidden/>
              </w:rPr>
              <w:tab/>
            </w:r>
            <w:r>
              <w:rPr>
                <w:noProof/>
                <w:webHidden/>
              </w:rPr>
              <w:fldChar w:fldCharType="begin"/>
            </w:r>
            <w:r>
              <w:rPr>
                <w:noProof/>
                <w:webHidden/>
              </w:rPr>
              <w:instrText xml:space="preserve"> PAGEREF _Toc28080716 \h </w:instrText>
            </w:r>
            <w:r>
              <w:rPr>
                <w:noProof/>
                <w:webHidden/>
              </w:rPr>
            </w:r>
            <w:r>
              <w:rPr>
                <w:noProof/>
                <w:webHidden/>
              </w:rPr>
              <w:fldChar w:fldCharType="separate"/>
            </w:r>
            <w:r>
              <w:rPr>
                <w:noProof/>
                <w:webHidden/>
              </w:rPr>
              <w:t>11</w:t>
            </w:r>
            <w:r>
              <w:rPr>
                <w:noProof/>
                <w:webHidden/>
              </w:rPr>
              <w:fldChar w:fldCharType="end"/>
            </w:r>
          </w:hyperlink>
        </w:p>
        <w:p w14:paraId="4C165B62" w14:textId="184581C1" w:rsidR="007E4787" w:rsidRDefault="007E4787">
          <w:pPr>
            <w:pStyle w:val="TOC3"/>
            <w:rPr>
              <w:rFonts w:asciiTheme="minorHAnsi" w:eastAsiaTheme="minorEastAsia" w:hAnsiTheme="minorHAnsi" w:cstheme="minorBidi"/>
              <w:noProof/>
              <w:lang w:eastAsia="en-AU"/>
            </w:rPr>
          </w:pPr>
          <w:hyperlink w:anchor="_Toc28080717" w:history="1">
            <w:r w:rsidRPr="00E64A76">
              <w:rPr>
                <w:rStyle w:val="Hyperlink"/>
                <w:noProof/>
              </w:rPr>
              <w:t>Product Information</w:t>
            </w:r>
            <w:r>
              <w:rPr>
                <w:noProof/>
                <w:webHidden/>
              </w:rPr>
              <w:tab/>
            </w:r>
            <w:r>
              <w:rPr>
                <w:noProof/>
                <w:webHidden/>
              </w:rPr>
              <w:fldChar w:fldCharType="begin"/>
            </w:r>
            <w:r>
              <w:rPr>
                <w:noProof/>
                <w:webHidden/>
              </w:rPr>
              <w:instrText xml:space="preserve"> PAGEREF _Toc28080717 \h </w:instrText>
            </w:r>
            <w:r>
              <w:rPr>
                <w:noProof/>
                <w:webHidden/>
              </w:rPr>
            </w:r>
            <w:r>
              <w:rPr>
                <w:noProof/>
                <w:webHidden/>
              </w:rPr>
              <w:fldChar w:fldCharType="separate"/>
            </w:r>
            <w:r>
              <w:rPr>
                <w:noProof/>
                <w:webHidden/>
              </w:rPr>
              <w:t>11</w:t>
            </w:r>
            <w:r>
              <w:rPr>
                <w:noProof/>
                <w:webHidden/>
              </w:rPr>
              <w:fldChar w:fldCharType="end"/>
            </w:r>
          </w:hyperlink>
        </w:p>
        <w:p w14:paraId="10BC924D" w14:textId="3EEDEFDA" w:rsidR="007E4787" w:rsidRDefault="007E4787">
          <w:pPr>
            <w:pStyle w:val="TOC2"/>
            <w:rPr>
              <w:rFonts w:asciiTheme="minorHAnsi" w:eastAsiaTheme="minorEastAsia" w:hAnsiTheme="minorHAnsi" w:cstheme="minorBidi"/>
              <w:b w:val="0"/>
              <w:noProof/>
              <w:sz w:val="22"/>
              <w:lang w:eastAsia="en-AU"/>
            </w:rPr>
          </w:pPr>
          <w:hyperlink w:anchor="_Toc28080718" w:history="1">
            <w:r w:rsidRPr="00E64A76">
              <w:rPr>
                <w:rStyle w:val="Hyperlink"/>
                <w:noProof/>
              </w:rPr>
              <w:t>II. Registration timeline</w:t>
            </w:r>
            <w:r>
              <w:rPr>
                <w:noProof/>
                <w:webHidden/>
              </w:rPr>
              <w:tab/>
            </w:r>
            <w:r>
              <w:rPr>
                <w:noProof/>
                <w:webHidden/>
              </w:rPr>
              <w:fldChar w:fldCharType="begin"/>
            </w:r>
            <w:r>
              <w:rPr>
                <w:noProof/>
                <w:webHidden/>
              </w:rPr>
              <w:instrText xml:space="preserve"> PAGEREF _Toc28080718 \h </w:instrText>
            </w:r>
            <w:r>
              <w:rPr>
                <w:noProof/>
                <w:webHidden/>
              </w:rPr>
            </w:r>
            <w:r>
              <w:rPr>
                <w:noProof/>
                <w:webHidden/>
              </w:rPr>
              <w:fldChar w:fldCharType="separate"/>
            </w:r>
            <w:r>
              <w:rPr>
                <w:noProof/>
                <w:webHidden/>
              </w:rPr>
              <w:t>11</w:t>
            </w:r>
            <w:r>
              <w:rPr>
                <w:noProof/>
                <w:webHidden/>
              </w:rPr>
              <w:fldChar w:fldCharType="end"/>
            </w:r>
          </w:hyperlink>
        </w:p>
        <w:p w14:paraId="2D454354" w14:textId="092057E3" w:rsidR="007E4787" w:rsidRDefault="007E4787">
          <w:pPr>
            <w:pStyle w:val="TOC2"/>
            <w:rPr>
              <w:rFonts w:asciiTheme="minorHAnsi" w:eastAsiaTheme="minorEastAsia" w:hAnsiTheme="minorHAnsi" w:cstheme="minorBidi"/>
              <w:b w:val="0"/>
              <w:noProof/>
              <w:sz w:val="22"/>
              <w:lang w:eastAsia="en-AU"/>
            </w:rPr>
          </w:pPr>
          <w:hyperlink w:anchor="_Toc28080719" w:history="1">
            <w:r w:rsidRPr="00E64A76">
              <w:rPr>
                <w:rStyle w:val="Hyperlink"/>
                <w:noProof/>
              </w:rPr>
              <w:t>III. Submission overview and risk/benefit assessment</w:t>
            </w:r>
            <w:r>
              <w:rPr>
                <w:noProof/>
                <w:webHidden/>
              </w:rPr>
              <w:tab/>
            </w:r>
            <w:r>
              <w:rPr>
                <w:noProof/>
                <w:webHidden/>
              </w:rPr>
              <w:fldChar w:fldCharType="begin"/>
            </w:r>
            <w:r>
              <w:rPr>
                <w:noProof/>
                <w:webHidden/>
              </w:rPr>
              <w:instrText xml:space="preserve"> PAGEREF _Toc28080719 \h </w:instrText>
            </w:r>
            <w:r>
              <w:rPr>
                <w:noProof/>
                <w:webHidden/>
              </w:rPr>
            </w:r>
            <w:r>
              <w:rPr>
                <w:noProof/>
                <w:webHidden/>
              </w:rPr>
              <w:fldChar w:fldCharType="separate"/>
            </w:r>
            <w:r>
              <w:rPr>
                <w:noProof/>
                <w:webHidden/>
              </w:rPr>
              <w:t>12</w:t>
            </w:r>
            <w:r>
              <w:rPr>
                <w:noProof/>
                <w:webHidden/>
              </w:rPr>
              <w:fldChar w:fldCharType="end"/>
            </w:r>
          </w:hyperlink>
        </w:p>
        <w:p w14:paraId="5534BF90" w14:textId="4675D751" w:rsidR="007E4787" w:rsidRDefault="007E4787">
          <w:pPr>
            <w:pStyle w:val="TOC3"/>
            <w:rPr>
              <w:rFonts w:asciiTheme="minorHAnsi" w:eastAsiaTheme="minorEastAsia" w:hAnsiTheme="minorHAnsi" w:cstheme="minorBidi"/>
              <w:noProof/>
              <w:lang w:eastAsia="en-AU"/>
            </w:rPr>
          </w:pPr>
          <w:hyperlink w:anchor="_Toc28080720" w:history="1">
            <w:r w:rsidRPr="00E64A76">
              <w:rPr>
                <w:rStyle w:val="Hyperlink"/>
                <w:noProof/>
              </w:rPr>
              <w:t>Quality</w:t>
            </w:r>
            <w:r>
              <w:rPr>
                <w:noProof/>
                <w:webHidden/>
              </w:rPr>
              <w:tab/>
            </w:r>
            <w:r>
              <w:rPr>
                <w:noProof/>
                <w:webHidden/>
              </w:rPr>
              <w:fldChar w:fldCharType="begin"/>
            </w:r>
            <w:r>
              <w:rPr>
                <w:noProof/>
                <w:webHidden/>
              </w:rPr>
              <w:instrText xml:space="preserve"> PAGEREF _Toc28080720 \h </w:instrText>
            </w:r>
            <w:r>
              <w:rPr>
                <w:noProof/>
                <w:webHidden/>
              </w:rPr>
            </w:r>
            <w:r>
              <w:rPr>
                <w:noProof/>
                <w:webHidden/>
              </w:rPr>
              <w:fldChar w:fldCharType="separate"/>
            </w:r>
            <w:r>
              <w:rPr>
                <w:noProof/>
                <w:webHidden/>
              </w:rPr>
              <w:t>12</w:t>
            </w:r>
            <w:r>
              <w:rPr>
                <w:noProof/>
                <w:webHidden/>
              </w:rPr>
              <w:fldChar w:fldCharType="end"/>
            </w:r>
          </w:hyperlink>
        </w:p>
        <w:p w14:paraId="63A5CD2E" w14:textId="2375E7E5" w:rsidR="007E4787" w:rsidRDefault="007E4787">
          <w:pPr>
            <w:pStyle w:val="TOC3"/>
            <w:rPr>
              <w:rFonts w:asciiTheme="minorHAnsi" w:eastAsiaTheme="minorEastAsia" w:hAnsiTheme="minorHAnsi" w:cstheme="minorBidi"/>
              <w:noProof/>
              <w:lang w:eastAsia="en-AU"/>
            </w:rPr>
          </w:pPr>
          <w:hyperlink w:anchor="_Toc28080721" w:history="1">
            <w:r w:rsidRPr="00E64A76">
              <w:rPr>
                <w:rStyle w:val="Hyperlink"/>
                <w:noProof/>
              </w:rPr>
              <w:t>Nonclinical</w:t>
            </w:r>
            <w:r>
              <w:rPr>
                <w:noProof/>
                <w:webHidden/>
              </w:rPr>
              <w:tab/>
            </w:r>
            <w:r>
              <w:rPr>
                <w:noProof/>
                <w:webHidden/>
              </w:rPr>
              <w:fldChar w:fldCharType="begin"/>
            </w:r>
            <w:r>
              <w:rPr>
                <w:noProof/>
                <w:webHidden/>
              </w:rPr>
              <w:instrText xml:space="preserve"> PAGEREF _Toc28080721 \h </w:instrText>
            </w:r>
            <w:r>
              <w:rPr>
                <w:noProof/>
                <w:webHidden/>
              </w:rPr>
            </w:r>
            <w:r>
              <w:rPr>
                <w:noProof/>
                <w:webHidden/>
              </w:rPr>
              <w:fldChar w:fldCharType="separate"/>
            </w:r>
            <w:r>
              <w:rPr>
                <w:noProof/>
                <w:webHidden/>
              </w:rPr>
              <w:t>13</w:t>
            </w:r>
            <w:r>
              <w:rPr>
                <w:noProof/>
                <w:webHidden/>
              </w:rPr>
              <w:fldChar w:fldCharType="end"/>
            </w:r>
          </w:hyperlink>
        </w:p>
        <w:p w14:paraId="6ABD3DB1" w14:textId="5F4E5D99" w:rsidR="007E4787" w:rsidRDefault="007E4787">
          <w:pPr>
            <w:pStyle w:val="TOC3"/>
            <w:rPr>
              <w:rFonts w:asciiTheme="minorHAnsi" w:eastAsiaTheme="minorEastAsia" w:hAnsiTheme="minorHAnsi" w:cstheme="minorBidi"/>
              <w:noProof/>
              <w:lang w:eastAsia="en-AU"/>
            </w:rPr>
          </w:pPr>
          <w:hyperlink w:anchor="_Toc28080722" w:history="1">
            <w:r w:rsidRPr="00E64A76">
              <w:rPr>
                <w:rStyle w:val="Hyperlink"/>
                <w:noProof/>
              </w:rPr>
              <w:t>Clinical</w:t>
            </w:r>
            <w:r>
              <w:rPr>
                <w:noProof/>
                <w:webHidden/>
              </w:rPr>
              <w:tab/>
            </w:r>
            <w:r>
              <w:rPr>
                <w:noProof/>
                <w:webHidden/>
              </w:rPr>
              <w:fldChar w:fldCharType="begin"/>
            </w:r>
            <w:r>
              <w:rPr>
                <w:noProof/>
                <w:webHidden/>
              </w:rPr>
              <w:instrText xml:space="preserve"> PAGEREF _Toc28080722 \h </w:instrText>
            </w:r>
            <w:r>
              <w:rPr>
                <w:noProof/>
                <w:webHidden/>
              </w:rPr>
            </w:r>
            <w:r>
              <w:rPr>
                <w:noProof/>
                <w:webHidden/>
              </w:rPr>
              <w:fldChar w:fldCharType="separate"/>
            </w:r>
            <w:r>
              <w:rPr>
                <w:noProof/>
                <w:webHidden/>
              </w:rPr>
              <w:t>14</w:t>
            </w:r>
            <w:r>
              <w:rPr>
                <w:noProof/>
                <w:webHidden/>
              </w:rPr>
              <w:fldChar w:fldCharType="end"/>
            </w:r>
          </w:hyperlink>
        </w:p>
        <w:p w14:paraId="78F4A349" w14:textId="28DA2E39" w:rsidR="007E4787" w:rsidRDefault="007E4787">
          <w:pPr>
            <w:pStyle w:val="TOC3"/>
            <w:rPr>
              <w:rFonts w:asciiTheme="minorHAnsi" w:eastAsiaTheme="minorEastAsia" w:hAnsiTheme="minorHAnsi" w:cstheme="minorBidi"/>
              <w:noProof/>
              <w:lang w:eastAsia="en-AU"/>
            </w:rPr>
          </w:pPr>
          <w:hyperlink w:anchor="_Toc28080723" w:history="1">
            <w:r w:rsidRPr="00E64A76">
              <w:rPr>
                <w:rStyle w:val="Hyperlink"/>
                <w:noProof/>
                <w:lang w:eastAsia="en-AU"/>
              </w:rPr>
              <w:t>Risk management plan</w:t>
            </w:r>
            <w:r>
              <w:rPr>
                <w:noProof/>
                <w:webHidden/>
              </w:rPr>
              <w:tab/>
            </w:r>
            <w:r>
              <w:rPr>
                <w:noProof/>
                <w:webHidden/>
              </w:rPr>
              <w:fldChar w:fldCharType="begin"/>
            </w:r>
            <w:r>
              <w:rPr>
                <w:noProof/>
                <w:webHidden/>
              </w:rPr>
              <w:instrText xml:space="preserve"> PAGEREF _Toc28080723 \h </w:instrText>
            </w:r>
            <w:r>
              <w:rPr>
                <w:noProof/>
                <w:webHidden/>
              </w:rPr>
            </w:r>
            <w:r>
              <w:rPr>
                <w:noProof/>
                <w:webHidden/>
              </w:rPr>
              <w:fldChar w:fldCharType="separate"/>
            </w:r>
            <w:r>
              <w:rPr>
                <w:noProof/>
                <w:webHidden/>
              </w:rPr>
              <w:t>24</w:t>
            </w:r>
            <w:r>
              <w:rPr>
                <w:noProof/>
                <w:webHidden/>
              </w:rPr>
              <w:fldChar w:fldCharType="end"/>
            </w:r>
          </w:hyperlink>
        </w:p>
        <w:p w14:paraId="5C292E9D" w14:textId="416625A0" w:rsidR="007E4787" w:rsidRDefault="007E4787">
          <w:pPr>
            <w:pStyle w:val="TOC3"/>
            <w:rPr>
              <w:rFonts w:asciiTheme="minorHAnsi" w:eastAsiaTheme="minorEastAsia" w:hAnsiTheme="minorHAnsi" w:cstheme="minorBidi"/>
              <w:noProof/>
              <w:lang w:eastAsia="en-AU"/>
            </w:rPr>
          </w:pPr>
          <w:hyperlink w:anchor="_Toc28080724" w:history="1">
            <w:r w:rsidRPr="00E64A76">
              <w:rPr>
                <w:rStyle w:val="Hyperlink"/>
                <w:noProof/>
              </w:rPr>
              <w:t>Risk-benefit analysis</w:t>
            </w:r>
            <w:r>
              <w:rPr>
                <w:noProof/>
                <w:webHidden/>
              </w:rPr>
              <w:tab/>
            </w:r>
            <w:r>
              <w:rPr>
                <w:noProof/>
                <w:webHidden/>
              </w:rPr>
              <w:fldChar w:fldCharType="begin"/>
            </w:r>
            <w:r>
              <w:rPr>
                <w:noProof/>
                <w:webHidden/>
              </w:rPr>
              <w:instrText xml:space="preserve"> PAGEREF _Toc28080724 \h </w:instrText>
            </w:r>
            <w:r>
              <w:rPr>
                <w:noProof/>
                <w:webHidden/>
              </w:rPr>
            </w:r>
            <w:r>
              <w:rPr>
                <w:noProof/>
                <w:webHidden/>
              </w:rPr>
              <w:fldChar w:fldCharType="separate"/>
            </w:r>
            <w:r>
              <w:rPr>
                <w:noProof/>
                <w:webHidden/>
              </w:rPr>
              <w:t>26</w:t>
            </w:r>
            <w:r>
              <w:rPr>
                <w:noProof/>
                <w:webHidden/>
              </w:rPr>
              <w:fldChar w:fldCharType="end"/>
            </w:r>
          </w:hyperlink>
        </w:p>
        <w:p w14:paraId="32EE2A0F" w14:textId="5EA51907" w:rsidR="007E4787" w:rsidRDefault="007E4787">
          <w:pPr>
            <w:pStyle w:val="TOC3"/>
            <w:rPr>
              <w:rFonts w:asciiTheme="minorHAnsi" w:eastAsiaTheme="minorEastAsia" w:hAnsiTheme="minorHAnsi" w:cstheme="minorBidi"/>
              <w:noProof/>
              <w:lang w:eastAsia="en-AU"/>
            </w:rPr>
          </w:pPr>
          <w:hyperlink w:anchor="_Toc28080725" w:history="1">
            <w:r w:rsidRPr="00E64A76">
              <w:rPr>
                <w:rStyle w:val="Hyperlink"/>
                <w:noProof/>
              </w:rPr>
              <w:t>Outcome</w:t>
            </w:r>
            <w:r>
              <w:rPr>
                <w:noProof/>
                <w:webHidden/>
              </w:rPr>
              <w:tab/>
            </w:r>
            <w:r>
              <w:rPr>
                <w:noProof/>
                <w:webHidden/>
              </w:rPr>
              <w:fldChar w:fldCharType="begin"/>
            </w:r>
            <w:r>
              <w:rPr>
                <w:noProof/>
                <w:webHidden/>
              </w:rPr>
              <w:instrText xml:space="preserve"> PAGEREF _Toc28080725 \h </w:instrText>
            </w:r>
            <w:r>
              <w:rPr>
                <w:noProof/>
                <w:webHidden/>
              </w:rPr>
            </w:r>
            <w:r>
              <w:rPr>
                <w:noProof/>
                <w:webHidden/>
              </w:rPr>
              <w:fldChar w:fldCharType="separate"/>
            </w:r>
            <w:r>
              <w:rPr>
                <w:noProof/>
                <w:webHidden/>
              </w:rPr>
              <w:t>31</w:t>
            </w:r>
            <w:r>
              <w:rPr>
                <w:noProof/>
                <w:webHidden/>
              </w:rPr>
              <w:fldChar w:fldCharType="end"/>
            </w:r>
          </w:hyperlink>
        </w:p>
        <w:p w14:paraId="75D03FF0" w14:textId="21114A5A" w:rsidR="007E4787" w:rsidRDefault="007E4787">
          <w:pPr>
            <w:pStyle w:val="TOC2"/>
            <w:rPr>
              <w:rFonts w:asciiTheme="minorHAnsi" w:eastAsiaTheme="minorEastAsia" w:hAnsiTheme="minorHAnsi" w:cstheme="minorBidi"/>
              <w:b w:val="0"/>
              <w:noProof/>
              <w:sz w:val="22"/>
              <w:lang w:eastAsia="en-AU"/>
            </w:rPr>
          </w:pPr>
          <w:hyperlink w:anchor="_Toc28080726" w:history="1">
            <w:r w:rsidRPr="00E64A76">
              <w:rPr>
                <w:rStyle w:val="Hyperlink"/>
                <w:noProof/>
              </w:rPr>
              <w:t>Attachment 1. Product Information</w:t>
            </w:r>
            <w:r>
              <w:rPr>
                <w:noProof/>
                <w:webHidden/>
              </w:rPr>
              <w:tab/>
            </w:r>
            <w:r>
              <w:rPr>
                <w:noProof/>
                <w:webHidden/>
              </w:rPr>
              <w:fldChar w:fldCharType="begin"/>
            </w:r>
            <w:r>
              <w:rPr>
                <w:noProof/>
                <w:webHidden/>
              </w:rPr>
              <w:instrText xml:space="preserve"> PAGEREF _Toc28080726 \h </w:instrText>
            </w:r>
            <w:r>
              <w:rPr>
                <w:noProof/>
                <w:webHidden/>
              </w:rPr>
            </w:r>
            <w:r>
              <w:rPr>
                <w:noProof/>
                <w:webHidden/>
              </w:rPr>
              <w:fldChar w:fldCharType="separate"/>
            </w:r>
            <w:r>
              <w:rPr>
                <w:noProof/>
                <w:webHidden/>
              </w:rPr>
              <w:t>31</w:t>
            </w:r>
            <w:r>
              <w:rPr>
                <w:noProof/>
                <w:webHidden/>
              </w:rPr>
              <w:fldChar w:fldCharType="end"/>
            </w:r>
          </w:hyperlink>
        </w:p>
        <w:p w14:paraId="6F191E39" w14:textId="2D9ECB98" w:rsidR="003A7F6C" w:rsidRPr="00B811C6" w:rsidRDefault="00DB6124" w:rsidP="00B811C6">
          <w:pPr>
            <w:pStyle w:val="TOC2"/>
          </w:pPr>
          <w:r>
            <w:fldChar w:fldCharType="end"/>
          </w:r>
        </w:p>
      </w:sdtContent>
    </w:sdt>
    <w:bookmarkStart w:id="3" w:name="_Toc314842482" w:displacedByCustomXml="prev"/>
    <w:p w14:paraId="31A962C0" w14:textId="77777777" w:rsidR="00FD119B" w:rsidRDefault="00FD119B">
      <w:pPr>
        <w:spacing w:before="0" w:after="200" w:line="0" w:lineRule="auto"/>
      </w:pPr>
      <w:r>
        <w:br w:type="page"/>
      </w:r>
    </w:p>
    <w:p w14:paraId="4A3E24E9" w14:textId="77777777" w:rsidR="00C52E24" w:rsidRPr="00C52E24" w:rsidRDefault="00441C3F" w:rsidP="00AD3D20">
      <w:pPr>
        <w:pStyle w:val="Heading2"/>
      </w:pPr>
      <w:bookmarkStart w:id="4" w:name="_Toc351716269"/>
      <w:bookmarkStart w:id="5" w:name="_Toc351718881"/>
      <w:bookmarkStart w:id="6" w:name="_Toc355338616"/>
      <w:bookmarkStart w:id="7" w:name="_Toc356306144"/>
      <w:bookmarkStart w:id="8" w:name="_Toc2808071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6390DB9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D1ACB39" w14:textId="77777777" w:rsidR="00FD119B" w:rsidRPr="00FD119B" w:rsidRDefault="00FD119B" w:rsidP="00AD3D20">
            <w:pPr>
              <w:keepNext w:val="0"/>
              <w:ind w:left="0" w:right="0"/>
              <w:rPr>
                <w:szCs w:val="22"/>
                <w:lang w:eastAsia="en-US"/>
              </w:rPr>
            </w:pPr>
            <w:r w:rsidRPr="00FD119B">
              <w:rPr>
                <w:szCs w:val="22"/>
                <w:lang w:eastAsia="en-US"/>
              </w:rPr>
              <w:t>Abbreviation</w:t>
            </w:r>
          </w:p>
        </w:tc>
        <w:tc>
          <w:tcPr>
            <w:tcW w:w="6911" w:type="dxa"/>
          </w:tcPr>
          <w:p w14:paraId="17F3159D" w14:textId="77777777" w:rsidR="00FD119B" w:rsidRPr="00FD119B" w:rsidRDefault="00FD119B" w:rsidP="00AD3D20">
            <w:pPr>
              <w:keepNext w:val="0"/>
              <w:ind w:left="0" w:right="0"/>
              <w:rPr>
                <w:szCs w:val="22"/>
                <w:lang w:eastAsia="en-US"/>
              </w:rPr>
            </w:pPr>
            <w:r w:rsidRPr="00FD119B">
              <w:rPr>
                <w:szCs w:val="22"/>
                <w:lang w:eastAsia="en-US"/>
              </w:rPr>
              <w:t>Meaning</w:t>
            </w:r>
          </w:p>
        </w:tc>
      </w:tr>
      <w:tr w:rsidR="00AD3D20" w:rsidRPr="00FD119B" w14:paraId="07C52D5E" w14:textId="77777777" w:rsidTr="00FD119B">
        <w:tc>
          <w:tcPr>
            <w:tcW w:w="1809" w:type="dxa"/>
          </w:tcPr>
          <w:p w14:paraId="4744E222" w14:textId="77777777" w:rsidR="00AD3D20" w:rsidRPr="00AD6775" w:rsidRDefault="00AD3D20" w:rsidP="00AD3D20">
            <w:pPr>
              <w:rPr>
                <w:szCs w:val="22"/>
              </w:rPr>
            </w:pPr>
            <w:r w:rsidRPr="00AD6775">
              <w:rPr>
                <w:szCs w:val="22"/>
              </w:rPr>
              <w:t>3TC</w:t>
            </w:r>
          </w:p>
        </w:tc>
        <w:tc>
          <w:tcPr>
            <w:tcW w:w="6911" w:type="dxa"/>
          </w:tcPr>
          <w:p w14:paraId="38A4079F" w14:textId="3207AB58" w:rsidR="00AD3D20" w:rsidRPr="00AD6775" w:rsidRDefault="004C0A50" w:rsidP="004C0A50">
            <w:pPr>
              <w:rPr>
                <w:szCs w:val="22"/>
              </w:rPr>
            </w:pPr>
            <w:r>
              <w:rPr>
                <w:szCs w:val="22"/>
              </w:rPr>
              <w:t>Lamivudine</w:t>
            </w:r>
          </w:p>
        </w:tc>
      </w:tr>
      <w:tr w:rsidR="00AD3D20" w:rsidRPr="00FD119B" w14:paraId="0176A832" w14:textId="77777777" w:rsidTr="00FD119B">
        <w:tc>
          <w:tcPr>
            <w:tcW w:w="1809" w:type="dxa"/>
          </w:tcPr>
          <w:p w14:paraId="326A1104" w14:textId="77777777" w:rsidR="00AD3D20" w:rsidRPr="00AD6775" w:rsidRDefault="008766D5" w:rsidP="00AD3D20">
            <w:pPr>
              <w:rPr>
                <w:szCs w:val="22"/>
              </w:rPr>
            </w:pPr>
            <w:r>
              <w:rPr>
                <w:szCs w:val="22"/>
              </w:rPr>
              <w:t>ABC</w:t>
            </w:r>
          </w:p>
        </w:tc>
        <w:tc>
          <w:tcPr>
            <w:tcW w:w="6911" w:type="dxa"/>
          </w:tcPr>
          <w:p w14:paraId="2A1BA431" w14:textId="77777777" w:rsidR="00AD3D20" w:rsidRPr="00AD6775" w:rsidRDefault="00AD3D20" w:rsidP="00AD3D20">
            <w:pPr>
              <w:rPr>
                <w:szCs w:val="22"/>
              </w:rPr>
            </w:pPr>
            <w:proofErr w:type="spellStart"/>
            <w:r w:rsidRPr="00AD6775">
              <w:rPr>
                <w:szCs w:val="22"/>
              </w:rPr>
              <w:t>Abacavir</w:t>
            </w:r>
            <w:proofErr w:type="spellEnd"/>
            <w:r w:rsidRPr="00AD6775">
              <w:rPr>
                <w:szCs w:val="22"/>
              </w:rPr>
              <w:t xml:space="preserve"> </w:t>
            </w:r>
            <w:proofErr w:type="spellStart"/>
            <w:r w:rsidRPr="00AD6775">
              <w:rPr>
                <w:szCs w:val="22"/>
              </w:rPr>
              <w:t>sulfate</w:t>
            </w:r>
            <w:proofErr w:type="spellEnd"/>
          </w:p>
        </w:tc>
      </w:tr>
      <w:tr w:rsidR="00AD3D20" w:rsidRPr="00FD119B" w14:paraId="2DEC2395" w14:textId="77777777" w:rsidTr="00FD119B">
        <w:tc>
          <w:tcPr>
            <w:tcW w:w="1809" w:type="dxa"/>
          </w:tcPr>
          <w:p w14:paraId="401F4913" w14:textId="77777777" w:rsidR="00AD3D20" w:rsidRPr="00AD6775" w:rsidRDefault="00AD3D20" w:rsidP="00AD3D20">
            <w:pPr>
              <w:rPr>
                <w:rFonts w:eastAsia="TimesNewRoman" w:cs="TimesNewRoman"/>
                <w:szCs w:val="22"/>
              </w:rPr>
            </w:pPr>
            <w:r w:rsidRPr="00AD6775">
              <w:rPr>
                <w:rFonts w:eastAsia="TimesNewRoman" w:cs="TimesNewRoman"/>
                <w:szCs w:val="22"/>
              </w:rPr>
              <w:t>ABC/3TC</w:t>
            </w:r>
          </w:p>
        </w:tc>
        <w:tc>
          <w:tcPr>
            <w:tcW w:w="6911" w:type="dxa"/>
          </w:tcPr>
          <w:p w14:paraId="0B433F9D" w14:textId="78E7D80F" w:rsidR="00AD3D20" w:rsidRPr="00AD6775" w:rsidRDefault="004C0A50" w:rsidP="004C0A50">
            <w:pPr>
              <w:rPr>
                <w:szCs w:val="22"/>
              </w:rPr>
            </w:pPr>
            <w:proofErr w:type="spellStart"/>
            <w:r>
              <w:rPr>
                <w:rFonts w:eastAsia="TimesNewRoman" w:cs="TimesNewRoman"/>
                <w:szCs w:val="22"/>
              </w:rPr>
              <w:t>Abacavir</w:t>
            </w:r>
            <w:proofErr w:type="spellEnd"/>
            <w:r>
              <w:rPr>
                <w:rFonts w:eastAsia="TimesNewRoman" w:cs="TimesNewRoman"/>
                <w:szCs w:val="22"/>
              </w:rPr>
              <w:t>/lamivudine</w:t>
            </w:r>
          </w:p>
        </w:tc>
      </w:tr>
      <w:tr w:rsidR="006173DB" w:rsidRPr="00FD119B" w14:paraId="34F68795" w14:textId="77777777" w:rsidTr="00FD119B">
        <w:tc>
          <w:tcPr>
            <w:tcW w:w="1809" w:type="dxa"/>
          </w:tcPr>
          <w:p w14:paraId="571DD1C9" w14:textId="77777777" w:rsidR="006173DB" w:rsidRPr="00AD6775" w:rsidRDefault="006173DB" w:rsidP="00AD3D20">
            <w:pPr>
              <w:rPr>
                <w:rFonts w:eastAsia="TimesNewRoman" w:cs="TimesNewRoman"/>
              </w:rPr>
            </w:pPr>
            <w:r>
              <w:rPr>
                <w:rFonts w:eastAsia="TimesNewRoman" w:cs="TimesNewRoman"/>
              </w:rPr>
              <w:t>ACM</w:t>
            </w:r>
          </w:p>
        </w:tc>
        <w:tc>
          <w:tcPr>
            <w:tcW w:w="6911" w:type="dxa"/>
          </w:tcPr>
          <w:p w14:paraId="2E05F0E0" w14:textId="77777777" w:rsidR="006173DB" w:rsidRPr="00AD6775" w:rsidRDefault="006173DB" w:rsidP="00AD3D20">
            <w:pPr>
              <w:rPr>
                <w:rFonts w:eastAsia="TimesNewRoman" w:cs="TimesNewRoman"/>
              </w:rPr>
            </w:pPr>
            <w:r>
              <w:rPr>
                <w:rFonts w:eastAsia="TimesNewRoman" w:cs="TimesNewRoman"/>
              </w:rPr>
              <w:t>Advisory Committee on Medicines</w:t>
            </w:r>
          </w:p>
        </w:tc>
      </w:tr>
      <w:tr w:rsidR="00AD3D20" w:rsidRPr="00FD119B" w14:paraId="2A7C26A0" w14:textId="77777777" w:rsidTr="00FD119B">
        <w:tc>
          <w:tcPr>
            <w:tcW w:w="1809" w:type="dxa"/>
          </w:tcPr>
          <w:p w14:paraId="70BC4088" w14:textId="77777777" w:rsidR="00AD3D20" w:rsidRPr="00AD6775" w:rsidRDefault="008766D5" w:rsidP="00AD3D20">
            <w:pPr>
              <w:rPr>
                <w:szCs w:val="22"/>
              </w:rPr>
            </w:pPr>
            <w:r>
              <w:rPr>
                <w:szCs w:val="22"/>
              </w:rPr>
              <w:t>AE</w:t>
            </w:r>
          </w:p>
        </w:tc>
        <w:tc>
          <w:tcPr>
            <w:tcW w:w="6911" w:type="dxa"/>
          </w:tcPr>
          <w:p w14:paraId="0104A6B5" w14:textId="77777777" w:rsidR="00AD3D20" w:rsidRPr="00AD6775" w:rsidRDefault="00FD2C26" w:rsidP="00AD3D20">
            <w:pPr>
              <w:rPr>
                <w:szCs w:val="22"/>
              </w:rPr>
            </w:pPr>
            <w:r>
              <w:rPr>
                <w:szCs w:val="22"/>
              </w:rPr>
              <w:t>Adverse e</w:t>
            </w:r>
            <w:r w:rsidR="00AD3D20" w:rsidRPr="00AD6775">
              <w:rPr>
                <w:szCs w:val="22"/>
              </w:rPr>
              <w:t>vent</w:t>
            </w:r>
            <w:r w:rsidR="005D224A">
              <w:rPr>
                <w:szCs w:val="22"/>
              </w:rPr>
              <w:t>(s)</w:t>
            </w:r>
          </w:p>
        </w:tc>
      </w:tr>
      <w:tr w:rsidR="00AD3D20" w:rsidRPr="00FD119B" w14:paraId="3B60C49D" w14:textId="77777777" w:rsidTr="00FD119B">
        <w:tc>
          <w:tcPr>
            <w:tcW w:w="1809" w:type="dxa"/>
          </w:tcPr>
          <w:p w14:paraId="77E29CCB" w14:textId="77777777" w:rsidR="00AD3D20" w:rsidRPr="00AD6775" w:rsidRDefault="008766D5" w:rsidP="00AD3D20">
            <w:pPr>
              <w:rPr>
                <w:szCs w:val="22"/>
              </w:rPr>
            </w:pPr>
            <w:r>
              <w:rPr>
                <w:szCs w:val="22"/>
              </w:rPr>
              <w:t>AIDS</w:t>
            </w:r>
          </w:p>
        </w:tc>
        <w:tc>
          <w:tcPr>
            <w:tcW w:w="6911" w:type="dxa"/>
          </w:tcPr>
          <w:p w14:paraId="4BA606D4" w14:textId="77777777" w:rsidR="00AD3D20" w:rsidRPr="00AD6775" w:rsidRDefault="00AD3D20" w:rsidP="00AD3D20">
            <w:pPr>
              <w:rPr>
                <w:szCs w:val="22"/>
              </w:rPr>
            </w:pPr>
            <w:r w:rsidRPr="00AD6775">
              <w:rPr>
                <w:szCs w:val="22"/>
              </w:rPr>
              <w:t xml:space="preserve">Acquired </w:t>
            </w:r>
            <w:r w:rsidR="00F8501E" w:rsidRPr="00AD6775">
              <w:rPr>
                <w:szCs w:val="22"/>
              </w:rPr>
              <w:t>immunodeficiency syndrome</w:t>
            </w:r>
          </w:p>
        </w:tc>
      </w:tr>
      <w:tr w:rsidR="00AD3D20" w:rsidRPr="00FD119B" w14:paraId="50D2DD93" w14:textId="77777777" w:rsidTr="00FD119B">
        <w:tc>
          <w:tcPr>
            <w:tcW w:w="1809" w:type="dxa"/>
          </w:tcPr>
          <w:p w14:paraId="0A638D76" w14:textId="77777777" w:rsidR="00AD3D20" w:rsidRPr="00AD6775" w:rsidRDefault="008766D5" w:rsidP="00AD3D20">
            <w:pPr>
              <w:rPr>
                <w:szCs w:val="22"/>
              </w:rPr>
            </w:pPr>
            <w:r>
              <w:rPr>
                <w:szCs w:val="22"/>
              </w:rPr>
              <w:t>ALT</w:t>
            </w:r>
          </w:p>
        </w:tc>
        <w:tc>
          <w:tcPr>
            <w:tcW w:w="6911" w:type="dxa"/>
          </w:tcPr>
          <w:p w14:paraId="283693DA" w14:textId="77777777" w:rsidR="00AD3D20" w:rsidRPr="00AD6775" w:rsidRDefault="00AD3D20" w:rsidP="00AD3D20">
            <w:pPr>
              <w:rPr>
                <w:szCs w:val="22"/>
              </w:rPr>
            </w:pPr>
            <w:r w:rsidRPr="00AD6775">
              <w:rPr>
                <w:szCs w:val="22"/>
              </w:rPr>
              <w:t>Alanine aminotransferase</w:t>
            </w:r>
          </w:p>
        </w:tc>
      </w:tr>
      <w:tr w:rsidR="00AD3D20" w:rsidRPr="00FD119B" w14:paraId="2D9568A5" w14:textId="77777777" w:rsidTr="00FD119B">
        <w:tc>
          <w:tcPr>
            <w:tcW w:w="1809" w:type="dxa"/>
          </w:tcPr>
          <w:p w14:paraId="448B1FE7" w14:textId="77777777" w:rsidR="00AD3D20" w:rsidRPr="00AD6775" w:rsidRDefault="008766D5" w:rsidP="00AD3D20">
            <w:pPr>
              <w:rPr>
                <w:szCs w:val="22"/>
              </w:rPr>
            </w:pPr>
            <w:r>
              <w:rPr>
                <w:szCs w:val="22"/>
              </w:rPr>
              <w:t>ART</w:t>
            </w:r>
          </w:p>
        </w:tc>
        <w:tc>
          <w:tcPr>
            <w:tcW w:w="6911" w:type="dxa"/>
          </w:tcPr>
          <w:p w14:paraId="2853B00B" w14:textId="77777777" w:rsidR="00AD3D20" w:rsidRPr="00AD6775" w:rsidRDefault="00AD3D20" w:rsidP="00AD3D20">
            <w:pPr>
              <w:rPr>
                <w:szCs w:val="22"/>
              </w:rPr>
            </w:pPr>
            <w:r w:rsidRPr="00AD6775">
              <w:rPr>
                <w:szCs w:val="22"/>
              </w:rPr>
              <w:t>Antire</w:t>
            </w:r>
            <w:r w:rsidR="00F32EE0">
              <w:rPr>
                <w:szCs w:val="22"/>
              </w:rPr>
              <w:t>troviral t</w:t>
            </w:r>
            <w:r w:rsidRPr="00AD6775">
              <w:rPr>
                <w:szCs w:val="22"/>
              </w:rPr>
              <w:t>herapy</w:t>
            </w:r>
          </w:p>
        </w:tc>
      </w:tr>
      <w:tr w:rsidR="00FC1FD4" w:rsidRPr="00FD119B" w14:paraId="723B8750" w14:textId="77777777" w:rsidTr="00FD119B">
        <w:tc>
          <w:tcPr>
            <w:tcW w:w="1809" w:type="dxa"/>
          </w:tcPr>
          <w:p w14:paraId="57DC42D4" w14:textId="77777777" w:rsidR="00FC1FD4" w:rsidRDefault="00FC1FD4" w:rsidP="00AD3D20">
            <w:r>
              <w:t>ARTG</w:t>
            </w:r>
          </w:p>
        </w:tc>
        <w:tc>
          <w:tcPr>
            <w:tcW w:w="6911" w:type="dxa"/>
          </w:tcPr>
          <w:p w14:paraId="37FCA465" w14:textId="77777777" w:rsidR="00FC1FD4" w:rsidRPr="00AD6775" w:rsidRDefault="00FC1FD4" w:rsidP="00AD3D20">
            <w:r>
              <w:t>Australian Register of Therapeutic Goods</w:t>
            </w:r>
          </w:p>
        </w:tc>
      </w:tr>
      <w:tr w:rsidR="00AD3D20" w:rsidRPr="00FD119B" w14:paraId="04B1A544" w14:textId="77777777" w:rsidTr="00FD119B">
        <w:tc>
          <w:tcPr>
            <w:tcW w:w="1809" w:type="dxa"/>
          </w:tcPr>
          <w:p w14:paraId="70C2F2FC" w14:textId="77777777" w:rsidR="00AD3D20" w:rsidRPr="00AD6775" w:rsidRDefault="00AD3D20" w:rsidP="00AD3D20">
            <w:pPr>
              <w:rPr>
                <w:szCs w:val="22"/>
              </w:rPr>
            </w:pPr>
            <w:r w:rsidRPr="00AD6775">
              <w:rPr>
                <w:szCs w:val="22"/>
              </w:rPr>
              <w:t>ARV</w:t>
            </w:r>
          </w:p>
        </w:tc>
        <w:tc>
          <w:tcPr>
            <w:tcW w:w="6911" w:type="dxa"/>
          </w:tcPr>
          <w:p w14:paraId="01F08F2F" w14:textId="77777777" w:rsidR="00AD3D20" w:rsidRPr="00AD6775" w:rsidRDefault="00AD3D20" w:rsidP="00AD3D20">
            <w:pPr>
              <w:rPr>
                <w:szCs w:val="22"/>
              </w:rPr>
            </w:pPr>
            <w:r w:rsidRPr="00AD6775">
              <w:rPr>
                <w:szCs w:val="22"/>
              </w:rPr>
              <w:t>Anti</w:t>
            </w:r>
            <w:r w:rsidR="00C554AF">
              <w:rPr>
                <w:szCs w:val="22"/>
              </w:rPr>
              <w:t>-</w:t>
            </w:r>
            <w:r w:rsidRPr="00AD6775">
              <w:rPr>
                <w:szCs w:val="22"/>
              </w:rPr>
              <w:t>retroviral</w:t>
            </w:r>
          </w:p>
        </w:tc>
      </w:tr>
      <w:tr w:rsidR="008951BD" w:rsidRPr="00FD119B" w14:paraId="1A21966D" w14:textId="77777777" w:rsidTr="00FD119B">
        <w:tc>
          <w:tcPr>
            <w:tcW w:w="1809" w:type="dxa"/>
          </w:tcPr>
          <w:p w14:paraId="2E1DD51C" w14:textId="77777777" w:rsidR="008951BD" w:rsidRPr="00AD6775" w:rsidRDefault="008951BD" w:rsidP="00AD3D20">
            <w:r w:rsidRPr="00555395">
              <w:t>ASA</w:t>
            </w:r>
          </w:p>
        </w:tc>
        <w:tc>
          <w:tcPr>
            <w:tcW w:w="6911" w:type="dxa"/>
          </w:tcPr>
          <w:p w14:paraId="49854E81" w14:textId="77777777" w:rsidR="008951BD" w:rsidRPr="00AD6775" w:rsidRDefault="008951BD" w:rsidP="008951BD">
            <w:r>
              <w:t>Australian Specific Annex</w:t>
            </w:r>
          </w:p>
        </w:tc>
      </w:tr>
      <w:tr w:rsidR="004B0687" w:rsidRPr="00FD119B" w14:paraId="6DBA561F" w14:textId="77777777" w:rsidTr="00FD119B">
        <w:tc>
          <w:tcPr>
            <w:tcW w:w="1809" w:type="dxa"/>
          </w:tcPr>
          <w:p w14:paraId="15949071" w14:textId="77777777" w:rsidR="004B0687" w:rsidRPr="00AD6775" w:rsidRDefault="004B0687" w:rsidP="00AD3D20">
            <w:r w:rsidRPr="00555395">
              <w:t>AST</w:t>
            </w:r>
          </w:p>
        </w:tc>
        <w:tc>
          <w:tcPr>
            <w:tcW w:w="6911" w:type="dxa"/>
          </w:tcPr>
          <w:p w14:paraId="7F760568" w14:textId="77777777" w:rsidR="004B0687" w:rsidRPr="00AD6775" w:rsidRDefault="004B0687" w:rsidP="004B0687">
            <w:r>
              <w:t>A</w:t>
            </w:r>
            <w:r w:rsidRPr="004B0687">
              <w:t xml:space="preserve">spartate </w:t>
            </w:r>
            <w:r>
              <w:t>aminotransferase</w:t>
            </w:r>
          </w:p>
        </w:tc>
      </w:tr>
      <w:tr w:rsidR="00AD3D20" w:rsidRPr="00FD119B" w14:paraId="4377548D" w14:textId="77777777" w:rsidTr="00FD119B">
        <w:tc>
          <w:tcPr>
            <w:tcW w:w="1809" w:type="dxa"/>
          </w:tcPr>
          <w:p w14:paraId="2086E078" w14:textId="77777777" w:rsidR="00AD3D20" w:rsidRPr="00AD6775" w:rsidRDefault="00AD3D20" w:rsidP="00AD3D20">
            <w:pPr>
              <w:rPr>
                <w:szCs w:val="22"/>
              </w:rPr>
            </w:pPr>
            <w:r w:rsidRPr="00AD6775">
              <w:rPr>
                <w:szCs w:val="22"/>
              </w:rPr>
              <w:t>AUC</w:t>
            </w:r>
            <w:r w:rsidRPr="00AD6775">
              <w:rPr>
                <w:szCs w:val="22"/>
                <w:vertAlign w:val="subscript"/>
              </w:rPr>
              <w:t>0-inf</w:t>
            </w:r>
          </w:p>
        </w:tc>
        <w:tc>
          <w:tcPr>
            <w:tcW w:w="6911" w:type="dxa"/>
          </w:tcPr>
          <w:p w14:paraId="715E2326" w14:textId="77777777" w:rsidR="00AD3D20" w:rsidRPr="00AD6775" w:rsidRDefault="00AD3D20" w:rsidP="00AD3D20">
            <w:pPr>
              <w:rPr>
                <w:szCs w:val="22"/>
              </w:rPr>
            </w:pPr>
            <w:r w:rsidRPr="00AD6775">
              <w:rPr>
                <w:rFonts w:eastAsia="ArialNarrow" w:cs="ArialNarrow"/>
                <w:szCs w:val="22"/>
              </w:rPr>
              <w:t>Area under the plasma concentration time curve from time zero to infinity</w:t>
            </w:r>
          </w:p>
        </w:tc>
      </w:tr>
      <w:tr w:rsidR="00AD3D20" w:rsidRPr="00FD119B" w14:paraId="6E5D2510" w14:textId="77777777" w:rsidTr="00FD119B">
        <w:tc>
          <w:tcPr>
            <w:tcW w:w="1809" w:type="dxa"/>
          </w:tcPr>
          <w:p w14:paraId="53F386DA" w14:textId="77777777" w:rsidR="00AD3D20" w:rsidRPr="00AD6775" w:rsidRDefault="00AD3D20" w:rsidP="00AD3D20">
            <w:pPr>
              <w:rPr>
                <w:szCs w:val="22"/>
                <w:vertAlign w:val="subscript"/>
              </w:rPr>
            </w:pPr>
            <w:r w:rsidRPr="00AD6775">
              <w:rPr>
                <w:szCs w:val="22"/>
              </w:rPr>
              <w:t>AUC</w:t>
            </w:r>
            <w:r w:rsidRPr="00AD6775">
              <w:rPr>
                <w:szCs w:val="22"/>
                <w:vertAlign w:val="subscript"/>
              </w:rPr>
              <w:t>0-t</w:t>
            </w:r>
          </w:p>
        </w:tc>
        <w:tc>
          <w:tcPr>
            <w:tcW w:w="6911" w:type="dxa"/>
          </w:tcPr>
          <w:p w14:paraId="40894D09" w14:textId="77777777" w:rsidR="00AD3D20" w:rsidRPr="00AD6775" w:rsidRDefault="00AD3D20" w:rsidP="00AD3D20">
            <w:pPr>
              <w:rPr>
                <w:szCs w:val="22"/>
              </w:rPr>
            </w:pPr>
            <w:r w:rsidRPr="00AD6775">
              <w:rPr>
                <w:rFonts w:eastAsia="ArialNarrow" w:cs="ArialNarrow"/>
                <w:szCs w:val="22"/>
              </w:rPr>
              <w:t>Area under the plasma concentration time curve from time zero to the last quantifiable time point</w:t>
            </w:r>
          </w:p>
        </w:tc>
      </w:tr>
      <w:tr w:rsidR="00AD3D20" w:rsidRPr="00FD119B" w14:paraId="3D838516" w14:textId="77777777" w:rsidTr="00FD119B">
        <w:tc>
          <w:tcPr>
            <w:tcW w:w="1809" w:type="dxa"/>
          </w:tcPr>
          <w:p w14:paraId="0663CC01" w14:textId="77777777" w:rsidR="00AD3D20" w:rsidRPr="00AD6775" w:rsidRDefault="00AD3D20" w:rsidP="00AD3D20">
            <w:pPr>
              <w:rPr>
                <w:szCs w:val="22"/>
              </w:rPr>
            </w:pPr>
            <w:r w:rsidRPr="00AD6775">
              <w:rPr>
                <w:szCs w:val="22"/>
              </w:rPr>
              <w:t>BE</w:t>
            </w:r>
          </w:p>
        </w:tc>
        <w:tc>
          <w:tcPr>
            <w:tcW w:w="6911" w:type="dxa"/>
          </w:tcPr>
          <w:p w14:paraId="3D95F923" w14:textId="77777777" w:rsidR="00AD3D20" w:rsidRPr="00AD6775" w:rsidRDefault="00AD3D20" w:rsidP="00AD3D20">
            <w:pPr>
              <w:rPr>
                <w:rFonts w:eastAsia="TimesNewRoman" w:cs="TimesNewRoman"/>
                <w:szCs w:val="22"/>
              </w:rPr>
            </w:pPr>
            <w:r w:rsidRPr="00AD6775">
              <w:rPr>
                <w:rFonts w:eastAsia="TimesNewRoman" w:cs="TimesNewRoman"/>
                <w:szCs w:val="22"/>
              </w:rPr>
              <w:t>Bioequivalence</w:t>
            </w:r>
          </w:p>
        </w:tc>
      </w:tr>
      <w:tr w:rsidR="00AD3D20" w:rsidRPr="00FD119B" w14:paraId="2FB08876" w14:textId="77777777" w:rsidTr="00FD119B">
        <w:tc>
          <w:tcPr>
            <w:tcW w:w="1809" w:type="dxa"/>
          </w:tcPr>
          <w:p w14:paraId="799580DE" w14:textId="77777777" w:rsidR="00AD3D20" w:rsidRPr="00AD6775" w:rsidRDefault="008766D5" w:rsidP="00AD3D20">
            <w:pPr>
              <w:rPr>
                <w:szCs w:val="22"/>
              </w:rPr>
            </w:pPr>
            <w:r>
              <w:rPr>
                <w:szCs w:val="22"/>
              </w:rPr>
              <w:t>c/mL</w:t>
            </w:r>
          </w:p>
        </w:tc>
        <w:tc>
          <w:tcPr>
            <w:tcW w:w="6911" w:type="dxa"/>
          </w:tcPr>
          <w:p w14:paraId="777DC9B8" w14:textId="77777777" w:rsidR="00AD3D20" w:rsidRPr="00AD6775" w:rsidRDefault="00AD3D20" w:rsidP="00AD3D20">
            <w:pPr>
              <w:rPr>
                <w:szCs w:val="22"/>
              </w:rPr>
            </w:pPr>
            <w:r w:rsidRPr="00AD6775">
              <w:rPr>
                <w:szCs w:val="22"/>
              </w:rPr>
              <w:t xml:space="preserve">Copies per </w:t>
            </w:r>
            <w:proofErr w:type="spellStart"/>
            <w:r w:rsidRPr="00AD6775">
              <w:rPr>
                <w:szCs w:val="22"/>
              </w:rPr>
              <w:t>milliliter</w:t>
            </w:r>
            <w:proofErr w:type="spellEnd"/>
          </w:p>
        </w:tc>
      </w:tr>
      <w:tr w:rsidR="00F32EE0" w:rsidRPr="00FD119B" w14:paraId="5D92D38C" w14:textId="77777777" w:rsidTr="00FD119B">
        <w:tc>
          <w:tcPr>
            <w:tcW w:w="1809" w:type="dxa"/>
          </w:tcPr>
          <w:p w14:paraId="226FF102" w14:textId="77777777" w:rsidR="00F32EE0" w:rsidRPr="00AD6775" w:rsidRDefault="00F32EE0" w:rsidP="00AD3D20">
            <w:r w:rsidRPr="002F7CF5">
              <w:t>CD4+</w:t>
            </w:r>
          </w:p>
        </w:tc>
        <w:tc>
          <w:tcPr>
            <w:tcW w:w="6911" w:type="dxa"/>
          </w:tcPr>
          <w:p w14:paraId="3B7DA0E9" w14:textId="77777777" w:rsidR="00F32EE0" w:rsidRPr="00AD6775" w:rsidRDefault="00F32EE0" w:rsidP="00F32EE0">
            <w:pPr>
              <w:rPr>
                <w:rFonts w:eastAsia="ArialNarrow" w:cs="ArialNarrow"/>
              </w:rPr>
            </w:pPr>
            <w:r>
              <w:t>CD4 T lymphocyte</w:t>
            </w:r>
          </w:p>
        </w:tc>
      </w:tr>
      <w:tr w:rsidR="006835ED" w:rsidRPr="00FD119B" w14:paraId="2561C433" w14:textId="77777777" w:rsidTr="00FD119B">
        <w:tc>
          <w:tcPr>
            <w:tcW w:w="1809" w:type="dxa"/>
          </w:tcPr>
          <w:p w14:paraId="64CA97F2" w14:textId="77777777" w:rsidR="006835ED" w:rsidRPr="00AD6775" w:rsidRDefault="006835ED" w:rsidP="00AD3D20">
            <w:r w:rsidRPr="00555395">
              <w:t>CDC</w:t>
            </w:r>
          </w:p>
        </w:tc>
        <w:tc>
          <w:tcPr>
            <w:tcW w:w="6911" w:type="dxa"/>
          </w:tcPr>
          <w:p w14:paraId="4B3402F1" w14:textId="31F68522" w:rsidR="006835ED" w:rsidRPr="00AD6775" w:rsidRDefault="006835ED" w:rsidP="006835ED">
            <w:pPr>
              <w:rPr>
                <w:rFonts w:eastAsia="ArialNarrow" w:cs="ArialNarrow"/>
              </w:rPr>
            </w:pPr>
            <w:proofErr w:type="spellStart"/>
            <w:r>
              <w:t>Centers</w:t>
            </w:r>
            <w:proofErr w:type="spellEnd"/>
            <w:r>
              <w:t xml:space="preserve"> for Disease Control and Prevention</w:t>
            </w:r>
            <w:r w:rsidR="00BA445C">
              <w:t xml:space="preserve"> (USA)</w:t>
            </w:r>
          </w:p>
        </w:tc>
      </w:tr>
      <w:tr w:rsidR="00747724" w:rsidRPr="00FD119B" w14:paraId="04EA7574" w14:textId="77777777" w:rsidTr="00FD119B">
        <w:tc>
          <w:tcPr>
            <w:tcW w:w="1809" w:type="dxa"/>
          </w:tcPr>
          <w:p w14:paraId="32B09A8A" w14:textId="77777777" w:rsidR="00747724" w:rsidRDefault="00747724" w:rsidP="00AD3D20">
            <w:r w:rsidRPr="00555395">
              <w:rPr>
                <w:lang w:eastAsia="ja-JP"/>
              </w:rPr>
              <w:t>CHMP</w:t>
            </w:r>
          </w:p>
        </w:tc>
        <w:tc>
          <w:tcPr>
            <w:tcW w:w="6911" w:type="dxa"/>
          </w:tcPr>
          <w:p w14:paraId="3C257AF2" w14:textId="595E2CDC" w:rsidR="00747724" w:rsidRPr="00AD6775" w:rsidRDefault="00747724" w:rsidP="00747724">
            <w:r w:rsidRPr="00747724">
              <w:rPr>
                <w:lang w:eastAsia="ja-JP"/>
              </w:rPr>
              <w:t>Committee for M</w:t>
            </w:r>
            <w:r>
              <w:rPr>
                <w:lang w:eastAsia="ja-JP"/>
              </w:rPr>
              <w:t>edicinal Products for Human Use</w:t>
            </w:r>
            <w:r w:rsidR="00BA445C">
              <w:rPr>
                <w:lang w:eastAsia="ja-JP"/>
              </w:rPr>
              <w:t xml:space="preserve"> (EU)</w:t>
            </w:r>
          </w:p>
        </w:tc>
      </w:tr>
      <w:tr w:rsidR="00AD3D20" w:rsidRPr="00FD119B" w14:paraId="38CB01C8" w14:textId="77777777" w:rsidTr="00FD119B">
        <w:tc>
          <w:tcPr>
            <w:tcW w:w="1809" w:type="dxa"/>
          </w:tcPr>
          <w:p w14:paraId="31A886F5" w14:textId="77777777" w:rsidR="00AD3D20" w:rsidRPr="00AD6775" w:rsidRDefault="008766D5" w:rsidP="00AD3D20">
            <w:pPr>
              <w:rPr>
                <w:szCs w:val="22"/>
              </w:rPr>
            </w:pPr>
            <w:r>
              <w:rPr>
                <w:szCs w:val="22"/>
              </w:rPr>
              <w:t>CI</w:t>
            </w:r>
          </w:p>
        </w:tc>
        <w:tc>
          <w:tcPr>
            <w:tcW w:w="6911" w:type="dxa"/>
          </w:tcPr>
          <w:p w14:paraId="294E381A" w14:textId="77777777" w:rsidR="00AD3D20" w:rsidRPr="00AD6775" w:rsidRDefault="00280D5B" w:rsidP="00AD3D20">
            <w:pPr>
              <w:rPr>
                <w:szCs w:val="22"/>
              </w:rPr>
            </w:pPr>
            <w:r>
              <w:rPr>
                <w:szCs w:val="22"/>
              </w:rPr>
              <w:t>Confidence i</w:t>
            </w:r>
            <w:r w:rsidR="00AD3D20" w:rsidRPr="00AD6775">
              <w:rPr>
                <w:szCs w:val="22"/>
              </w:rPr>
              <w:t>nterval</w:t>
            </w:r>
          </w:p>
        </w:tc>
      </w:tr>
      <w:tr w:rsidR="00AD3D20" w:rsidRPr="00FD119B" w14:paraId="06F2CDD6" w14:textId="77777777" w:rsidTr="00FD119B">
        <w:tc>
          <w:tcPr>
            <w:tcW w:w="1809" w:type="dxa"/>
          </w:tcPr>
          <w:p w14:paraId="5F10224E" w14:textId="77777777" w:rsidR="00AD3D20" w:rsidRPr="00AD6775" w:rsidRDefault="008766D5" w:rsidP="00AD3D20">
            <w:pPr>
              <w:rPr>
                <w:szCs w:val="22"/>
              </w:rPr>
            </w:pPr>
            <w:r>
              <w:rPr>
                <w:szCs w:val="22"/>
              </w:rPr>
              <w:t>CK</w:t>
            </w:r>
          </w:p>
        </w:tc>
        <w:tc>
          <w:tcPr>
            <w:tcW w:w="6911" w:type="dxa"/>
          </w:tcPr>
          <w:p w14:paraId="09010393" w14:textId="77777777" w:rsidR="00AD3D20" w:rsidRPr="00AD6775" w:rsidRDefault="00AD3D20" w:rsidP="00AD3D20">
            <w:pPr>
              <w:rPr>
                <w:szCs w:val="22"/>
              </w:rPr>
            </w:pPr>
            <w:r w:rsidRPr="00AD6775">
              <w:rPr>
                <w:szCs w:val="22"/>
              </w:rPr>
              <w:t>Creati</w:t>
            </w:r>
            <w:r w:rsidR="004B0687">
              <w:rPr>
                <w:szCs w:val="22"/>
              </w:rPr>
              <w:t>ni</w:t>
            </w:r>
            <w:r w:rsidRPr="00AD6775">
              <w:rPr>
                <w:szCs w:val="22"/>
              </w:rPr>
              <w:t>ne kinase</w:t>
            </w:r>
          </w:p>
        </w:tc>
      </w:tr>
      <w:tr w:rsidR="00AD3D20" w:rsidRPr="00FD119B" w14:paraId="033D320D" w14:textId="77777777" w:rsidTr="00FD119B">
        <w:tc>
          <w:tcPr>
            <w:tcW w:w="1809" w:type="dxa"/>
          </w:tcPr>
          <w:p w14:paraId="2BCF3D65" w14:textId="77777777" w:rsidR="00AD3D20" w:rsidRPr="00AD6775" w:rsidRDefault="00AD3D20" w:rsidP="00AD3D20">
            <w:pPr>
              <w:rPr>
                <w:szCs w:val="22"/>
              </w:rPr>
            </w:pPr>
            <w:proofErr w:type="spellStart"/>
            <w:r w:rsidRPr="00AD6775">
              <w:rPr>
                <w:szCs w:val="22"/>
              </w:rPr>
              <w:t>C</w:t>
            </w:r>
            <w:r w:rsidRPr="00C86E9E">
              <w:rPr>
                <w:szCs w:val="22"/>
                <w:vertAlign w:val="subscript"/>
              </w:rPr>
              <w:t>max</w:t>
            </w:r>
            <w:proofErr w:type="spellEnd"/>
          </w:p>
        </w:tc>
        <w:tc>
          <w:tcPr>
            <w:tcW w:w="6911" w:type="dxa"/>
          </w:tcPr>
          <w:p w14:paraId="48731D70" w14:textId="77777777" w:rsidR="00AD3D20" w:rsidRPr="00AD6775" w:rsidRDefault="00AD3D20" w:rsidP="00AD3D20">
            <w:pPr>
              <w:rPr>
                <w:szCs w:val="22"/>
              </w:rPr>
            </w:pPr>
            <w:r w:rsidRPr="00AD6775">
              <w:rPr>
                <w:rFonts w:eastAsia="ArialNarrow" w:cs="ArialNarrow"/>
                <w:szCs w:val="22"/>
              </w:rPr>
              <w:t>Maximum observed concentration</w:t>
            </w:r>
          </w:p>
        </w:tc>
      </w:tr>
      <w:tr w:rsidR="00C86E9E" w:rsidRPr="00FD119B" w14:paraId="0394E5E2" w14:textId="77777777" w:rsidTr="00FD119B">
        <w:tc>
          <w:tcPr>
            <w:tcW w:w="1809" w:type="dxa"/>
          </w:tcPr>
          <w:p w14:paraId="5DB5C076" w14:textId="77777777" w:rsidR="00C86E9E" w:rsidRPr="00AD6775" w:rsidRDefault="00C86E9E" w:rsidP="00AD3D20">
            <w:r>
              <w:t>CMI</w:t>
            </w:r>
          </w:p>
        </w:tc>
        <w:tc>
          <w:tcPr>
            <w:tcW w:w="6911" w:type="dxa"/>
          </w:tcPr>
          <w:p w14:paraId="20A5615D" w14:textId="77777777" w:rsidR="00C86E9E" w:rsidRPr="00AD6775" w:rsidRDefault="00C86E9E" w:rsidP="00AD3D20">
            <w:pPr>
              <w:rPr>
                <w:rFonts w:eastAsia="ArialNarrow" w:cs="ArialNarrow"/>
              </w:rPr>
            </w:pPr>
            <w:r>
              <w:rPr>
                <w:rFonts w:eastAsia="ArialNarrow" w:cs="ArialNarrow"/>
              </w:rPr>
              <w:t>Consumer Medicines Information</w:t>
            </w:r>
          </w:p>
        </w:tc>
      </w:tr>
      <w:tr w:rsidR="00AA5AF5" w:rsidRPr="00FD119B" w14:paraId="29DE741F" w14:textId="77777777" w:rsidTr="00FD119B">
        <w:tc>
          <w:tcPr>
            <w:tcW w:w="1809" w:type="dxa"/>
          </w:tcPr>
          <w:p w14:paraId="0243D251" w14:textId="77777777" w:rsidR="00AA5AF5" w:rsidRPr="00AD6775" w:rsidRDefault="00AA5AF5" w:rsidP="00AD3D20">
            <w:r>
              <w:t>CNS</w:t>
            </w:r>
          </w:p>
        </w:tc>
        <w:tc>
          <w:tcPr>
            <w:tcW w:w="6911" w:type="dxa"/>
          </w:tcPr>
          <w:p w14:paraId="7EE81E47" w14:textId="77777777" w:rsidR="00AA5AF5" w:rsidRPr="00AD6775" w:rsidRDefault="00AA5AF5" w:rsidP="00AA5AF5">
            <w:pPr>
              <w:rPr>
                <w:rFonts w:eastAsia="ArialNarrow" w:cs="ArialNarrow"/>
              </w:rPr>
            </w:pPr>
            <w:r>
              <w:t>Central nervous system</w:t>
            </w:r>
          </w:p>
        </w:tc>
      </w:tr>
      <w:tr w:rsidR="00AD3D20" w:rsidRPr="00FD119B" w14:paraId="2FE7A6CF" w14:textId="77777777" w:rsidTr="00FD119B">
        <w:tc>
          <w:tcPr>
            <w:tcW w:w="1809" w:type="dxa"/>
          </w:tcPr>
          <w:p w14:paraId="56198A13" w14:textId="77777777" w:rsidR="00AD3D20" w:rsidRPr="00AD6775" w:rsidRDefault="008766D5" w:rsidP="00AD3D20">
            <w:pPr>
              <w:rPr>
                <w:szCs w:val="22"/>
              </w:rPr>
            </w:pPr>
            <w:r>
              <w:rPr>
                <w:szCs w:val="22"/>
              </w:rPr>
              <w:lastRenderedPageBreak/>
              <w:t>CSR</w:t>
            </w:r>
          </w:p>
        </w:tc>
        <w:tc>
          <w:tcPr>
            <w:tcW w:w="6911" w:type="dxa"/>
          </w:tcPr>
          <w:p w14:paraId="2CD2D950" w14:textId="2F7F3F21" w:rsidR="00AD3D20" w:rsidRPr="00AD6775" w:rsidRDefault="00AD3D20" w:rsidP="00AD3D20">
            <w:pPr>
              <w:rPr>
                <w:szCs w:val="22"/>
              </w:rPr>
            </w:pPr>
            <w:r w:rsidRPr="00AD6775">
              <w:rPr>
                <w:szCs w:val="22"/>
              </w:rPr>
              <w:t xml:space="preserve">Clinical </w:t>
            </w:r>
            <w:r w:rsidR="00BA445C">
              <w:rPr>
                <w:szCs w:val="22"/>
              </w:rPr>
              <w:t>s</w:t>
            </w:r>
            <w:r w:rsidRPr="00AD6775">
              <w:rPr>
                <w:szCs w:val="22"/>
              </w:rPr>
              <w:t xml:space="preserve">tudy </w:t>
            </w:r>
            <w:r w:rsidR="00BA445C">
              <w:rPr>
                <w:szCs w:val="22"/>
              </w:rPr>
              <w:t>r</w:t>
            </w:r>
            <w:r w:rsidRPr="00AD6775">
              <w:rPr>
                <w:szCs w:val="22"/>
              </w:rPr>
              <w:t>eport</w:t>
            </w:r>
          </w:p>
        </w:tc>
      </w:tr>
      <w:tr w:rsidR="00AD3D20" w:rsidRPr="00FD119B" w14:paraId="671FC152" w14:textId="77777777" w:rsidTr="00FD119B">
        <w:tc>
          <w:tcPr>
            <w:tcW w:w="1809" w:type="dxa"/>
          </w:tcPr>
          <w:p w14:paraId="64F71762" w14:textId="77777777" w:rsidR="00AD3D20" w:rsidRPr="00AD6775" w:rsidRDefault="008766D5" w:rsidP="00AD3D20">
            <w:pPr>
              <w:rPr>
                <w:szCs w:val="22"/>
              </w:rPr>
            </w:pPr>
            <w:r>
              <w:rPr>
                <w:szCs w:val="22"/>
              </w:rPr>
              <w:t>CVW</w:t>
            </w:r>
          </w:p>
        </w:tc>
        <w:tc>
          <w:tcPr>
            <w:tcW w:w="6911" w:type="dxa"/>
          </w:tcPr>
          <w:p w14:paraId="7648EFAD" w14:textId="14695D88" w:rsidR="00AD3D20" w:rsidRPr="00AD6775" w:rsidRDefault="00AD3D20" w:rsidP="00AD3D20">
            <w:pPr>
              <w:rPr>
                <w:szCs w:val="22"/>
              </w:rPr>
            </w:pPr>
            <w:r w:rsidRPr="00AD6775">
              <w:rPr>
                <w:szCs w:val="22"/>
              </w:rPr>
              <w:t xml:space="preserve">Confirmed </w:t>
            </w:r>
            <w:proofErr w:type="spellStart"/>
            <w:r w:rsidR="00BA445C">
              <w:rPr>
                <w:szCs w:val="22"/>
              </w:rPr>
              <w:t>v</w:t>
            </w:r>
            <w:r w:rsidRPr="00AD6775">
              <w:rPr>
                <w:szCs w:val="22"/>
              </w:rPr>
              <w:t>irologic</w:t>
            </w:r>
            <w:proofErr w:type="spellEnd"/>
            <w:r w:rsidRPr="00AD6775">
              <w:rPr>
                <w:szCs w:val="22"/>
              </w:rPr>
              <w:t xml:space="preserve"> </w:t>
            </w:r>
            <w:r w:rsidR="00BA445C">
              <w:rPr>
                <w:szCs w:val="22"/>
              </w:rPr>
              <w:t>w</w:t>
            </w:r>
            <w:r w:rsidRPr="00AD6775">
              <w:rPr>
                <w:szCs w:val="22"/>
              </w:rPr>
              <w:t>ithdrawal</w:t>
            </w:r>
          </w:p>
        </w:tc>
      </w:tr>
      <w:tr w:rsidR="00AD3D20" w:rsidRPr="00FD119B" w14:paraId="469E774D" w14:textId="77777777" w:rsidTr="00FD119B">
        <w:tc>
          <w:tcPr>
            <w:tcW w:w="1809" w:type="dxa"/>
          </w:tcPr>
          <w:p w14:paraId="48486232"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DAIDS</w:t>
            </w:r>
          </w:p>
        </w:tc>
        <w:tc>
          <w:tcPr>
            <w:tcW w:w="6911" w:type="dxa"/>
          </w:tcPr>
          <w:p w14:paraId="1BEBF83A" w14:textId="3DB11885"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 xml:space="preserve">Division of </w:t>
            </w:r>
            <w:r w:rsidR="00BA445C">
              <w:rPr>
                <w:rFonts w:eastAsia="TimesNewRoman" w:cs="TimesNewRoman"/>
                <w:szCs w:val="22"/>
              </w:rPr>
              <w:t>a</w:t>
            </w:r>
            <w:r w:rsidRPr="00AD6775">
              <w:rPr>
                <w:rFonts w:eastAsia="TimesNewRoman" w:cs="TimesNewRoman"/>
                <w:szCs w:val="22"/>
              </w:rPr>
              <w:t xml:space="preserve">cquired </w:t>
            </w:r>
            <w:r w:rsidR="00BA445C">
              <w:rPr>
                <w:rFonts w:eastAsia="TimesNewRoman" w:cs="TimesNewRoman"/>
                <w:szCs w:val="22"/>
              </w:rPr>
              <w:t>i</w:t>
            </w:r>
            <w:r w:rsidRPr="00AD6775">
              <w:rPr>
                <w:rFonts w:eastAsia="TimesNewRoman" w:cs="TimesNewRoman"/>
                <w:szCs w:val="22"/>
              </w:rPr>
              <w:t xml:space="preserve">mmune </w:t>
            </w:r>
            <w:r w:rsidR="00BA445C">
              <w:rPr>
                <w:rFonts w:eastAsia="TimesNewRoman" w:cs="TimesNewRoman"/>
                <w:szCs w:val="22"/>
              </w:rPr>
              <w:t>d</w:t>
            </w:r>
            <w:r w:rsidRPr="00AD6775">
              <w:rPr>
                <w:rFonts w:eastAsia="TimesNewRoman" w:cs="TimesNewRoman"/>
                <w:szCs w:val="22"/>
              </w:rPr>
              <w:t xml:space="preserve">eficiency </w:t>
            </w:r>
            <w:r w:rsidR="00BA445C">
              <w:rPr>
                <w:rFonts w:eastAsia="TimesNewRoman" w:cs="TimesNewRoman"/>
                <w:szCs w:val="22"/>
              </w:rPr>
              <w:t>s</w:t>
            </w:r>
            <w:r w:rsidRPr="00AD6775">
              <w:rPr>
                <w:rFonts w:eastAsia="TimesNewRoman" w:cs="TimesNewRoman"/>
                <w:szCs w:val="22"/>
              </w:rPr>
              <w:t>yndrome</w:t>
            </w:r>
          </w:p>
        </w:tc>
      </w:tr>
      <w:tr w:rsidR="00AD3D20" w:rsidRPr="00FD119B" w14:paraId="59191C24" w14:textId="77777777" w:rsidTr="00FD119B">
        <w:tc>
          <w:tcPr>
            <w:tcW w:w="1809" w:type="dxa"/>
          </w:tcPr>
          <w:p w14:paraId="4853A195" w14:textId="77777777" w:rsidR="00AD3D20" w:rsidRPr="00AD6775" w:rsidRDefault="00AD3D20" w:rsidP="00AD3D20">
            <w:pPr>
              <w:rPr>
                <w:szCs w:val="22"/>
              </w:rPr>
            </w:pPr>
            <w:r w:rsidRPr="00AD6775">
              <w:rPr>
                <w:szCs w:val="22"/>
              </w:rPr>
              <w:t>DNA</w:t>
            </w:r>
          </w:p>
        </w:tc>
        <w:tc>
          <w:tcPr>
            <w:tcW w:w="6911" w:type="dxa"/>
          </w:tcPr>
          <w:p w14:paraId="4B6ABE73" w14:textId="77777777" w:rsidR="00AD3D20" w:rsidRPr="00AD6775" w:rsidRDefault="00AD3D20" w:rsidP="00AD3D20">
            <w:pPr>
              <w:rPr>
                <w:szCs w:val="22"/>
              </w:rPr>
            </w:pPr>
            <w:r w:rsidRPr="00AD6775">
              <w:rPr>
                <w:rFonts w:cs="Arial"/>
                <w:szCs w:val="22"/>
              </w:rPr>
              <w:t>Deoxyribonucleic acid</w:t>
            </w:r>
          </w:p>
        </w:tc>
      </w:tr>
      <w:tr w:rsidR="00AD3D20" w:rsidRPr="00FD119B" w14:paraId="738E671A" w14:textId="77777777" w:rsidTr="00FD119B">
        <w:tc>
          <w:tcPr>
            <w:tcW w:w="1809" w:type="dxa"/>
          </w:tcPr>
          <w:p w14:paraId="33596D2B" w14:textId="77777777" w:rsidR="00AD3D20" w:rsidRPr="00AD6775" w:rsidRDefault="00AD3D20" w:rsidP="00AD3D20">
            <w:pPr>
              <w:rPr>
                <w:szCs w:val="22"/>
              </w:rPr>
            </w:pPr>
            <w:r w:rsidRPr="00AD6775">
              <w:rPr>
                <w:szCs w:val="22"/>
              </w:rPr>
              <w:t>DTG</w:t>
            </w:r>
          </w:p>
        </w:tc>
        <w:tc>
          <w:tcPr>
            <w:tcW w:w="6911" w:type="dxa"/>
          </w:tcPr>
          <w:p w14:paraId="08BDC72B" w14:textId="0AAECD71" w:rsidR="00AD3D20" w:rsidRPr="00AD6775" w:rsidRDefault="004C0A50" w:rsidP="004C0A50">
            <w:pPr>
              <w:rPr>
                <w:szCs w:val="22"/>
              </w:rPr>
            </w:pPr>
            <w:proofErr w:type="spellStart"/>
            <w:r>
              <w:rPr>
                <w:szCs w:val="22"/>
              </w:rPr>
              <w:t>Dolutegravir</w:t>
            </w:r>
            <w:proofErr w:type="spellEnd"/>
          </w:p>
        </w:tc>
      </w:tr>
      <w:tr w:rsidR="00AD3D20" w:rsidRPr="00FD119B" w14:paraId="64641B7F" w14:textId="77777777" w:rsidTr="00FD119B">
        <w:tc>
          <w:tcPr>
            <w:tcW w:w="1809" w:type="dxa"/>
          </w:tcPr>
          <w:p w14:paraId="39165046" w14:textId="77777777" w:rsidR="00AD3D20" w:rsidRPr="00AD6775" w:rsidRDefault="008766D5" w:rsidP="00AD3D20">
            <w:pPr>
              <w:rPr>
                <w:szCs w:val="22"/>
              </w:rPr>
            </w:pPr>
            <w:r>
              <w:rPr>
                <w:szCs w:val="22"/>
              </w:rPr>
              <w:t>DTG + 3TC</w:t>
            </w:r>
          </w:p>
        </w:tc>
        <w:tc>
          <w:tcPr>
            <w:tcW w:w="6911" w:type="dxa"/>
          </w:tcPr>
          <w:p w14:paraId="281262C6" w14:textId="6E3CFA83" w:rsidR="00AD3D20" w:rsidRPr="00AD6775" w:rsidRDefault="00AD3D20" w:rsidP="00AD3D20">
            <w:pPr>
              <w:rPr>
                <w:szCs w:val="22"/>
              </w:rPr>
            </w:pPr>
            <w:proofErr w:type="spellStart"/>
            <w:r w:rsidRPr="00AD6775">
              <w:rPr>
                <w:szCs w:val="22"/>
              </w:rPr>
              <w:t>Dolutegravir</w:t>
            </w:r>
            <w:proofErr w:type="spellEnd"/>
            <w:r w:rsidRPr="00AD6775">
              <w:rPr>
                <w:szCs w:val="22"/>
              </w:rPr>
              <w:t xml:space="preserve"> </w:t>
            </w:r>
            <w:r w:rsidR="00BA445C">
              <w:rPr>
                <w:szCs w:val="22"/>
              </w:rPr>
              <w:t>(</w:t>
            </w:r>
            <w:r w:rsidRPr="00AD6775">
              <w:rPr>
                <w:szCs w:val="22"/>
              </w:rPr>
              <w:t xml:space="preserve">50 mg </w:t>
            </w:r>
            <w:r w:rsidR="00BA445C">
              <w:rPr>
                <w:szCs w:val="22"/>
              </w:rPr>
              <w:t>s</w:t>
            </w:r>
            <w:r w:rsidRPr="00AD6775">
              <w:rPr>
                <w:szCs w:val="22"/>
              </w:rPr>
              <w:t xml:space="preserve">ingle </w:t>
            </w:r>
            <w:r w:rsidR="00BA445C">
              <w:rPr>
                <w:szCs w:val="22"/>
              </w:rPr>
              <w:t>e</w:t>
            </w:r>
            <w:r w:rsidRPr="00AD6775">
              <w:rPr>
                <w:szCs w:val="22"/>
              </w:rPr>
              <w:t>ntit</w:t>
            </w:r>
            <w:r w:rsidR="001F011E">
              <w:rPr>
                <w:szCs w:val="22"/>
              </w:rPr>
              <w:t xml:space="preserve">y </w:t>
            </w:r>
            <w:r w:rsidR="00BA445C">
              <w:rPr>
                <w:szCs w:val="22"/>
              </w:rPr>
              <w:t>t</w:t>
            </w:r>
            <w:r w:rsidR="001F011E">
              <w:rPr>
                <w:szCs w:val="22"/>
              </w:rPr>
              <w:t>ablet</w:t>
            </w:r>
            <w:r w:rsidR="00BA445C">
              <w:rPr>
                <w:szCs w:val="22"/>
              </w:rPr>
              <w:t>)</w:t>
            </w:r>
            <w:r w:rsidR="001F011E">
              <w:rPr>
                <w:szCs w:val="22"/>
              </w:rPr>
              <w:t xml:space="preserve"> and </w:t>
            </w:r>
            <w:r w:rsidR="00BA445C">
              <w:rPr>
                <w:szCs w:val="22"/>
              </w:rPr>
              <w:t>l</w:t>
            </w:r>
            <w:r w:rsidR="001F011E">
              <w:rPr>
                <w:szCs w:val="22"/>
              </w:rPr>
              <w:t xml:space="preserve">amivudine </w:t>
            </w:r>
            <w:r w:rsidR="00BA445C">
              <w:rPr>
                <w:szCs w:val="22"/>
              </w:rPr>
              <w:t>(</w:t>
            </w:r>
            <w:r w:rsidR="001F011E">
              <w:rPr>
                <w:szCs w:val="22"/>
              </w:rPr>
              <w:t>300</w:t>
            </w:r>
            <w:r w:rsidR="00BA445C">
              <w:rPr>
                <w:szCs w:val="22"/>
              </w:rPr>
              <w:t> </w:t>
            </w:r>
            <w:r w:rsidR="001F011E">
              <w:rPr>
                <w:szCs w:val="22"/>
              </w:rPr>
              <w:t xml:space="preserve">mg </w:t>
            </w:r>
            <w:r w:rsidR="00BA445C">
              <w:rPr>
                <w:szCs w:val="22"/>
              </w:rPr>
              <w:t>s</w:t>
            </w:r>
            <w:r w:rsidRPr="00AD6775">
              <w:rPr>
                <w:szCs w:val="22"/>
              </w:rPr>
              <w:t xml:space="preserve">ingle </w:t>
            </w:r>
            <w:r w:rsidR="00BA445C">
              <w:rPr>
                <w:szCs w:val="22"/>
              </w:rPr>
              <w:t>e</w:t>
            </w:r>
            <w:r w:rsidRPr="00AD6775">
              <w:rPr>
                <w:szCs w:val="22"/>
              </w:rPr>
              <w:t xml:space="preserve">ntity </w:t>
            </w:r>
            <w:r w:rsidR="00BA445C">
              <w:rPr>
                <w:szCs w:val="22"/>
              </w:rPr>
              <w:t>t</w:t>
            </w:r>
            <w:r w:rsidRPr="00AD6775">
              <w:rPr>
                <w:szCs w:val="22"/>
              </w:rPr>
              <w:t>ablet</w:t>
            </w:r>
            <w:r w:rsidR="00BA445C">
              <w:rPr>
                <w:szCs w:val="22"/>
              </w:rPr>
              <w:t>)</w:t>
            </w:r>
          </w:p>
        </w:tc>
      </w:tr>
      <w:tr w:rsidR="00AD3D20" w:rsidRPr="00FD119B" w14:paraId="3454E6E4" w14:textId="77777777" w:rsidTr="00FD119B">
        <w:tc>
          <w:tcPr>
            <w:tcW w:w="1809" w:type="dxa"/>
          </w:tcPr>
          <w:p w14:paraId="6F7FC19B" w14:textId="77777777" w:rsidR="00AD3D20" w:rsidRPr="00AD6775" w:rsidRDefault="008766D5" w:rsidP="00AD3D20">
            <w:pPr>
              <w:rPr>
                <w:szCs w:val="22"/>
              </w:rPr>
            </w:pPr>
            <w:r>
              <w:rPr>
                <w:szCs w:val="22"/>
              </w:rPr>
              <w:t>DTG/3TC FDC</w:t>
            </w:r>
          </w:p>
        </w:tc>
        <w:tc>
          <w:tcPr>
            <w:tcW w:w="6911" w:type="dxa"/>
          </w:tcPr>
          <w:p w14:paraId="13335BC9" w14:textId="2B29D3AC" w:rsidR="00AD3D20" w:rsidRPr="00AD6775" w:rsidRDefault="00AD3D20" w:rsidP="00AD3D20">
            <w:pPr>
              <w:rPr>
                <w:szCs w:val="22"/>
              </w:rPr>
            </w:pPr>
            <w:proofErr w:type="spellStart"/>
            <w:r w:rsidRPr="00AD6775">
              <w:rPr>
                <w:szCs w:val="22"/>
              </w:rPr>
              <w:t>Dolutegravir</w:t>
            </w:r>
            <w:proofErr w:type="spellEnd"/>
            <w:r w:rsidRPr="00AD6775">
              <w:rPr>
                <w:szCs w:val="22"/>
              </w:rPr>
              <w:t xml:space="preserve"> </w:t>
            </w:r>
            <w:r w:rsidR="004B4F33">
              <w:rPr>
                <w:szCs w:val="22"/>
              </w:rPr>
              <w:t>(</w:t>
            </w:r>
            <w:r w:rsidRPr="00AD6775">
              <w:rPr>
                <w:szCs w:val="22"/>
              </w:rPr>
              <w:t>50 mg</w:t>
            </w:r>
            <w:r w:rsidR="004B4F33">
              <w:rPr>
                <w:szCs w:val="22"/>
              </w:rPr>
              <w:t>)</w:t>
            </w:r>
            <w:r w:rsidRPr="00AD6775">
              <w:rPr>
                <w:szCs w:val="22"/>
              </w:rPr>
              <w:t xml:space="preserve"> and </w:t>
            </w:r>
            <w:r w:rsidR="00BA445C">
              <w:rPr>
                <w:szCs w:val="22"/>
              </w:rPr>
              <w:t>l</w:t>
            </w:r>
            <w:r w:rsidRPr="00AD6775">
              <w:rPr>
                <w:szCs w:val="22"/>
              </w:rPr>
              <w:t xml:space="preserve">amivudine </w:t>
            </w:r>
            <w:r w:rsidR="004B4F33">
              <w:rPr>
                <w:szCs w:val="22"/>
              </w:rPr>
              <w:t>(</w:t>
            </w:r>
            <w:r w:rsidRPr="00AD6775">
              <w:rPr>
                <w:szCs w:val="22"/>
              </w:rPr>
              <w:t>300 mg</w:t>
            </w:r>
            <w:r w:rsidR="004B4F33">
              <w:rPr>
                <w:szCs w:val="22"/>
              </w:rPr>
              <w:t>)</w:t>
            </w:r>
            <w:r w:rsidRPr="00AD6775">
              <w:rPr>
                <w:szCs w:val="22"/>
              </w:rPr>
              <w:t xml:space="preserve"> </w:t>
            </w:r>
            <w:r w:rsidR="00BA445C" w:rsidRPr="00AD6775">
              <w:rPr>
                <w:szCs w:val="22"/>
              </w:rPr>
              <w:t>fixed dose combination tablet</w:t>
            </w:r>
          </w:p>
        </w:tc>
      </w:tr>
      <w:tr w:rsidR="007A626C" w:rsidRPr="00FD119B" w14:paraId="692469AD" w14:textId="77777777" w:rsidTr="00FD119B">
        <w:tc>
          <w:tcPr>
            <w:tcW w:w="1809" w:type="dxa"/>
          </w:tcPr>
          <w:p w14:paraId="382A8D7F" w14:textId="77777777" w:rsidR="007A626C" w:rsidRDefault="007A626C" w:rsidP="00AD3D20">
            <w:r w:rsidRPr="007A626C">
              <w:rPr>
                <w:color w:val="auto"/>
                <w:lang w:eastAsia="ja-JP"/>
              </w:rPr>
              <w:t>EMA</w:t>
            </w:r>
          </w:p>
        </w:tc>
        <w:tc>
          <w:tcPr>
            <w:tcW w:w="6911" w:type="dxa"/>
          </w:tcPr>
          <w:p w14:paraId="538324B7" w14:textId="5F05DBEA" w:rsidR="007A626C" w:rsidRPr="00AD6775" w:rsidRDefault="007A626C" w:rsidP="007A626C">
            <w:r>
              <w:rPr>
                <w:lang w:eastAsia="ja-JP"/>
              </w:rPr>
              <w:t>European Medicines Agency</w:t>
            </w:r>
            <w:r w:rsidR="00BA445C">
              <w:rPr>
                <w:lang w:eastAsia="ja-JP"/>
              </w:rPr>
              <w:t xml:space="preserve"> (EU)</w:t>
            </w:r>
          </w:p>
        </w:tc>
      </w:tr>
      <w:tr w:rsidR="00AD3D20" w:rsidRPr="00FD119B" w14:paraId="382548C5" w14:textId="77777777" w:rsidTr="00FD119B">
        <w:tc>
          <w:tcPr>
            <w:tcW w:w="1809" w:type="dxa"/>
          </w:tcPr>
          <w:p w14:paraId="34F712F3" w14:textId="77777777" w:rsidR="00AD3D20" w:rsidRPr="00AD6775" w:rsidRDefault="008766D5" w:rsidP="00AD3D20">
            <w:pPr>
              <w:rPr>
                <w:szCs w:val="22"/>
              </w:rPr>
            </w:pPr>
            <w:r>
              <w:rPr>
                <w:szCs w:val="22"/>
              </w:rPr>
              <w:t>EU</w:t>
            </w:r>
          </w:p>
        </w:tc>
        <w:tc>
          <w:tcPr>
            <w:tcW w:w="6911" w:type="dxa"/>
          </w:tcPr>
          <w:p w14:paraId="059ECCD9" w14:textId="77777777" w:rsidR="00AD3D20" w:rsidRPr="00AD6775" w:rsidRDefault="00AD3D20" w:rsidP="00AD3D20">
            <w:pPr>
              <w:rPr>
                <w:szCs w:val="22"/>
              </w:rPr>
            </w:pPr>
            <w:r w:rsidRPr="00AD6775">
              <w:rPr>
                <w:szCs w:val="22"/>
              </w:rPr>
              <w:t>European Union</w:t>
            </w:r>
          </w:p>
        </w:tc>
      </w:tr>
      <w:tr w:rsidR="008951BD" w:rsidRPr="00FD119B" w14:paraId="4DFA59EB" w14:textId="77777777" w:rsidTr="00FD119B">
        <w:tc>
          <w:tcPr>
            <w:tcW w:w="1809" w:type="dxa"/>
          </w:tcPr>
          <w:p w14:paraId="0965804A" w14:textId="77777777" w:rsidR="008951BD" w:rsidRDefault="008951BD" w:rsidP="00AD3D20">
            <w:r>
              <w:t>EU-</w:t>
            </w:r>
            <w:r w:rsidRPr="00555395">
              <w:t>RMP</w:t>
            </w:r>
          </w:p>
        </w:tc>
        <w:tc>
          <w:tcPr>
            <w:tcW w:w="6911" w:type="dxa"/>
          </w:tcPr>
          <w:p w14:paraId="15F75EBE" w14:textId="4D9B5554" w:rsidR="008951BD" w:rsidRPr="00AD6775" w:rsidRDefault="008951BD" w:rsidP="008951BD">
            <w:r>
              <w:t xml:space="preserve">European Union-Risk </w:t>
            </w:r>
            <w:r w:rsidR="00BA445C">
              <w:t>management plan</w:t>
            </w:r>
          </w:p>
        </w:tc>
      </w:tr>
      <w:tr w:rsidR="00AD3D20" w:rsidRPr="00FD119B" w14:paraId="3287DC2D" w14:textId="77777777" w:rsidTr="00FD119B">
        <w:tc>
          <w:tcPr>
            <w:tcW w:w="1809" w:type="dxa"/>
          </w:tcPr>
          <w:p w14:paraId="18585D5F" w14:textId="77777777" w:rsidR="00AD3D20" w:rsidRPr="00AD6775" w:rsidRDefault="00AD3D20" w:rsidP="00AD3D20">
            <w:pPr>
              <w:rPr>
                <w:szCs w:val="22"/>
              </w:rPr>
            </w:pPr>
            <w:r w:rsidRPr="00AD6775">
              <w:rPr>
                <w:szCs w:val="22"/>
              </w:rPr>
              <w:t>FD</w:t>
            </w:r>
            <w:r w:rsidR="006835ED">
              <w:rPr>
                <w:szCs w:val="22"/>
              </w:rPr>
              <w:t>A</w:t>
            </w:r>
          </w:p>
        </w:tc>
        <w:tc>
          <w:tcPr>
            <w:tcW w:w="6911" w:type="dxa"/>
          </w:tcPr>
          <w:p w14:paraId="1102C68D" w14:textId="77777777" w:rsidR="00AD3D20" w:rsidRPr="00AD6775" w:rsidRDefault="00AD3D20" w:rsidP="00AD3D20">
            <w:pPr>
              <w:rPr>
                <w:szCs w:val="22"/>
              </w:rPr>
            </w:pPr>
            <w:r w:rsidRPr="00AD6775">
              <w:rPr>
                <w:szCs w:val="22"/>
              </w:rPr>
              <w:t>Food</w:t>
            </w:r>
            <w:r w:rsidR="006835ED">
              <w:rPr>
                <w:szCs w:val="22"/>
              </w:rPr>
              <w:t xml:space="preserve"> and Drug Administration (USA)</w:t>
            </w:r>
          </w:p>
        </w:tc>
      </w:tr>
      <w:tr w:rsidR="00AD3D20" w:rsidRPr="00FD119B" w14:paraId="21D3660A" w14:textId="77777777" w:rsidTr="00FD119B">
        <w:tc>
          <w:tcPr>
            <w:tcW w:w="1809" w:type="dxa"/>
          </w:tcPr>
          <w:p w14:paraId="211672BB" w14:textId="77777777" w:rsidR="00AD3D20" w:rsidRPr="00AD6775" w:rsidRDefault="008766D5" w:rsidP="00AD3D20">
            <w:pPr>
              <w:rPr>
                <w:szCs w:val="22"/>
              </w:rPr>
            </w:pPr>
            <w:r>
              <w:rPr>
                <w:szCs w:val="22"/>
              </w:rPr>
              <w:t>FDC</w:t>
            </w:r>
          </w:p>
        </w:tc>
        <w:tc>
          <w:tcPr>
            <w:tcW w:w="6911" w:type="dxa"/>
          </w:tcPr>
          <w:p w14:paraId="753C353D" w14:textId="77777777" w:rsidR="00AD3D20" w:rsidRPr="00AD6775" w:rsidRDefault="00AD3D20" w:rsidP="00AD3D20">
            <w:pPr>
              <w:rPr>
                <w:szCs w:val="22"/>
              </w:rPr>
            </w:pPr>
            <w:r w:rsidRPr="00AD6775">
              <w:rPr>
                <w:szCs w:val="22"/>
              </w:rPr>
              <w:t>Fixed dose combination</w:t>
            </w:r>
          </w:p>
        </w:tc>
      </w:tr>
      <w:tr w:rsidR="00AD3D20" w:rsidRPr="00FD119B" w14:paraId="2BD4B03E" w14:textId="77777777" w:rsidTr="00FD119B">
        <w:tc>
          <w:tcPr>
            <w:tcW w:w="1809" w:type="dxa"/>
          </w:tcPr>
          <w:p w14:paraId="45FE514B" w14:textId="77777777" w:rsidR="00AD3D20" w:rsidRPr="00AD6775" w:rsidRDefault="008766D5" w:rsidP="00AD3D20">
            <w:pPr>
              <w:rPr>
                <w:szCs w:val="22"/>
              </w:rPr>
            </w:pPr>
            <w:r>
              <w:rPr>
                <w:szCs w:val="22"/>
              </w:rPr>
              <w:t>FTC</w:t>
            </w:r>
          </w:p>
        </w:tc>
        <w:tc>
          <w:tcPr>
            <w:tcW w:w="6911" w:type="dxa"/>
          </w:tcPr>
          <w:p w14:paraId="488184E9" w14:textId="77777777" w:rsidR="00AD3D20" w:rsidRPr="00AD6775" w:rsidRDefault="00AD3D20" w:rsidP="00AD3D20">
            <w:pPr>
              <w:rPr>
                <w:szCs w:val="22"/>
              </w:rPr>
            </w:pPr>
            <w:r w:rsidRPr="00AD6775">
              <w:rPr>
                <w:szCs w:val="22"/>
              </w:rPr>
              <w:t>Emtricitabine</w:t>
            </w:r>
          </w:p>
        </w:tc>
      </w:tr>
      <w:tr w:rsidR="00AD3D20" w:rsidRPr="00FD119B" w14:paraId="54DF3FB7" w14:textId="77777777" w:rsidTr="00FD119B">
        <w:tc>
          <w:tcPr>
            <w:tcW w:w="1809" w:type="dxa"/>
          </w:tcPr>
          <w:p w14:paraId="197A0CF2" w14:textId="77777777" w:rsidR="00AD3D20" w:rsidRPr="00AD6775" w:rsidRDefault="008766D5" w:rsidP="00AD3D20">
            <w:pPr>
              <w:rPr>
                <w:szCs w:val="22"/>
              </w:rPr>
            </w:pPr>
            <w:r>
              <w:rPr>
                <w:szCs w:val="22"/>
              </w:rPr>
              <w:t>GCP</w:t>
            </w:r>
          </w:p>
        </w:tc>
        <w:tc>
          <w:tcPr>
            <w:tcW w:w="6911" w:type="dxa"/>
          </w:tcPr>
          <w:p w14:paraId="7A4F7242" w14:textId="77777777" w:rsidR="00AD3D20" w:rsidRPr="00AD6775" w:rsidRDefault="00AD3D20" w:rsidP="00AD3D20">
            <w:pPr>
              <w:rPr>
                <w:szCs w:val="22"/>
              </w:rPr>
            </w:pPr>
            <w:r w:rsidRPr="00AD6775">
              <w:rPr>
                <w:szCs w:val="22"/>
              </w:rPr>
              <w:t>Good Clinical Practice</w:t>
            </w:r>
          </w:p>
        </w:tc>
      </w:tr>
      <w:tr w:rsidR="00AD3D20" w:rsidRPr="00FD119B" w14:paraId="6B8C0F25" w14:textId="77777777" w:rsidTr="00FD119B">
        <w:tc>
          <w:tcPr>
            <w:tcW w:w="1809" w:type="dxa"/>
          </w:tcPr>
          <w:p w14:paraId="139C457F" w14:textId="77777777" w:rsidR="00AD3D20" w:rsidRPr="00AD6775" w:rsidRDefault="008766D5" w:rsidP="00AD3D20">
            <w:pPr>
              <w:rPr>
                <w:szCs w:val="22"/>
              </w:rPr>
            </w:pPr>
            <w:r>
              <w:rPr>
                <w:szCs w:val="22"/>
              </w:rPr>
              <w:t>GFR</w:t>
            </w:r>
          </w:p>
        </w:tc>
        <w:tc>
          <w:tcPr>
            <w:tcW w:w="6911" w:type="dxa"/>
          </w:tcPr>
          <w:p w14:paraId="6D22CFD5" w14:textId="3526BC34" w:rsidR="00AD3D20" w:rsidRPr="00AD6775" w:rsidRDefault="00AD3D20" w:rsidP="00AD3D20">
            <w:pPr>
              <w:rPr>
                <w:szCs w:val="22"/>
              </w:rPr>
            </w:pPr>
            <w:r w:rsidRPr="00AD6775">
              <w:rPr>
                <w:szCs w:val="22"/>
              </w:rPr>
              <w:t xml:space="preserve">Glomerular </w:t>
            </w:r>
            <w:r w:rsidR="00BA445C" w:rsidRPr="00AD6775">
              <w:rPr>
                <w:szCs w:val="22"/>
              </w:rPr>
              <w:t>filtration rate</w:t>
            </w:r>
          </w:p>
        </w:tc>
      </w:tr>
      <w:tr w:rsidR="00AD3D20" w:rsidRPr="00FD119B" w14:paraId="5F7DFC93" w14:textId="77777777" w:rsidTr="00FD119B">
        <w:tc>
          <w:tcPr>
            <w:tcW w:w="1809" w:type="dxa"/>
          </w:tcPr>
          <w:p w14:paraId="772DE684" w14:textId="77777777" w:rsidR="00AD3D20" w:rsidRPr="00AD6775" w:rsidRDefault="008766D5" w:rsidP="00AD3D20">
            <w:pPr>
              <w:rPr>
                <w:szCs w:val="22"/>
              </w:rPr>
            </w:pPr>
            <w:r>
              <w:rPr>
                <w:szCs w:val="22"/>
              </w:rPr>
              <w:t>GI</w:t>
            </w:r>
          </w:p>
        </w:tc>
        <w:tc>
          <w:tcPr>
            <w:tcW w:w="6911" w:type="dxa"/>
          </w:tcPr>
          <w:p w14:paraId="36F13B55" w14:textId="77777777" w:rsidR="00AD3D20" w:rsidRPr="00AD6775" w:rsidRDefault="00AD3D20" w:rsidP="00AD3D20">
            <w:pPr>
              <w:rPr>
                <w:szCs w:val="22"/>
              </w:rPr>
            </w:pPr>
            <w:r w:rsidRPr="00AD6775">
              <w:rPr>
                <w:szCs w:val="22"/>
              </w:rPr>
              <w:t>Gastrointestinal</w:t>
            </w:r>
          </w:p>
        </w:tc>
      </w:tr>
      <w:tr w:rsidR="00AD3D20" w:rsidRPr="00FD119B" w14:paraId="6C64DF87" w14:textId="77777777" w:rsidTr="00FD119B">
        <w:tc>
          <w:tcPr>
            <w:tcW w:w="1809" w:type="dxa"/>
          </w:tcPr>
          <w:p w14:paraId="7F4F854A" w14:textId="77777777" w:rsidR="00AD3D20" w:rsidRPr="00AD6775" w:rsidRDefault="00AD3D20" w:rsidP="00AD3D20">
            <w:pPr>
              <w:rPr>
                <w:szCs w:val="22"/>
              </w:rPr>
            </w:pPr>
            <w:r w:rsidRPr="00AD6775">
              <w:rPr>
                <w:szCs w:val="22"/>
              </w:rPr>
              <w:t>GLS</w:t>
            </w:r>
          </w:p>
        </w:tc>
        <w:tc>
          <w:tcPr>
            <w:tcW w:w="6911" w:type="dxa"/>
          </w:tcPr>
          <w:p w14:paraId="28B96BAF" w14:textId="77777777" w:rsidR="00AD3D20" w:rsidRPr="00AD6775" w:rsidRDefault="00AD3D20" w:rsidP="00AD3D20">
            <w:pPr>
              <w:rPr>
                <w:szCs w:val="22"/>
              </w:rPr>
            </w:pPr>
            <w:r w:rsidRPr="00AD6775">
              <w:rPr>
                <w:szCs w:val="22"/>
              </w:rPr>
              <w:t>Geometric least square</w:t>
            </w:r>
          </w:p>
        </w:tc>
      </w:tr>
      <w:tr w:rsidR="0019198A" w:rsidRPr="00FD119B" w14:paraId="2C68232B" w14:textId="77777777" w:rsidTr="00FD119B">
        <w:tc>
          <w:tcPr>
            <w:tcW w:w="1809" w:type="dxa"/>
          </w:tcPr>
          <w:p w14:paraId="3A5F72C8" w14:textId="4763F0C3" w:rsidR="0019198A" w:rsidRPr="00AD6775" w:rsidRDefault="0019198A" w:rsidP="00AD3D20">
            <w:r>
              <w:t>GMP</w:t>
            </w:r>
          </w:p>
        </w:tc>
        <w:tc>
          <w:tcPr>
            <w:tcW w:w="6911" w:type="dxa"/>
          </w:tcPr>
          <w:p w14:paraId="7AC32B7C" w14:textId="466613B9" w:rsidR="0019198A" w:rsidRPr="00AD6775" w:rsidRDefault="0019198A" w:rsidP="00AD3D20">
            <w:r>
              <w:t>Good Manufacturing Practice</w:t>
            </w:r>
          </w:p>
        </w:tc>
      </w:tr>
      <w:tr w:rsidR="004279C6" w:rsidRPr="00FD119B" w14:paraId="57CD9463" w14:textId="77777777" w:rsidTr="00FD119B">
        <w:tc>
          <w:tcPr>
            <w:tcW w:w="1809" w:type="dxa"/>
          </w:tcPr>
          <w:p w14:paraId="74E03EC4" w14:textId="77777777" w:rsidR="004279C6" w:rsidRDefault="004279C6" w:rsidP="00AD3D20">
            <w:r>
              <w:t>GVP</w:t>
            </w:r>
          </w:p>
        </w:tc>
        <w:tc>
          <w:tcPr>
            <w:tcW w:w="6911" w:type="dxa"/>
          </w:tcPr>
          <w:p w14:paraId="59D4E7CD" w14:textId="77777777" w:rsidR="004279C6" w:rsidRPr="00AD6775" w:rsidRDefault="004279C6" w:rsidP="004279C6">
            <w:r>
              <w:t>Good Pharmacovigilance Practice</w:t>
            </w:r>
            <w:r w:rsidR="005D224A">
              <w:t>(</w:t>
            </w:r>
            <w:r>
              <w:t>s</w:t>
            </w:r>
            <w:r w:rsidR="005D224A">
              <w:t>)</w:t>
            </w:r>
          </w:p>
        </w:tc>
      </w:tr>
      <w:tr w:rsidR="00AD3D20" w:rsidRPr="00FD119B" w14:paraId="17D7AC9E" w14:textId="77777777" w:rsidTr="00FD119B">
        <w:tc>
          <w:tcPr>
            <w:tcW w:w="1809" w:type="dxa"/>
          </w:tcPr>
          <w:p w14:paraId="04C28FE8" w14:textId="77777777" w:rsidR="00AD3D20" w:rsidRPr="00AD6775" w:rsidRDefault="008766D5" w:rsidP="00AD3D20">
            <w:pPr>
              <w:rPr>
                <w:szCs w:val="22"/>
              </w:rPr>
            </w:pPr>
            <w:r>
              <w:rPr>
                <w:szCs w:val="22"/>
              </w:rPr>
              <w:t>HDPE</w:t>
            </w:r>
          </w:p>
        </w:tc>
        <w:tc>
          <w:tcPr>
            <w:tcW w:w="6911" w:type="dxa"/>
          </w:tcPr>
          <w:p w14:paraId="37176703" w14:textId="77777777" w:rsidR="00AD3D20" w:rsidRPr="00AD6775" w:rsidRDefault="00AD3D20" w:rsidP="00AD3D20">
            <w:pPr>
              <w:rPr>
                <w:szCs w:val="22"/>
              </w:rPr>
            </w:pPr>
            <w:r w:rsidRPr="00AD6775">
              <w:rPr>
                <w:szCs w:val="22"/>
              </w:rPr>
              <w:t>High density polyethylene</w:t>
            </w:r>
          </w:p>
        </w:tc>
      </w:tr>
      <w:tr w:rsidR="00AD3D20" w:rsidRPr="00FD119B" w14:paraId="243C74A2" w14:textId="77777777" w:rsidTr="00FD119B">
        <w:tc>
          <w:tcPr>
            <w:tcW w:w="1809" w:type="dxa"/>
          </w:tcPr>
          <w:p w14:paraId="4805EAA9" w14:textId="77777777" w:rsidR="00AD3D20" w:rsidRPr="00AD6775" w:rsidRDefault="008766D5" w:rsidP="00AD3D20">
            <w:pPr>
              <w:rPr>
                <w:szCs w:val="22"/>
              </w:rPr>
            </w:pPr>
            <w:r>
              <w:rPr>
                <w:szCs w:val="22"/>
              </w:rPr>
              <w:t>HIV</w:t>
            </w:r>
          </w:p>
        </w:tc>
        <w:tc>
          <w:tcPr>
            <w:tcW w:w="6911" w:type="dxa"/>
          </w:tcPr>
          <w:p w14:paraId="26083741" w14:textId="77777777" w:rsidR="00AD3D20" w:rsidRPr="00AD6775" w:rsidRDefault="00AD3D20" w:rsidP="00AD3D20">
            <w:pPr>
              <w:rPr>
                <w:szCs w:val="22"/>
              </w:rPr>
            </w:pPr>
            <w:r w:rsidRPr="00AD6775">
              <w:rPr>
                <w:szCs w:val="22"/>
              </w:rPr>
              <w:t xml:space="preserve">Human </w:t>
            </w:r>
            <w:r w:rsidR="00F8501E" w:rsidRPr="00AD6775">
              <w:rPr>
                <w:szCs w:val="22"/>
              </w:rPr>
              <w:t>immunodeficiency virus</w:t>
            </w:r>
          </w:p>
        </w:tc>
      </w:tr>
      <w:tr w:rsidR="00AD3D20" w:rsidRPr="00FD119B" w14:paraId="62BE072A" w14:textId="77777777" w:rsidTr="00FD119B">
        <w:tc>
          <w:tcPr>
            <w:tcW w:w="1809" w:type="dxa"/>
          </w:tcPr>
          <w:p w14:paraId="3E533149" w14:textId="77777777" w:rsidR="00AD3D20" w:rsidRPr="00AD6775" w:rsidRDefault="00AD3D20" w:rsidP="00AD3D20">
            <w:pPr>
              <w:rPr>
                <w:szCs w:val="22"/>
              </w:rPr>
            </w:pPr>
            <w:r w:rsidRPr="00AD6775">
              <w:rPr>
                <w:szCs w:val="22"/>
              </w:rPr>
              <w:t>HIV-1</w:t>
            </w:r>
          </w:p>
        </w:tc>
        <w:tc>
          <w:tcPr>
            <w:tcW w:w="6911" w:type="dxa"/>
          </w:tcPr>
          <w:p w14:paraId="18968D79" w14:textId="77777777" w:rsidR="00AD3D20" w:rsidRPr="00AD6775" w:rsidRDefault="00AD3D20" w:rsidP="00AD3D20">
            <w:pPr>
              <w:rPr>
                <w:szCs w:val="22"/>
              </w:rPr>
            </w:pPr>
            <w:r w:rsidRPr="00AD6775">
              <w:rPr>
                <w:szCs w:val="22"/>
              </w:rPr>
              <w:t xml:space="preserve">Human </w:t>
            </w:r>
            <w:r w:rsidR="00F8501E" w:rsidRPr="00AD6775">
              <w:rPr>
                <w:szCs w:val="22"/>
              </w:rPr>
              <w:t>immunodeficiency virus type 1</w:t>
            </w:r>
          </w:p>
        </w:tc>
      </w:tr>
      <w:tr w:rsidR="004C0A50" w:rsidRPr="00FD119B" w14:paraId="02A5A6D7" w14:textId="77777777" w:rsidTr="00FD119B">
        <w:tc>
          <w:tcPr>
            <w:tcW w:w="1809" w:type="dxa"/>
          </w:tcPr>
          <w:p w14:paraId="135C4911" w14:textId="0BEBF2D0" w:rsidR="004C0A50" w:rsidRPr="00AD6775" w:rsidRDefault="004C0A50" w:rsidP="00AD3D20">
            <w:r>
              <w:t>HIV-2</w:t>
            </w:r>
          </w:p>
        </w:tc>
        <w:tc>
          <w:tcPr>
            <w:tcW w:w="6911" w:type="dxa"/>
          </w:tcPr>
          <w:p w14:paraId="566BDA61" w14:textId="31565C44" w:rsidR="004C0A50" w:rsidRPr="00AD6775" w:rsidRDefault="004C0A50" w:rsidP="00AD3D20">
            <w:r w:rsidRPr="00AD6775">
              <w:rPr>
                <w:szCs w:val="22"/>
              </w:rPr>
              <w:t xml:space="preserve">Human </w:t>
            </w:r>
            <w:r>
              <w:rPr>
                <w:szCs w:val="22"/>
              </w:rPr>
              <w:t>immunodeficiency virus type 2</w:t>
            </w:r>
          </w:p>
        </w:tc>
      </w:tr>
      <w:tr w:rsidR="00AD3D20" w:rsidRPr="00FD119B" w14:paraId="18BCD81A" w14:textId="77777777" w:rsidTr="00FD119B">
        <w:tc>
          <w:tcPr>
            <w:tcW w:w="1809" w:type="dxa"/>
          </w:tcPr>
          <w:p w14:paraId="2F25B68B"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INSTI</w:t>
            </w:r>
          </w:p>
        </w:tc>
        <w:tc>
          <w:tcPr>
            <w:tcW w:w="6911" w:type="dxa"/>
          </w:tcPr>
          <w:p w14:paraId="54D8B5A2"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Integrase strand transfer inhibitor</w:t>
            </w:r>
          </w:p>
        </w:tc>
      </w:tr>
      <w:tr w:rsidR="00AD3D20" w:rsidRPr="00FD119B" w14:paraId="0CEAD21B" w14:textId="77777777" w:rsidTr="00FD119B">
        <w:tc>
          <w:tcPr>
            <w:tcW w:w="1809" w:type="dxa"/>
          </w:tcPr>
          <w:p w14:paraId="1FBB2587" w14:textId="77777777" w:rsidR="00AD3D20" w:rsidRPr="00AD6775" w:rsidRDefault="008766D5" w:rsidP="00AD3D20">
            <w:pPr>
              <w:rPr>
                <w:szCs w:val="22"/>
              </w:rPr>
            </w:pPr>
            <w:r>
              <w:rPr>
                <w:szCs w:val="22"/>
              </w:rPr>
              <w:t>IRIS</w:t>
            </w:r>
          </w:p>
        </w:tc>
        <w:tc>
          <w:tcPr>
            <w:tcW w:w="6911" w:type="dxa"/>
          </w:tcPr>
          <w:p w14:paraId="699B7BD7" w14:textId="77777777" w:rsidR="00AD3D20" w:rsidRPr="00AD6775" w:rsidRDefault="00ED295F" w:rsidP="00AD3D20">
            <w:pPr>
              <w:rPr>
                <w:szCs w:val="22"/>
              </w:rPr>
            </w:pPr>
            <w:r>
              <w:rPr>
                <w:szCs w:val="22"/>
              </w:rPr>
              <w:t>I</w:t>
            </w:r>
            <w:r w:rsidRPr="00AD6775">
              <w:rPr>
                <w:szCs w:val="22"/>
              </w:rPr>
              <w:t>mmune reconstitution inflammatory syndrome</w:t>
            </w:r>
          </w:p>
        </w:tc>
      </w:tr>
      <w:tr w:rsidR="00AD3D20" w:rsidRPr="00FD119B" w14:paraId="5039CEC2" w14:textId="77777777" w:rsidTr="00FD119B">
        <w:tc>
          <w:tcPr>
            <w:tcW w:w="1809" w:type="dxa"/>
          </w:tcPr>
          <w:p w14:paraId="278B17F9" w14:textId="77777777" w:rsidR="00AD3D20" w:rsidRPr="00AD6775" w:rsidRDefault="008766D5" w:rsidP="00AD3D20">
            <w:pPr>
              <w:autoSpaceDE w:val="0"/>
              <w:autoSpaceDN w:val="0"/>
              <w:adjustRightInd w:val="0"/>
              <w:rPr>
                <w:rFonts w:eastAsia="TimesNewRoman" w:cs="TimesNewRoman"/>
                <w:szCs w:val="22"/>
              </w:rPr>
            </w:pPr>
            <w:r>
              <w:rPr>
                <w:rFonts w:eastAsia="TimesNewRoman" w:cs="TimesNewRoman"/>
                <w:szCs w:val="22"/>
              </w:rPr>
              <w:lastRenderedPageBreak/>
              <w:t>ITT</w:t>
            </w:r>
          </w:p>
        </w:tc>
        <w:tc>
          <w:tcPr>
            <w:tcW w:w="6911" w:type="dxa"/>
          </w:tcPr>
          <w:p w14:paraId="1E236DD9" w14:textId="5A735F78" w:rsidR="00AD3D20" w:rsidRPr="00AD6775" w:rsidRDefault="00747724" w:rsidP="00AD3D20">
            <w:pPr>
              <w:autoSpaceDE w:val="0"/>
              <w:autoSpaceDN w:val="0"/>
              <w:adjustRightInd w:val="0"/>
              <w:rPr>
                <w:rFonts w:eastAsia="TimesNewRoman" w:cs="TimesNewRoman"/>
                <w:szCs w:val="22"/>
              </w:rPr>
            </w:pPr>
            <w:r>
              <w:rPr>
                <w:rFonts w:eastAsia="TimesNewRoman" w:cs="TimesNewRoman"/>
                <w:szCs w:val="22"/>
              </w:rPr>
              <w:t xml:space="preserve">Intent to </w:t>
            </w:r>
            <w:r w:rsidR="00BA445C">
              <w:rPr>
                <w:rFonts w:eastAsia="TimesNewRoman" w:cs="TimesNewRoman"/>
                <w:szCs w:val="22"/>
              </w:rPr>
              <w:t>t</w:t>
            </w:r>
            <w:r w:rsidR="00AD3D20" w:rsidRPr="00AD6775">
              <w:rPr>
                <w:rFonts w:eastAsia="TimesNewRoman" w:cs="TimesNewRoman"/>
                <w:szCs w:val="22"/>
              </w:rPr>
              <w:t>reat</w:t>
            </w:r>
          </w:p>
        </w:tc>
      </w:tr>
      <w:tr w:rsidR="00AD3D20" w:rsidRPr="00FD119B" w14:paraId="5ACE633F" w14:textId="77777777" w:rsidTr="00FD119B">
        <w:tc>
          <w:tcPr>
            <w:tcW w:w="1809" w:type="dxa"/>
          </w:tcPr>
          <w:p w14:paraId="54BDD9C4" w14:textId="77777777" w:rsidR="00AD3D20" w:rsidRPr="00AD6775" w:rsidRDefault="008766D5" w:rsidP="00AD3D20">
            <w:pPr>
              <w:autoSpaceDE w:val="0"/>
              <w:autoSpaceDN w:val="0"/>
              <w:adjustRightInd w:val="0"/>
              <w:rPr>
                <w:rFonts w:eastAsia="TimesNewRoman" w:cs="TimesNewRoman"/>
                <w:szCs w:val="22"/>
              </w:rPr>
            </w:pPr>
            <w:r>
              <w:rPr>
                <w:rFonts w:eastAsia="TimesNewRoman" w:cs="TimesNewRoman"/>
                <w:szCs w:val="22"/>
              </w:rPr>
              <w:t>ITT-E</w:t>
            </w:r>
          </w:p>
        </w:tc>
        <w:tc>
          <w:tcPr>
            <w:tcW w:w="6911" w:type="dxa"/>
          </w:tcPr>
          <w:p w14:paraId="1258269F" w14:textId="4B675414" w:rsidR="00AD3D20" w:rsidRPr="00AD6775" w:rsidRDefault="00747724" w:rsidP="00AD3D20">
            <w:pPr>
              <w:autoSpaceDE w:val="0"/>
              <w:autoSpaceDN w:val="0"/>
              <w:adjustRightInd w:val="0"/>
              <w:rPr>
                <w:rFonts w:eastAsia="TimesNewRoman" w:cs="TimesNewRoman"/>
                <w:szCs w:val="22"/>
              </w:rPr>
            </w:pPr>
            <w:r>
              <w:rPr>
                <w:rFonts w:eastAsia="TimesNewRoman" w:cs="TimesNewRoman"/>
                <w:szCs w:val="22"/>
              </w:rPr>
              <w:t xml:space="preserve">Intent to </w:t>
            </w:r>
            <w:r w:rsidR="00BA445C">
              <w:rPr>
                <w:rFonts w:eastAsia="TimesNewRoman" w:cs="TimesNewRoman"/>
                <w:szCs w:val="22"/>
              </w:rPr>
              <w:t>t</w:t>
            </w:r>
            <w:r w:rsidR="00AD3D20" w:rsidRPr="00AD6775">
              <w:rPr>
                <w:rFonts w:eastAsia="TimesNewRoman" w:cs="TimesNewRoman"/>
                <w:szCs w:val="22"/>
              </w:rPr>
              <w:t>reat exposed</w:t>
            </w:r>
          </w:p>
        </w:tc>
      </w:tr>
      <w:tr w:rsidR="00AD3D20" w:rsidRPr="00FD119B" w14:paraId="54D223B5" w14:textId="77777777" w:rsidTr="00FD119B">
        <w:tc>
          <w:tcPr>
            <w:tcW w:w="1809" w:type="dxa"/>
          </w:tcPr>
          <w:p w14:paraId="3AC25EA6" w14:textId="77777777" w:rsidR="00AD3D20" w:rsidRPr="00AD6775" w:rsidRDefault="008766D5" w:rsidP="00AD3D20">
            <w:pPr>
              <w:autoSpaceDE w:val="0"/>
              <w:autoSpaceDN w:val="0"/>
              <w:adjustRightInd w:val="0"/>
              <w:rPr>
                <w:rFonts w:eastAsia="TimesNewRoman" w:cs="TimesNewRoman"/>
                <w:szCs w:val="22"/>
              </w:rPr>
            </w:pPr>
            <w:r>
              <w:rPr>
                <w:rFonts w:eastAsia="TimesNewRoman" w:cs="TimesNewRoman"/>
                <w:szCs w:val="22"/>
              </w:rPr>
              <w:t>LDL</w:t>
            </w:r>
          </w:p>
        </w:tc>
        <w:tc>
          <w:tcPr>
            <w:tcW w:w="6911" w:type="dxa"/>
          </w:tcPr>
          <w:p w14:paraId="4DB5DC52"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Low density lipoprotein</w:t>
            </w:r>
          </w:p>
        </w:tc>
      </w:tr>
      <w:tr w:rsidR="00AA5AF5" w:rsidRPr="00FD119B" w14:paraId="7C144815" w14:textId="77777777" w:rsidTr="00FD119B">
        <w:tc>
          <w:tcPr>
            <w:tcW w:w="1809" w:type="dxa"/>
          </w:tcPr>
          <w:p w14:paraId="1CB0C281" w14:textId="77777777" w:rsidR="00AA5AF5" w:rsidRPr="00AD6775" w:rsidRDefault="00AA5AF5" w:rsidP="00AD3D20">
            <w:pPr>
              <w:autoSpaceDE w:val="0"/>
              <w:autoSpaceDN w:val="0"/>
              <w:adjustRightInd w:val="0"/>
              <w:rPr>
                <w:rFonts w:eastAsia="TimesNewRoman" w:cs="TimesNewRoman"/>
              </w:rPr>
            </w:pPr>
            <w:r>
              <w:t>MATE1</w:t>
            </w:r>
          </w:p>
        </w:tc>
        <w:tc>
          <w:tcPr>
            <w:tcW w:w="6911" w:type="dxa"/>
          </w:tcPr>
          <w:p w14:paraId="442289FB" w14:textId="77777777" w:rsidR="00AA5AF5" w:rsidRPr="00AD6775" w:rsidRDefault="00AA5AF5" w:rsidP="00AA5AF5">
            <w:pPr>
              <w:autoSpaceDE w:val="0"/>
              <w:autoSpaceDN w:val="0"/>
              <w:adjustRightInd w:val="0"/>
              <w:rPr>
                <w:rFonts w:eastAsia="TimesNewRoman" w:cs="TimesNewRoman"/>
              </w:rPr>
            </w:pPr>
            <w:r>
              <w:t>M</w:t>
            </w:r>
            <w:r w:rsidRPr="00AA5AF5">
              <w:t>ultidrug and toxin extrusion protein 1</w:t>
            </w:r>
          </w:p>
        </w:tc>
      </w:tr>
      <w:tr w:rsidR="00D0789B" w:rsidRPr="00FD119B" w14:paraId="656A683B" w14:textId="77777777" w:rsidTr="00FD119B">
        <w:tc>
          <w:tcPr>
            <w:tcW w:w="1809" w:type="dxa"/>
          </w:tcPr>
          <w:p w14:paraId="311E4F08" w14:textId="77777777" w:rsidR="00D0789B" w:rsidRDefault="00D0789B" w:rsidP="00AD3D20">
            <w:pPr>
              <w:autoSpaceDE w:val="0"/>
              <w:autoSpaceDN w:val="0"/>
              <w:adjustRightInd w:val="0"/>
            </w:pPr>
            <w:r>
              <w:t>MATE-2K</w:t>
            </w:r>
          </w:p>
        </w:tc>
        <w:tc>
          <w:tcPr>
            <w:tcW w:w="6911" w:type="dxa"/>
          </w:tcPr>
          <w:p w14:paraId="72CAB40E" w14:textId="77777777" w:rsidR="00D0789B" w:rsidRDefault="00D0789B" w:rsidP="00AA5AF5">
            <w:pPr>
              <w:autoSpaceDE w:val="0"/>
              <w:autoSpaceDN w:val="0"/>
              <w:adjustRightInd w:val="0"/>
            </w:pPr>
            <w:r>
              <w:t>M</w:t>
            </w:r>
            <w:r w:rsidRPr="00AA5AF5">
              <w:t>ultidr</w:t>
            </w:r>
            <w:r>
              <w:t>ug and toxin extrusion protein 2K</w:t>
            </w:r>
          </w:p>
        </w:tc>
      </w:tr>
      <w:tr w:rsidR="00AD3D20" w:rsidRPr="00FD119B" w14:paraId="7CEA48D9" w14:textId="77777777" w:rsidTr="00FD119B">
        <w:tc>
          <w:tcPr>
            <w:tcW w:w="1809" w:type="dxa"/>
          </w:tcPr>
          <w:p w14:paraId="3E2D960C"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mg</w:t>
            </w:r>
          </w:p>
        </w:tc>
        <w:tc>
          <w:tcPr>
            <w:tcW w:w="6911" w:type="dxa"/>
          </w:tcPr>
          <w:p w14:paraId="75E21270"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Milligram</w:t>
            </w:r>
          </w:p>
        </w:tc>
      </w:tr>
      <w:tr w:rsidR="00AD3D20" w:rsidRPr="00FD119B" w14:paraId="0DC648A6" w14:textId="77777777" w:rsidTr="00FD119B">
        <w:tc>
          <w:tcPr>
            <w:tcW w:w="1809" w:type="dxa"/>
          </w:tcPr>
          <w:p w14:paraId="42F997E8" w14:textId="77777777"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mg/</w:t>
            </w:r>
            <w:proofErr w:type="spellStart"/>
            <w:r w:rsidRPr="00AD6775">
              <w:rPr>
                <w:rFonts w:eastAsia="TimesNewRoman" w:cs="TimesNewRoman"/>
                <w:szCs w:val="22"/>
              </w:rPr>
              <w:t>dL</w:t>
            </w:r>
            <w:proofErr w:type="spellEnd"/>
          </w:p>
        </w:tc>
        <w:tc>
          <w:tcPr>
            <w:tcW w:w="6911" w:type="dxa"/>
          </w:tcPr>
          <w:p w14:paraId="7C45687C" w14:textId="404980FC" w:rsidR="00AD3D20" w:rsidRPr="00AD6775" w:rsidRDefault="00AD3D20" w:rsidP="00AD3D20">
            <w:pPr>
              <w:autoSpaceDE w:val="0"/>
              <w:autoSpaceDN w:val="0"/>
              <w:adjustRightInd w:val="0"/>
              <w:rPr>
                <w:rFonts w:eastAsia="TimesNewRoman" w:cs="TimesNewRoman"/>
                <w:szCs w:val="22"/>
              </w:rPr>
            </w:pPr>
            <w:r w:rsidRPr="00AD6775">
              <w:rPr>
                <w:rFonts w:eastAsia="TimesNewRoman" w:cs="TimesNewRoman"/>
                <w:szCs w:val="22"/>
              </w:rPr>
              <w:t>Milligram per decilitr</w:t>
            </w:r>
            <w:r w:rsidR="00BA445C">
              <w:rPr>
                <w:rFonts w:eastAsia="TimesNewRoman" w:cs="TimesNewRoman"/>
                <w:szCs w:val="22"/>
              </w:rPr>
              <w:t>e</w:t>
            </w:r>
          </w:p>
        </w:tc>
      </w:tr>
      <w:tr w:rsidR="00AD3D20" w:rsidRPr="00FD119B" w14:paraId="64ACE616" w14:textId="77777777" w:rsidTr="00FD119B">
        <w:tc>
          <w:tcPr>
            <w:tcW w:w="1809" w:type="dxa"/>
          </w:tcPr>
          <w:p w14:paraId="0ADDB57D" w14:textId="77777777" w:rsidR="00AD3D20" w:rsidRPr="00AD6775" w:rsidRDefault="008766D5" w:rsidP="00AD3D20">
            <w:pPr>
              <w:rPr>
                <w:szCs w:val="22"/>
              </w:rPr>
            </w:pPr>
            <w:r>
              <w:rPr>
                <w:szCs w:val="22"/>
              </w:rPr>
              <w:t>NNRTI</w:t>
            </w:r>
          </w:p>
        </w:tc>
        <w:tc>
          <w:tcPr>
            <w:tcW w:w="6911" w:type="dxa"/>
          </w:tcPr>
          <w:p w14:paraId="76884430" w14:textId="6EAF425C" w:rsidR="00AD3D20" w:rsidRPr="00AD6775" w:rsidRDefault="00AD3D20" w:rsidP="00BA445C">
            <w:pPr>
              <w:rPr>
                <w:szCs w:val="22"/>
              </w:rPr>
            </w:pPr>
            <w:r w:rsidRPr="00AD6775">
              <w:rPr>
                <w:szCs w:val="22"/>
              </w:rPr>
              <w:t xml:space="preserve">Non-nucleoside </w:t>
            </w:r>
            <w:r w:rsidR="00BA445C">
              <w:rPr>
                <w:szCs w:val="22"/>
              </w:rPr>
              <w:t>r</w:t>
            </w:r>
            <w:r w:rsidR="00BA445C" w:rsidRPr="00AD6775">
              <w:rPr>
                <w:szCs w:val="22"/>
              </w:rPr>
              <w:t xml:space="preserve">everse </w:t>
            </w:r>
            <w:r w:rsidR="00BA445C">
              <w:rPr>
                <w:szCs w:val="22"/>
              </w:rPr>
              <w:t>t</w:t>
            </w:r>
            <w:r w:rsidRPr="00AD6775">
              <w:rPr>
                <w:szCs w:val="22"/>
              </w:rPr>
              <w:t xml:space="preserve">ranscriptase </w:t>
            </w:r>
            <w:r w:rsidR="00BA445C">
              <w:rPr>
                <w:szCs w:val="22"/>
              </w:rPr>
              <w:t>i</w:t>
            </w:r>
            <w:r w:rsidRPr="00AD6775">
              <w:rPr>
                <w:szCs w:val="22"/>
              </w:rPr>
              <w:t>nhibitor</w:t>
            </w:r>
          </w:p>
        </w:tc>
      </w:tr>
      <w:tr w:rsidR="00AD3D20" w:rsidRPr="00FD119B" w14:paraId="593222E9" w14:textId="77777777" w:rsidTr="00FD119B">
        <w:tc>
          <w:tcPr>
            <w:tcW w:w="1809" w:type="dxa"/>
          </w:tcPr>
          <w:p w14:paraId="5803D58C" w14:textId="77777777" w:rsidR="00AD3D20" w:rsidRPr="00AD6775" w:rsidRDefault="00AD3D20" w:rsidP="00AD3D20">
            <w:pPr>
              <w:rPr>
                <w:szCs w:val="22"/>
              </w:rPr>
            </w:pPr>
            <w:r w:rsidRPr="00AD6775">
              <w:rPr>
                <w:szCs w:val="22"/>
              </w:rPr>
              <w:t>NRTI</w:t>
            </w:r>
          </w:p>
        </w:tc>
        <w:tc>
          <w:tcPr>
            <w:tcW w:w="6911" w:type="dxa"/>
          </w:tcPr>
          <w:p w14:paraId="262449DB" w14:textId="77777777" w:rsidR="00AD3D20" w:rsidRPr="00AD6775" w:rsidRDefault="00AD3D20" w:rsidP="00AD3D20">
            <w:pPr>
              <w:rPr>
                <w:szCs w:val="22"/>
              </w:rPr>
            </w:pPr>
            <w:r w:rsidRPr="00AD6775">
              <w:rPr>
                <w:rFonts w:eastAsia="TimesNewRoman" w:cs="TimesNewRoman"/>
                <w:szCs w:val="22"/>
              </w:rPr>
              <w:t>Nucleoside reverse transcriptase inhibitor</w:t>
            </w:r>
          </w:p>
        </w:tc>
      </w:tr>
      <w:tr w:rsidR="00AA5AF5" w:rsidRPr="00FD119B" w14:paraId="2461792C" w14:textId="77777777" w:rsidTr="00FD119B">
        <w:tc>
          <w:tcPr>
            <w:tcW w:w="1809" w:type="dxa"/>
          </w:tcPr>
          <w:p w14:paraId="73722201" w14:textId="77777777" w:rsidR="00AA5AF5" w:rsidRDefault="00AA5AF5" w:rsidP="00AD3D20">
            <w:pPr>
              <w:autoSpaceDE w:val="0"/>
              <w:autoSpaceDN w:val="0"/>
              <w:adjustRightInd w:val="0"/>
              <w:rPr>
                <w:rFonts w:eastAsia="TimesNewRoman" w:cs="TimesNewRoman"/>
              </w:rPr>
            </w:pPr>
            <w:r>
              <w:t>OCT2</w:t>
            </w:r>
          </w:p>
        </w:tc>
        <w:tc>
          <w:tcPr>
            <w:tcW w:w="6911" w:type="dxa"/>
          </w:tcPr>
          <w:p w14:paraId="7C8F66A3" w14:textId="77777777" w:rsidR="00AA5AF5" w:rsidRPr="00AD6775" w:rsidRDefault="00AA5AF5" w:rsidP="00AA5AF5">
            <w:pPr>
              <w:autoSpaceDE w:val="0"/>
              <w:autoSpaceDN w:val="0"/>
              <w:adjustRightInd w:val="0"/>
              <w:rPr>
                <w:rFonts w:eastAsia="TimesNewRoman" w:cs="TimesNewRoman"/>
              </w:rPr>
            </w:pPr>
            <w:r>
              <w:t>Organic cation transporter 2</w:t>
            </w:r>
          </w:p>
        </w:tc>
      </w:tr>
      <w:tr w:rsidR="00AD3D20" w:rsidRPr="00FD119B" w14:paraId="7D06407F" w14:textId="77777777" w:rsidTr="00FD119B">
        <w:tc>
          <w:tcPr>
            <w:tcW w:w="1809" w:type="dxa"/>
          </w:tcPr>
          <w:p w14:paraId="4A724D7F" w14:textId="77777777" w:rsidR="00AD3D20" w:rsidRPr="00AD6775" w:rsidRDefault="00AD3D20" w:rsidP="00AD3D20">
            <w:pPr>
              <w:rPr>
                <w:szCs w:val="22"/>
              </w:rPr>
            </w:pPr>
            <w:r w:rsidRPr="00AD6775">
              <w:rPr>
                <w:szCs w:val="22"/>
              </w:rPr>
              <w:t>PD</w:t>
            </w:r>
          </w:p>
        </w:tc>
        <w:tc>
          <w:tcPr>
            <w:tcW w:w="6911" w:type="dxa"/>
          </w:tcPr>
          <w:p w14:paraId="1E13EA0A" w14:textId="77777777" w:rsidR="00AD3D20" w:rsidRPr="00AD6775" w:rsidRDefault="00AD3D20" w:rsidP="00AD3D20">
            <w:pPr>
              <w:rPr>
                <w:szCs w:val="22"/>
              </w:rPr>
            </w:pPr>
            <w:proofErr w:type="spellStart"/>
            <w:r w:rsidRPr="00AD6775">
              <w:rPr>
                <w:szCs w:val="22"/>
              </w:rPr>
              <w:t>Pharmacodynamic</w:t>
            </w:r>
            <w:proofErr w:type="spellEnd"/>
            <w:r w:rsidR="007A626C">
              <w:rPr>
                <w:szCs w:val="22"/>
              </w:rPr>
              <w:t>(</w:t>
            </w:r>
            <w:r w:rsidRPr="00AD6775">
              <w:rPr>
                <w:szCs w:val="22"/>
              </w:rPr>
              <w:t>s</w:t>
            </w:r>
            <w:r w:rsidR="007A626C">
              <w:rPr>
                <w:szCs w:val="22"/>
              </w:rPr>
              <w:t>)</w:t>
            </w:r>
          </w:p>
        </w:tc>
      </w:tr>
      <w:tr w:rsidR="00C6515A" w:rsidRPr="00FD119B" w14:paraId="2C3383C9" w14:textId="77777777" w:rsidTr="00FD119B">
        <w:tc>
          <w:tcPr>
            <w:tcW w:w="1809" w:type="dxa"/>
          </w:tcPr>
          <w:p w14:paraId="73E5312F" w14:textId="77777777" w:rsidR="00C6515A" w:rsidRDefault="00C6515A" w:rsidP="00AD3D20">
            <w:pPr>
              <w:rPr>
                <w:rFonts w:eastAsia="TimesNewRoman" w:cs="TimesNewRoman"/>
              </w:rPr>
            </w:pPr>
            <w:r>
              <w:rPr>
                <w:rFonts w:eastAsia="TimesNewRoman" w:cs="TimesNewRoman"/>
              </w:rPr>
              <w:t>P-</w:t>
            </w:r>
            <w:proofErr w:type="spellStart"/>
            <w:r>
              <w:rPr>
                <w:rFonts w:eastAsia="TimesNewRoman" w:cs="TimesNewRoman"/>
              </w:rPr>
              <w:t>gp</w:t>
            </w:r>
            <w:proofErr w:type="spellEnd"/>
          </w:p>
        </w:tc>
        <w:tc>
          <w:tcPr>
            <w:tcW w:w="6911" w:type="dxa"/>
          </w:tcPr>
          <w:p w14:paraId="3A9CCB64" w14:textId="77777777" w:rsidR="00C6515A" w:rsidRPr="00AD6775" w:rsidRDefault="00C6515A" w:rsidP="00AD3D20">
            <w:pPr>
              <w:rPr>
                <w:rFonts w:eastAsia="TimesNewRoman" w:cs="TimesNewRoman"/>
              </w:rPr>
            </w:pPr>
            <w:r w:rsidRPr="00C6515A">
              <w:rPr>
                <w:rFonts w:eastAsia="TimesNewRoman" w:cs="TimesNewRoman"/>
              </w:rPr>
              <w:t>P-glycoprotein</w:t>
            </w:r>
          </w:p>
        </w:tc>
      </w:tr>
      <w:tr w:rsidR="00EC236C" w:rsidRPr="00FD119B" w14:paraId="79010E65" w14:textId="77777777" w:rsidTr="00FD119B">
        <w:tc>
          <w:tcPr>
            <w:tcW w:w="1809" w:type="dxa"/>
          </w:tcPr>
          <w:p w14:paraId="4F53824C" w14:textId="77777777" w:rsidR="00EC236C" w:rsidRDefault="00EC236C" w:rsidP="00AD3D20">
            <w:pPr>
              <w:rPr>
                <w:rFonts w:eastAsia="TimesNewRoman" w:cs="TimesNewRoman"/>
              </w:rPr>
            </w:pPr>
            <w:r>
              <w:rPr>
                <w:rFonts w:eastAsia="TimesNewRoman" w:cs="TimesNewRoman"/>
              </w:rPr>
              <w:t>PI</w:t>
            </w:r>
          </w:p>
        </w:tc>
        <w:tc>
          <w:tcPr>
            <w:tcW w:w="6911" w:type="dxa"/>
          </w:tcPr>
          <w:p w14:paraId="51BA7400" w14:textId="220556AE" w:rsidR="00EC236C" w:rsidRPr="00AD6775" w:rsidRDefault="004949A8" w:rsidP="00AD3D20">
            <w:pPr>
              <w:rPr>
                <w:rFonts w:eastAsia="TimesNewRoman" w:cs="TimesNewRoman"/>
              </w:rPr>
            </w:pPr>
            <w:r>
              <w:rPr>
                <w:rFonts w:eastAsia="TimesNewRoman" w:cs="TimesNewRoman"/>
              </w:rPr>
              <w:t xml:space="preserve">Product </w:t>
            </w:r>
            <w:r w:rsidR="00BA445C">
              <w:rPr>
                <w:rFonts w:eastAsia="TimesNewRoman" w:cs="TimesNewRoman"/>
              </w:rPr>
              <w:t>I</w:t>
            </w:r>
            <w:r>
              <w:rPr>
                <w:rFonts w:eastAsia="TimesNewRoman" w:cs="TimesNewRoman"/>
              </w:rPr>
              <w:t>nformation</w:t>
            </w:r>
          </w:p>
        </w:tc>
      </w:tr>
      <w:tr w:rsidR="007A626C" w:rsidRPr="00FD119B" w14:paraId="1E9B457C" w14:textId="77777777" w:rsidTr="00FD119B">
        <w:tc>
          <w:tcPr>
            <w:tcW w:w="1809" w:type="dxa"/>
          </w:tcPr>
          <w:p w14:paraId="38923632" w14:textId="77777777" w:rsidR="007A626C" w:rsidRDefault="007A626C" w:rsidP="00AD3D20">
            <w:pPr>
              <w:rPr>
                <w:rFonts w:eastAsia="TimesNewRoman" w:cs="TimesNewRoman"/>
              </w:rPr>
            </w:pPr>
            <w:r w:rsidRPr="007A626C">
              <w:rPr>
                <w:color w:val="auto"/>
                <w:lang w:eastAsia="ja-JP"/>
              </w:rPr>
              <w:t>PIP</w:t>
            </w:r>
          </w:p>
        </w:tc>
        <w:tc>
          <w:tcPr>
            <w:tcW w:w="6911" w:type="dxa"/>
          </w:tcPr>
          <w:p w14:paraId="5C35FF98" w14:textId="24165D4D" w:rsidR="007A626C" w:rsidRDefault="007A626C" w:rsidP="007A626C">
            <w:pPr>
              <w:rPr>
                <w:rFonts w:eastAsia="TimesNewRoman" w:cs="TimesNewRoman"/>
              </w:rPr>
            </w:pPr>
            <w:r>
              <w:rPr>
                <w:color w:val="auto"/>
                <w:lang w:eastAsia="ja-JP"/>
              </w:rPr>
              <w:t>Paediatric Investigation Plan</w:t>
            </w:r>
            <w:r w:rsidR="00BA445C">
              <w:rPr>
                <w:color w:val="auto"/>
                <w:lang w:eastAsia="ja-JP"/>
              </w:rPr>
              <w:t xml:space="preserve"> (EU)</w:t>
            </w:r>
          </w:p>
        </w:tc>
      </w:tr>
      <w:tr w:rsidR="00AD3D20" w:rsidRPr="00FD119B" w14:paraId="47683BBF" w14:textId="77777777" w:rsidTr="00FD119B">
        <w:tc>
          <w:tcPr>
            <w:tcW w:w="1809" w:type="dxa"/>
          </w:tcPr>
          <w:p w14:paraId="45C562AA" w14:textId="77777777" w:rsidR="00AD3D20" w:rsidRPr="00AD6775" w:rsidRDefault="008766D5" w:rsidP="00AD3D20">
            <w:pPr>
              <w:rPr>
                <w:szCs w:val="22"/>
              </w:rPr>
            </w:pPr>
            <w:r>
              <w:rPr>
                <w:szCs w:val="22"/>
              </w:rPr>
              <w:t>PK</w:t>
            </w:r>
          </w:p>
        </w:tc>
        <w:tc>
          <w:tcPr>
            <w:tcW w:w="6911" w:type="dxa"/>
          </w:tcPr>
          <w:p w14:paraId="4066EB93" w14:textId="77777777" w:rsidR="00AD3D20" w:rsidRPr="00AD6775" w:rsidRDefault="00AD3D20" w:rsidP="00AD3D20">
            <w:pPr>
              <w:rPr>
                <w:szCs w:val="22"/>
              </w:rPr>
            </w:pPr>
            <w:r w:rsidRPr="00AD6775">
              <w:rPr>
                <w:szCs w:val="22"/>
              </w:rPr>
              <w:t>Pharmacokinetic</w:t>
            </w:r>
            <w:r w:rsidR="007A626C">
              <w:rPr>
                <w:szCs w:val="22"/>
              </w:rPr>
              <w:t>(s)</w:t>
            </w:r>
          </w:p>
        </w:tc>
      </w:tr>
      <w:tr w:rsidR="00AD3D20" w:rsidRPr="00FD119B" w14:paraId="429E20A5" w14:textId="77777777" w:rsidTr="00FD119B">
        <w:tc>
          <w:tcPr>
            <w:tcW w:w="1809" w:type="dxa"/>
          </w:tcPr>
          <w:p w14:paraId="04C8E3F5" w14:textId="77777777" w:rsidR="00AD3D20" w:rsidRPr="00AD6775" w:rsidRDefault="00AD3D20" w:rsidP="00AD3D20">
            <w:pPr>
              <w:rPr>
                <w:rFonts w:eastAsia="TimesNewRoman" w:cs="TimesNewRoman"/>
                <w:szCs w:val="22"/>
              </w:rPr>
            </w:pPr>
            <w:r w:rsidRPr="00AD6775">
              <w:rPr>
                <w:rFonts w:eastAsia="TimesNewRoman" w:cs="TimesNewRoman"/>
                <w:szCs w:val="22"/>
              </w:rPr>
              <w:t>PP</w:t>
            </w:r>
          </w:p>
        </w:tc>
        <w:tc>
          <w:tcPr>
            <w:tcW w:w="6911" w:type="dxa"/>
          </w:tcPr>
          <w:p w14:paraId="29DDF21E" w14:textId="77777777" w:rsidR="00AD3D20" w:rsidRPr="00AD6775" w:rsidRDefault="00AD3D20" w:rsidP="00AD3D20">
            <w:pPr>
              <w:rPr>
                <w:rFonts w:eastAsia="TimesNewRoman" w:cs="TimesNewRoman"/>
                <w:szCs w:val="22"/>
              </w:rPr>
            </w:pPr>
            <w:r w:rsidRPr="00AD6775">
              <w:rPr>
                <w:rFonts w:eastAsia="TimesNewRoman" w:cs="TimesNewRoman"/>
                <w:szCs w:val="22"/>
              </w:rPr>
              <w:t>Per Protocol</w:t>
            </w:r>
          </w:p>
        </w:tc>
      </w:tr>
      <w:tr w:rsidR="004279C6" w:rsidRPr="00FD119B" w14:paraId="488CA508" w14:textId="77777777" w:rsidTr="00FD119B">
        <w:tc>
          <w:tcPr>
            <w:tcW w:w="1809" w:type="dxa"/>
          </w:tcPr>
          <w:p w14:paraId="4757392D" w14:textId="77777777" w:rsidR="004279C6" w:rsidRPr="00AD6775" w:rsidRDefault="004279C6" w:rsidP="00AD3D20">
            <w:pPr>
              <w:rPr>
                <w:rFonts w:eastAsia="TimesNewRoman" w:cs="TimesNewRoman"/>
              </w:rPr>
            </w:pPr>
            <w:r>
              <w:rPr>
                <w:rFonts w:eastAsia="TimesNewRoman" w:cs="TimesNewRoman"/>
              </w:rPr>
              <w:t>PSUR</w:t>
            </w:r>
          </w:p>
        </w:tc>
        <w:tc>
          <w:tcPr>
            <w:tcW w:w="6911" w:type="dxa"/>
          </w:tcPr>
          <w:p w14:paraId="78394803" w14:textId="0091A3BE" w:rsidR="004279C6" w:rsidRPr="00AD6775" w:rsidRDefault="004279C6" w:rsidP="00AD3D20">
            <w:pPr>
              <w:rPr>
                <w:rFonts w:eastAsia="TimesNewRoman" w:cs="TimesNewRoman"/>
              </w:rPr>
            </w:pPr>
            <w:r>
              <w:rPr>
                <w:rFonts w:eastAsia="TimesNewRoman" w:cs="TimesNewRoman"/>
              </w:rPr>
              <w:t xml:space="preserve">Periodic </w:t>
            </w:r>
            <w:r w:rsidR="00BA445C">
              <w:rPr>
                <w:rFonts w:eastAsia="TimesNewRoman" w:cs="TimesNewRoman"/>
              </w:rPr>
              <w:t>safety update report</w:t>
            </w:r>
          </w:p>
        </w:tc>
      </w:tr>
      <w:tr w:rsidR="00AD3D20" w:rsidRPr="00FD119B" w14:paraId="38170051" w14:textId="77777777" w:rsidTr="00FD119B">
        <w:tc>
          <w:tcPr>
            <w:tcW w:w="1809" w:type="dxa"/>
          </w:tcPr>
          <w:p w14:paraId="56A40D2E" w14:textId="77777777" w:rsidR="00AD3D20" w:rsidRPr="00AD6775" w:rsidRDefault="008766D5" w:rsidP="00AD3D20">
            <w:pPr>
              <w:rPr>
                <w:szCs w:val="22"/>
              </w:rPr>
            </w:pPr>
            <w:r>
              <w:rPr>
                <w:szCs w:val="22"/>
              </w:rPr>
              <w:t>RMP</w:t>
            </w:r>
          </w:p>
        </w:tc>
        <w:tc>
          <w:tcPr>
            <w:tcW w:w="6911" w:type="dxa"/>
          </w:tcPr>
          <w:p w14:paraId="6E9A7F6A" w14:textId="77777777" w:rsidR="00AD3D20" w:rsidRPr="00AD6775" w:rsidRDefault="00AD3D20" w:rsidP="00AD3D20">
            <w:pPr>
              <w:rPr>
                <w:szCs w:val="22"/>
              </w:rPr>
            </w:pPr>
            <w:r w:rsidRPr="00AD6775">
              <w:rPr>
                <w:szCs w:val="22"/>
              </w:rPr>
              <w:t xml:space="preserve">Risk </w:t>
            </w:r>
            <w:r w:rsidR="004949A8" w:rsidRPr="00AD6775">
              <w:rPr>
                <w:szCs w:val="22"/>
              </w:rPr>
              <w:t>management plan</w:t>
            </w:r>
          </w:p>
        </w:tc>
      </w:tr>
      <w:tr w:rsidR="00747724" w:rsidRPr="00FD119B" w14:paraId="28E86373" w14:textId="77777777" w:rsidTr="00FD119B">
        <w:tc>
          <w:tcPr>
            <w:tcW w:w="1809" w:type="dxa"/>
          </w:tcPr>
          <w:p w14:paraId="6573F22C" w14:textId="77777777" w:rsidR="00747724" w:rsidRDefault="00747724" w:rsidP="00AD3D20">
            <w:r>
              <w:t>RNA</w:t>
            </w:r>
          </w:p>
        </w:tc>
        <w:tc>
          <w:tcPr>
            <w:tcW w:w="6911" w:type="dxa"/>
          </w:tcPr>
          <w:p w14:paraId="2C1E7E84" w14:textId="77777777" w:rsidR="00747724" w:rsidRPr="00AD6775" w:rsidRDefault="00747724" w:rsidP="00AD3D20">
            <w:r w:rsidRPr="00747724">
              <w:t>Ribonucleic acid</w:t>
            </w:r>
          </w:p>
        </w:tc>
      </w:tr>
      <w:tr w:rsidR="00AD3D20" w:rsidRPr="00FD119B" w14:paraId="04D4AEE2" w14:textId="77777777" w:rsidTr="00FD119B">
        <w:tc>
          <w:tcPr>
            <w:tcW w:w="1809" w:type="dxa"/>
          </w:tcPr>
          <w:p w14:paraId="763BEFEA" w14:textId="77777777" w:rsidR="00AD3D20" w:rsidRPr="00AD6775" w:rsidRDefault="008766D5" w:rsidP="00AD3D20">
            <w:pPr>
              <w:rPr>
                <w:szCs w:val="22"/>
              </w:rPr>
            </w:pPr>
            <w:r>
              <w:rPr>
                <w:szCs w:val="22"/>
              </w:rPr>
              <w:t>SAE</w:t>
            </w:r>
          </w:p>
        </w:tc>
        <w:tc>
          <w:tcPr>
            <w:tcW w:w="6911" w:type="dxa"/>
          </w:tcPr>
          <w:p w14:paraId="746FEC99" w14:textId="77777777" w:rsidR="00AD3D20" w:rsidRPr="00AD6775" w:rsidRDefault="00AD3D20" w:rsidP="00AD3D20">
            <w:pPr>
              <w:rPr>
                <w:szCs w:val="22"/>
              </w:rPr>
            </w:pPr>
            <w:r w:rsidRPr="00AD6775">
              <w:rPr>
                <w:szCs w:val="22"/>
              </w:rPr>
              <w:t xml:space="preserve">Serious </w:t>
            </w:r>
            <w:r w:rsidR="004949A8" w:rsidRPr="00AD6775">
              <w:rPr>
                <w:szCs w:val="22"/>
              </w:rPr>
              <w:t>adverse event</w:t>
            </w:r>
            <w:r w:rsidR="005D224A">
              <w:rPr>
                <w:szCs w:val="22"/>
              </w:rPr>
              <w:t>(s)</w:t>
            </w:r>
          </w:p>
        </w:tc>
      </w:tr>
      <w:tr w:rsidR="00AD3D20" w:rsidRPr="00FD119B" w14:paraId="3E304C5B" w14:textId="77777777" w:rsidTr="00FD119B">
        <w:tc>
          <w:tcPr>
            <w:tcW w:w="1809" w:type="dxa"/>
          </w:tcPr>
          <w:p w14:paraId="6E45CCF8" w14:textId="77777777" w:rsidR="00AD3D20" w:rsidRPr="00AD6775" w:rsidRDefault="008766D5" w:rsidP="00AD3D20">
            <w:pPr>
              <w:rPr>
                <w:szCs w:val="22"/>
              </w:rPr>
            </w:pPr>
            <w:r>
              <w:rPr>
                <w:szCs w:val="22"/>
              </w:rPr>
              <w:t>SE</w:t>
            </w:r>
          </w:p>
        </w:tc>
        <w:tc>
          <w:tcPr>
            <w:tcW w:w="6911" w:type="dxa"/>
          </w:tcPr>
          <w:p w14:paraId="06D54121" w14:textId="4B9439DB" w:rsidR="00AD3D20" w:rsidRPr="00AD6775" w:rsidRDefault="00AD3D20" w:rsidP="00AD3D20">
            <w:pPr>
              <w:rPr>
                <w:szCs w:val="22"/>
              </w:rPr>
            </w:pPr>
            <w:r w:rsidRPr="00AD6775">
              <w:rPr>
                <w:szCs w:val="22"/>
              </w:rPr>
              <w:t xml:space="preserve">Single </w:t>
            </w:r>
            <w:r w:rsidR="00BA445C">
              <w:rPr>
                <w:szCs w:val="22"/>
              </w:rPr>
              <w:t>e</w:t>
            </w:r>
            <w:r w:rsidRPr="00AD6775">
              <w:rPr>
                <w:szCs w:val="22"/>
              </w:rPr>
              <w:t>ntity</w:t>
            </w:r>
          </w:p>
        </w:tc>
      </w:tr>
      <w:tr w:rsidR="00AD3D20" w:rsidRPr="00FD119B" w14:paraId="5079DAB0" w14:textId="77777777" w:rsidTr="00FD119B">
        <w:tc>
          <w:tcPr>
            <w:tcW w:w="1809" w:type="dxa"/>
          </w:tcPr>
          <w:p w14:paraId="5DEE0FD4" w14:textId="77777777" w:rsidR="00AD3D20" w:rsidRPr="00AD6775" w:rsidRDefault="008766D5" w:rsidP="00AD3D20">
            <w:pPr>
              <w:rPr>
                <w:szCs w:val="22"/>
              </w:rPr>
            </w:pPr>
            <w:r>
              <w:rPr>
                <w:szCs w:val="22"/>
              </w:rPr>
              <w:t>SOC</w:t>
            </w:r>
          </w:p>
        </w:tc>
        <w:tc>
          <w:tcPr>
            <w:tcW w:w="6911" w:type="dxa"/>
          </w:tcPr>
          <w:p w14:paraId="10E230E1" w14:textId="77777777" w:rsidR="00AD3D20" w:rsidRPr="00AD6775" w:rsidRDefault="00AD3D20" w:rsidP="00AD3D20">
            <w:pPr>
              <w:rPr>
                <w:szCs w:val="22"/>
              </w:rPr>
            </w:pPr>
            <w:r w:rsidRPr="00AD6775">
              <w:rPr>
                <w:szCs w:val="22"/>
              </w:rPr>
              <w:t>System Organ Class</w:t>
            </w:r>
          </w:p>
        </w:tc>
      </w:tr>
      <w:tr w:rsidR="00AD3D20" w:rsidRPr="00FD119B" w14:paraId="47104A68" w14:textId="77777777" w:rsidTr="00FD119B">
        <w:tc>
          <w:tcPr>
            <w:tcW w:w="1809" w:type="dxa"/>
          </w:tcPr>
          <w:p w14:paraId="6DC77F8E" w14:textId="77777777" w:rsidR="00AD3D20" w:rsidRPr="00AD6775" w:rsidRDefault="00AD3D20" w:rsidP="00AD3D20">
            <w:pPr>
              <w:rPr>
                <w:szCs w:val="22"/>
                <w:vertAlign w:val="subscript"/>
              </w:rPr>
            </w:pPr>
            <w:r w:rsidRPr="00AD6775">
              <w:rPr>
                <w:szCs w:val="22"/>
              </w:rPr>
              <w:t>t</w:t>
            </w:r>
            <w:r w:rsidRPr="00AD6775">
              <w:rPr>
                <w:szCs w:val="22"/>
                <w:vertAlign w:val="subscript"/>
              </w:rPr>
              <w:t>1/2</w:t>
            </w:r>
          </w:p>
        </w:tc>
        <w:tc>
          <w:tcPr>
            <w:tcW w:w="6911" w:type="dxa"/>
          </w:tcPr>
          <w:p w14:paraId="197560D3" w14:textId="77777777" w:rsidR="00AD3D20" w:rsidRPr="00AD6775" w:rsidRDefault="00AD3D20" w:rsidP="00AD3D20">
            <w:pPr>
              <w:rPr>
                <w:szCs w:val="22"/>
              </w:rPr>
            </w:pPr>
            <w:r w:rsidRPr="00AD6775">
              <w:rPr>
                <w:rFonts w:eastAsia="ArialNarrow" w:cs="ArialNarrow"/>
                <w:szCs w:val="22"/>
              </w:rPr>
              <w:t>Elimination half-life</w:t>
            </w:r>
          </w:p>
        </w:tc>
      </w:tr>
      <w:tr w:rsidR="00AD3D20" w:rsidRPr="00FD119B" w14:paraId="6A707FF0" w14:textId="77777777" w:rsidTr="00FD119B">
        <w:tc>
          <w:tcPr>
            <w:tcW w:w="1809" w:type="dxa"/>
          </w:tcPr>
          <w:p w14:paraId="570343C2" w14:textId="77777777" w:rsidR="00AD3D20" w:rsidRPr="00AD6775" w:rsidRDefault="00AD3D20" w:rsidP="00AD3D20">
            <w:pPr>
              <w:rPr>
                <w:szCs w:val="22"/>
              </w:rPr>
            </w:pPr>
            <w:r w:rsidRPr="00AD6775">
              <w:rPr>
                <w:szCs w:val="22"/>
              </w:rPr>
              <w:t>TAF</w:t>
            </w:r>
          </w:p>
        </w:tc>
        <w:tc>
          <w:tcPr>
            <w:tcW w:w="6911" w:type="dxa"/>
          </w:tcPr>
          <w:p w14:paraId="334B4A5C" w14:textId="77777777" w:rsidR="00AD3D20" w:rsidRPr="00AD6775" w:rsidRDefault="00AD3D20" w:rsidP="00AD3D20">
            <w:pPr>
              <w:rPr>
                <w:szCs w:val="22"/>
              </w:rPr>
            </w:pPr>
            <w:r w:rsidRPr="00AD6775">
              <w:rPr>
                <w:szCs w:val="22"/>
              </w:rPr>
              <w:t>Tenofovir alafenamide</w:t>
            </w:r>
          </w:p>
        </w:tc>
      </w:tr>
      <w:tr w:rsidR="00AD3D20" w:rsidRPr="00FD119B" w14:paraId="628AEFA9" w14:textId="77777777" w:rsidTr="00FD119B">
        <w:tc>
          <w:tcPr>
            <w:tcW w:w="1809" w:type="dxa"/>
          </w:tcPr>
          <w:p w14:paraId="78E91631" w14:textId="77777777" w:rsidR="00AD3D20" w:rsidRPr="00AD6775" w:rsidRDefault="008766D5" w:rsidP="00AD3D20">
            <w:pPr>
              <w:rPr>
                <w:szCs w:val="22"/>
              </w:rPr>
            </w:pPr>
            <w:r>
              <w:rPr>
                <w:szCs w:val="22"/>
              </w:rPr>
              <w:t>TDF</w:t>
            </w:r>
          </w:p>
        </w:tc>
        <w:tc>
          <w:tcPr>
            <w:tcW w:w="6911" w:type="dxa"/>
          </w:tcPr>
          <w:p w14:paraId="2105473F" w14:textId="77777777" w:rsidR="00AD3D20" w:rsidRPr="00AD6775" w:rsidRDefault="00AD3D20" w:rsidP="00AD3D20">
            <w:pPr>
              <w:rPr>
                <w:szCs w:val="22"/>
              </w:rPr>
            </w:pPr>
            <w:r w:rsidRPr="00AD6775">
              <w:rPr>
                <w:szCs w:val="22"/>
              </w:rPr>
              <w:t xml:space="preserve">Tenofovir </w:t>
            </w:r>
            <w:proofErr w:type="spellStart"/>
            <w:r w:rsidRPr="00AD6775">
              <w:rPr>
                <w:szCs w:val="22"/>
              </w:rPr>
              <w:t>disoproxil</w:t>
            </w:r>
            <w:proofErr w:type="spellEnd"/>
            <w:r w:rsidRPr="00AD6775">
              <w:rPr>
                <w:szCs w:val="22"/>
              </w:rPr>
              <w:t xml:space="preserve"> fumarate</w:t>
            </w:r>
          </w:p>
        </w:tc>
      </w:tr>
      <w:tr w:rsidR="00AD3D20" w:rsidRPr="00FD119B" w14:paraId="00BCD13B" w14:textId="77777777" w:rsidTr="00FD119B">
        <w:tc>
          <w:tcPr>
            <w:tcW w:w="1809" w:type="dxa"/>
          </w:tcPr>
          <w:p w14:paraId="071913F2" w14:textId="77777777" w:rsidR="00AD3D20" w:rsidRPr="00AD6775" w:rsidRDefault="008766D5" w:rsidP="00AD3D20">
            <w:pPr>
              <w:rPr>
                <w:szCs w:val="22"/>
              </w:rPr>
            </w:pPr>
            <w:r>
              <w:rPr>
                <w:szCs w:val="22"/>
              </w:rPr>
              <w:t>TDF/FTC</w:t>
            </w:r>
          </w:p>
        </w:tc>
        <w:tc>
          <w:tcPr>
            <w:tcW w:w="6911" w:type="dxa"/>
          </w:tcPr>
          <w:p w14:paraId="681ECD74" w14:textId="65862676" w:rsidR="00AD3D20" w:rsidRPr="00AD6775" w:rsidRDefault="00AD3D20" w:rsidP="00AD3D20">
            <w:pPr>
              <w:rPr>
                <w:szCs w:val="22"/>
              </w:rPr>
            </w:pPr>
            <w:r w:rsidRPr="00AD6775">
              <w:rPr>
                <w:szCs w:val="22"/>
              </w:rPr>
              <w:t xml:space="preserve">Tenofovir </w:t>
            </w:r>
            <w:proofErr w:type="spellStart"/>
            <w:r w:rsidRPr="00AD6775">
              <w:rPr>
                <w:szCs w:val="22"/>
              </w:rPr>
              <w:t>disoproxil</w:t>
            </w:r>
            <w:proofErr w:type="spellEnd"/>
            <w:r w:rsidRPr="00AD6775">
              <w:rPr>
                <w:szCs w:val="22"/>
              </w:rPr>
              <w:t xml:space="preserve"> fumara</w:t>
            </w:r>
            <w:r w:rsidR="004949A8">
              <w:rPr>
                <w:szCs w:val="22"/>
              </w:rPr>
              <w:t xml:space="preserve">te </w:t>
            </w:r>
            <w:r w:rsidR="00BA445C">
              <w:rPr>
                <w:szCs w:val="22"/>
              </w:rPr>
              <w:t>(</w:t>
            </w:r>
            <w:r w:rsidR="004949A8">
              <w:rPr>
                <w:szCs w:val="22"/>
              </w:rPr>
              <w:t>300 mg</w:t>
            </w:r>
            <w:r w:rsidR="00BA445C">
              <w:rPr>
                <w:szCs w:val="22"/>
              </w:rPr>
              <w:t>)</w:t>
            </w:r>
            <w:r w:rsidR="004949A8">
              <w:rPr>
                <w:szCs w:val="22"/>
              </w:rPr>
              <w:t xml:space="preserve"> and </w:t>
            </w:r>
            <w:r w:rsidR="00BA445C">
              <w:rPr>
                <w:szCs w:val="22"/>
              </w:rPr>
              <w:t>e</w:t>
            </w:r>
            <w:r w:rsidR="004949A8">
              <w:rPr>
                <w:szCs w:val="22"/>
              </w:rPr>
              <w:t xml:space="preserve">mtricitabine </w:t>
            </w:r>
            <w:r w:rsidR="00BA445C">
              <w:rPr>
                <w:szCs w:val="22"/>
              </w:rPr>
              <w:lastRenderedPageBreak/>
              <w:t>(</w:t>
            </w:r>
            <w:r w:rsidR="004949A8">
              <w:rPr>
                <w:szCs w:val="22"/>
              </w:rPr>
              <w:t>200 </w:t>
            </w:r>
            <w:r w:rsidRPr="00AD6775">
              <w:rPr>
                <w:szCs w:val="22"/>
              </w:rPr>
              <w:t>mg</w:t>
            </w:r>
            <w:r w:rsidR="00BA445C">
              <w:rPr>
                <w:szCs w:val="22"/>
              </w:rPr>
              <w:t>)</w:t>
            </w:r>
            <w:r w:rsidRPr="00AD6775">
              <w:rPr>
                <w:szCs w:val="22"/>
              </w:rPr>
              <w:t xml:space="preserve"> </w:t>
            </w:r>
            <w:r w:rsidR="00BA445C" w:rsidRPr="00AD6775">
              <w:rPr>
                <w:szCs w:val="22"/>
              </w:rPr>
              <w:t>fixed dose combination tablet</w:t>
            </w:r>
          </w:p>
        </w:tc>
      </w:tr>
      <w:tr w:rsidR="00AD3D20" w:rsidRPr="00FD119B" w14:paraId="1184046A" w14:textId="77777777" w:rsidTr="00FD119B">
        <w:tc>
          <w:tcPr>
            <w:tcW w:w="1809" w:type="dxa"/>
          </w:tcPr>
          <w:p w14:paraId="66B38219" w14:textId="77777777" w:rsidR="00AD3D20" w:rsidRPr="00AD6775" w:rsidRDefault="008766D5" w:rsidP="00AD3D20">
            <w:pPr>
              <w:rPr>
                <w:szCs w:val="22"/>
              </w:rPr>
            </w:pPr>
            <w:r>
              <w:rPr>
                <w:szCs w:val="22"/>
              </w:rPr>
              <w:lastRenderedPageBreak/>
              <w:t>ULN</w:t>
            </w:r>
          </w:p>
        </w:tc>
        <w:tc>
          <w:tcPr>
            <w:tcW w:w="6911" w:type="dxa"/>
          </w:tcPr>
          <w:p w14:paraId="0F92E5BC" w14:textId="77777777" w:rsidR="00AD3D20" w:rsidRPr="00AD6775" w:rsidRDefault="00AD3D20" w:rsidP="00AD3D20">
            <w:pPr>
              <w:rPr>
                <w:szCs w:val="22"/>
              </w:rPr>
            </w:pPr>
            <w:r w:rsidRPr="00AD6775">
              <w:rPr>
                <w:szCs w:val="22"/>
              </w:rPr>
              <w:t xml:space="preserve">Upper </w:t>
            </w:r>
            <w:r w:rsidR="004B0687" w:rsidRPr="00AD6775">
              <w:rPr>
                <w:szCs w:val="22"/>
              </w:rPr>
              <w:t>limit of normal</w:t>
            </w:r>
          </w:p>
        </w:tc>
      </w:tr>
      <w:tr w:rsidR="00AD3D20" w:rsidRPr="00FD119B" w14:paraId="55DE8E03" w14:textId="77777777" w:rsidTr="00FD119B">
        <w:tc>
          <w:tcPr>
            <w:tcW w:w="1809" w:type="dxa"/>
          </w:tcPr>
          <w:p w14:paraId="10AA02F2" w14:textId="77777777" w:rsidR="00AD3D20" w:rsidRPr="00AD6775" w:rsidRDefault="00AD3D20" w:rsidP="00AD3D20">
            <w:pPr>
              <w:rPr>
                <w:szCs w:val="22"/>
              </w:rPr>
            </w:pPr>
            <w:r w:rsidRPr="00AD6775">
              <w:rPr>
                <w:szCs w:val="22"/>
              </w:rPr>
              <w:t>US</w:t>
            </w:r>
            <w:r>
              <w:rPr>
                <w:szCs w:val="22"/>
              </w:rPr>
              <w:t>A</w:t>
            </w:r>
          </w:p>
        </w:tc>
        <w:tc>
          <w:tcPr>
            <w:tcW w:w="6911" w:type="dxa"/>
          </w:tcPr>
          <w:p w14:paraId="653FA660" w14:textId="77777777" w:rsidR="00AD3D20" w:rsidRPr="00AD6775" w:rsidRDefault="00AD3D20" w:rsidP="00AD3D20">
            <w:pPr>
              <w:rPr>
                <w:szCs w:val="22"/>
              </w:rPr>
            </w:pPr>
            <w:r w:rsidRPr="00AD6775">
              <w:rPr>
                <w:szCs w:val="22"/>
              </w:rPr>
              <w:t>United States of America</w:t>
            </w:r>
          </w:p>
        </w:tc>
      </w:tr>
      <w:tr w:rsidR="00AD3D20" w:rsidRPr="00FD119B" w14:paraId="59D7B218" w14:textId="77777777" w:rsidTr="00FD119B">
        <w:tc>
          <w:tcPr>
            <w:tcW w:w="1809" w:type="dxa"/>
          </w:tcPr>
          <w:p w14:paraId="55FADA76" w14:textId="77777777" w:rsidR="00AD3D20" w:rsidRPr="00AD6775" w:rsidRDefault="008766D5" w:rsidP="00AD3D20">
            <w:pPr>
              <w:autoSpaceDE w:val="0"/>
              <w:autoSpaceDN w:val="0"/>
              <w:adjustRightInd w:val="0"/>
              <w:rPr>
                <w:rFonts w:eastAsia="TimesNewRoman" w:cs="TimesNewRoman"/>
                <w:szCs w:val="22"/>
              </w:rPr>
            </w:pPr>
            <w:r>
              <w:rPr>
                <w:rFonts w:eastAsia="TimesNewRoman" w:cs="TimesNewRoman"/>
                <w:szCs w:val="22"/>
              </w:rPr>
              <w:t>ZDV</w:t>
            </w:r>
          </w:p>
        </w:tc>
        <w:tc>
          <w:tcPr>
            <w:tcW w:w="6911" w:type="dxa"/>
          </w:tcPr>
          <w:p w14:paraId="139BC4C0" w14:textId="584B0EAD" w:rsidR="00AD3D20" w:rsidRPr="00AD6775" w:rsidRDefault="004C0A50" w:rsidP="004C0A50">
            <w:pPr>
              <w:autoSpaceDE w:val="0"/>
              <w:autoSpaceDN w:val="0"/>
              <w:adjustRightInd w:val="0"/>
              <w:rPr>
                <w:rFonts w:eastAsia="TimesNewRoman" w:cs="TimesNewRoman"/>
                <w:szCs w:val="22"/>
              </w:rPr>
            </w:pPr>
            <w:r>
              <w:rPr>
                <w:rFonts w:eastAsia="TimesNewRoman" w:cs="TimesNewRoman"/>
                <w:szCs w:val="22"/>
              </w:rPr>
              <w:t>Zidovudine</w:t>
            </w:r>
          </w:p>
        </w:tc>
      </w:tr>
      <w:tr w:rsidR="00AD3D20" w:rsidRPr="00FD119B" w14:paraId="6BE74AE9" w14:textId="77777777" w:rsidTr="00FD119B">
        <w:tc>
          <w:tcPr>
            <w:tcW w:w="1809" w:type="dxa"/>
          </w:tcPr>
          <w:p w14:paraId="42D83356" w14:textId="77777777" w:rsidR="00AD3D20" w:rsidRPr="00AD6775" w:rsidRDefault="008766D5" w:rsidP="00AD3D20">
            <w:pPr>
              <w:rPr>
                <w:rFonts w:eastAsia="TimesNewRoman" w:cs="TimesNewRoman"/>
                <w:szCs w:val="22"/>
              </w:rPr>
            </w:pPr>
            <w:r>
              <w:rPr>
                <w:rFonts w:eastAsia="TimesNewRoman" w:cs="TimesNewRoman"/>
                <w:szCs w:val="22"/>
              </w:rPr>
              <w:t>ZDV/3TC</w:t>
            </w:r>
          </w:p>
        </w:tc>
        <w:tc>
          <w:tcPr>
            <w:tcW w:w="6911" w:type="dxa"/>
          </w:tcPr>
          <w:p w14:paraId="7B36444D" w14:textId="3435DEEE" w:rsidR="00AD3D20" w:rsidRPr="00AD6775" w:rsidRDefault="004C0A50" w:rsidP="004C0A50">
            <w:pPr>
              <w:rPr>
                <w:szCs w:val="22"/>
              </w:rPr>
            </w:pPr>
            <w:r>
              <w:rPr>
                <w:rFonts w:eastAsia="TimesNewRoman" w:cs="TimesNewRoman"/>
                <w:szCs w:val="22"/>
              </w:rPr>
              <w:t>Zidovudine/lamivudine</w:t>
            </w:r>
          </w:p>
        </w:tc>
      </w:tr>
    </w:tbl>
    <w:p w14:paraId="2331C01C" w14:textId="77777777" w:rsidR="00FD119B" w:rsidRDefault="00FD119B" w:rsidP="00FD119B"/>
    <w:p w14:paraId="46A3C89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45226B7" w14:textId="77777777" w:rsidR="008E7846" w:rsidRDefault="00F53C07" w:rsidP="008E7846">
      <w:pPr>
        <w:pStyle w:val="Heading2"/>
      </w:pPr>
      <w:bookmarkStart w:id="9" w:name="_Toc28080713"/>
      <w:r>
        <w:lastRenderedPageBreak/>
        <w:t>I.</w:t>
      </w:r>
      <w:r w:rsidR="008E7846">
        <w:t xml:space="preserve"> Introduction to product submission</w:t>
      </w:r>
      <w:bookmarkEnd w:id="0"/>
      <w:bookmarkEnd w:id="3"/>
      <w:bookmarkEnd w:id="9"/>
    </w:p>
    <w:p w14:paraId="2EA3EB43" w14:textId="77777777" w:rsidR="008E7846" w:rsidRDefault="008E7846" w:rsidP="008E7846">
      <w:pPr>
        <w:pStyle w:val="Heading3"/>
        <w:rPr>
          <w:lang w:eastAsia="en-AU"/>
        </w:rPr>
      </w:pPr>
      <w:bookmarkStart w:id="10" w:name="_Toc247691502"/>
      <w:bookmarkStart w:id="11" w:name="_Toc314842483"/>
      <w:bookmarkStart w:id="12" w:name="_Toc2808071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77C0215" w14:textId="77777777" w:rsidTr="003735BC">
        <w:tc>
          <w:tcPr>
            <w:tcW w:w="2907" w:type="dxa"/>
          </w:tcPr>
          <w:p w14:paraId="6185265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C1C5F2C" w14:textId="77777777" w:rsidR="008E7846" w:rsidRPr="003D1E62" w:rsidRDefault="00215397" w:rsidP="00215397">
            <w:r>
              <w:t>New combination of previously approved active ingredients</w:t>
            </w:r>
          </w:p>
        </w:tc>
      </w:tr>
      <w:tr w:rsidR="008E7846" w:rsidRPr="003D1E62" w14:paraId="788D2F8E" w14:textId="77777777" w:rsidTr="003735BC">
        <w:tc>
          <w:tcPr>
            <w:tcW w:w="2907" w:type="dxa"/>
          </w:tcPr>
          <w:p w14:paraId="6B68DD6E" w14:textId="77777777" w:rsidR="008E7846" w:rsidRPr="003D1E62" w:rsidRDefault="008E7846" w:rsidP="003D1E62">
            <w:r w:rsidRPr="003D1E62">
              <w:rPr>
                <w:i/>
              </w:rPr>
              <w:t>Decision</w:t>
            </w:r>
            <w:r w:rsidRPr="003D1E62">
              <w:t>:</w:t>
            </w:r>
          </w:p>
        </w:tc>
        <w:tc>
          <w:tcPr>
            <w:tcW w:w="6307" w:type="dxa"/>
          </w:tcPr>
          <w:p w14:paraId="3103C444" w14:textId="77777777" w:rsidR="008E7846" w:rsidRPr="003D1E62" w:rsidRDefault="00215397" w:rsidP="00215397">
            <w:r>
              <w:t>Approved</w:t>
            </w:r>
          </w:p>
        </w:tc>
      </w:tr>
      <w:tr w:rsidR="008E7846" w:rsidRPr="003D1E62" w14:paraId="06C42382" w14:textId="77777777" w:rsidTr="003735BC">
        <w:tc>
          <w:tcPr>
            <w:tcW w:w="2907" w:type="dxa"/>
          </w:tcPr>
          <w:p w14:paraId="5B66460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D998D06" w14:textId="77777777" w:rsidR="008E7846" w:rsidRPr="003D1E62" w:rsidRDefault="00215397" w:rsidP="001B5C90">
            <w:r>
              <w:t>11 September 2019</w:t>
            </w:r>
          </w:p>
        </w:tc>
      </w:tr>
      <w:tr w:rsidR="00ED2922" w:rsidRPr="003D1E62" w14:paraId="383E7773" w14:textId="77777777" w:rsidTr="003735BC">
        <w:tc>
          <w:tcPr>
            <w:tcW w:w="2907" w:type="dxa"/>
          </w:tcPr>
          <w:p w14:paraId="2D92DD50" w14:textId="77777777" w:rsidR="00ED2922" w:rsidRPr="00441C3F" w:rsidRDefault="00ED2922" w:rsidP="001B5C90">
            <w:pPr>
              <w:rPr>
                <w:i/>
              </w:rPr>
            </w:pPr>
            <w:r w:rsidRPr="00441C3F">
              <w:rPr>
                <w:i/>
              </w:rPr>
              <w:t>Date of entry onto ARTG</w:t>
            </w:r>
            <w:r w:rsidR="00500337">
              <w:rPr>
                <w:i/>
              </w:rPr>
              <w:t>:</w:t>
            </w:r>
          </w:p>
        </w:tc>
        <w:tc>
          <w:tcPr>
            <w:tcW w:w="6307" w:type="dxa"/>
          </w:tcPr>
          <w:p w14:paraId="76410A8B" w14:textId="77777777" w:rsidR="00ED2922" w:rsidRPr="00441C3F" w:rsidRDefault="00215397" w:rsidP="00D153D8">
            <w:pPr>
              <w:rPr>
                <w:i/>
              </w:rPr>
            </w:pPr>
            <w:r>
              <w:t>16 September 2019</w:t>
            </w:r>
          </w:p>
        </w:tc>
      </w:tr>
      <w:tr w:rsidR="00500337" w:rsidRPr="003D1E62" w14:paraId="04EBF105" w14:textId="77777777" w:rsidTr="003735BC">
        <w:tc>
          <w:tcPr>
            <w:tcW w:w="2907" w:type="dxa"/>
          </w:tcPr>
          <w:p w14:paraId="4F79417B" w14:textId="77777777" w:rsidR="00500337" w:rsidRPr="00441C3F" w:rsidRDefault="007C0228" w:rsidP="001B5C90">
            <w:pPr>
              <w:rPr>
                <w:i/>
              </w:rPr>
            </w:pPr>
            <w:r>
              <w:rPr>
                <w:i/>
              </w:rPr>
              <w:t>ARTG number</w:t>
            </w:r>
            <w:r w:rsidR="00500337">
              <w:rPr>
                <w:i/>
              </w:rPr>
              <w:t>:</w:t>
            </w:r>
          </w:p>
        </w:tc>
        <w:tc>
          <w:tcPr>
            <w:tcW w:w="6307" w:type="dxa"/>
          </w:tcPr>
          <w:p w14:paraId="79D1E931" w14:textId="77777777" w:rsidR="00500337" w:rsidRPr="00441C3F" w:rsidRDefault="00215397" w:rsidP="00EC463D">
            <w:r w:rsidRPr="00215397">
              <w:t>309378</w:t>
            </w:r>
          </w:p>
        </w:tc>
      </w:tr>
      <w:tr w:rsidR="003735BC" w:rsidRPr="003D1E62" w14:paraId="3ED93E11" w14:textId="77777777" w:rsidTr="003735BC">
        <w:tc>
          <w:tcPr>
            <w:tcW w:w="2907" w:type="dxa"/>
          </w:tcPr>
          <w:p w14:paraId="6A89F5CD"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49A7A106" w14:textId="77777777" w:rsidR="003735BC" w:rsidRPr="00487162" w:rsidRDefault="00215397" w:rsidP="003735BC">
            <w:r>
              <w:t>No</w:t>
            </w:r>
          </w:p>
        </w:tc>
      </w:tr>
      <w:tr w:rsidR="008E7846" w:rsidRPr="00487162" w14:paraId="4F27E9F2" w14:textId="77777777" w:rsidTr="00BF1190">
        <w:tc>
          <w:tcPr>
            <w:tcW w:w="2907" w:type="dxa"/>
          </w:tcPr>
          <w:p w14:paraId="3806F145" w14:textId="77777777" w:rsidR="008E7846" w:rsidRPr="00487162" w:rsidRDefault="001B5C90" w:rsidP="00E45619">
            <w:pPr>
              <w:rPr>
                <w:i/>
              </w:rPr>
            </w:pPr>
            <w:r>
              <w:rPr>
                <w:i/>
              </w:rPr>
              <w:t>Active ingredien</w:t>
            </w:r>
            <w:r w:rsidR="007C0228">
              <w:rPr>
                <w:i/>
              </w:rPr>
              <w:t>ts</w:t>
            </w:r>
            <w:r>
              <w:rPr>
                <w:i/>
              </w:rPr>
              <w:t>:</w:t>
            </w:r>
          </w:p>
        </w:tc>
        <w:tc>
          <w:tcPr>
            <w:tcW w:w="6307" w:type="dxa"/>
          </w:tcPr>
          <w:p w14:paraId="7D62B788" w14:textId="77777777" w:rsidR="008E7846" w:rsidRPr="00487162" w:rsidRDefault="00215397" w:rsidP="00E55CB0">
            <w:proofErr w:type="spellStart"/>
            <w:r>
              <w:t>Dolutegravir</w:t>
            </w:r>
            <w:proofErr w:type="spellEnd"/>
            <w:r>
              <w:t xml:space="preserve"> (as sodium)</w:t>
            </w:r>
            <w:r w:rsidRPr="00215397">
              <w:t>/lamivudine</w:t>
            </w:r>
          </w:p>
        </w:tc>
      </w:tr>
      <w:tr w:rsidR="008E7846" w:rsidRPr="00487162" w14:paraId="643898A1" w14:textId="77777777" w:rsidTr="00BF1190">
        <w:tc>
          <w:tcPr>
            <w:tcW w:w="2907" w:type="dxa"/>
          </w:tcPr>
          <w:p w14:paraId="4946C766" w14:textId="77777777" w:rsidR="008E7846" w:rsidRPr="00487162" w:rsidRDefault="008E7846" w:rsidP="001B5C90">
            <w:pPr>
              <w:rPr>
                <w:i/>
              </w:rPr>
            </w:pPr>
            <w:r w:rsidRPr="00487162">
              <w:rPr>
                <w:i/>
              </w:rPr>
              <w:t>Product</w:t>
            </w:r>
            <w:r w:rsidR="007C0228">
              <w:rPr>
                <w:i/>
              </w:rPr>
              <w:t xml:space="preserve"> name</w:t>
            </w:r>
            <w:r w:rsidR="001B5C90">
              <w:rPr>
                <w:i/>
              </w:rPr>
              <w:t>:</w:t>
            </w:r>
          </w:p>
        </w:tc>
        <w:tc>
          <w:tcPr>
            <w:tcW w:w="6307" w:type="dxa"/>
          </w:tcPr>
          <w:p w14:paraId="3B5C6FC4" w14:textId="77777777" w:rsidR="008E7846" w:rsidRPr="00487162" w:rsidRDefault="00215397" w:rsidP="00E45619">
            <w:proofErr w:type="spellStart"/>
            <w:r>
              <w:t>Dovato</w:t>
            </w:r>
            <w:proofErr w:type="spellEnd"/>
          </w:p>
        </w:tc>
      </w:tr>
      <w:tr w:rsidR="008E7846" w:rsidRPr="00487162" w14:paraId="2A239779" w14:textId="77777777" w:rsidTr="00BF1190">
        <w:tc>
          <w:tcPr>
            <w:tcW w:w="2907" w:type="dxa"/>
          </w:tcPr>
          <w:p w14:paraId="6A443DF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7091E24" w14:textId="77777777" w:rsidR="008E7846" w:rsidRDefault="007C0228" w:rsidP="00E45619">
            <w:proofErr w:type="spellStart"/>
            <w:r w:rsidRPr="007C0228">
              <w:t>ViiV</w:t>
            </w:r>
            <w:proofErr w:type="spellEnd"/>
            <w:r w:rsidRPr="007C0228">
              <w:t xml:space="preserve"> Healthcare Pty Ltd</w:t>
            </w:r>
          </w:p>
          <w:p w14:paraId="13D631E2" w14:textId="77777777" w:rsidR="007C0228" w:rsidRDefault="007C0228" w:rsidP="00E45619">
            <w:r>
              <w:t>PO Box 18095</w:t>
            </w:r>
          </w:p>
          <w:p w14:paraId="1B4466AC" w14:textId="77777777" w:rsidR="007C0228" w:rsidRPr="00487162" w:rsidRDefault="007C0228" w:rsidP="00E45619">
            <w:r w:rsidRPr="007C0228">
              <w:t>Melbourne City, VIC, 800</w:t>
            </w:r>
            <w:r>
              <w:t>1</w:t>
            </w:r>
          </w:p>
        </w:tc>
      </w:tr>
      <w:tr w:rsidR="008E7846" w:rsidRPr="00487162" w14:paraId="2D8DED61" w14:textId="77777777" w:rsidTr="00BF1190">
        <w:tc>
          <w:tcPr>
            <w:tcW w:w="2907" w:type="dxa"/>
          </w:tcPr>
          <w:p w14:paraId="3276BF45" w14:textId="77777777" w:rsidR="008E7846" w:rsidRPr="00487162" w:rsidRDefault="007C0228" w:rsidP="00E45619">
            <w:pPr>
              <w:rPr>
                <w:i/>
              </w:rPr>
            </w:pPr>
            <w:r>
              <w:rPr>
                <w:i/>
              </w:rPr>
              <w:t>Dose form</w:t>
            </w:r>
            <w:r w:rsidR="001B5C90">
              <w:rPr>
                <w:i/>
              </w:rPr>
              <w:t>:</w:t>
            </w:r>
          </w:p>
        </w:tc>
        <w:tc>
          <w:tcPr>
            <w:tcW w:w="6307" w:type="dxa"/>
          </w:tcPr>
          <w:p w14:paraId="10948A65" w14:textId="77777777" w:rsidR="008E7846" w:rsidRPr="00487162" w:rsidRDefault="007C0228" w:rsidP="00E45619">
            <w:r w:rsidRPr="007C0228">
              <w:t>Tablet, film coated</w:t>
            </w:r>
          </w:p>
        </w:tc>
      </w:tr>
      <w:tr w:rsidR="008E7846" w:rsidRPr="00487162" w14:paraId="58588F3E" w14:textId="77777777" w:rsidTr="00BF1190">
        <w:tc>
          <w:tcPr>
            <w:tcW w:w="2907" w:type="dxa"/>
          </w:tcPr>
          <w:p w14:paraId="38D86DEB" w14:textId="77777777" w:rsidR="008E7846" w:rsidRPr="00487162" w:rsidRDefault="007C0228" w:rsidP="00E45619">
            <w:pPr>
              <w:rPr>
                <w:i/>
              </w:rPr>
            </w:pPr>
            <w:r>
              <w:rPr>
                <w:i/>
              </w:rPr>
              <w:t>Strength</w:t>
            </w:r>
            <w:r w:rsidR="008E7846" w:rsidRPr="00487162">
              <w:rPr>
                <w:i/>
              </w:rPr>
              <w:t xml:space="preserve">: </w:t>
            </w:r>
          </w:p>
        </w:tc>
        <w:tc>
          <w:tcPr>
            <w:tcW w:w="6307" w:type="dxa"/>
          </w:tcPr>
          <w:p w14:paraId="61FD9561" w14:textId="77777777" w:rsidR="008E7846" w:rsidRPr="00487162" w:rsidRDefault="007C0228" w:rsidP="00E45619">
            <w:proofErr w:type="spellStart"/>
            <w:r>
              <w:t>D</w:t>
            </w:r>
            <w:r w:rsidRPr="007C0228">
              <w:t>olutegravir</w:t>
            </w:r>
            <w:proofErr w:type="spellEnd"/>
            <w:r w:rsidRPr="007C0228">
              <w:t xml:space="preserve"> (as sodium) 50 mg/lamivudine 300 mg</w:t>
            </w:r>
            <w:r>
              <w:t xml:space="preserve"> fixed dose combination</w:t>
            </w:r>
          </w:p>
        </w:tc>
      </w:tr>
      <w:tr w:rsidR="008E7846" w:rsidRPr="00487162" w14:paraId="6EFE1E33" w14:textId="77777777" w:rsidTr="00BF1190">
        <w:tc>
          <w:tcPr>
            <w:tcW w:w="2907" w:type="dxa"/>
          </w:tcPr>
          <w:p w14:paraId="587C11AB" w14:textId="77777777" w:rsidR="008E7846" w:rsidRPr="00487162" w:rsidRDefault="007C0228" w:rsidP="00E45619">
            <w:pPr>
              <w:rPr>
                <w:i/>
              </w:rPr>
            </w:pPr>
            <w:r>
              <w:rPr>
                <w:i/>
              </w:rPr>
              <w:t>Container</w:t>
            </w:r>
            <w:r w:rsidR="008E7846" w:rsidRPr="00487162">
              <w:rPr>
                <w:i/>
              </w:rPr>
              <w:t>:</w:t>
            </w:r>
          </w:p>
        </w:tc>
        <w:tc>
          <w:tcPr>
            <w:tcW w:w="6307" w:type="dxa"/>
          </w:tcPr>
          <w:p w14:paraId="2ABEA64A" w14:textId="77777777" w:rsidR="008E7846" w:rsidRPr="00487162" w:rsidRDefault="007C0228" w:rsidP="00E45619">
            <w:r>
              <w:t>Bottle</w:t>
            </w:r>
          </w:p>
        </w:tc>
      </w:tr>
      <w:tr w:rsidR="008E7846" w:rsidRPr="00487162" w14:paraId="69400536" w14:textId="77777777" w:rsidTr="00BF1190">
        <w:tc>
          <w:tcPr>
            <w:tcW w:w="2907" w:type="dxa"/>
          </w:tcPr>
          <w:p w14:paraId="25D98902" w14:textId="77777777" w:rsidR="008E7846" w:rsidRPr="00487162" w:rsidRDefault="007C0228" w:rsidP="00E45619">
            <w:pPr>
              <w:rPr>
                <w:i/>
              </w:rPr>
            </w:pPr>
            <w:r>
              <w:rPr>
                <w:i/>
              </w:rPr>
              <w:t>Pack size</w:t>
            </w:r>
            <w:r w:rsidR="008E7846" w:rsidRPr="00487162">
              <w:rPr>
                <w:i/>
              </w:rPr>
              <w:t>:</w:t>
            </w:r>
          </w:p>
        </w:tc>
        <w:tc>
          <w:tcPr>
            <w:tcW w:w="6307" w:type="dxa"/>
          </w:tcPr>
          <w:p w14:paraId="2569DC95" w14:textId="77777777" w:rsidR="008E7846" w:rsidRPr="00487162" w:rsidRDefault="007C0228" w:rsidP="00E45619">
            <w:r>
              <w:t>30</w:t>
            </w:r>
          </w:p>
        </w:tc>
      </w:tr>
      <w:tr w:rsidR="008E7846" w:rsidRPr="00487162" w14:paraId="6E8CB546" w14:textId="77777777" w:rsidTr="00BF1190">
        <w:tc>
          <w:tcPr>
            <w:tcW w:w="2907" w:type="dxa"/>
          </w:tcPr>
          <w:p w14:paraId="5814D49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22C74E1" w14:textId="77777777" w:rsidR="008E7846" w:rsidRPr="007C0228" w:rsidRDefault="007C0228" w:rsidP="007C0228">
            <w:pPr>
              <w:rPr>
                <w:i/>
              </w:rPr>
            </w:pPr>
            <w:proofErr w:type="spellStart"/>
            <w:r w:rsidRPr="007C0228">
              <w:rPr>
                <w:i/>
              </w:rPr>
              <w:t>Dovato</w:t>
            </w:r>
            <w:proofErr w:type="spellEnd"/>
            <w:r w:rsidRPr="007C0228">
              <w:rPr>
                <w:i/>
              </w:rPr>
              <w:t xml:space="preserve"> (a fixed-dose combination of </w:t>
            </w:r>
            <w:proofErr w:type="spellStart"/>
            <w:r w:rsidRPr="007C0228">
              <w:rPr>
                <w:i/>
              </w:rPr>
              <w:t>dolutegravir</w:t>
            </w:r>
            <w:proofErr w:type="spellEnd"/>
            <w:r w:rsidRPr="007C0228">
              <w:rPr>
                <w:i/>
              </w:rPr>
              <w:t xml:space="preserve"> and lamivudine) is indicated for the treatment of Human Immunodeficiency Virus-1 (HIV-1) infection in antiretroviral treatment-naïve adults and adolescents (from 12 years of age weighing at least 40 kg) who have no known or suspected resistance to either antiretroviral component (see section 5.1 </w:t>
            </w:r>
            <w:proofErr w:type="spellStart"/>
            <w:r w:rsidRPr="007C0228">
              <w:rPr>
                <w:i/>
              </w:rPr>
              <w:t>Pharmacodynamic</w:t>
            </w:r>
            <w:proofErr w:type="spellEnd"/>
            <w:r w:rsidRPr="007C0228">
              <w:rPr>
                <w:i/>
              </w:rPr>
              <w:t xml:space="preserve"> Properties, Clinical trials).</w:t>
            </w:r>
          </w:p>
        </w:tc>
      </w:tr>
      <w:tr w:rsidR="008E7846" w:rsidRPr="00487162" w14:paraId="7898E66B" w14:textId="77777777" w:rsidTr="00BF1190">
        <w:tc>
          <w:tcPr>
            <w:tcW w:w="2907" w:type="dxa"/>
          </w:tcPr>
          <w:p w14:paraId="271340F5" w14:textId="77777777" w:rsidR="008E7846" w:rsidRPr="00487162" w:rsidRDefault="007C0228" w:rsidP="00E45619">
            <w:pPr>
              <w:rPr>
                <w:i/>
              </w:rPr>
            </w:pPr>
            <w:r>
              <w:rPr>
                <w:i/>
              </w:rPr>
              <w:t>Route</w:t>
            </w:r>
            <w:r w:rsidR="008E7846" w:rsidRPr="00487162">
              <w:rPr>
                <w:i/>
              </w:rPr>
              <w:t xml:space="preserve"> of administration:</w:t>
            </w:r>
          </w:p>
        </w:tc>
        <w:tc>
          <w:tcPr>
            <w:tcW w:w="6307" w:type="dxa"/>
          </w:tcPr>
          <w:p w14:paraId="28AFBAAA" w14:textId="77777777" w:rsidR="008E7846" w:rsidRPr="00487162" w:rsidRDefault="007C0228" w:rsidP="00E45619">
            <w:r>
              <w:t>Oral</w:t>
            </w:r>
          </w:p>
        </w:tc>
      </w:tr>
      <w:tr w:rsidR="008E7846" w:rsidRPr="00487162" w14:paraId="52340FD2" w14:textId="77777777" w:rsidTr="00BF1190">
        <w:tc>
          <w:tcPr>
            <w:tcW w:w="2907" w:type="dxa"/>
          </w:tcPr>
          <w:p w14:paraId="1CCC8ED5" w14:textId="77777777" w:rsidR="008E7846" w:rsidRPr="00487162" w:rsidRDefault="008E7846" w:rsidP="00E45619">
            <w:pPr>
              <w:rPr>
                <w:i/>
              </w:rPr>
            </w:pPr>
            <w:r w:rsidRPr="00487162">
              <w:rPr>
                <w:i/>
              </w:rPr>
              <w:t>Dosage:</w:t>
            </w:r>
          </w:p>
        </w:tc>
        <w:tc>
          <w:tcPr>
            <w:tcW w:w="6307" w:type="dxa"/>
          </w:tcPr>
          <w:p w14:paraId="6E9053DF" w14:textId="77777777" w:rsidR="007C0228" w:rsidRPr="007C0228" w:rsidRDefault="007C0228" w:rsidP="007C0228">
            <w:pPr>
              <w:rPr>
                <w:i/>
              </w:rPr>
            </w:pPr>
            <w:r w:rsidRPr="007C0228">
              <w:rPr>
                <w:i/>
              </w:rPr>
              <w:t>Adults and Adolescents</w:t>
            </w:r>
          </w:p>
          <w:p w14:paraId="31EE91B1" w14:textId="77777777" w:rsidR="008E7846" w:rsidRDefault="007C0228" w:rsidP="007C0228">
            <w:r>
              <w:t xml:space="preserve">The recommended dose of </w:t>
            </w:r>
            <w:proofErr w:type="spellStart"/>
            <w:r>
              <w:t>Dovato</w:t>
            </w:r>
            <w:proofErr w:type="spellEnd"/>
            <w:r>
              <w:t xml:space="preserve"> in adults and adolescents weighing at least 40 kg is one tablet (containing 50 mg of </w:t>
            </w:r>
            <w:proofErr w:type="spellStart"/>
            <w:r>
              <w:t>dolutegravir</w:t>
            </w:r>
            <w:proofErr w:type="spellEnd"/>
            <w:r>
              <w:t xml:space="preserve"> and 300 mg of lamivudine) once daily.</w:t>
            </w:r>
          </w:p>
          <w:p w14:paraId="2857FA8F" w14:textId="77777777" w:rsidR="007C0228" w:rsidRPr="00487162" w:rsidRDefault="007C0228" w:rsidP="007C0228">
            <w:r>
              <w:t>For further information refer to the Product Information</w:t>
            </w:r>
            <w:r w:rsidR="00F8501E">
              <w:t xml:space="preserve"> (PI)</w:t>
            </w:r>
            <w:r>
              <w:t>.</w:t>
            </w:r>
          </w:p>
        </w:tc>
      </w:tr>
    </w:tbl>
    <w:p w14:paraId="324FDD42" w14:textId="77777777" w:rsidR="008E7846" w:rsidRDefault="008E7846" w:rsidP="008E7846">
      <w:pPr>
        <w:pStyle w:val="Heading3"/>
      </w:pPr>
      <w:bookmarkStart w:id="13" w:name="_Toc247691503"/>
      <w:bookmarkStart w:id="14" w:name="_Toc314842484"/>
      <w:bookmarkStart w:id="15" w:name="_Toc28080715"/>
      <w:r>
        <w:lastRenderedPageBreak/>
        <w:t>Product background</w:t>
      </w:r>
      <w:bookmarkEnd w:id="13"/>
      <w:bookmarkEnd w:id="14"/>
      <w:bookmarkEnd w:id="15"/>
    </w:p>
    <w:p w14:paraId="3CE7EB05" w14:textId="77777777" w:rsidR="008E7846" w:rsidRDefault="00940A89" w:rsidP="00940A89">
      <w:r w:rsidRPr="00940A89">
        <w:t xml:space="preserve">This AusPAR describes the application by </w:t>
      </w:r>
      <w:proofErr w:type="spellStart"/>
      <w:r w:rsidR="00C51896" w:rsidRPr="007C0228">
        <w:t>ViiV</w:t>
      </w:r>
      <w:proofErr w:type="spellEnd"/>
      <w:r w:rsidR="00C51896" w:rsidRPr="007C0228">
        <w:t xml:space="preserve"> Healthcare Pty Ltd</w:t>
      </w:r>
      <w:r w:rsidR="00C51896" w:rsidRPr="00940A89">
        <w:t xml:space="preserve"> </w:t>
      </w:r>
      <w:r w:rsidR="00C51896">
        <w:t>(</w:t>
      </w:r>
      <w:r w:rsidRPr="00940A89">
        <w:t>the sponsor</w:t>
      </w:r>
      <w:r w:rsidR="00C51896">
        <w:t>)</w:t>
      </w:r>
      <w:r w:rsidRPr="00940A89">
        <w:t xml:space="preserve"> to register </w:t>
      </w:r>
      <w:proofErr w:type="spellStart"/>
      <w:r w:rsidR="007C0228">
        <w:t>Dovato</w:t>
      </w:r>
      <w:proofErr w:type="spellEnd"/>
      <w:r w:rsidR="007C0228">
        <w:t xml:space="preserve"> (</w:t>
      </w:r>
      <w:proofErr w:type="spellStart"/>
      <w:r w:rsidR="007C0228">
        <w:t>dolutegravir</w:t>
      </w:r>
      <w:proofErr w:type="spellEnd"/>
      <w:r w:rsidR="007C0228">
        <w:t xml:space="preserve"> (as sodium)</w:t>
      </w:r>
      <w:r w:rsidR="007C0228" w:rsidRPr="007C0228">
        <w:t>/lamivudine</w:t>
      </w:r>
      <w:r w:rsidR="007C0228">
        <w:t>)</w:t>
      </w:r>
      <w:r w:rsidRPr="00940A89">
        <w:t xml:space="preserve"> </w:t>
      </w:r>
      <w:r w:rsidR="00F8501E">
        <w:t xml:space="preserve">fixed dose combination tablet </w:t>
      </w:r>
      <w:r w:rsidRPr="00940A89">
        <w:t>f</w:t>
      </w:r>
      <w:r w:rsidR="007C0228">
        <w:t xml:space="preserve">or the following </w:t>
      </w:r>
      <w:r w:rsidR="00F8501E">
        <w:t xml:space="preserve">proposed </w:t>
      </w:r>
      <w:r w:rsidR="007C0228">
        <w:t>indication:</w:t>
      </w:r>
    </w:p>
    <w:p w14:paraId="282FE194" w14:textId="77777777" w:rsidR="007C0228" w:rsidRPr="007C0228" w:rsidRDefault="002F7CF5" w:rsidP="007C0228">
      <w:pPr>
        <w:ind w:left="720"/>
        <w:rPr>
          <w:i/>
        </w:rPr>
      </w:pPr>
      <w:proofErr w:type="spellStart"/>
      <w:r>
        <w:rPr>
          <w:i/>
        </w:rPr>
        <w:t>Dovato</w:t>
      </w:r>
      <w:proofErr w:type="spellEnd"/>
      <w:r>
        <w:rPr>
          <w:i/>
        </w:rPr>
        <w:t xml:space="preserve"> (</w:t>
      </w:r>
      <w:proofErr w:type="spellStart"/>
      <w:r>
        <w:rPr>
          <w:i/>
        </w:rPr>
        <w:t>dolutegravir</w:t>
      </w:r>
      <w:proofErr w:type="spellEnd"/>
      <w:r w:rsidR="007C0228" w:rsidRPr="007C0228">
        <w:rPr>
          <w:i/>
        </w:rPr>
        <w:t>/</w:t>
      </w:r>
      <w:r>
        <w:rPr>
          <w:i/>
        </w:rPr>
        <w:t>l</w:t>
      </w:r>
      <w:r w:rsidR="007C0228" w:rsidRPr="007C0228">
        <w:rPr>
          <w:i/>
        </w:rPr>
        <w:t>amivudine) is indicated for the treatment of Human Immunodeficiency Virus (HIV) infection in adults and adolescents from 12 years of age weighing at least 40 kg, who have no known or suspected resistance to either antiretroviral component.</w:t>
      </w:r>
    </w:p>
    <w:p w14:paraId="4FEDBE89" w14:textId="76E82CAB" w:rsidR="00940A89" w:rsidRDefault="002F7CF5" w:rsidP="007C0228">
      <w:r w:rsidRPr="002F7CF5">
        <w:t xml:space="preserve">Human </w:t>
      </w:r>
      <w:r w:rsidR="00F8501E" w:rsidRPr="002F7CF5">
        <w:t xml:space="preserve">immunodeficiency virus </w:t>
      </w:r>
      <w:r w:rsidRPr="002F7CF5">
        <w:t xml:space="preserve">(HIV) is the virus that causes </w:t>
      </w:r>
      <w:r w:rsidR="00F8501E" w:rsidRPr="002F7CF5">
        <w:t>acquired immunodeficiency syndrome</w:t>
      </w:r>
      <w:r w:rsidRPr="002F7CF5">
        <w:t xml:space="preserve"> (AIDS). HIV damages the immune system and without treatment can lead to serious infections and cancers over time. The late stage of HIV infections is called AIDS. There are 2 main types of this virus: </w:t>
      </w:r>
      <w:r w:rsidR="007671AD">
        <w:t xml:space="preserve">type 1 (HIV-1) </w:t>
      </w:r>
      <w:r w:rsidRPr="002F7CF5">
        <w:t xml:space="preserve">and </w:t>
      </w:r>
      <w:r w:rsidR="007671AD">
        <w:t>type 2 (</w:t>
      </w:r>
      <w:r w:rsidRPr="002F7CF5">
        <w:t>HIV-2</w:t>
      </w:r>
      <w:r w:rsidR="007671AD">
        <w:t>)</w:t>
      </w:r>
      <w:r w:rsidRPr="002F7CF5">
        <w:t xml:space="preserve">. HIV-1 is the most common type of HIV and occurs all over the world and around 95% of people living with HIV have HIV-1. HIV-2 is mainly present in West Africa, but is slowly starting to appear in other regions including </w:t>
      </w:r>
      <w:r w:rsidR="006835ED">
        <w:t>the United States of America (</w:t>
      </w:r>
      <w:r w:rsidRPr="002F7CF5">
        <w:t>USA</w:t>
      </w:r>
      <w:r w:rsidR="006835ED">
        <w:t>)</w:t>
      </w:r>
      <w:r w:rsidRPr="002F7CF5">
        <w:t>, Europe and India. According to the most recent surveillance report</w:t>
      </w:r>
      <w:r w:rsidR="007671AD">
        <w:t>;</w:t>
      </w:r>
      <w:r w:rsidR="00F32EE0">
        <w:rPr>
          <w:rStyle w:val="FootnoteReference"/>
        </w:rPr>
        <w:footnoteReference w:id="1"/>
      </w:r>
      <w:r w:rsidRPr="002F7CF5">
        <w:t xml:space="preserve"> at the end of 2016, there were 26,444</w:t>
      </w:r>
      <w:r w:rsidR="007671AD">
        <w:t> </w:t>
      </w:r>
      <w:r w:rsidRPr="002F7CF5">
        <w:t>people estimated to be living with HIV in Australia. Male</w:t>
      </w:r>
      <w:r w:rsidR="007671AD">
        <w:t xml:space="preserve"> </w:t>
      </w:r>
      <w:r w:rsidRPr="002F7CF5">
        <w:t>to</w:t>
      </w:r>
      <w:r w:rsidR="007671AD">
        <w:t xml:space="preserve"> </w:t>
      </w:r>
      <w:r w:rsidRPr="002F7CF5">
        <w:t>male sex</w:t>
      </w:r>
      <w:r w:rsidR="007671AD">
        <w:t>ual intercourse</w:t>
      </w:r>
      <w:r w:rsidRPr="002F7CF5">
        <w:t xml:space="preserve"> continues to be the major HIV risk exposure in Australia, reported for 712 (70%) HIV diagnoses in 2016</w:t>
      </w:r>
      <w:r w:rsidR="007671AD">
        <w:t>;</w:t>
      </w:r>
      <w:r w:rsidRPr="002F7CF5">
        <w:t xml:space="preserve"> heterosexual sex</w:t>
      </w:r>
      <w:r w:rsidR="007671AD">
        <w:t>ual</w:t>
      </w:r>
      <w:r w:rsidRPr="002F7CF5">
        <w:t xml:space="preserve"> </w:t>
      </w:r>
      <w:r w:rsidR="007671AD">
        <w:t xml:space="preserve">intercourse </w:t>
      </w:r>
      <w:r w:rsidRPr="002F7CF5">
        <w:t>reported for 209 (21%) diagnoses</w:t>
      </w:r>
      <w:r w:rsidR="007671AD">
        <w:t>;</w:t>
      </w:r>
      <w:r w:rsidRPr="002F7CF5">
        <w:t xml:space="preserve"> both male</w:t>
      </w:r>
      <w:r w:rsidR="007671AD">
        <w:t xml:space="preserve"> </w:t>
      </w:r>
      <w:r w:rsidRPr="002F7CF5">
        <w:t>to</w:t>
      </w:r>
      <w:r w:rsidR="007671AD">
        <w:t xml:space="preserve"> </w:t>
      </w:r>
      <w:r w:rsidRPr="002F7CF5">
        <w:t>male sex</w:t>
      </w:r>
      <w:r w:rsidR="007671AD">
        <w:t>ual intercourse</w:t>
      </w:r>
      <w:r w:rsidRPr="002F7CF5">
        <w:t xml:space="preserve"> and injecting drug use for 51 (5%) diagnoses</w:t>
      </w:r>
      <w:r w:rsidR="007671AD">
        <w:t>;</w:t>
      </w:r>
      <w:r w:rsidRPr="002F7CF5">
        <w:t xml:space="preserve"> and injecting drug use for 14 (1%) diagnoses. In 2016</w:t>
      </w:r>
      <w:r w:rsidR="007671AD">
        <w:t>, the</w:t>
      </w:r>
      <w:r w:rsidRPr="002F7CF5">
        <w:t xml:space="preserve"> HIV prevalence, or the proportion of all people in Australia who were living with HIV, was 0.13%, which is low compared to other high</w:t>
      </w:r>
      <w:r w:rsidR="007671AD">
        <w:t xml:space="preserve"> </w:t>
      </w:r>
      <w:r w:rsidRPr="002F7CF5">
        <w:t>income countries and to countries in the Asia</w:t>
      </w:r>
      <w:r w:rsidR="007671AD">
        <w:noBreakHyphen/>
      </w:r>
      <w:r w:rsidRPr="002F7CF5">
        <w:t>Pacific region. Based on the test for immune function (</w:t>
      </w:r>
      <w:r w:rsidR="00F32EE0">
        <w:t>CD4 T lymphocyte (</w:t>
      </w:r>
      <w:r w:rsidRPr="002F7CF5">
        <w:t>CD4+</w:t>
      </w:r>
      <w:r w:rsidR="00F32EE0">
        <w:t>)</w:t>
      </w:r>
      <w:r w:rsidRPr="002F7CF5">
        <w:t xml:space="preserve"> cell count), a third (33%) of new HIV diagnoses in 2016 were classified as late diagnoses (CD4+ cell count of &lt;</w:t>
      </w:r>
      <w:r w:rsidR="00F32EE0">
        <w:t xml:space="preserve"> </w:t>
      </w:r>
      <w:r w:rsidRPr="002F7CF5">
        <w:t>350 cells/</w:t>
      </w:r>
      <w:r w:rsidR="007671AD">
        <w:t>µ</w:t>
      </w:r>
      <w:r w:rsidRPr="002F7CF5">
        <w:t>L). These diagnoses are likely to have been in people who had acquired HIV at least four years before diagnosis without being tested.</w:t>
      </w:r>
    </w:p>
    <w:p w14:paraId="6EB36A74" w14:textId="0B62B422" w:rsidR="008766D5" w:rsidRDefault="002F7CF5" w:rsidP="002F7CF5">
      <w:r>
        <w:t>Anti</w:t>
      </w:r>
      <w:r w:rsidR="00C554AF">
        <w:t>-</w:t>
      </w:r>
      <w:r>
        <w:t xml:space="preserve">retroviral therapy (ART) has reduced HIV-related morbidity and mortality at all stages of HIV infection and has reduced HIV transmission. Maximal and durable suppression of plasma viremia delays or prevents the selection of drug-resistance mutations, preserves or improves </w:t>
      </w:r>
      <w:r w:rsidR="00F32EE0">
        <w:t>CD4+</w:t>
      </w:r>
      <w:r>
        <w:t xml:space="preserve"> cell numbers and confers substantial clinical benefits, all of which are important treatment goals. HIV suppression with ART may also decrease inflammation and immune activation thought to contribute to higher rates of cardiovascular and other end-organ damage reported in HIV-infected cohorts. Despite these benefits, eradication of HIV infection cannot be achieved with available anti</w:t>
      </w:r>
      <w:r w:rsidR="00C554AF">
        <w:noBreakHyphen/>
      </w:r>
      <w:r>
        <w:t>retroviral</w:t>
      </w:r>
      <w:r w:rsidR="007671AD">
        <w:t xml:space="preserve"> (ARV) drugs</w:t>
      </w:r>
      <w:r>
        <w:t>. Treatment interruption has been associated with rebound viremia, worsening of immune function and increased morbidity and mortality. Thus, once initiated, ART should be continued, with the</w:t>
      </w:r>
      <w:r w:rsidR="008766D5">
        <w:t xml:space="preserve"> following key treatment goals:</w:t>
      </w:r>
    </w:p>
    <w:p w14:paraId="7407D86D" w14:textId="422DD197" w:rsidR="008766D5" w:rsidRDefault="004B4F33" w:rsidP="00EE0579">
      <w:pPr>
        <w:pStyle w:val="ListBullet"/>
      </w:pPr>
      <w:r>
        <w:t>M</w:t>
      </w:r>
      <w:r w:rsidR="007671AD">
        <w:t xml:space="preserve">aximally </w:t>
      </w:r>
      <w:r w:rsidR="002F7CF5">
        <w:t>and d</w:t>
      </w:r>
      <w:r w:rsidR="008766D5">
        <w:t xml:space="preserve">urably suppress plasma HIV </w:t>
      </w:r>
      <w:r w:rsidR="00EE0579">
        <w:t>r</w:t>
      </w:r>
      <w:r w:rsidR="00EE0579" w:rsidRPr="00EE0579">
        <w:t xml:space="preserve">ibonucleic acid </w:t>
      </w:r>
      <w:r w:rsidR="00EE0579">
        <w:t>(</w:t>
      </w:r>
      <w:r w:rsidR="008766D5">
        <w:t>RNA</w:t>
      </w:r>
      <w:r w:rsidR="00EE0579">
        <w:t>)</w:t>
      </w:r>
      <w:r w:rsidR="008766D5">
        <w:t>;</w:t>
      </w:r>
    </w:p>
    <w:p w14:paraId="6C06CA33" w14:textId="53B20D27" w:rsidR="008766D5" w:rsidRDefault="004B4F33" w:rsidP="008766D5">
      <w:pPr>
        <w:pStyle w:val="ListBullet"/>
      </w:pPr>
      <w:r>
        <w:t>R</w:t>
      </w:r>
      <w:r w:rsidR="007671AD">
        <w:t xml:space="preserve">estore </w:t>
      </w:r>
      <w:r w:rsidR="002F7CF5">
        <w:t>and</w:t>
      </w:r>
      <w:r w:rsidR="008766D5">
        <w:t xml:space="preserve"> preserve immunologic function;</w:t>
      </w:r>
      <w:r w:rsidR="007671AD">
        <w:t xml:space="preserve"> and</w:t>
      </w:r>
    </w:p>
    <w:p w14:paraId="5B88096D" w14:textId="6D24582E" w:rsidR="002F7CF5" w:rsidRDefault="004B4F33" w:rsidP="008766D5">
      <w:pPr>
        <w:pStyle w:val="ListBullet"/>
      </w:pPr>
      <w:r>
        <w:t>R</w:t>
      </w:r>
      <w:r w:rsidR="007671AD">
        <w:t xml:space="preserve">educe </w:t>
      </w:r>
      <w:r w:rsidR="002F7CF5">
        <w:t>HIV-associated morbidity and prolong the duration and quality of survival and prevent HIV transmission.</w:t>
      </w:r>
    </w:p>
    <w:p w14:paraId="0CDE8107" w14:textId="77777777" w:rsidR="008766D5" w:rsidRDefault="002F7CF5" w:rsidP="002F7CF5">
      <w:r>
        <w:t>It is now known that the most effective way to treat HIV is by combining different classes of drugs that attack the virus in different ways. HIV treatments are grouped by class according to the stage of the HIV life cycle that they block. The entry in</w:t>
      </w:r>
      <w:r w:rsidR="008766D5">
        <w:t xml:space="preserve">hibitors </w:t>
      </w:r>
      <w:r>
        <w:t xml:space="preserve">are a class of </w:t>
      </w:r>
      <w:r w:rsidR="00F32EE0">
        <w:t>ARV</w:t>
      </w:r>
      <w:r>
        <w:t xml:space="preserve"> drugs that prevents HIV from entering the CD4 cell. The rev</w:t>
      </w:r>
      <w:r w:rsidR="008766D5">
        <w:t xml:space="preserve">erse transcriptase inhibitors </w:t>
      </w:r>
      <w:r>
        <w:t xml:space="preserve">inhibit the enzymes that convert the genetic material of HIV from RNA into </w:t>
      </w:r>
      <w:r w:rsidR="001F011E">
        <w:rPr>
          <w:rFonts w:cs="Arial"/>
        </w:rPr>
        <w:lastRenderedPageBreak/>
        <w:t>d</w:t>
      </w:r>
      <w:r w:rsidR="001F011E" w:rsidRPr="00AD6775">
        <w:rPr>
          <w:rFonts w:cs="Arial"/>
        </w:rPr>
        <w:t>eoxyribonucleic acid</w:t>
      </w:r>
      <w:r w:rsidR="001F011E">
        <w:t xml:space="preserve"> (</w:t>
      </w:r>
      <w:r>
        <w:t>DNA</w:t>
      </w:r>
      <w:r w:rsidR="001F011E">
        <w:t>)</w:t>
      </w:r>
      <w:r>
        <w:t xml:space="preserve"> making it compatible with human DNA. Once this stage is complete, HIV DNA is then inserted or integrated into the DNA of the CD4 cell and treatments that block this stage of HIV replication </w:t>
      </w:r>
      <w:r w:rsidR="007C0F47">
        <w:t>are called integrase inhibitors</w:t>
      </w:r>
      <w:r>
        <w:t xml:space="preserve">. Once HIV DNA enters the nucleus of the CD4 cell (integration), the CD4 cell becomes a sort of HIV factory that produces building blocks for new HIV. Protease </w:t>
      </w:r>
      <w:r w:rsidR="008766D5">
        <w:t>inhibitors</w:t>
      </w:r>
      <w:r>
        <w:t xml:space="preserve"> prevent viral replication by selectively binding to viral protease which normally cuts long chains of HIV proteins into smaller individual proteins (new HIV cannot be made when HIV protease does not work properly).</w:t>
      </w:r>
    </w:p>
    <w:p w14:paraId="4F08A8A2" w14:textId="77777777" w:rsidR="008766D5" w:rsidRDefault="002F7CF5" w:rsidP="002F7CF5">
      <w:r>
        <w:t>Achieving viral suppression of HIV-1 infection currently requires the use of combination ARV regimens that generally include three active drugs from two or more drug classes. Current treatment guidelines recommend the lifelong use of 3 drugs to construct a complete regimen for th</w:t>
      </w:r>
      <w:r w:rsidR="00EC236C">
        <w:t xml:space="preserve">e treatment of HIV, usually a 2 </w:t>
      </w:r>
      <w:r>
        <w:t xml:space="preserve">drug </w:t>
      </w:r>
      <w:r w:rsidR="00EC236C">
        <w:rPr>
          <w:rFonts w:eastAsia="TimesNewRoman" w:cs="TimesNewRoman"/>
        </w:rPr>
        <w:t>n</w:t>
      </w:r>
      <w:r w:rsidR="00EC236C" w:rsidRPr="00AD6775">
        <w:rPr>
          <w:rFonts w:eastAsia="TimesNewRoman" w:cs="TimesNewRoman"/>
        </w:rPr>
        <w:t>ucleoside reverse transcriptase inhibitor</w:t>
      </w:r>
      <w:r w:rsidR="00EC236C">
        <w:t xml:space="preserve"> (</w:t>
      </w:r>
      <w:r>
        <w:t>NRTI</w:t>
      </w:r>
      <w:r w:rsidR="00EC236C">
        <w:t>)</w:t>
      </w:r>
      <w:r>
        <w:t xml:space="preserve"> backbone plus a third </w:t>
      </w:r>
      <w:r w:rsidR="00EC236C">
        <w:t xml:space="preserve">drug in a non-NRTI class (for example, </w:t>
      </w:r>
      <w:r w:rsidR="00EC236C">
        <w:rPr>
          <w:rFonts w:eastAsia="TimesNewRoman" w:cs="TimesNewRoman"/>
        </w:rPr>
        <w:t>i</w:t>
      </w:r>
      <w:r w:rsidR="00EC236C" w:rsidRPr="00AD6775">
        <w:rPr>
          <w:rFonts w:eastAsia="TimesNewRoman" w:cs="TimesNewRoman"/>
        </w:rPr>
        <w:t>ntegrase strand transfer inhibitor</w:t>
      </w:r>
      <w:r w:rsidR="00EC236C">
        <w:t xml:space="preserve"> (</w:t>
      </w:r>
      <w:r>
        <w:t>INSTI</w:t>
      </w:r>
      <w:r w:rsidR="00EC236C">
        <w:t>)</w:t>
      </w:r>
      <w:r>
        <w:t xml:space="preserve">, </w:t>
      </w:r>
      <w:r w:rsidR="00FC1FD4">
        <w:t>protease inhibitor</w:t>
      </w:r>
      <w:r>
        <w:t xml:space="preserve">, or </w:t>
      </w:r>
      <w:r w:rsidR="00EC236C">
        <w:t>n</w:t>
      </w:r>
      <w:r w:rsidR="00EC236C" w:rsidRPr="00AD6775">
        <w:t>on-nucleoside reverse transcriptase inhibitor</w:t>
      </w:r>
      <w:r w:rsidR="00EC236C">
        <w:t xml:space="preserve"> (</w:t>
      </w:r>
      <w:r>
        <w:t>NNRT</w:t>
      </w:r>
      <w:r w:rsidR="00EC236C">
        <w:t>)</w:t>
      </w:r>
      <w:r>
        <w:t>). When initial HIV suppression is not achieved or not maintained, changing to a new regimen with at least two active drugs is often required. The increasing number of ARV drugs and drug classes makes viral suppression below detection limits an achievable goal in most patients</w:t>
      </w:r>
      <w:r w:rsidR="00EC236C">
        <w:t xml:space="preserve">. </w:t>
      </w:r>
      <w:r w:rsidR="0036157B">
        <w:t>There have been no randomis</w:t>
      </w:r>
      <w:r>
        <w:t>ed trials addressing the question of when to start antiretroviral therapy or the choice of initial or second-line therapy for HIV-2 infection; thus, the optimal treatment</w:t>
      </w:r>
      <w:r w:rsidR="008766D5">
        <w:t xml:space="preserve"> strategy has not been defined.</w:t>
      </w:r>
    </w:p>
    <w:p w14:paraId="1A3A2672" w14:textId="557DD15A" w:rsidR="008766D5" w:rsidRDefault="002F7CF5" w:rsidP="002F7CF5">
      <w:proofErr w:type="spellStart"/>
      <w:r>
        <w:t>Dolutegravir</w:t>
      </w:r>
      <w:proofErr w:type="spellEnd"/>
      <w:r>
        <w:t xml:space="preserve"> (DTG) is a potent dual cation binding INSTI, exhibiting rapid reduction in viral load, best in class efficacy and a high barrier to resistance. In addition, due to its mechanism of metabolism, DTG lacks many of the frequent drug interactions associated with other medications commonly taken by HIV-positive patients (specifically with oral contraceptives, statins, antidepressants, anxiolytics, anticoagulants). To date, the efficacy </w:t>
      </w:r>
      <w:r w:rsidR="00F32EE0">
        <w:t>pharmacokinetic</w:t>
      </w:r>
      <w:r w:rsidR="00F32EE0" w:rsidRPr="00F32EE0">
        <w:t xml:space="preserve">s </w:t>
      </w:r>
      <w:r w:rsidR="00F32EE0">
        <w:t>(</w:t>
      </w:r>
      <w:r>
        <w:t>PK</w:t>
      </w:r>
      <w:r w:rsidR="00F32EE0">
        <w:t>)</w:t>
      </w:r>
      <w:r>
        <w:t>, safety and drug interaction potential of DTG has been evaluated in an extensive progra</w:t>
      </w:r>
      <w:r w:rsidR="007C0F47">
        <w:t xml:space="preserve">m of Phase I to </w:t>
      </w:r>
      <w:proofErr w:type="spellStart"/>
      <w:r w:rsidR="007C0F47">
        <w:t>IIIb</w:t>
      </w:r>
      <w:proofErr w:type="spellEnd"/>
      <w:r>
        <w:t xml:space="preserve"> clinical trials.</w:t>
      </w:r>
      <w:r w:rsidR="007C0F47">
        <w:rPr>
          <w:rStyle w:val="FootnoteReference"/>
        </w:rPr>
        <w:footnoteReference w:id="2"/>
      </w:r>
      <w:r w:rsidR="002335FC">
        <w:rPr>
          <w:vertAlign w:val="superscript"/>
        </w:rPr>
        <w:t>,</w:t>
      </w:r>
      <w:r w:rsidR="007C0F47">
        <w:rPr>
          <w:rStyle w:val="FootnoteReference"/>
        </w:rPr>
        <w:footnoteReference w:id="3"/>
      </w:r>
    </w:p>
    <w:p w14:paraId="43E1A3DA" w14:textId="52AE1D59" w:rsidR="008766D5" w:rsidRDefault="002F7CF5" w:rsidP="002F7CF5">
      <w:r>
        <w:t>Lamivudine (3TC) is a potent cytidine nucleoside analogue in the NRTI class of drug with a favourable long-term safety profile. Available since 1995 as a single agent (</w:t>
      </w:r>
      <w:r w:rsidR="000F1DB5">
        <w:t>3TC</w:t>
      </w:r>
      <w:r>
        <w:t>)</w:t>
      </w:r>
      <w:r w:rsidR="002335FC">
        <w:t>;</w:t>
      </w:r>
      <w:r w:rsidR="007C0F47">
        <w:rPr>
          <w:rStyle w:val="FootnoteReference"/>
        </w:rPr>
        <w:footnoteReference w:id="4"/>
      </w:r>
      <w:r w:rsidR="002335FC">
        <w:rPr>
          <w:vertAlign w:val="superscript"/>
        </w:rPr>
        <w:t>,</w:t>
      </w:r>
      <w:r w:rsidR="007C0F47">
        <w:rPr>
          <w:rStyle w:val="FootnoteReference"/>
        </w:rPr>
        <w:footnoteReference w:id="5"/>
      </w:r>
      <w:r w:rsidR="002335FC">
        <w:t xml:space="preserve"> </w:t>
      </w:r>
      <w:r>
        <w:t xml:space="preserve">it is also available as part of two backbone </w:t>
      </w:r>
      <w:r w:rsidR="007A626C">
        <w:t>fixed dose combination (</w:t>
      </w:r>
      <w:r>
        <w:t>FDC</w:t>
      </w:r>
      <w:r w:rsidR="007A626C">
        <w:t>)</w:t>
      </w:r>
      <w:r>
        <w:t xml:space="preserve"> products (</w:t>
      </w:r>
      <w:r w:rsidR="00F32EE0">
        <w:t>z</w:t>
      </w:r>
      <w:r w:rsidR="00F32EE0" w:rsidRPr="00F32EE0">
        <w:t xml:space="preserve">idovudine </w:t>
      </w:r>
      <w:r w:rsidR="00F32EE0">
        <w:t>(</w:t>
      </w:r>
      <w:r>
        <w:t>ZDV</w:t>
      </w:r>
      <w:r w:rsidR="00F32EE0">
        <w:t>)</w:t>
      </w:r>
      <w:r>
        <w:t>/3TC</w:t>
      </w:r>
      <w:r w:rsidR="002335FC">
        <w:t xml:space="preserve">, under the product name </w:t>
      </w:r>
      <w:proofErr w:type="spellStart"/>
      <w:r>
        <w:t>Combivir</w:t>
      </w:r>
      <w:proofErr w:type="spellEnd"/>
      <w:r w:rsidR="002335FC">
        <w:t>;</w:t>
      </w:r>
      <w:r>
        <w:t xml:space="preserve"> and </w:t>
      </w:r>
      <w:proofErr w:type="spellStart"/>
      <w:r w:rsidR="00F32EE0">
        <w:t>a</w:t>
      </w:r>
      <w:r w:rsidR="00F32EE0" w:rsidRPr="00AD6775">
        <w:t>bacavir</w:t>
      </w:r>
      <w:proofErr w:type="spellEnd"/>
      <w:r w:rsidR="00F32EE0" w:rsidRPr="00AD6775">
        <w:t xml:space="preserve"> </w:t>
      </w:r>
      <w:proofErr w:type="spellStart"/>
      <w:r w:rsidR="00F32EE0" w:rsidRPr="00AD6775">
        <w:t>sulfate</w:t>
      </w:r>
      <w:proofErr w:type="spellEnd"/>
      <w:r w:rsidR="00F32EE0">
        <w:t xml:space="preserve"> (</w:t>
      </w:r>
      <w:r>
        <w:t>ABC</w:t>
      </w:r>
      <w:r w:rsidR="00F32EE0">
        <w:t>)</w:t>
      </w:r>
      <w:r>
        <w:t>/3TC,</w:t>
      </w:r>
      <w:r w:rsidR="002335FC">
        <w:t xml:space="preserve"> under the product names </w:t>
      </w:r>
      <w:proofErr w:type="spellStart"/>
      <w:r>
        <w:t>Epzicom</w:t>
      </w:r>
      <w:proofErr w:type="spellEnd"/>
      <w:r>
        <w:t>/</w:t>
      </w:r>
      <w:proofErr w:type="spellStart"/>
      <w:r>
        <w:t>Kivexa</w:t>
      </w:r>
      <w:proofErr w:type="spellEnd"/>
      <w:r>
        <w:t>). Although 3TC monotherapy is known to select for resistance due to a single point mutation that reduces antiviral activity, it is predicted that 3TC, when combined with DTG with its high barrier to resistance and ability to confer a very rapid decline in HIV-1 RNA, may be less likely to select for resistance consistent with clinical studies combining DTG, 3TC and ABC.</w:t>
      </w:r>
    </w:p>
    <w:p w14:paraId="4257C420" w14:textId="77777777" w:rsidR="002F7CF5" w:rsidRDefault="002F7CF5" w:rsidP="002F7CF5">
      <w:r>
        <w:t>DTG + 3</w:t>
      </w:r>
      <w:r w:rsidR="00FC1FD4">
        <w:t xml:space="preserve">TC is a 2 </w:t>
      </w:r>
      <w:r>
        <w:t xml:space="preserve">drug regimen of 2 potent, well-characterised and well-tolerated </w:t>
      </w:r>
      <w:r w:rsidR="00FC1FD4">
        <w:t xml:space="preserve">ARVs that may provide a novel 2 </w:t>
      </w:r>
      <w:r>
        <w:t xml:space="preserve">drug first-line regimen with effective antiviral suppression while limiting the risk of adverse reactions by having one less ARV in the regimen. The combination of 3TC with DTG, with its high barrier to resistance and ability to confer a rapid decline in HIV-1 RNA, may have a low risk of selecting for resistance </w:t>
      </w:r>
      <w:r w:rsidR="00FC1FD4">
        <w:t xml:space="preserve">that is comparable overall to 3 </w:t>
      </w:r>
      <w:r>
        <w:t>drug regimens.</w:t>
      </w:r>
    </w:p>
    <w:p w14:paraId="3C0BE8FA" w14:textId="77777777" w:rsidR="008E7846" w:rsidRPr="003F31A2" w:rsidRDefault="00386150" w:rsidP="008E7846">
      <w:pPr>
        <w:pStyle w:val="Heading3"/>
      </w:pPr>
      <w:bookmarkStart w:id="16" w:name="_Toc314842485"/>
      <w:bookmarkStart w:id="17" w:name="_Toc247691504"/>
      <w:bookmarkStart w:id="18" w:name="_Toc28080716"/>
      <w:r>
        <w:lastRenderedPageBreak/>
        <w:t>Regulatory s</w:t>
      </w:r>
      <w:r w:rsidR="008E7846">
        <w:t>tatus</w:t>
      </w:r>
      <w:bookmarkEnd w:id="16"/>
      <w:bookmarkEnd w:id="17"/>
      <w:bookmarkEnd w:id="18"/>
    </w:p>
    <w:p w14:paraId="2FF58122" w14:textId="77777777" w:rsidR="00940A89" w:rsidRDefault="007C0228" w:rsidP="00940A89">
      <w:bookmarkStart w:id="19" w:name="_Toc247691505"/>
      <w:bookmarkStart w:id="20" w:name="_Toc314842486"/>
      <w:proofErr w:type="spellStart"/>
      <w:r>
        <w:t>Dovato</w:t>
      </w:r>
      <w:proofErr w:type="spellEnd"/>
      <w:r>
        <w:t xml:space="preserve"> is a new combination of previously approved active ingredients for Australian regulatory purposes.</w:t>
      </w:r>
    </w:p>
    <w:p w14:paraId="7867C5AC" w14:textId="77777777" w:rsidR="00AD3D20" w:rsidRDefault="00AD3D20" w:rsidP="00AD3D20">
      <w:proofErr w:type="spellStart"/>
      <w:r>
        <w:t>Dovato</w:t>
      </w:r>
      <w:proofErr w:type="spellEnd"/>
      <w:r>
        <w:t xml:space="preserve"> contains:</w:t>
      </w:r>
    </w:p>
    <w:p w14:paraId="40174CE6" w14:textId="77777777" w:rsidR="00AD3D20" w:rsidRDefault="00AD3D20" w:rsidP="00AD3D20">
      <w:pPr>
        <w:pStyle w:val="ListBullet"/>
      </w:pPr>
      <w:proofErr w:type="spellStart"/>
      <w:r>
        <w:t>Dolutegravir</w:t>
      </w:r>
      <w:proofErr w:type="spellEnd"/>
      <w:r>
        <w:t xml:space="preserve"> (DTG), a HIV </w:t>
      </w:r>
      <w:r w:rsidR="00FC1FD4">
        <w:t>INSTI</w:t>
      </w:r>
      <w:r>
        <w:t xml:space="preserve"> registered in Australia in 2014</w:t>
      </w:r>
      <w:r w:rsidR="008766D5">
        <w:t xml:space="preserve"> (registered as </w:t>
      </w:r>
      <w:proofErr w:type="spellStart"/>
      <w:r w:rsidR="008766D5">
        <w:t>Tivicay</w:t>
      </w:r>
      <w:proofErr w:type="spellEnd"/>
      <w:r w:rsidR="008766D5">
        <w:t xml:space="preserve"> 50 mg; </w:t>
      </w:r>
      <w:r>
        <w:t>ARTG 205212); and</w:t>
      </w:r>
    </w:p>
    <w:p w14:paraId="58EDDF4E" w14:textId="3446C7EA" w:rsidR="00AD3D20" w:rsidRDefault="00AD3D20" w:rsidP="00AD3D20">
      <w:pPr>
        <w:pStyle w:val="ListBullet"/>
      </w:pPr>
      <w:r>
        <w:t>Lamivudine (3TC) (registere</w:t>
      </w:r>
      <w:r w:rsidR="008766D5">
        <w:t xml:space="preserve">d as </w:t>
      </w:r>
      <w:r w:rsidR="000F1DB5">
        <w:t>3TC</w:t>
      </w:r>
      <w:r w:rsidR="004C0A50">
        <w:t xml:space="preserve"> </w:t>
      </w:r>
      <w:r w:rsidR="008766D5">
        <w:t xml:space="preserve">150 mg and 300 mg; </w:t>
      </w:r>
      <w:r>
        <w:t xml:space="preserve">ARTG 54313 and 81359), a </w:t>
      </w:r>
      <w:r w:rsidR="00FC1FD4">
        <w:t>NRTI</w:t>
      </w:r>
      <w:r>
        <w:t>.</w:t>
      </w:r>
    </w:p>
    <w:p w14:paraId="389CA5AD" w14:textId="1839E324" w:rsidR="00940A89" w:rsidRDefault="00940A89" w:rsidP="00940A89">
      <w:r w:rsidRPr="00940A89">
        <w:t xml:space="preserve">At the time the TGA considered this application, a similar application had been approved </w:t>
      </w:r>
      <w:r w:rsidR="00DE1D89">
        <w:t>the European Union (</w:t>
      </w:r>
      <w:r w:rsidR="00B66DCC">
        <w:t xml:space="preserve">EU; </w:t>
      </w:r>
      <w:r w:rsidR="00DE1D89">
        <w:t xml:space="preserve">approved </w:t>
      </w:r>
      <w:r w:rsidR="00B66DCC">
        <w:t xml:space="preserve">on </w:t>
      </w:r>
      <w:r w:rsidR="00DE1D89">
        <w:t xml:space="preserve">1 July 2019) and the </w:t>
      </w:r>
      <w:r w:rsidR="00FC1FD4">
        <w:t>USA (</w:t>
      </w:r>
      <w:r w:rsidR="00DE1D89">
        <w:t xml:space="preserve">approved </w:t>
      </w:r>
      <w:r w:rsidR="00B66DCC">
        <w:t xml:space="preserve">on </w:t>
      </w:r>
      <w:r w:rsidR="00DE1D89">
        <w:t>8</w:t>
      </w:r>
      <w:r w:rsidR="002335FC">
        <w:t> </w:t>
      </w:r>
      <w:r w:rsidR="00DE1D89">
        <w:t>April</w:t>
      </w:r>
      <w:r w:rsidR="002335FC">
        <w:t> </w:t>
      </w:r>
      <w:r w:rsidR="00DE1D89">
        <w:t>2019) and</w:t>
      </w:r>
      <w:r w:rsidRPr="00940A89">
        <w:t xml:space="preserve"> was under co</w:t>
      </w:r>
      <w:r>
        <w:t xml:space="preserve">nsideration in </w:t>
      </w:r>
      <w:r w:rsidR="00DE1D89">
        <w:t>Canada and Switzerland (</w:t>
      </w:r>
      <w:r w:rsidR="00DE1D89">
        <w:fldChar w:fldCharType="begin"/>
      </w:r>
      <w:r w:rsidR="00DE1D89">
        <w:instrText xml:space="preserve"> REF _Ref24103518 \h </w:instrText>
      </w:r>
      <w:r w:rsidR="00DE1D89">
        <w:fldChar w:fldCharType="separate"/>
      </w:r>
      <w:r w:rsidR="00DE1D89">
        <w:t xml:space="preserve">Table </w:t>
      </w:r>
      <w:r w:rsidR="00DE1D89">
        <w:rPr>
          <w:noProof/>
        </w:rPr>
        <w:t>1</w:t>
      </w:r>
      <w:r w:rsidR="00DE1D89">
        <w:fldChar w:fldCharType="end"/>
      </w:r>
      <w:r w:rsidR="00DE1D89">
        <w:t>)</w:t>
      </w:r>
      <w:r>
        <w:t>.</w:t>
      </w:r>
    </w:p>
    <w:p w14:paraId="6C8CBEBA" w14:textId="77777777" w:rsidR="007C0228" w:rsidRDefault="00DE1D89" w:rsidP="00DE1D89">
      <w:pPr>
        <w:pStyle w:val="TableTitle"/>
      </w:pPr>
      <w:bookmarkStart w:id="21" w:name="_Ref24103518"/>
      <w:r>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1</w:t>
      </w:r>
      <w:r w:rsidR="00696AF7">
        <w:rPr>
          <w:noProof/>
        </w:rPr>
        <w:fldChar w:fldCharType="end"/>
      </w:r>
      <w:bookmarkEnd w:id="21"/>
      <w:r w:rsidR="007C0228">
        <w:t xml:space="preserve">: International regulatory status of </w:t>
      </w:r>
      <w:proofErr w:type="spellStart"/>
      <w:r w:rsidR="007C0228">
        <w:t>Dovato</w:t>
      </w:r>
      <w:proofErr w:type="spellEnd"/>
      <w:r w:rsidR="007C0228">
        <w:t xml:space="preserve"> as of </w:t>
      </w:r>
      <w:r>
        <w:t>11 July 2019</w:t>
      </w:r>
    </w:p>
    <w:tbl>
      <w:tblPr>
        <w:tblStyle w:val="TableTGAblue"/>
        <w:tblW w:w="0" w:type="auto"/>
        <w:tblLook w:val="04A0" w:firstRow="1" w:lastRow="0" w:firstColumn="1" w:lastColumn="0" w:noHBand="0" w:noVBand="1"/>
      </w:tblPr>
      <w:tblGrid>
        <w:gridCol w:w="1242"/>
        <w:gridCol w:w="1418"/>
        <w:gridCol w:w="1134"/>
        <w:gridCol w:w="4926"/>
      </w:tblGrid>
      <w:tr w:rsidR="00DE1D89" w:rsidRPr="00DE1D89" w14:paraId="3FFD1DE9" w14:textId="77777777" w:rsidTr="00DE1D89">
        <w:trPr>
          <w:cnfStyle w:val="100000000000" w:firstRow="1" w:lastRow="0" w:firstColumn="0" w:lastColumn="0" w:oddVBand="0" w:evenVBand="0" w:oddHBand="0" w:evenHBand="0" w:firstRowFirstColumn="0" w:firstRowLastColumn="0" w:lastRowFirstColumn="0" w:lastRowLastColumn="0"/>
        </w:trPr>
        <w:tc>
          <w:tcPr>
            <w:tcW w:w="1242" w:type="dxa"/>
          </w:tcPr>
          <w:p w14:paraId="6E7DE073" w14:textId="77777777" w:rsidR="00DE1D89" w:rsidRPr="00DE1D89" w:rsidRDefault="00DE1D89" w:rsidP="00DE1D89">
            <w:pPr>
              <w:ind w:left="0" w:right="0"/>
              <w:rPr>
                <w:sz w:val="20"/>
                <w:szCs w:val="20"/>
              </w:rPr>
            </w:pPr>
            <w:r w:rsidRPr="00DE1D89">
              <w:rPr>
                <w:sz w:val="20"/>
                <w:szCs w:val="20"/>
              </w:rPr>
              <w:t>Region</w:t>
            </w:r>
          </w:p>
        </w:tc>
        <w:tc>
          <w:tcPr>
            <w:tcW w:w="1418" w:type="dxa"/>
          </w:tcPr>
          <w:p w14:paraId="6E1897C8" w14:textId="77777777" w:rsidR="00DE1D89" w:rsidRPr="00DE1D89" w:rsidRDefault="00DE1D89" w:rsidP="00DE1D89">
            <w:pPr>
              <w:ind w:left="0" w:right="0"/>
              <w:rPr>
                <w:sz w:val="20"/>
                <w:szCs w:val="20"/>
              </w:rPr>
            </w:pPr>
            <w:r w:rsidRPr="00DE1D89">
              <w:rPr>
                <w:sz w:val="20"/>
                <w:szCs w:val="20"/>
              </w:rPr>
              <w:t>Submission date</w:t>
            </w:r>
          </w:p>
        </w:tc>
        <w:tc>
          <w:tcPr>
            <w:tcW w:w="1134" w:type="dxa"/>
          </w:tcPr>
          <w:p w14:paraId="4083C52C" w14:textId="77777777" w:rsidR="00DE1D89" w:rsidRPr="00DE1D89" w:rsidRDefault="00DE1D89" w:rsidP="00DE1D89">
            <w:pPr>
              <w:ind w:left="0" w:right="0"/>
              <w:rPr>
                <w:sz w:val="20"/>
                <w:szCs w:val="20"/>
              </w:rPr>
            </w:pPr>
            <w:r w:rsidRPr="00DE1D89">
              <w:rPr>
                <w:sz w:val="20"/>
                <w:szCs w:val="20"/>
              </w:rPr>
              <w:t>Status</w:t>
            </w:r>
          </w:p>
        </w:tc>
        <w:tc>
          <w:tcPr>
            <w:tcW w:w="4926" w:type="dxa"/>
          </w:tcPr>
          <w:p w14:paraId="1A300A05" w14:textId="77777777" w:rsidR="00DE1D89" w:rsidRPr="00DE1D89" w:rsidRDefault="00DE1D89" w:rsidP="00DE1D89">
            <w:pPr>
              <w:ind w:left="0" w:right="0"/>
              <w:rPr>
                <w:sz w:val="20"/>
                <w:szCs w:val="20"/>
              </w:rPr>
            </w:pPr>
            <w:r w:rsidRPr="00DE1D89">
              <w:rPr>
                <w:sz w:val="20"/>
                <w:szCs w:val="20"/>
              </w:rPr>
              <w:t>Indication</w:t>
            </w:r>
          </w:p>
        </w:tc>
      </w:tr>
      <w:tr w:rsidR="00DE1D89" w:rsidRPr="00DE1D89" w14:paraId="0035CDAF" w14:textId="77777777" w:rsidTr="00DE1D89">
        <w:tc>
          <w:tcPr>
            <w:tcW w:w="1242" w:type="dxa"/>
          </w:tcPr>
          <w:p w14:paraId="6C71410B" w14:textId="77777777" w:rsidR="00DE1D89" w:rsidRPr="00DE1D89" w:rsidRDefault="00DE1D89" w:rsidP="00DE1D89">
            <w:pPr>
              <w:ind w:left="0" w:right="0"/>
              <w:rPr>
                <w:sz w:val="20"/>
                <w:szCs w:val="20"/>
              </w:rPr>
            </w:pPr>
            <w:r w:rsidRPr="00DE1D89">
              <w:rPr>
                <w:sz w:val="20"/>
                <w:szCs w:val="20"/>
              </w:rPr>
              <w:t>European Union</w:t>
            </w:r>
          </w:p>
        </w:tc>
        <w:tc>
          <w:tcPr>
            <w:tcW w:w="1418" w:type="dxa"/>
          </w:tcPr>
          <w:p w14:paraId="4FD93530" w14:textId="77777777" w:rsidR="00DE1D89" w:rsidRPr="00DE1D89" w:rsidRDefault="00DE1D89" w:rsidP="00DE1D89">
            <w:pPr>
              <w:ind w:left="0" w:right="0"/>
              <w:rPr>
                <w:sz w:val="20"/>
                <w:szCs w:val="20"/>
              </w:rPr>
            </w:pPr>
            <w:r w:rsidRPr="00DE1D89">
              <w:rPr>
                <w:sz w:val="20"/>
                <w:szCs w:val="20"/>
              </w:rPr>
              <w:t>17 September 2018</w:t>
            </w:r>
          </w:p>
        </w:tc>
        <w:tc>
          <w:tcPr>
            <w:tcW w:w="1134" w:type="dxa"/>
          </w:tcPr>
          <w:p w14:paraId="5ADA4562" w14:textId="77777777" w:rsidR="00DE1D89" w:rsidRPr="00DE1D89" w:rsidRDefault="00DE1D89" w:rsidP="00DE1D89">
            <w:pPr>
              <w:ind w:left="0" w:right="0"/>
              <w:rPr>
                <w:sz w:val="20"/>
                <w:szCs w:val="20"/>
              </w:rPr>
            </w:pPr>
            <w:r w:rsidRPr="00DE1D89">
              <w:rPr>
                <w:sz w:val="20"/>
                <w:szCs w:val="20"/>
              </w:rPr>
              <w:t>Approved 1 July 2019</w:t>
            </w:r>
          </w:p>
        </w:tc>
        <w:tc>
          <w:tcPr>
            <w:tcW w:w="4926" w:type="dxa"/>
          </w:tcPr>
          <w:p w14:paraId="02A49D5E" w14:textId="77777777" w:rsidR="00DE1D89" w:rsidRPr="00DE1D89" w:rsidRDefault="00DE1D89" w:rsidP="00DE1D89">
            <w:pPr>
              <w:ind w:left="0" w:right="0"/>
              <w:rPr>
                <w:i/>
                <w:sz w:val="20"/>
                <w:szCs w:val="20"/>
              </w:rPr>
            </w:pPr>
            <w:proofErr w:type="spellStart"/>
            <w:r w:rsidRPr="00DE1D89">
              <w:rPr>
                <w:i/>
                <w:sz w:val="20"/>
                <w:szCs w:val="20"/>
              </w:rPr>
              <w:t>Dovato</w:t>
            </w:r>
            <w:proofErr w:type="spellEnd"/>
            <w:r w:rsidRPr="00DE1D89">
              <w:rPr>
                <w:i/>
                <w:sz w:val="20"/>
                <w:szCs w:val="20"/>
              </w:rPr>
              <w:t xml:space="preserve"> is indicated for the treatment of Human Immunodeficiency Virus type 1 (HIV-1) infection in adults and adolescents above 12 years of age weighing at least 40 kg, with no known or suspected resistance to the integrase inhibitor class, or lamivudine</w:t>
            </w:r>
          </w:p>
        </w:tc>
      </w:tr>
      <w:tr w:rsidR="00DE1D89" w:rsidRPr="00DE1D89" w14:paraId="2240D743" w14:textId="77777777" w:rsidTr="00DE1D89">
        <w:tc>
          <w:tcPr>
            <w:tcW w:w="1242" w:type="dxa"/>
          </w:tcPr>
          <w:p w14:paraId="2B205E56" w14:textId="77777777" w:rsidR="00DE1D89" w:rsidRPr="00DE1D89" w:rsidRDefault="00DE1D89" w:rsidP="00DE1D89">
            <w:pPr>
              <w:ind w:left="0" w:right="0"/>
              <w:rPr>
                <w:sz w:val="20"/>
                <w:szCs w:val="20"/>
              </w:rPr>
            </w:pPr>
            <w:r w:rsidRPr="00DE1D89">
              <w:rPr>
                <w:sz w:val="20"/>
                <w:szCs w:val="20"/>
              </w:rPr>
              <w:t>USA</w:t>
            </w:r>
          </w:p>
        </w:tc>
        <w:tc>
          <w:tcPr>
            <w:tcW w:w="1418" w:type="dxa"/>
          </w:tcPr>
          <w:p w14:paraId="13CFD6B7" w14:textId="77777777" w:rsidR="00DE1D89" w:rsidRPr="00DE1D89" w:rsidRDefault="00DE1D89" w:rsidP="00DE1D89">
            <w:pPr>
              <w:ind w:left="0" w:right="0"/>
              <w:rPr>
                <w:sz w:val="20"/>
                <w:szCs w:val="20"/>
              </w:rPr>
            </w:pPr>
            <w:r w:rsidRPr="00DE1D89">
              <w:rPr>
                <w:sz w:val="20"/>
                <w:szCs w:val="20"/>
              </w:rPr>
              <w:t>18 October 2018</w:t>
            </w:r>
          </w:p>
        </w:tc>
        <w:tc>
          <w:tcPr>
            <w:tcW w:w="1134" w:type="dxa"/>
          </w:tcPr>
          <w:p w14:paraId="276CED05" w14:textId="77777777" w:rsidR="00DE1D89" w:rsidRPr="00DE1D89" w:rsidRDefault="00DE1D89" w:rsidP="00DE1D89">
            <w:pPr>
              <w:ind w:left="0" w:right="0"/>
              <w:rPr>
                <w:sz w:val="20"/>
                <w:szCs w:val="20"/>
              </w:rPr>
            </w:pPr>
            <w:r w:rsidRPr="00DE1D89">
              <w:rPr>
                <w:sz w:val="20"/>
                <w:szCs w:val="20"/>
              </w:rPr>
              <w:t>Approved 8 April 2019</w:t>
            </w:r>
          </w:p>
        </w:tc>
        <w:tc>
          <w:tcPr>
            <w:tcW w:w="4926" w:type="dxa"/>
          </w:tcPr>
          <w:p w14:paraId="18CD97AF" w14:textId="22241E53" w:rsidR="00DE1D89" w:rsidRPr="00DE1D89" w:rsidRDefault="00DE1D89" w:rsidP="00DE1D89">
            <w:pPr>
              <w:ind w:left="0" w:right="0"/>
              <w:rPr>
                <w:i/>
                <w:sz w:val="20"/>
                <w:szCs w:val="20"/>
              </w:rPr>
            </w:pPr>
            <w:proofErr w:type="spellStart"/>
            <w:r w:rsidRPr="00DE1D89">
              <w:rPr>
                <w:i/>
                <w:sz w:val="20"/>
                <w:szCs w:val="20"/>
              </w:rPr>
              <w:t>Dovato</w:t>
            </w:r>
            <w:proofErr w:type="spellEnd"/>
            <w:r w:rsidRPr="00DE1D89">
              <w:rPr>
                <w:i/>
                <w:sz w:val="20"/>
                <w:szCs w:val="20"/>
              </w:rPr>
              <w:t xml:space="preserve">, a two-drug combination of </w:t>
            </w:r>
            <w:proofErr w:type="spellStart"/>
            <w:r w:rsidRPr="00DE1D89">
              <w:rPr>
                <w:i/>
                <w:sz w:val="20"/>
                <w:szCs w:val="20"/>
              </w:rPr>
              <w:t>dolutegravir</w:t>
            </w:r>
            <w:proofErr w:type="spellEnd"/>
            <w:r w:rsidRPr="00DE1D89">
              <w:rPr>
                <w:i/>
                <w:sz w:val="20"/>
                <w:szCs w:val="20"/>
              </w:rPr>
              <w:t xml:space="preserve"> (integrase strand transfer inhibitor </w:t>
            </w:r>
            <w:r w:rsidR="00C17B5C">
              <w:rPr>
                <w:i/>
                <w:sz w:val="20"/>
                <w:szCs w:val="20"/>
              </w:rPr>
              <w:t>(</w:t>
            </w:r>
            <w:r w:rsidRPr="00DE1D89">
              <w:rPr>
                <w:i/>
                <w:sz w:val="20"/>
                <w:szCs w:val="20"/>
              </w:rPr>
              <w:t>INSTI</w:t>
            </w:r>
            <w:r w:rsidR="00C17B5C">
              <w:rPr>
                <w:i/>
                <w:sz w:val="20"/>
                <w:szCs w:val="20"/>
              </w:rPr>
              <w:t>)</w:t>
            </w:r>
            <w:r w:rsidRPr="00DE1D89">
              <w:rPr>
                <w:i/>
                <w:sz w:val="20"/>
                <w:szCs w:val="20"/>
              </w:rPr>
              <w:t xml:space="preserve">) and lamivudine (nucleoside analogue reverse transcriptase inhibitor </w:t>
            </w:r>
            <w:r w:rsidR="00C17B5C">
              <w:rPr>
                <w:i/>
                <w:sz w:val="20"/>
                <w:szCs w:val="20"/>
              </w:rPr>
              <w:t>(</w:t>
            </w:r>
            <w:r w:rsidRPr="00DE1D89">
              <w:rPr>
                <w:i/>
                <w:sz w:val="20"/>
                <w:szCs w:val="20"/>
              </w:rPr>
              <w:t>NRTI</w:t>
            </w:r>
            <w:r w:rsidR="00C17B5C">
              <w:rPr>
                <w:i/>
                <w:sz w:val="20"/>
                <w:szCs w:val="20"/>
              </w:rPr>
              <w:t>)</w:t>
            </w:r>
            <w:r w:rsidRPr="00DE1D89">
              <w:rPr>
                <w:i/>
                <w:sz w:val="20"/>
                <w:szCs w:val="20"/>
              </w:rPr>
              <w:t xml:space="preserve">) is indicated as a complete regimen for the treatment of human immunodeficiency virus type 1 (HIV-1) infection in adults with no antiretroviral treatment history and with no known substitutions associated with resistance to the individual components of </w:t>
            </w:r>
            <w:proofErr w:type="spellStart"/>
            <w:r w:rsidRPr="00DE1D89">
              <w:rPr>
                <w:i/>
                <w:sz w:val="20"/>
                <w:szCs w:val="20"/>
              </w:rPr>
              <w:t>Dovato</w:t>
            </w:r>
            <w:proofErr w:type="spellEnd"/>
            <w:r w:rsidRPr="00DE1D89">
              <w:rPr>
                <w:i/>
                <w:sz w:val="20"/>
                <w:szCs w:val="20"/>
              </w:rPr>
              <w:t>.</w:t>
            </w:r>
          </w:p>
        </w:tc>
      </w:tr>
      <w:tr w:rsidR="00DE1D89" w:rsidRPr="00DE1D89" w14:paraId="552BDA0D" w14:textId="77777777" w:rsidTr="00DE1D89">
        <w:tc>
          <w:tcPr>
            <w:tcW w:w="1242" w:type="dxa"/>
          </w:tcPr>
          <w:p w14:paraId="2C8EF225" w14:textId="77777777" w:rsidR="00DE1D89" w:rsidRPr="00DE1D89" w:rsidRDefault="00DE1D89" w:rsidP="00DE1D89">
            <w:pPr>
              <w:ind w:left="0" w:right="0"/>
              <w:rPr>
                <w:sz w:val="20"/>
                <w:szCs w:val="20"/>
              </w:rPr>
            </w:pPr>
            <w:r w:rsidRPr="00DE1D89">
              <w:rPr>
                <w:sz w:val="20"/>
                <w:szCs w:val="20"/>
              </w:rPr>
              <w:t>Canada</w:t>
            </w:r>
          </w:p>
        </w:tc>
        <w:tc>
          <w:tcPr>
            <w:tcW w:w="1418" w:type="dxa"/>
          </w:tcPr>
          <w:p w14:paraId="02EC2FE4" w14:textId="77777777" w:rsidR="00DE1D89" w:rsidRPr="00DE1D89" w:rsidRDefault="00DE1D89" w:rsidP="00DE1D89">
            <w:pPr>
              <w:ind w:left="0" w:right="0"/>
              <w:rPr>
                <w:sz w:val="20"/>
                <w:szCs w:val="20"/>
              </w:rPr>
            </w:pPr>
            <w:r w:rsidRPr="00DE1D89">
              <w:rPr>
                <w:sz w:val="20"/>
                <w:szCs w:val="20"/>
              </w:rPr>
              <w:t>20 September 2018</w:t>
            </w:r>
          </w:p>
        </w:tc>
        <w:tc>
          <w:tcPr>
            <w:tcW w:w="1134" w:type="dxa"/>
          </w:tcPr>
          <w:p w14:paraId="39F5E504" w14:textId="77777777" w:rsidR="00DE1D89" w:rsidRPr="00DE1D89" w:rsidRDefault="00DE1D89" w:rsidP="00DE1D89">
            <w:pPr>
              <w:ind w:left="0" w:right="0"/>
              <w:rPr>
                <w:sz w:val="20"/>
                <w:szCs w:val="20"/>
              </w:rPr>
            </w:pPr>
            <w:r w:rsidRPr="00DE1D89">
              <w:rPr>
                <w:sz w:val="20"/>
                <w:szCs w:val="20"/>
              </w:rPr>
              <w:t>Under review</w:t>
            </w:r>
          </w:p>
        </w:tc>
        <w:tc>
          <w:tcPr>
            <w:tcW w:w="4926" w:type="dxa"/>
          </w:tcPr>
          <w:p w14:paraId="295FA439" w14:textId="77777777" w:rsidR="00DE1D89" w:rsidRPr="00DE1D89" w:rsidRDefault="00DE1D89" w:rsidP="00DE1D89">
            <w:pPr>
              <w:ind w:left="0" w:right="0"/>
              <w:rPr>
                <w:sz w:val="20"/>
                <w:szCs w:val="20"/>
              </w:rPr>
            </w:pPr>
            <w:r w:rsidRPr="00DE1D89">
              <w:rPr>
                <w:sz w:val="20"/>
                <w:szCs w:val="20"/>
              </w:rPr>
              <w:t>Under review</w:t>
            </w:r>
          </w:p>
        </w:tc>
      </w:tr>
      <w:tr w:rsidR="00DE1D89" w:rsidRPr="00DE1D89" w14:paraId="622B7FB1" w14:textId="77777777" w:rsidTr="00DE1D89">
        <w:tc>
          <w:tcPr>
            <w:tcW w:w="1242" w:type="dxa"/>
          </w:tcPr>
          <w:p w14:paraId="0E58F92C" w14:textId="77777777" w:rsidR="00DE1D89" w:rsidRPr="00DE1D89" w:rsidRDefault="00DE1D89" w:rsidP="00DE1D89">
            <w:pPr>
              <w:ind w:left="0" w:right="0"/>
              <w:rPr>
                <w:sz w:val="20"/>
                <w:szCs w:val="20"/>
              </w:rPr>
            </w:pPr>
            <w:r w:rsidRPr="00DE1D89">
              <w:rPr>
                <w:sz w:val="20"/>
                <w:szCs w:val="20"/>
              </w:rPr>
              <w:t>Switzerland</w:t>
            </w:r>
          </w:p>
        </w:tc>
        <w:tc>
          <w:tcPr>
            <w:tcW w:w="1418" w:type="dxa"/>
          </w:tcPr>
          <w:p w14:paraId="065BB54D" w14:textId="77777777" w:rsidR="00DE1D89" w:rsidRPr="00DE1D89" w:rsidRDefault="00DE1D89" w:rsidP="00DE1D89">
            <w:pPr>
              <w:ind w:left="0" w:right="0"/>
              <w:rPr>
                <w:sz w:val="20"/>
                <w:szCs w:val="20"/>
              </w:rPr>
            </w:pPr>
            <w:r w:rsidRPr="00DE1D89">
              <w:rPr>
                <w:sz w:val="20"/>
                <w:szCs w:val="20"/>
              </w:rPr>
              <w:t>19 October 2018</w:t>
            </w:r>
          </w:p>
        </w:tc>
        <w:tc>
          <w:tcPr>
            <w:tcW w:w="1134" w:type="dxa"/>
          </w:tcPr>
          <w:p w14:paraId="0746F3D0" w14:textId="77777777" w:rsidR="00DE1D89" w:rsidRPr="00DE1D89" w:rsidRDefault="00DE1D89" w:rsidP="00DE1D89">
            <w:pPr>
              <w:ind w:left="0" w:right="0"/>
              <w:rPr>
                <w:sz w:val="20"/>
                <w:szCs w:val="20"/>
              </w:rPr>
            </w:pPr>
            <w:r w:rsidRPr="00DE1D89">
              <w:rPr>
                <w:sz w:val="20"/>
                <w:szCs w:val="20"/>
              </w:rPr>
              <w:t>Under review</w:t>
            </w:r>
          </w:p>
        </w:tc>
        <w:tc>
          <w:tcPr>
            <w:tcW w:w="4926" w:type="dxa"/>
          </w:tcPr>
          <w:p w14:paraId="480425D0" w14:textId="77777777" w:rsidR="00DE1D89" w:rsidRPr="00DE1D89" w:rsidRDefault="00DE1D89" w:rsidP="00DE1D89">
            <w:pPr>
              <w:ind w:left="0" w:right="0"/>
              <w:rPr>
                <w:sz w:val="20"/>
                <w:szCs w:val="20"/>
              </w:rPr>
            </w:pPr>
            <w:r w:rsidRPr="00DE1D89">
              <w:rPr>
                <w:sz w:val="20"/>
                <w:szCs w:val="20"/>
              </w:rPr>
              <w:t>Under review</w:t>
            </w:r>
          </w:p>
        </w:tc>
      </w:tr>
    </w:tbl>
    <w:p w14:paraId="4452D930" w14:textId="77777777" w:rsidR="008E7846" w:rsidRDefault="008E7846" w:rsidP="00940A89">
      <w:pPr>
        <w:pStyle w:val="Heading3"/>
      </w:pPr>
      <w:bookmarkStart w:id="22" w:name="_Toc28080717"/>
      <w:r>
        <w:t>Product Information</w:t>
      </w:r>
      <w:bookmarkEnd w:id="19"/>
      <w:bookmarkEnd w:id="20"/>
      <w:bookmarkEnd w:id="22"/>
    </w:p>
    <w:p w14:paraId="3962DCC1"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20BBBB8C" w14:textId="77777777" w:rsidR="00500337" w:rsidRDefault="00AD3D20" w:rsidP="00500337">
      <w:pPr>
        <w:pStyle w:val="Heading2"/>
      </w:pPr>
      <w:bookmarkStart w:id="25" w:name="_Toc504480011"/>
      <w:bookmarkStart w:id="26" w:name="_Toc28080718"/>
      <w:r>
        <w:t>II. Registration time</w:t>
      </w:r>
      <w:r w:rsidR="00500337">
        <w:t>line</w:t>
      </w:r>
      <w:bookmarkEnd w:id="25"/>
      <w:bookmarkEnd w:id="26"/>
    </w:p>
    <w:p w14:paraId="5D169EC2" w14:textId="308191FD" w:rsidR="00500337" w:rsidRDefault="004C0A50" w:rsidP="00500337">
      <w:r>
        <w:fldChar w:fldCharType="begin"/>
      </w:r>
      <w:r>
        <w:instrText xml:space="preserve"> REF _Ref26339937 \h </w:instrText>
      </w:r>
      <w:r>
        <w:fldChar w:fldCharType="separate"/>
      </w:r>
      <w:r>
        <w:t xml:space="preserve">Table </w:t>
      </w:r>
      <w:r>
        <w:rPr>
          <w:noProof/>
        </w:rPr>
        <w:t>2</w:t>
      </w:r>
      <w:r>
        <w:fldChar w:fldCharType="end"/>
      </w:r>
      <w:r>
        <w:t xml:space="preserve"> </w:t>
      </w:r>
      <w:r w:rsidR="00500337">
        <w:t>captures the key steps and dates for this application and which are detailed and discussed in this AusPAR.</w:t>
      </w:r>
    </w:p>
    <w:p w14:paraId="25F04CFB" w14:textId="329B471B" w:rsidR="002335FC" w:rsidRDefault="002335FC" w:rsidP="0019198A">
      <w:pPr>
        <w:pStyle w:val="TableTitle"/>
      </w:pPr>
      <w:bookmarkStart w:id="27" w:name="_Ref26339937"/>
      <w:r>
        <w:lastRenderedPageBreak/>
        <w:t xml:space="preserve">Table </w:t>
      </w:r>
      <w:r w:rsidR="007E4787">
        <w:fldChar w:fldCharType="begin"/>
      </w:r>
      <w:r w:rsidR="007E4787">
        <w:instrText xml:space="preserve"> SEQ Table \* ARABIC </w:instrText>
      </w:r>
      <w:r w:rsidR="007E4787">
        <w:fldChar w:fldCharType="separate"/>
      </w:r>
      <w:r>
        <w:rPr>
          <w:noProof/>
        </w:rPr>
        <w:t>2</w:t>
      </w:r>
      <w:r w:rsidR="007E4787">
        <w:rPr>
          <w:noProof/>
        </w:rPr>
        <w:fldChar w:fldCharType="end"/>
      </w:r>
      <w:bookmarkEnd w:id="27"/>
      <w:r>
        <w:t xml:space="preserve">: </w:t>
      </w:r>
      <w:r w:rsidRPr="000F0874">
        <w:t>Timeline for Submission PM-2018-04002-1-2</w:t>
      </w:r>
    </w:p>
    <w:tbl>
      <w:tblPr>
        <w:tblStyle w:val="TableTGAblue"/>
        <w:tblW w:w="0" w:type="auto"/>
        <w:tblLook w:val="04A0" w:firstRow="1" w:lastRow="0" w:firstColumn="1" w:lastColumn="0" w:noHBand="0" w:noVBand="1"/>
      </w:tblPr>
      <w:tblGrid>
        <w:gridCol w:w="4360"/>
        <w:gridCol w:w="4360"/>
      </w:tblGrid>
      <w:tr w:rsidR="00500337" w14:paraId="1CC857EC"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F226F51" w14:textId="77777777" w:rsidR="00500337" w:rsidRDefault="00500337" w:rsidP="00500337">
            <w:pPr>
              <w:ind w:left="0" w:right="0"/>
            </w:pPr>
            <w:r>
              <w:t>Description</w:t>
            </w:r>
          </w:p>
        </w:tc>
        <w:tc>
          <w:tcPr>
            <w:tcW w:w="4360" w:type="dxa"/>
          </w:tcPr>
          <w:p w14:paraId="47157222" w14:textId="77777777" w:rsidR="00500337" w:rsidRDefault="00500337" w:rsidP="00500337">
            <w:pPr>
              <w:ind w:left="0" w:right="0"/>
            </w:pPr>
            <w:r>
              <w:t>Date</w:t>
            </w:r>
          </w:p>
        </w:tc>
      </w:tr>
      <w:tr w:rsidR="00500337" w14:paraId="7A8274FF" w14:textId="77777777" w:rsidTr="00500337">
        <w:tc>
          <w:tcPr>
            <w:tcW w:w="4360" w:type="dxa"/>
          </w:tcPr>
          <w:p w14:paraId="4CE1BCD8" w14:textId="77777777" w:rsidR="00500337" w:rsidRDefault="00500337" w:rsidP="00500337">
            <w:pPr>
              <w:ind w:left="0" w:right="0"/>
            </w:pPr>
            <w:r>
              <w:t>Submission dossier accepted and first round evaluation commenced</w:t>
            </w:r>
          </w:p>
        </w:tc>
        <w:tc>
          <w:tcPr>
            <w:tcW w:w="4360" w:type="dxa"/>
          </w:tcPr>
          <w:p w14:paraId="0B168895" w14:textId="77777777" w:rsidR="00500337" w:rsidRDefault="002F7CF5" w:rsidP="00500337">
            <w:pPr>
              <w:ind w:left="0" w:right="0"/>
            </w:pPr>
            <w:r>
              <w:t>31 October 2018</w:t>
            </w:r>
          </w:p>
        </w:tc>
      </w:tr>
      <w:tr w:rsidR="00500337" w14:paraId="5027D00B" w14:textId="77777777" w:rsidTr="00500337">
        <w:tc>
          <w:tcPr>
            <w:tcW w:w="4360" w:type="dxa"/>
          </w:tcPr>
          <w:p w14:paraId="79CF55AA" w14:textId="77777777" w:rsidR="00500337" w:rsidRDefault="00500337" w:rsidP="00500337">
            <w:pPr>
              <w:ind w:left="0" w:right="0"/>
            </w:pPr>
            <w:r>
              <w:t>First round evaluation completed</w:t>
            </w:r>
          </w:p>
        </w:tc>
        <w:tc>
          <w:tcPr>
            <w:tcW w:w="4360" w:type="dxa"/>
          </w:tcPr>
          <w:p w14:paraId="221664DA" w14:textId="77777777" w:rsidR="00500337" w:rsidRDefault="002F7CF5" w:rsidP="00500337">
            <w:pPr>
              <w:ind w:left="0" w:right="0"/>
            </w:pPr>
            <w:r>
              <w:t>5 April 2019</w:t>
            </w:r>
          </w:p>
        </w:tc>
      </w:tr>
      <w:tr w:rsidR="00500337" w14:paraId="4B28E872" w14:textId="77777777" w:rsidTr="00500337">
        <w:tc>
          <w:tcPr>
            <w:tcW w:w="4360" w:type="dxa"/>
          </w:tcPr>
          <w:p w14:paraId="22650F76" w14:textId="77777777" w:rsidR="00500337" w:rsidRDefault="00500337" w:rsidP="00500337">
            <w:pPr>
              <w:ind w:left="0" w:right="0"/>
            </w:pPr>
            <w:r>
              <w:t>Sponsor provides responses on questions raised in first round evaluation</w:t>
            </w:r>
          </w:p>
        </w:tc>
        <w:tc>
          <w:tcPr>
            <w:tcW w:w="4360" w:type="dxa"/>
          </w:tcPr>
          <w:p w14:paraId="1A0EF710" w14:textId="77777777" w:rsidR="00500337" w:rsidRDefault="002F7CF5" w:rsidP="00500337">
            <w:pPr>
              <w:ind w:left="0" w:right="0"/>
            </w:pPr>
            <w:r>
              <w:t>30 April 2019</w:t>
            </w:r>
          </w:p>
        </w:tc>
      </w:tr>
      <w:tr w:rsidR="00500337" w14:paraId="1C0177BE" w14:textId="77777777" w:rsidTr="00500337">
        <w:tc>
          <w:tcPr>
            <w:tcW w:w="4360" w:type="dxa"/>
          </w:tcPr>
          <w:p w14:paraId="7B6A29C3" w14:textId="77777777" w:rsidR="00500337" w:rsidRDefault="00500337" w:rsidP="00500337">
            <w:pPr>
              <w:ind w:left="0" w:right="0"/>
            </w:pPr>
            <w:r>
              <w:t>Second round evaluation completed</w:t>
            </w:r>
          </w:p>
        </w:tc>
        <w:tc>
          <w:tcPr>
            <w:tcW w:w="4360" w:type="dxa"/>
          </w:tcPr>
          <w:p w14:paraId="32D12191" w14:textId="77777777" w:rsidR="00500337" w:rsidRDefault="002F7CF5" w:rsidP="00500337">
            <w:pPr>
              <w:ind w:left="0" w:right="0"/>
            </w:pPr>
            <w:r>
              <w:t>17 June 2019</w:t>
            </w:r>
          </w:p>
        </w:tc>
      </w:tr>
      <w:tr w:rsidR="00500337" w14:paraId="4D246D80" w14:textId="77777777" w:rsidTr="00500337">
        <w:tc>
          <w:tcPr>
            <w:tcW w:w="4360" w:type="dxa"/>
          </w:tcPr>
          <w:p w14:paraId="7F5B731C" w14:textId="77777777" w:rsidR="00500337" w:rsidRDefault="00500337" w:rsidP="00500337">
            <w:pPr>
              <w:ind w:left="0" w:right="0"/>
            </w:pPr>
            <w:r>
              <w:t>Delegate’s Overall benefit-risk assessment and request for Advisory Committee advice</w:t>
            </w:r>
          </w:p>
        </w:tc>
        <w:tc>
          <w:tcPr>
            <w:tcW w:w="4360" w:type="dxa"/>
          </w:tcPr>
          <w:p w14:paraId="725BF720" w14:textId="77777777" w:rsidR="00500337" w:rsidRDefault="002F7CF5" w:rsidP="00500337">
            <w:pPr>
              <w:ind w:left="0" w:right="0"/>
            </w:pPr>
            <w:r>
              <w:t>27 June 2019</w:t>
            </w:r>
          </w:p>
        </w:tc>
      </w:tr>
      <w:tr w:rsidR="00500337" w14:paraId="057A031A" w14:textId="77777777" w:rsidTr="00500337">
        <w:tc>
          <w:tcPr>
            <w:tcW w:w="4360" w:type="dxa"/>
          </w:tcPr>
          <w:p w14:paraId="0989B07A" w14:textId="77777777" w:rsidR="00500337" w:rsidRDefault="00500337" w:rsidP="00500337">
            <w:pPr>
              <w:ind w:left="0" w:right="0"/>
            </w:pPr>
            <w:r>
              <w:t>Sponsor’s pre-Advisory Committee response</w:t>
            </w:r>
          </w:p>
        </w:tc>
        <w:tc>
          <w:tcPr>
            <w:tcW w:w="4360" w:type="dxa"/>
          </w:tcPr>
          <w:p w14:paraId="0243FE28" w14:textId="77777777" w:rsidR="00500337" w:rsidRDefault="00217FB8" w:rsidP="00500337">
            <w:pPr>
              <w:ind w:left="0" w:right="0"/>
            </w:pPr>
            <w:r>
              <w:t>11 July 2019</w:t>
            </w:r>
          </w:p>
        </w:tc>
      </w:tr>
      <w:tr w:rsidR="00500337" w14:paraId="28871DF9" w14:textId="77777777" w:rsidTr="00500337">
        <w:tc>
          <w:tcPr>
            <w:tcW w:w="4360" w:type="dxa"/>
          </w:tcPr>
          <w:p w14:paraId="34D5A343" w14:textId="77777777" w:rsidR="00500337" w:rsidRDefault="00500337" w:rsidP="00500337">
            <w:pPr>
              <w:ind w:left="0" w:right="0"/>
            </w:pPr>
            <w:r>
              <w:t>Advisory Committee meeting</w:t>
            </w:r>
          </w:p>
        </w:tc>
        <w:tc>
          <w:tcPr>
            <w:tcW w:w="4360" w:type="dxa"/>
          </w:tcPr>
          <w:p w14:paraId="02E50F43" w14:textId="77777777" w:rsidR="00500337" w:rsidRDefault="00217FB8" w:rsidP="00500337">
            <w:pPr>
              <w:ind w:left="0" w:right="0"/>
            </w:pPr>
            <w:r>
              <w:t>1-2 August 2019</w:t>
            </w:r>
          </w:p>
        </w:tc>
      </w:tr>
      <w:tr w:rsidR="00500337" w14:paraId="4D312505" w14:textId="77777777" w:rsidTr="00500337">
        <w:tc>
          <w:tcPr>
            <w:tcW w:w="4360" w:type="dxa"/>
          </w:tcPr>
          <w:p w14:paraId="6295A420" w14:textId="77777777" w:rsidR="00500337" w:rsidRDefault="00500337" w:rsidP="00500337">
            <w:pPr>
              <w:ind w:left="0" w:right="0"/>
            </w:pPr>
            <w:r>
              <w:t>Registration decision (Outcome)</w:t>
            </w:r>
          </w:p>
        </w:tc>
        <w:tc>
          <w:tcPr>
            <w:tcW w:w="4360" w:type="dxa"/>
          </w:tcPr>
          <w:p w14:paraId="21C63D7A" w14:textId="77777777" w:rsidR="00500337" w:rsidRDefault="00217FB8" w:rsidP="00500337">
            <w:pPr>
              <w:ind w:left="0" w:right="0"/>
            </w:pPr>
            <w:r>
              <w:t>11 September 2019</w:t>
            </w:r>
          </w:p>
        </w:tc>
      </w:tr>
      <w:tr w:rsidR="00500337" w14:paraId="2AEB4432" w14:textId="77777777" w:rsidTr="00500337">
        <w:tc>
          <w:tcPr>
            <w:tcW w:w="4360" w:type="dxa"/>
          </w:tcPr>
          <w:p w14:paraId="71661764" w14:textId="77777777" w:rsidR="00500337" w:rsidRDefault="00500337" w:rsidP="00500337">
            <w:pPr>
              <w:ind w:left="0" w:right="0"/>
            </w:pPr>
            <w:r>
              <w:t>Completion of administrative activities and registration on ARTG</w:t>
            </w:r>
          </w:p>
        </w:tc>
        <w:tc>
          <w:tcPr>
            <w:tcW w:w="4360" w:type="dxa"/>
          </w:tcPr>
          <w:p w14:paraId="749C4AB7" w14:textId="77777777" w:rsidR="00500337" w:rsidRDefault="00217FB8" w:rsidP="00500337">
            <w:pPr>
              <w:ind w:left="0" w:right="0"/>
            </w:pPr>
            <w:r>
              <w:t>16 September 2019</w:t>
            </w:r>
          </w:p>
        </w:tc>
      </w:tr>
      <w:tr w:rsidR="00500337" w14:paraId="31060A86" w14:textId="77777777" w:rsidTr="00500337">
        <w:tc>
          <w:tcPr>
            <w:tcW w:w="4360" w:type="dxa"/>
          </w:tcPr>
          <w:p w14:paraId="1EA3F36E" w14:textId="77777777" w:rsidR="00500337" w:rsidRDefault="00500337" w:rsidP="00500337">
            <w:pPr>
              <w:ind w:left="0" w:right="0"/>
            </w:pPr>
            <w:r>
              <w:t>Number of working days from submission dossier acceptance to registration decision*</w:t>
            </w:r>
          </w:p>
        </w:tc>
        <w:tc>
          <w:tcPr>
            <w:tcW w:w="4360" w:type="dxa"/>
          </w:tcPr>
          <w:p w14:paraId="12BE7E75" w14:textId="77777777" w:rsidR="00500337" w:rsidRDefault="00217FB8" w:rsidP="00500337">
            <w:pPr>
              <w:ind w:left="0" w:right="0"/>
            </w:pPr>
            <w:r>
              <w:t>201</w:t>
            </w:r>
          </w:p>
        </w:tc>
      </w:tr>
    </w:tbl>
    <w:p w14:paraId="4FCE7D1D"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FA2917C" w14:textId="77777777" w:rsidR="008E7846" w:rsidRPr="00792A32" w:rsidRDefault="00456765" w:rsidP="008E7846">
      <w:pPr>
        <w:pStyle w:val="Heading2"/>
      </w:pPr>
      <w:bookmarkStart w:id="28" w:name="_Toc196046504"/>
      <w:bookmarkStart w:id="29" w:name="_Toc247691527"/>
      <w:bookmarkStart w:id="30" w:name="_Toc314842510"/>
      <w:bookmarkStart w:id="31" w:name="_Toc163441390"/>
      <w:bookmarkStart w:id="32" w:name="_Toc28080719"/>
      <w:bookmarkEnd w:id="1"/>
      <w:bookmarkEnd w:id="23"/>
      <w:bookmarkEnd w:id="24"/>
      <w:r>
        <w:t>I</w:t>
      </w:r>
      <w:r w:rsidR="00DA64CB">
        <w:t>I</w:t>
      </w:r>
      <w:r w:rsidR="008E7846">
        <w:t xml:space="preserve">I. </w:t>
      </w:r>
      <w:r w:rsidR="00217FB8">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5AB4149E" w14:textId="77777777" w:rsidR="008E7846" w:rsidRDefault="008E7846" w:rsidP="008E7846">
      <w:bookmarkStart w:id="33" w:name="_Toc247691528"/>
      <w:r>
        <w:t xml:space="preserve">The submission was summarised in the following </w:t>
      </w:r>
      <w:r w:rsidRPr="00EF5C48">
        <w:t xml:space="preserve">Delegate’s </w:t>
      </w:r>
      <w:r>
        <w:t>overview</w:t>
      </w:r>
      <w:r w:rsidRPr="00EF5C48">
        <w:t xml:space="preserve"> and recommendation</w:t>
      </w:r>
      <w:r w:rsidR="00217FB8">
        <w:t>s.</w:t>
      </w:r>
    </w:p>
    <w:p w14:paraId="4987D1AE" w14:textId="77777777" w:rsidR="008E7846" w:rsidRDefault="008E7846" w:rsidP="008E7846">
      <w:pPr>
        <w:pStyle w:val="Heading3"/>
      </w:pPr>
      <w:bookmarkStart w:id="34" w:name="_Toc314842511"/>
      <w:bookmarkStart w:id="35" w:name="_Toc28080720"/>
      <w:r>
        <w:t>Quality</w:t>
      </w:r>
      <w:bookmarkEnd w:id="33"/>
      <w:bookmarkEnd w:id="34"/>
      <w:bookmarkEnd w:id="35"/>
    </w:p>
    <w:p w14:paraId="7A83E9B5" w14:textId="77B93B5E" w:rsidR="00005261" w:rsidRDefault="00005261" w:rsidP="00005261">
      <w:r>
        <w:t xml:space="preserve">The drug product is a </w:t>
      </w:r>
      <w:r w:rsidR="00FC1FD4">
        <w:t>FDC</w:t>
      </w:r>
      <w:r>
        <w:t xml:space="preserve">, immediate release, tablet for oral administration containing 52.6 mg </w:t>
      </w:r>
      <w:proofErr w:type="spellStart"/>
      <w:r>
        <w:t>dolutegravir</w:t>
      </w:r>
      <w:proofErr w:type="spellEnd"/>
      <w:r>
        <w:t xml:space="preserve"> sodium, which is equivalent to 50 mg </w:t>
      </w:r>
      <w:proofErr w:type="spellStart"/>
      <w:r>
        <w:t>dolutegravir</w:t>
      </w:r>
      <w:proofErr w:type="spellEnd"/>
      <w:r>
        <w:t xml:space="preserve"> (free acid), and 300 mg lamivudine.</w:t>
      </w:r>
    </w:p>
    <w:p w14:paraId="31A9BB5E" w14:textId="4A2D73FA" w:rsidR="00005261" w:rsidRDefault="00FC1FD4" w:rsidP="00005261">
      <w:r>
        <w:t>DTG/3TC tablets, 50 mg/300 mg</w:t>
      </w:r>
      <w:r w:rsidR="00005261">
        <w:t xml:space="preserve">, are oval (approximately 18.5 x 9.5 mm), biconvex, white, film coated tablets, debossed with </w:t>
      </w:r>
      <w:r w:rsidR="00C17B5C">
        <w:t>‘</w:t>
      </w:r>
      <w:r w:rsidR="00005261">
        <w:t>SV 137</w:t>
      </w:r>
      <w:r w:rsidR="00C17B5C">
        <w:t>’</w:t>
      </w:r>
      <w:r w:rsidR="00005261">
        <w:t xml:space="preserve"> on one face.</w:t>
      </w:r>
    </w:p>
    <w:p w14:paraId="5785CD4E" w14:textId="77777777" w:rsidR="00005261" w:rsidRPr="00005261" w:rsidRDefault="00005261" w:rsidP="00005261">
      <w:r>
        <w:t>The tablets are packed in an opaque, white, round, high density polyethylene (HDPE) bottle with a polypropylene child-resistant closure that includes a polyethylene faced induction seal liner.</w:t>
      </w:r>
    </w:p>
    <w:p w14:paraId="4322001A" w14:textId="77777777" w:rsidR="00AD3D20" w:rsidRDefault="00005261" w:rsidP="00005261">
      <w:pPr>
        <w:pStyle w:val="Heading4"/>
      </w:pPr>
      <w:r>
        <w:t>First round</w:t>
      </w:r>
      <w:r w:rsidR="00AD3D20">
        <w:t xml:space="preserve"> </w:t>
      </w:r>
      <w:r w:rsidR="0036157B">
        <w:t xml:space="preserve">evaluation </w:t>
      </w:r>
      <w:r w:rsidR="00AD3D20">
        <w:t>recommendations</w:t>
      </w:r>
    </w:p>
    <w:p w14:paraId="0A6ACC53" w14:textId="77777777" w:rsidR="00AD3D20" w:rsidRDefault="00AD3D20" w:rsidP="00AD3D20">
      <w:r>
        <w:t xml:space="preserve">The </w:t>
      </w:r>
      <w:r w:rsidR="00FC1FD4">
        <w:t>provisional ARTG record</w:t>
      </w:r>
      <w:r>
        <w:t xml:space="preserve"> should be amended to replace the entry for </w:t>
      </w:r>
      <w:proofErr w:type="spellStart"/>
      <w:r>
        <w:t>dolutegravir</w:t>
      </w:r>
      <w:proofErr w:type="spellEnd"/>
      <w:r>
        <w:t xml:space="preserve"> in the formulation with </w:t>
      </w:r>
      <w:proofErr w:type="spellStart"/>
      <w:r>
        <w:t>dolutegravir</w:t>
      </w:r>
      <w:proofErr w:type="spellEnd"/>
      <w:r>
        <w:t xml:space="preserve"> sodium 52.6 mg.</w:t>
      </w:r>
    </w:p>
    <w:p w14:paraId="3E2D4EB0" w14:textId="0F9F9627" w:rsidR="00AD3D20" w:rsidRDefault="00AD3D20" w:rsidP="00AD3D20">
      <w:r>
        <w:lastRenderedPageBreak/>
        <w:t xml:space="preserve">Subject to provision of data demonstrating compliance with a tighter dissolution limit and earlier sampling time and evidence that the test methods for related substances are capable of detecting and quantifying all potential degradants, the stability data provided support the proposed shelf-lives of 24 months when stored below 30 °C in commercial packaging and </w:t>
      </w:r>
      <w:r w:rsidR="000F1DB5">
        <w:t>[Information redacted]</w:t>
      </w:r>
      <w:r>
        <w:t>.</w:t>
      </w:r>
    </w:p>
    <w:p w14:paraId="6B309B2A" w14:textId="54EC59F1" w:rsidR="00AD3D20" w:rsidRDefault="00AD3D20" w:rsidP="00AD3D20">
      <w:r>
        <w:t>Subject to satisfactory resolution of issues raised</w:t>
      </w:r>
      <w:r w:rsidR="00FC1FD4">
        <w:t>,</w:t>
      </w:r>
      <w:r>
        <w:t xml:space="preserve"> ethics </w:t>
      </w:r>
      <w:r w:rsidR="0036157B">
        <w:t>committee approval and the long</w:t>
      </w:r>
      <w:r w:rsidR="0036157B">
        <w:noBreakHyphen/>
      </w:r>
      <w:r>
        <w:t xml:space="preserve">term stability of the </w:t>
      </w:r>
      <w:proofErr w:type="spellStart"/>
      <w:r>
        <w:t>analytes</w:t>
      </w:r>
      <w:proofErr w:type="spellEnd"/>
      <w:r>
        <w:t xml:space="preserve">, the results of the pivotal bioequivalence study support the conclusions that in the fasted state, the formulation proposed for registration is equivalent to co-administration of the single-active products with respect to </w:t>
      </w:r>
      <w:proofErr w:type="spellStart"/>
      <w:r>
        <w:t>dolutegravir</w:t>
      </w:r>
      <w:proofErr w:type="spellEnd"/>
      <w:r>
        <w:t xml:space="preserve"> </w:t>
      </w:r>
      <w:r w:rsidR="00005261">
        <w:rPr>
          <w:rFonts w:eastAsia="ArialNarrow" w:cs="ArialNarrow"/>
        </w:rPr>
        <w:t>a</w:t>
      </w:r>
      <w:r w:rsidR="00005261" w:rsidRPr="00AD6775">
        <w:rPr>
          <w:rFonts w:eastAsia="ArialNarrow" w:cs="ArialNarrow"/>
        </w:rPr>
        <w:t xml:space="preserve">rea under the plasma concentration time curve </w:t>
      </w:r>
      <w:r w:rsidR="00005261">
        <w:rPr>
          <w:rFonts w:eastAsia="ArialNarrow" w:cs="ArialNarrow"/>
        </w:rPr>
        <w:t>(</w:t>
      </w:r>
      <w:r>
        <w:t>AUC</w:t>
      </w:r>
      <w:r w:rsidR="00005261">
        <w:t>)</w:t>
      </w:r>
      <w:r>
        <w:t xml:space="preserve"> and </w:t>
      </w:r>
      <w:r w:rsidR="00005261">
        <w:rPr>
          <w:rFonts w:eastAsia="ArialNarrow" w:cs="ArialNarrow"/>
        </w:rPr>
        <w:t>m</w:t>
      </w:r>
      <w:r w:rsidR="00005261" w:rsidRPr="00AD6775">
        <w:rPr>
          <w:rFonts w:eastAsia="ArialNarrow" w:cs="ArialNarrow"/>
        </w:rPr>
        <w:t>aximum observed concentration</w:t>
      </w:r>
      <w:r w:rsidR="00005261">
        <w:t xml:space="preserve"> (</w:t>
      </w:r>
      <w:proofErr w:type="spellStart"/>
      <w:r>
        <w:t>C</w:t>
      </w:r>
      <w:r w:rsidRPr="00005261">
        <w:rPr>
          <w:vertAlign w:val="subscript"/>
        </w:rPr>
        <w:t>max</w:t>
      </w:r>
      <w:proofErr w:type="spellEnd"/>
      <w:r w:rsidR="00005261">
        <w:t>)</w:t>
      </w:r>
      <w:r>
        <w:t xml:space="preserve"> and lamivudine AUC but lamivudine </w:t>
      </w:r>
      <w:proofErr w:type="spellStart"/>
      <w:r>
        <w:t>C</w:t>
      </w:r>
      <w:r w:rsidRPr="00005261">
        <w:rPr>
          <w:vertAlign w:val="subscript"/>
        </w:rPr>
        <w:t>max</w:t>
      </w:r>
      <w:proofErr w:type="spellEnd"/>
      <w:r w:rsidR="00005261">
        <w:t xml:space="preserve"> is approximately </w:t>
      </w:r>
      <w:r>
        <w:t>30% higher, and that the effect of administration of the tablet with a high-fat meal is comparable to the reported effects of food on the single-active products.</w:t>
      </w:r>
    </w:p>
    <w:p w14:paraId="42BD834F" w14:textId="0A341FDB" w:rsidR="00AD3D20" w:rsidRDefault="00AD3D20" w:rsidP="00AD3D20">
      <w:r>
        <w:t xml:space="preserve">A number of </w:t>
      </w:r>
      <w:r w:rsidRPr="0019198A">
        <w:t>significant</w:t>
      </w:r>
      <w:r>
        <w:t xml:space="preserve"> deficiencies in the application data were identified during the assessment.</w:t>
      </w:r>
      <w:r w:rsidR="000F1DB5">
        <w:rPr>
          <w:rStyle w:val="FootnoteReference"/>
        </w:rPr>
        <w:footnoteReference w:id="6"/>
      </w:r>
      <w:r>
        <w:t xml:space="preserve"> Registration of the product for distribution in Australia is not recommended until each of </w:t>
      </w:r>
      <w:r w:rsidR="00005261">
        <w:t>TGA questions are</w:t>
      </w:r>
      <w:r>
        <w:t xml:space="preserve"> satisfactorily resolved.</w:t>
      </w:r>
    </w:p>
    <w:p w14:paraId="7B633AA6" w14:textId="77777777" w:rsidR="00AD3D20" w:rsidRDefault="00005261" w:rsidP="00005261">
      <w:pPr>
        <w:pStyle w:val="Heading4"/>
      </w:pPr>
      <w:r>
        <w:t>Second round</w:t>
      </w:r>
      <w:r w:rsidR="00AD3D20">
        <w:t xml:space="preserve"> </w:t>
      </w:r>
      <w:r w:rsidR="0036157B">
        <w:t xml:space="preserve">evaluation </w:t>
      </w:r>
      <w:r w:rsidR="00AD3D20">
        <w:t xml:space="preserve">recommendations (post </w:t>
      </w:r>
      <w:r>
        <w:t>response to TGA questions</w:t>
      </w:r>
      <w:r w:rsidR="00AD3D20">
        <w:t>)</w:t>
      </w:r>
    </w:p>
    <w:p w14:paraId="28CDE10D" w14:textId="77777777" w:rsidR="008766D5" w:rsidRDefault="00AD3D20" w:rsidP="00AD3D20">
      <w:r>
        <w:t xml:space="preserve">Responses provided to the </w:t>
      </w:r>
      <w:r w:rsidR="00005261">
        <w:t>TGA</w:t>
      </w:r>
      <w:r>
        <w:t xml:space="preserve"> questions raised are considered acceptable, except for the following:</w:t>
      </w:r>
    </w:p>
    <w:p w14:paraId="7D3F752E" w14:textId="77777777" w:rsidR="00AD3D20" w:rsidRDefault="00AD3D20" w:rsidP="00005261">
      <w:pPr>
        <w:pStyle w:val="ListBullet"/>
      </w:pPr>
      <w:r>
        <w:t>The label should be re</w:t>
      </w:r>
      <w:r w:rsidR="00005261">
        <w:t>vised to include the statement ‘Store in original package’;</w:t>
      </w:r>
    </w:p>
    <w:p w14:paraId="067F4E2A" w14:textId="1667F56C" w:rsidR="00AD3D20" w:rsidRDefault="00AD3D20" w:rsidP="00005261">
      <w:pPr>
        <w:pStyle w:val="ListBullet"/>
      </w:pPr>
      <w:r>
        <w:t xml:space="preserve">An updated </w:t>
      </w:r>
      <w:r w:rsidR="003C0559">
        <w:t xml:space="preserve">Good Manufacturing Practice </w:t>
      </w:r>
      <w:r w:rsidR="0019198A">
        <w:t xml:space="preserve">(GMP) </w:t>
      </w:r>
      <w:r>
        <w:t xml:space="preserve">clearance for </w:t>
      </w:r>
      <w:r w:rsidR="000F1DB5">
        <w:t>one manufacturing</w:t>
      </w:r>
      <w:r w:rsidR="00CE4290">
        <w:t xml:space="preserve"> site is outstanding and should be provided</w:t>
      </w:r>
      <w:r>
        <w:t>.</w:t>
      </w:r>
    </w:p>
    <w:p w14:paraId="5CE65CD3" w14:textId="77777777" w:rsidR="00AD3D20" w:rsidRDefault="00005261" w:rsidP="00005261">
      <w:pPr>
        <w:pStyle w:val="Heading4"/>
      </w:pPr>
      <w:r>
        <w:t>Post-second round</w:t>
      </w:r>
      <w:r w:rsidR="00AD3D20">
        <w:t xml:space="preserve"> </w:t>
      </w:r>
      <w:r w:rsidR="0036157B">
        <w:t xml:space="preserve">evaluation </w:t>
      </w:r>
      <w:r w:rsidR="00AD3D20">
        <w:t>recommendations</w:t>
      </w:r>
    </w:p>
    <w:p w14:paraId="0C83F401" w14:textId="093355AB" w:rsidR="00E45619" w:rsidRDefault="00AD3D20" w:rsidP="003A7F6C">
      <w:r>
        <w:t xml:space="preserve">The </w:t>
      </w:r>
      <w:r w:rsidR="0019198A">
        <w:t>GMP</w:t>
      </w:r>
      <w:r w:rsidR="003C0559">
        <w:t xml:space="preserve"> </w:t>
      </w:r>
      <w:r>
        <w:t xml:space="preserve">issue is resolved. Noting the sponsor has acknowledged the above label issue and provided an undertaking that it will be addressed in the next </w:t>
      </w:r>
      <w:r w:rsidR="00005261">
        <w:t>data submission</w:t>
      </w:r>
      <w:r>
        <w:t xml:space="preserve">, registration of the proposed </w:t>
      </w:r>
      <w:proofErr w:type="spellStart"/>
      <w:r>
        <w:t>dolutegravir</w:t>
      </w:r>
      <w:proofErr w:type="spellEnd"/>
      <w:r>
        <w:t xml:space="preserve"> (as sodium) 50 mg / lamivudine 300 mg </w:t>
      </w:r>
      <w:r w:rsidR="00FC1FD4">
        <w:t>FDC</w:t>
      </w:r>
      <w:r>
        <w:t xml:space="preserve"> tablet under the tradename ‘</w:t>
      </w:r>
      <w:proofErr w:type="spellStart"/>
      <w:r w:rsidR="00005261">
        <w:t>Dovato</w:t>
      </w:r>
      <w:proofErr w:type="spellEnd"/>
      <w:r>
        <w:t>’ is recommended, with respect to pharmaceutical chemistry aspects.</w:t>
      </w:r>
    </w:p>
    <w:p w14:paraId="3D348CAD" w14:textId="77777777" w:rsidR="008E7846" w:rsidRDefault="008E7846" w:rsidP="008E7846">
      <w:pPr>
        <w:pStyle w:val="Heading3"/>
      </w:pPr>
      <w:bookmarkStart w:id="36" w:name="_Toc314842512"/>
      <w:bookmarkStart w:id="37" w:name="_Toc28080721"/>
      <w:r>
        <w:t>Nonclinical</w:t>
      </w:r>
      <w:bookmarkEnd w:id="36"/>
      <w:bookmarkEnd w:id="37"/>
    </w:p>
    <w:p w14:paraId="2405992C" w14:textId="77777777" w:rsidR="00AD3D20" w:rsidRDefault="00AA5AF5" w:rsidP="00AD3D20">
      <w:r>
        <w:t>The nonclinical dossier</w:t>
      </w:r>
      <w:r w:rsidR="00AD3D20">
        <w:t xml:space="preserve"> was of adequate scope and quality. Older studies not previously submitted and new pharmacology, pharmacokinetics/drug interaction studies for DTG or 3TC were provided. No new animal studies were submitted to support efficacy and safety of the proposed combination. This is acceptable as combination therapy (INSTI + NRTI) is established for the proposed indication and a triple combination consisting of DTG, 3TC and </w:t>
      </w:r>
      <w:proofErr w:type="spellStart"/>
      <w:r w:rsidR="00AD3D20">
        <w:t>abacavir</w:t>
      </w:r>
      <w:proofErr w:type="spellEnd"/>
      <w:r w:rsidR="00AD3D20">
        <w:t xml:space="preserve"> has already been approved.</w:t>
      </w:r>
    </w:p>
    <w:p w14:paraId="05D1FC0A" w14:textId="77777777" w:rsidR="00AD3D20" w:rsidRDefault="00AD3D20" w:rsidP="00AD3D20">
      <w:r>
        <w:t>Safety pharmacology studies not previously submitted showed no new safety concerns.</w:t>
      </w:r>
    </w:p>
    <w:p w14:paraId="63BEB0F2" w14:textId="2ABE2378" w:rsidR="00AD3D20" w:rsidRDefault="00AD3D20" w:rsidP="00AD3D20">
      <w:r>
        <w:t>A new pharmacokinetic distribution study showed very low binding to brain tissue, c</w:t>
      </w:r>
      <w:r w:rsidR="00AA5AF5">
        <w:t>onsistent with earlier reports (</w:t>
      </w:r>
      <w:proofErr w:type="spellStart"/>
      <w:r w:rsidR="00AA5AF5">
        <w:t>Tivicay</w:t>
      </w:r>
      <w:proofErr w:type="spellEnd"/>
      <w:r w:rsidR="00AA5AF5">
        <w:t xml:space="preserve"> (</w:t>
      </w:r>
      <w:proofErr w:type="spellStart"/>
      <w:r w:rsidR="00AA5AF5">
        <w:t>dolutegravir</w:t>
      </w:r>
      <w:proofErr w:type="spellEnd"/>
      <w:r w:rsidR="00AA5AF5">
        <w:t xml:space="preserve">) </w:t>
      </w:r>
      <w:r w:rsidR="003C0559">
        <w:t xml:space="preserve">Submission </w:t>
      </w:r>
      <w:r>
        <w:t>PM-2012-04124-1-</w:t>
      </w:r>
      <w:r w:rsidR="00AA5AF5">
        <w:t>2)</w:t>
      </w:r>
      <w:r>
        <w:t xml:space="preserve"> of low </w:t>
      </w:r>
      <w:proofErr w:type="spellStart"/>
      <w:r>
        <w:t>tissue:blood</w:t>
      </w:r>
      <w:proofErr w:type="spellEnd"/>
      <w:r>
        <w:t xml:space="preserve"> </w:t>
      </w:r>
      <w:proofErr w:type="spellStart"/>
      <w:r>
        <w:t>C</w:t>
      </w:r>
      <w:r w:rsidRPr="00AA5AF5">
        <w:rPr>
          <w:vertAlign w:val="subscript"/>
        </w:rPr>
        <w:t>max</w:t>
      </w:r>
      <w:proofErr w:type="spellEnd"/>
      <w:r>
        <w:t xml:space="preserve"> ratios for rat brain (≤</w:t>
      </w:r>
      <w:r w:rsidR="00AA5AF5">
        <w:t xml:space="preserve"> </w:t>
      </w:r>
      <w:r>
        <w:t xml:space="preserve">0.17) and absence of </w:t>
      </w:r>
      <w:r w:rsidR="00AA5AF5">
        <w:t>central nervous system (</w:t>
      </w:r>
      <w:r>
        <w:t>CNS</w:t>
      </w:r>
      <w:r w:rsidR="00AA5AF5">
        <w:t>)</w:t>
      </w:r>
      <w:r>
        <w:t xml:space="preserve"> toxicity in rats. A new permeability study with the DTG + 3TC drug</w:t>
      </w:r>
      <w:r w:rsidR="00AA5AF5">
        <w:t xml:space="preserve"> combination using Caco-2 cells</w:t>
      </w:r>
      <w:r>
        <w:t xml:space="preserve"> indicated no significant effect of DTG on 3</w:t>
      </w:r>
      <w:r w:rsidR="00AA5AF5">
        <w:t>TC absorptive permeability (that is,</w:t>
      </w:r>
      <w:r>
        <w:t xml:space="preserve"> there was no interaction at the </w:t>
      </w:r>
      <w:r w:rsidR="00C6515A" w:rsidRPr="00C6515A">
        <w:t xml:space="preserve">P-glycoprotein </w:t>
      </w:r>
      <w:r w:rsidR="00C6515A">
        <w:t>(</w:t>
      </w:r>
      <w:r>
        <w:t>P-</w:t>
      </w:r>
      <w:proofErr w:type="spellStart"/>
      <w:r>
        <w:t>gp</w:t>
      </w:r>
      <w:proofErr w:type="spellEnd"/>
      <w:r w:rsidR="00C6515A">
        <w:t>)</w:t>
      </w:r>
      <w:r>
        <w:t xml:space="preserve"> transporter).</w:t>
      </w:r>
    </w:p>
    <w:p w14:paraId="25971F4A" w14:textId="77777777" w:rsidR="008766D5" w:rsidRDefault="00AD3D20" w:rsidP="00AD3D20">
      <w:r w:rsidRPr="00AA5AF5">
        <w:rPr>
          <w:i/>
        </w:rPr>
        <w:lastRenderedPageBreak/>
        <w:t>In vitro</w:t>
      </w:r>
      <w:r>
        <w:t xml:space="preserve"> and/or </w:t>
      </w:r>
      <w:r w:rsidRPr="00AA5AF5">
        <w:rPr>
          <w:i/>
        </w:rPr>
        <w:t>in vivo</w:t>
      </w:r>
      <w:r>
        <w:t xml:space="preserve"> studies demonstrated 3TC is a substrate and a weak inhibitor of renal </w:t>
      </w:r>
      <w:r w:rsidR="00AA5AF5">
        <w:t>organic cation transporter 2 (</w:t>
      </w:r>
      <w:r>
        <w:t>OCT2</w:t>
      </w:r>
      <w:r w:rsidR="00AA5AF5">
        <w:t>)</w:t>
      </w:r>
      <w:r>
        <w:t xml:space="preserve">, </w:t>
      </w:r>
      <w:r w:rsidR="00AA5AF5">
        <w:t>m</w:t>
      </w:r>
      <w:r w:rsidR="00AA5AF5" w:rsidRPr="00AA5AF5">
        <w:t>ultidrug and toxin extrusion protein 1</w:t>
      </w:r>
      <w:r w:rsidR="00AA5AF5">
        <w:t xml:space="preserve"> (</w:t>
      </w:r>
      <w:r>
        <w:t>MATE1</w:t>
      </w:r>
      <w:r w:rsidR="00AA5AF5">
        <w:t>)</w:t>
      </w:r>
      <w:r>
        <w:t xml:space="preserve"> and/or </w:t>
      </w:r>
      <w:r w:rsidR="00AA5AF5">
        <w:t>m</w:t>
      </w:r>
      <w:r w:rsidR="00AA5AF5" w:rsidRPr="00AA5AF5">
        <w:t>ultidr</w:t>
      </w:r>
      <w:r w:rsidR="00AA5AF5">
        <w:t>ug and toxin extrusion protein 2K (</w:t>
      </w:r>
      <w:r>
        <w:t>MATE-2K</w:t>
      </w:r>
      <w:r w:rsidR="00AA5AF5">
        <w:t>)</w:t>
      </w:r>
      <w:r>
        <w:t xml:space="preserve"> transporters.</w:t>
      </w:r>
    </w:p>
    <w:p w14:paraId="31981886" w14:textId="77777777" w:rsidR="00AD3D20" w:rsidRDefault="00AD3D20" w:rsidP="00AD3D20">
      <w:r>
        <w:t xml:space="preserve">As 3TC is a substrate of OCT2 and DTG is a known inhibitor of OCT2, human plasma levels of 3TC for the combination may be higher than levels in patients taking 3TC alone. However, since DTG and 3TC have already been administered to patients in the FDC </w:t>
      </w:r>
      <w:proofErr w:type="spellStart"/>
      <w:r w:rsidR="00D0789B">
        <w:t>Triumeq</w:t>
      </w:r>
      <w:proofErr w:type="spellEnd"/>
      <w:r>
        <w:t>, clinical data on potential pharmacokinetic interactions between DTG and 3TC in patients should be available. Pharmacokinetic drug interactions are not expected with 3TC as the perpetrator at OCT2 and MATE transporters at the anticipated clinical exposure levels.</w:t>
      </w:r>
    </w:p>
    <w:p w14:paraId="32F1A0D3" w14:textId="77777777" w:rsidR="00AD3D20" w:rsidRDefault="00AD3D20" w:rsidP="00AD3D20">
      <w:r>
        <w:t xml:space="preserve">The applicant did not submit any toxicity studies with the proposed combination. The justification for the absence of such data is based on a lack of common target organs for the two individual components. Both drugs are approved as individual drugs and in other combination products including </w:t>
      </w:r>
      <w:proofErr w:type="spellStart"/>
      <w:r w:rsidR="007A626C">
        <w:t>Triumeq</w:t>
      </w:r>
      <w:proofErr w:type="spellEnd"/>
      <w:r>
        <w:t>. Each has a long-standing history of clinical use. The sponsor’s justification for not conducting combination toxicity studies is acceptable.</w:t>
      </w:r>
    </w:p>
    <w:p w14:paraId="7AB397D0" w14:textId="77777777" w:rsidR="008766D5" w:rsidRDefault="00AD3D20" w:rsidP="00AD3D20">
      <w:r>
        <w:t>Older studies on mitochondrial toxicity were unremarkable, consistent with previously reported studies.</w:t>
      </w:r>
    </w:p>
    <w:p w14:paraId="56D40C9C" w14:textId="77777777" w:rsidR="00AD3D20" w:rsidRDefault="00AD3D20" w:rsidP="007A626C">
      <w:pPr>
        <w:pStyle w:val="Heading4"/>
      </w:pPr>
      <w:r>
        <w:t>Pregnancy category</w:t>
      </w:r>
    </w:p>
    <w:p w14:paraId="1FF494DD" w14:textId="77777777" w:rsidR="00AD3D20" w:rsidRDefault="00AD3D20" w:rsidP="00AD3D20">
      <w:r>
        <w:t>Pregnancy Category B1 is proposed.</w:t>
      </w:r>
      <w:bookmarkStart w:id="38" w:name="_Ref24371415"/>
      <w:r w:rsidR="007A626C">
        <w:rPr>
          <w:rStyle w:val="FootnoteReference"/>
        </w:rPr>
        <w:footnoteReference w:id="7"/>
      </w:r>
      <w:bookmarkEnd w:id="38"/>
      <w:r>
        <w:t xml:space="preserve"> However, Pregnancy Category B3</w:t>
      </w:r>
      <w:r w:rsidR="007A626C">
        <w:t>;</w:t>
      </w:r>
      <w:bookmarkStart w:id="39" w:name="_Ref24370809"/>
      <w:r w:rsidR="007A626C">
        <w:rPr>
          <w:rStyle w:val="FootnoteReference"/>
        </w:rPr>
        <w:footnoteReference w:id="8"/>
      </w:r>
      <w:bookmarkEnd w:id="39"/>
      <w:r>
        <w:t xml:space="preserve"> is considered appropriate based on the Pregnancy categories for the individual agents (B1 and B3 for DTG and 3TC, respectively).</w:t>
      </w:r>
    </w:p>
    <w:p w14:paraId="04FFB41C" w14:textId="77777777" w:rsidR="00AD3D20" w:rsidRDefault="00AD3D20" w:rsidP="007A626C">
      <w:pPr>
        <w:pStyle w:val="Heading4"/>
      </w:pPr>
      <w:r>
        <w:t>Overall conclusion</w:t>
      </w:r>
    </w:p>
    <w:p w14:paraId="60AD5722" w14:textId="77777777" w:rsidR="00DC1948" w:rsidRPr="00DC1948" w:rsidRDefault="00AD3D20" w:rsidP="00AD3D20">
      <w:r>
        <w:t xml:space="preserve">There are no objections on nonclinical grounds to the registration of </w:t>
      </w:r>
      <w:proofErr w:type="spellStart"/>
      <w:r w:rsidR="007A626C">
        <w:t>Dovato</w:t>
      </w:r>
      <w:proofErr w:type="spellEnd"/>
      <w:r>
        <w:t>.</w:t>
      </w:r>
    </w:p>
    <w:p w14:paraId="74F49FB2" w14:textId="77777777" w:rsidR="008E7846" w:rsidRDefault="008E7846" w:rsidP="008E7846">
      <w:pPr>
        <w:pStyle w:val="Heading3"/>
      </w:pPr>
      <w:bookmarkStart w:id="40" w:name="_Toc247691530"/>
      <w:bookmarkStart w:id="41" w:name="_Toc314842513"/>
      <w:bookmarkStart w:id="42" w:name="_Toc28080722"/>
      <w:r>
        <w:t>Clinical</w:t>
      </w:r>
      <w:bookmarkEnd w:id="40"/>
      <w:bookmarkEnd w:id="41"/>
      <w:bookmarkEnd w:id="42"/>
    </w:p>
    <w:p w14:paraId="679F6287" w14:textId="77777777" w:rsidR="00AD3D20" w:rsidRPr="00555395" w:rsidRDefault="00AD3D20" w:rsidP="007A626C">
      <w:pPr>
        <w:rPr>
          <w:lang w:eastAsia="ja-JP"/>
        </w:rPr>
      </w:pPr>
      <w:bookmarkStart w:id="43" w:name="_Toc314842514"/>
      <w:r>
        <w:rPr>
          <w:lang w:eastAsia="ja-JP"/>
        </w:rPr>
        <w:t>The DTG/3TC</w:t>
      </w:r>
      <w:r w:rsidRPr="00555395">
        <w:rPr>
          <w:lang w:eastAsia="ja-JP"/>
        </w:rPr>
        <w:t xml:space="preserve"> FDC development program consisted of:</w:t>
      </w:r>
    </w:p>
    <w:p w14:paraId="6893C06A" w14:textId="0FC3CD4F" w:rsidR="00AD3D20" w:rsidRPr="00555395" w:rsidRDefault="007A626C" w:rsidP="007A626C">
      <w:pPr>
        <w:pStyle w:val="ListBullet"/>
      </w:pPr>
      <w:r>
        <w:t>T</w:t>
      </w:r>
      <w:r w:rsidR="00AD3D20" w:rsidRPr="00555395">
        <w:t>wo pivotal clinical efficacy and safety studies: Study 204861 (</w:t>
      </w:r>
      <w:r w:rsidR="003C0559">
        <w:t xml:space="preserve">the </w:t>
      </w:r>
      <w:r w:rsidR="00AD3D20" w:rsidRPr="00555395">
        <w:t>GEMINI-1</w:t>
      </w:r>
      <w:r w:rsidR="003C0559">
        <w:t xml:space="preserve"> trial</w:t>
      </w:r>
      <w:r w:rsidR="00AD3D20" w:rsidRPr="00555395">
        <w:t>) and Study 205543 (</w:t>
      </w:r>
      <w:r w:rsidR="003C0559">
        <w:t xml:space="preserve">the </w:t>
      </w:r>
      <w:r w:rsidR="00AD3D20" w:rsidRPr="00555395">
        <w:t>GEMINI-2</w:t>
      </w:r>
      <w:r w:rsidR="003C0559">
        <w:t xml:space="preserve"> trial</w:t>
      </w:r>
      <w:r w:rsidR="00AD3D20" w:rsidRPr="00555395">
        <w:t>).</w:t>
      </w:r>
    </w:p>
    <w:p w14:paraId="07498784" w14:textId="66DDA1D5" w:rsidR="00AD3D20" w:rsidRPr="00555395" w:rsidRDefault="007A626C" w:rsidP="007A626C">
      <w:pPr>
        <w:pStyle w:val="ListBullet"/>
      </w:pPr>
      <w:r>
        <w:t>O</w:t>
      </w:r>
      <w:r w:rsidR="00AD3D20" w:rsidRPr="00555395">
        <w:t>ne pivotal PK study: Study 204994 examined the bioequivalence between FDC tablet</w:t>
      </w:r>
      <w:r w:rsidR="00CE4290">
        <w:t xml:space="preserve"> formulations</w:t>
      </w:r>
      <w:r w:rsidR="00AD3D20" w:rsidRPr="00555395">
        <w:t xml:space="preserve"> and the free combination. In addition, the effect of a high fat meal on exposure was examined.</w:t>
      </w:r>
    </w:p>
    <w:p w14:paraId="2AE080BC" w14:textId="6096CE5F" w:rsidR="00AD3D20" w:rsidRPr="00555395" w:rsidRDefault="007A626C" w:rsidP="007A626C">
      <w:pPr>
        <w:pStyle w:val="ListBullet"/>
      </w:pPr>
      <w:r>
        <w:t>O</w:t>
      </w:r>
      <w:r w:rsidR="00AD3D20" w:rsidRPr="00555395">
        <w:t>ne supporting PK study: Study 204993 evaluated the relative bioavailability of two experimental DTG/</w:t>
      </w:r>
      <w:r w:rsidR="00AD3D20">
        <w:t>3TC</w:t>
      </w:r>
      <w:r w:rsidR="00AD3D20" w:rsidRPr="00555395">
        <w:t xml:space="preserve"> FDC </w:t>
      </w:r>
      <w:r>
        <w:t>tablet formulations versus</w:t>
      </w:r>
      <w:r w:rsidR="00AD3D20" w:rsidRPr="00555395">
        <w:t xml:space="preserve"> co-administration of the single entity products.</w:t>
      </w:r>
    </w:p>
    <w:p w14:paraId="01B78577" w14:textId="3714F7FF" w:rsidR="00AD3D20" w:rsidRPr="00555395" w:rsidRDefault="00AD3D20" w:rsidP="00AD3D20">
      <w:pPr>
        <w:spacing w:line="240" w:lineRule="auto"/>
        <w:rPr>
          <w:lang w:eastAsia="ja-JP"/>
        </w:rPr>
      </w:pPr>
      <w:r w:rsidRPr="00555395">
        <w:t xml:space="preserve">The GEMINI </w:t>
      </w:r>
      <w:r w:rsidR="003C0559">
        <w:t>trials</w:t>
      </w:r>
      <w:r w:rsidR="003C0559" w:rsidRPr="00555395">
        <w:t xml:space="preserve"> </w:t>
      </w:r>
      <w:r w:rsidRPr="00555395">
        <w:t xml:space="preserve">were conducted with the DTG and </w:t>
      </w:r>
      <w:r>
        <w:t>3TC</w:t>
      </w:r>
      <w:r w:rsidRPr="00555395">
        <w:t xml:space="preserve"> separate co</w:t>
      </w:r>
      <w:r w:rsidR="003C0559">
        <w:noBreakHyphen/>
      </w:r>
      <w:r w:rsidRPr="00555395">
        <w:t xml:space="preserve">administered entities; Study 204994 formed the pharmacokinetic (PK) bridge to the GEMINI </w:t>
      </w:r>
      <w:r w:rsidR="003C0559">
        <w:t>trials</w:t>
      </w:r>
      <w:r w:rsidRPr="00555395">
        <w:t>.</w:t>
      </w:r>
    </w:p>
    <w:p w14:paraId="7887DF8C" w14:textId="77777777" w:rsidR="00AD3D20" w:rsidRPr="00555395" w:rsidRDefault="00AD3D20" w:rsidP="00AD3D20">
      <w:pPr>
        <w:spacing w:line="240" w:lineRule="auto"/>
        <w:rPr>
          <w:lang w:eastAsia="ja-JP"/>
        </w:rPr>
      </w:pPr>
      <w:r w:rsidRPr="00555395">
        <w:rPr>
          <w:lang w:eastAsia="ja-JP"/>
        </w:rPr>
        <w:lastRenderedPageBreak/>
        <w:t>Additionally, key studies from the single entity clinical development programs (previously evaluated) were referenced.</w:t>
      </w:r>
    </w:p>
    <w:p w14:paraId="0F97FC58" w14:textId="77777777" w:rsidR="00AD3D20" w:rsidRPr="00555395" w:rsidRDefault="00AD3D20" w:rsidP="00AD3D20">
      <w:pPr>
        <w:spacing w:line="240" w:lineRule="auto"/>
        <w:rPr>
          <w:lang w:eastAsia="ja-JP"/>
        </w:rPr>
      </w:pPr>
      <w:r w:rsidRPr="00555395">
        <w:rPr>
          <w:lang w:eastAsia="ja-JP"/>
        </w:rPr>
        <w:t>No studies examined the pharmacodynamics (PD) of the proposed FDC formulation or the population PKs.</w:t>
      </w:r>
    </w:p>
    <w:p w14:paraId="54B87789" w14:textId="3B1645FD" w:rsidR="00AD3D20" w:rsidRPr="007A626C" w:rsidRDefault="00AD3D20" w:rsidP="00AD3D20">
      <w:pPr>
        <w:spacing w:line="240" w:lineRule="auto"/>
        <w:rPr>
          <w:lang w:eastAsia="ja-JP"/>
        </w:rPr>
      </w:pPr>
      <w:r w:rsidRPr="007A626C">
        <w:rPr>
          <w:lang w:eastAsia="ja-JP"/>
        </w:rPr>
        <w:t>Adolescent patients were not included in the</w:t>
      </w:r>
      <w:r w:rsidRPr="007A626C">
        <w:t xml:space="preserve"> GEMINI </w:t>
      </w:r>
      <w:r w:rsidR="003C0559">
        <w:t>trials</w:t>
      </w:r>
      <w:r w:rsidRPr="007A626C">
        <w:t xml:space="preserve">. </w:t>
      </w:r>
      <w:r w:rsidRPr="007A626C">
        <w:rPr>
          <w:lang w:eastAsia="ja-JP"/>
        </w:rPr>
        <w:t xml:space="preserve">However, there is an agreed </w:t>
      </w:r>
      <w:r w:rsidR="007A626C">
        <w:rPr>
          <w:lang w:eastAsia="ja-JP"/>
        </w:rPr>
        <w:t>European Medicines Agency (</w:t>
      </w:r>
      <w:r w:rsidRPr="007A626C">
        <w:rPr>
          <w:lang w:eastAsia="ja-JP"/>
        </w:rPr>
        <w:t>EMA</w:t>
      </w:r>
      <w:r w:rsidR="007A626C">
        <w:rPr>
          <w:lang w:eastAsia="ja-JP"/>
        </w:rPr>
        <w:t>)</w:t>
      </w:r>
      <w:r w:rsidRPr="007A626C">
        <w:rPr>
          <w:lang w:eastAsia="ja-JP"/>
        </w:rPr>
        <w:t xml:space="preserve"> Paediatric Investigation Plan (PIP). Adole</w:t>
      </w:r>
      <w:r w:rsidR="007A626C">
        <w:rPr>
          <w:lang w:eastAsia="ja-JP"/>
        </w:rPr>
        <w:t xml:space="preserve">scents paediatric data (aged 12 to </w:t>
      </w:r>
      <w:r w:rsidRPr="007A626C">
        <w:rPr>
          <w:lang w:eastAsia="ja-JP"/>
        </w:rPr>
        <w:t>17 years) were available in prior studies for the individual components.</w:t>
      </w:r>
    </w:p>
    <w:p w14:paraId="43CEAC1E" w14:textId="77777777" w:rsidR="00AD3D20" w:rsidRPr="00555395" w:rsidRDefault="00AD3D20" w:rsidP="00AD3D20">
      <w:pPr>
        <w:pStyle w:val="Heading4"/>
        <w:numPr>
          <w:ilvl w:val="2"/>
          <w:numId w:val="0"/>
        </w:numPr>
        <w:tabs>
          <w:tab w:val="num" w:pos="1134"/>
        </w:tabs>
        <w:adjustRightInd w:val="0"/>
        <w:snapToGrid w:val="0"/>
        <w:spacing w:before="0" w:after="160" w:line="240" w:lineRule="auto"/>
        <w:ind w:left="1134" w:hanging="964"/>
      </w:pPr>
      <w:r w:rsidRPr="00555395">
        <w:t>Pharmacology</w:t>
      </w:r>
    </w:p>
    <w:p w14:paraId="6AADE392" w14:textId="77777777" w:rsidR="00AD3D20" w:rsidRPr="00555395" w:rsidRDefault="00AD3D20" w:rsidP="00AD3D20">
      <w:pPr>
        <w:pStyle w:val="Heading5"/>
        <w:numPr>
          <w:ilvl w:val="3"/>
          <w:numId w:val="0"/>
        </w:numPr>
        <w:tabs>
          <w:tab w:val="num" w:pos="1418"/>
        </w:tabs>
        <w:spacing w:before="0" w:after="160" w:line="240" w:lineRule="auto"/>
        <w:ind w:left="1418" w:hanging="1191"/>
      </w:pPr>
      <w:r w:rsidRPr="00555395">
        <w:t>Pharmacokinetics (PK)</w:t>
      </w:r>
    </w:p>
    <w:p w14:paraId="2C004EBA" w14:textId="77777777" w:rsidR="00AD3D20" w:rsidRPr="00555395" w:rsidRDefault="00AD3D20" w:rsidP="00AD3D20">
      <w:pPr>
        <w:pStyle w:val="Heading6"/>
        <w:spacing w:line="240" w:lineRule="auto"/>
      </w:pPr>
      <w:r w:rsidRPr="00555395">
        <w:t>Study 204994</w:t>
      </w:r>
    </w:p>
    <w:p w14:paraId="22D9049F" w14:textId="20DB0DAD" w:rsidR="00AD3D20" w:rsidRPr="00555395" w:rsidRDefault="007A626C" w:rsidP="00280D5B">
      <w:r>
        <w:t>Study 204994 was a pivotal P</w:t>
      </w:r>
      <w:r w:rsidR="00280D5B">
        <w:t>hase I</w:t>
      </w:r>
      <w:r>
        <w:t xml:space="preserve">, open </w:t>
      </w:r>
      <w:r w:rsidR="00AD3D20" w:rsidRPr="00555395">
        <w:t>label, r</w:t>
      </w:r>
      <w:r w:rsidR="00280D5B">
        <w:t>andomised, bioequivalence study.</w:t>
      </w:r>
      <w:r w:rsidR="00C6515A">
        <w:t xml:space="preserve"> Study </w:t>
      </w:r>
      <w:r w:rsidR="00AD3D20" w:rsidRPr="00555395">
        <w:t>204994 examined the bioequivalence between FDC tablet</w:t>
      </w:r>
      <w:r w:rsidR="00CE4290">
        <w:t xml:space="preserve"> formulations</w:t>
      </w:r>
      <w:r w:rsidR="00AD3D20" w:rsidRPr="00555395">
        <w:t xml:space="preserve"> and the free combination and food effect (fasted and fed state) in healthy volunteers.</w:t>
      </w:r>
    </w:p>
    <w:p w14:paraId="7A931370" w14:textId="1D14EFA7" w:rsidR="00AD3D20" w:rsidRPr="00555395" w:rsidRDefault="00AD3D20" w:rsidP="00280D5B">
      <w:r w:rsidRPr="00555395">
        <w:t xml:space="preserve">The proposed FDC tablet formulation and the free combination were bioequivalent under fasted conditions in regard to the </w:t>
      </w:r>
      <w:r w:rsidR="001F011E">
        <w:t>a</w:t>
      </w:r>
      <w:r w:rsidR="001F011E" w:rsidRPr="001F011E">
        <w:t xml:space="preserve">rea under the plasma concentration time curve from time zero to infinity </w:t>
      </w:r>
      <w:r w:rsidR="001F011E">
        <w:t>(</w:t>
      </w:r>
      <w:r w:rsidRPr="00555395">
        <w:t>AUC</w:t>
      </w:r>
      <w:r w:rsidRPr="00555395">
        <w:rPr>
          <w:vertAlign w:val="subscript"/>
        </w:rPr>
        <w:t>0-inf</w:t>
      </w:r>
      <w:r w:rsidR="001F011E">
        <w:t>)</w:t>
      </w:r>
      <w:r w:rsidRPr="00555395">
        <w:t xml:space="preserve">, </w:t>
      </w:r>
      <w:r w:rsidR="001F011E">
        <w:t>a</w:t>
      </w:r>
      <w:r w:rsidR="001F011E" w:rsidRPr="001F011E">
        <w:t xml:space="preserve">rea under the plasma concentration time curve from time zero to the last quantifiable time point </w:t>
      </w:r>
      <w:r w:rsidR="001F011E">
        <w:t>(</w:t>
      </w:r>
      <w:r w:rsidRPr="00555395">
        <w:t>AUC</w:t>
      </w:r>
      <w:r w:rsidRPr="00555395">
        <w:rPr>
          <w:vertAlign w:val="subscript"/>
        </w:rPr>
        <w:t>0-t</w:t>
      </w:r>
      <w:r w:rsidR="001F011E">
        <w:t>)</w:t>
      </w:r>
      <w:r w:rsidRPr="00555395">
        <w:t xml:space="preserve"> and </w:t>
      </w:r>
      <w:proofErr w:type="spellStart"/>
      <w:r w:rsidRPr="00555395">
        <w:t>C</w:t>
      </w:r>
      <w:r w:rsidRPr="00555395">
        <w:rPr>
          <w:vertAlign w:val="subscript"/>
        </w:rPr>
        <w:t>max</w:t>
      </w:r>
      <w:proofErr w:type="spellEnd"/>
      <w:r w:rsidRPr="00555395">
        <w:t xml:space="preserve"> of DTG and the AUC</w:t>
      </w:r>
      <w:r w:rsidRPr="00555395">
        <w:rPr>
          <w:vertAlign w:val="subscript"/>
        </w:rPr>
        <w:t>0-inf</w:t>
      </w:r>
      <w:r w:rsidRPr="00555395">
        <w:t xml:space="preserve"> and AUC</w:t>
      </w:r>
      <w:r w:rsidRPr="00555395">
        <w:rPr>
          <w:vertAlign w:val="subscript"/>
        </w:rPr>
        <w:t>0-t</w:t>
      </w:r>
      <w:r w:rsidR="00280D5B">
        <w:t xml:space="preserve"> of 3TC (geometric least squares</w:t>
      </w:r>
      <w:r w:rsidRPr="00555395">
        <w:t xml:space="preserve"> mean ratio 90% </w:t>
      </w:r>
      <w:r w:rsidR="00280D5B">
        <w:t>confidence interval (</w:t>
      </w:r>
      <w:r w:rsidRPr="00555395">
        <w:t>CI</w:t>
      </w:r>
      <w:r w:rsidR="00280D5B">
        <w:t>)</w:t>
      </w:r>
      <w:r w:rsidRPr="00555395">
        <w:t xml:space="preserve"> between 0.8 to 1.25), but not for 3TC </w:t>
      </w:r>
      <w:proofErr w:type="spellStart"/>
      <w:r w:rsidRPr="00555395">
        <w:t>C</w:t>
      </w:r>
      <w:r w:rsidRPr="00555395">
        <w:rPr>
          <w:vertAlign w:val="subscript"/>
        </w:rPr>
        <w:t>max</w:t>
      </w:r>
      <w:proofErr w:type="spellEnd"/>
      <w:r w:rsidRPr="00555395">
        <w:rPr>
          <w:vertAlign w:val="subscript"/>
        </w:rPr>
        <w:t xml:space="preserve"> </w:t>
      </w:r>
      <w:r w:rsidRPr="00555395">
        <w:t xml:space="preserve">which was 31.8% higher for the </w:t>
      </w:r>
      <w:r w:rsidR="00CE4290">
        <w:t xml:space="preserve">proposed </w:t>
      </w:r>
      <w:r w:rsidRPr="00555395">
        <w:t xml:space="preserve">FDC compared to the reference formulation. However, that 3TC </w:t>
      </w:r>
      <w:proofErr w:type="spellStart"/>
      <w:r w:rsidRPr="00555395">
        <w:t>C</w:t>
      </w:r>
      <w:r w:rsidRPr="00555395">
        <w:rPr>
          <w:vertAlign w:val="subscript"/>
        </w:rPr>
        <w:t>max</w:t>
      </w:r>
      <w:proofErr w:type="spellEnd"/>
      <w:r w:rsidRPr="00555395">
        <w:rPr>
          <w:vertAlign w:val="subscript"/>
        </w:rPr>
        <w:t xml:space="preserve"> </w:t>
      </w:r>
      <w:r w:rsidRPr="00555395">
        <w:t>value outside the margin is unlikely to be of clinical significance.</w:t>
      </w:r>
    </w:p>
    <w:p w14:paraId="775D9B0F" w14:textId="77777777" w:rsidR="00AD3D20" w:rsidRPr="00555395" w:rsidRDefault="00AD3D20" w:rsidP="00280D5B">
      <w:pPr>
        <w:rPr>
          <w:lang w:eastAsia="ja-JP"/>
        </w:rPr>
      </w:pPr>
      <w:r w:rsidRPr="00555395">
        <w:rPr>
          <w:lang w:eastAsia="ja-JP"/>
        </w:rPr>
        <w:t xml:space="preserve">A high fat meal </w:t>
      </w:r>
      <w:r w:rsidR="00280D5B">
        <w:t xml:space="preserve">resulted in a modest increase (approximately </w:t>
      </w:r>
      <w:r w:rsidRPr="00555395">
        <w:t>32%) in DTG AUC</w:t>
      </w:r>
      <w:r w:rsidRPr="00555395">
        <w:rPr>
          <w:vertAlign w:val="subscript"/>
        </w:rPr>
        <w:t>0-inf</w:t>
      </w:r>
      <w:r w:rsidRPr="00555395">
        <w:t xml:space="preserve"> and AUC</w:t>
      </w:r>
      <w:r w:rsidRPr="00555395">
        <w:rPr>
          <w:vertAlign w:val="subscript"/>
        </w:rPr>
        <w:t>0-t</w:t>
      </w:r>
      <w:r w:rsidRPr="00555395">
        <w:t xml:space="preserve"> and in a modest decrease in 3TC </w:t>
      </w:r>
      <w:proofErr w:type="spellStart"/>
      <w:r w:rsidRPr="00555395">
        <w:t>C</w:t>
      </w:r>
      <w:r w:rsidRPr="00555395">
        <w:rPr>
          <w:vertAlign w:val="subscript"/>
        </w:rPr>
        <w:t>max</w:t>
      </w:r>
      <w:proofErr w:type="spellEnd"/>
      <w:r w:rsidR="00280D5B">
        <w:t xml:space="preserve"> of approximately</w:t>
      </w:r>
      <w:r w:rsidRPr="00555395">
        <w:t xml:space="preserve"> 30%.</w:t>
      </w:r>
    </w:p>
    <w:p w14:paraId="5D127387" w14:textId="77777777" w:rsidR="00AD3D20" w:rsidRPr="00555395" w:rsidRDefault="00AD3D20" w:rsidP="00AD3D20">
      <w:pPr>
        <w:pStyle w:val="Heading6"/>
        <w:spacing w:line="240" w:lineRule="auto"/>
      </w:pPr>
      <w:r w:rsidRPr="00555395">
        <w:t>Study 204993</w:t>
      </w:r>
    </w:p>
    <w:p w14:paraId="27E6DD3C" w14:textId="4C3137C0" w:rsidR="00AD3D20" w:rsidRPr="00555395" w:rsidRDefault="00AD3D20" w:rsidP="00AD3D20">
      <w:pPr>
        <w:spacing w:line="240" w:lineRule="auto"/>
      </w:pPr>
      <w:r w:rsidRPr="00555395">
        <w:t>Stud</w:t>
      </w:r>
      <w:r w:rsidR="00280D5B">
        <w:t>y 204993 was a supporting study.</w:t>
      </w:r>
      <w:r w:rsidRPr="00555395">
        <w:t xml:space="preserve"> Study 204993 evaluated the relative bioavailability of two experimental DTG/</w:t>
      </w:r>
      <w:r w:rsidR="00FC1FD4">
        <w:t>3TC</w:t>
      </w:r>
      <w:r w:rsidRPr="00555395">
        <w:t xml:space="preserve"> FDC </w:t>
      </w:r>
      <w:r w:rsidR="00CE4290">
        <w:t xml:space="preserve">experimental </w:t>
      </w:r>
      <w:r w:rsidR="00280D5B">
        <w:t>tablet formulations versus co</w:t>
      </w:r>
      <w:r w:rsidR="00280D5B">
        <w:noBreakHyphen/>
      </w:r>
      <w:r w:rsidRPr="00555395">
        <w:t xml:space="preserve">administration of the single entity products. However, the </w:t>
      </w:r>
      <w:r w:rsidR="00CE4290">
        <w:t xml:space="preserve">experimental </w:t>
      </w:r>
      <w:r w:rsidRPr="00555395">
        <w:t>formulation is not proposed for marketing</w:t>
      </w:r>
      <w:r w:rsidR="00280D5B">
        <w:t>.</w:t>
      </w:r>
    </w:p>
    <w:p w14:paraId="5EC1FC72" w14:textId="77777777" w:rsidR="00AD3D20" w:rsidRPr="00555395" w:rsidRDefault="00AD3D20" w:rsidP="00AD3D20">
      <w:pPr>
        <w:pStyle w:val="Heading6"/>
        <w:spacing w:line="240" w:lineRule="auto"/>
      </w:pPr>
      <w:r w:rsidRPr="00555395">
        <w:t>Evaluator conclusions</w:t>
      </w:r>
    </w:p>
    <w:p w14:paraId="52FE7D5A" w14:textId="77777777" w:rsidR="00AD3D20" w:rsidRPr="00555395" w:rsidRDefault="00AD3D20" w:rsidP="00AD3D20">
      <w:pPr>
        <w:spacing w:line="240" w:lineRule="auto"/>
      </w:pPr>
      <w:r w:rsidRPr="00555395">
        <w:rPr>
          <w:lang w:eastAsia="ja-JP"/>
        </w:rPr>
        <w:t xml:space="preserve">The conduct of the single study that was provided in support of the current submission was satisfactory, </w:t>
      </w:r>
      <w:r w:rsidRPr="00555395">
        <w:t>the data analyses undertaken were appropriate and the analytical methods used to measure exposure levels were validated.</w:t>
      </w:r>
    </w:p>
    <w:p w14:paraId="081BBAAB" w14:textId="77777777" w:rsidR="00AD3D20" w:rsidRPr="00555395" w:rsidRDefault="00AD3D20" w:rsidP="00AD3D20">
      <w:pPr>
        <w:spacing w:line="240" w:lineRule="auto"/>
        <w:rPr>
          <w:lang w:eastAsia="ja-JP"/>
        </w:rPr>
      </w:pPr>
      <w:r w:rsidRPr="00555395">
        <w:rPr>
          <w:lang w:eastAsia="ja-JP"/>
        </w:rPr>
        <w:t>The proposed PI appears to accurately incorporate the new data for the FDC into the existing information regarding DTG and 3TC.</w:t>
      </w:r>
    </w:p>
    <w:p w14:paraId="2AD4E4D9" w14:textId="77777777" w:rsidR="00AD3D20" w:rsidRPr="00555395" w:rsidRDefault="00AD3D20" w:rsidP="00AD3D20">
      <w:pPr>
        <w:pStyle w:val="Heading5"/>
        <w:numPr>
          <w:ilvl w:val="3"/>
          <w:numId w:val="0"/>
        </w:numPr>
        <w:tabs>
          <w:tab w:val="num" w:pos="1418"/>
        </w:tabs>
        <w:spacing w:before="0" w:after="160" w:line="240" w:lineRule="auto"/>
        <w:ind w:left="1418" w:hanging="1191"/>
      </w:pPr>
      <w:r w:rsidRPr="00555395">
        <w:t>Population PK data (</w:t>
      </w:r>
      <w:proofErr w:type="spellStart"/>
      <w:r w:rsidRPr="00555395">
        <w:t>popPK</w:t>
      </w:r>
      <w:proofErr w:type="spellEnd"/>
      <w:r w:rsidRPr="00555395">
        <w:t>)</w:t>
      </w:r>
    </w:p>
    <w:p w14:paraId="445C318C" w14:textId="77777777" w:rsidR="00AD3D20" w:rsidRPr="00555395" w:rsidRDefault="00AD3D20" w:rsidP="00AD3D20">
      <w:pPr>
        <w:spacing w:line="240" w:lineRule="auto"/>
      </w:pPr>
      <w:r w:rsidRPr="00555395">
        <w:t>No data submitted.</w:t>
      </w:r>
    </w:p>
    <w:p w14:paraId="1FE5A419" w14:textId="77777777" w:rsidR="00AD3D20" w:rsidRPr="00555395" w:rsidRDefault="00AD3D20" w:rsidP="00AD3D20">
      <w:pPr>
        <w:pStyle w:val="Heading5"/>
        <w:numPr>
          <w:ilvl w:val="3"/>
          <w:numId w:val="0"/>
        </w:numPr>
        <w:tabs>
          <w:tab w:val="num" w:pos="1418"/>
        </w:tabs>
        <w:spacing w:before="0" w:after="160" w:line="240" w:lineRule="auto"/>
        <w:ind w:left="1418" w:hanging="1191"/>
      </w:pPr>
      <w:r w:rsidRPr="00555395">
        <w:t>Pharmacodynamics (PD)</w:t>
      </w:r>
    </w:p>
    <w:p w14:paraId="47D51D90" w14:textId="77777777" w:rsidR="00AD3D20" w:rsidRPr="00555395" w:rsidRDefault="00AD3D20" w:rsidP="00AD3D20">
      <w:pPr>
        <w:spacing w:line="240" w:lineRule="auto"/>
      </w:pPr>
      <w:r w:rsidRPr="00555395">
        <w:t>No data submitted.</w:t>
      </w:r>
    </w:p>
    <w:p w14:paraId="55DBE5EB" w14:textId="77777777" w:rsidR="00AD3D20" w:rsidRPr="00555395" w:rsidRDefault="00AD3D20" w:rsidP="00AD3D20">
      <w:pPr>
        <w:pStyle w:val="Heading4"/>
        <w:numPr>
          <w:ilvl w:val="2"/>
          <w:numId w:val="0"/>
        </w:numPr>
        <w:tabs>
          <w:tab w:val="num" w:pos="1134"/>
        </w:tabs>
        <w:adjustRightInd w:val="0"/>
        <w:snapToGrid w:val="0"/>
        <w:spacing w:before="0" w:after="160" w:line="240" w:lineRule="auto"/>
        <w:ind w:left="1134" w:hanging="964"/>
      </w:pPr>
      <w:r w:rsidRPr="00555395">
        <w:t>Efficacy</w:t>
      </w:r>
    </w:p>
    <w:p w14:paraId="70104295" w14:textId="5B5EC20D" w:rsidR="00AD3D20" w:rsidRPr="00555395" w:rsidRDefault="00AD3D20" w:rsidP="00AD3D20">
      <w:pPr>
        <w:pStyle w:val="Heading5"/>
        <w:numPr>
          <w:ilvl w:val="3"/>
          <w:numId w:val="0"/>
        </w:numPr>
        <w:tabs>
          <w:tab w:val="num" w:pos="1418"/>
        </w:tabs>
        <w:spacing w:before="0" w:after="160" w:line="240" w:lineRule="auto"/>
        <w:ind w:left="1304" w:hanging="1077"/>
      </w:pPr>
      <w:r w:rsidRPr="00555395">
        <w:t>Study 204861 (GEMINI-1</w:t>
      </w:r>
      <w:r w:rsidR="003C0559">
        <w:t xml:space="preserve"> trial</w:t>
      </w:r>
      <w:r w:rsidRPr="00555395">
        <w:t>) and Study 205543 (GEMINI-2</w:t>
      </w:r>
      <w:r w:rsidR="003C0559">
        <w:t xml:space="preserve"> trial</w:t>
      </w:r>
      <w:r w:rsidRPr="00555395">
        <w:t>)</w:t>
      </w:r>
    </w:p>
    <w:p w14:paraId="3AD742A5" w14:textId="77777777" w:rsidR="00AD3D20" w:rsidRPr="00555395" w:rsidRDefault="00AD3D20" w:rsidP="00AD3D20">
      <w:pPr>
        <w:pStyle w:val="Heading6"/>
        <w:spacing w:line="240" w:lineRule="auto"/>
      </w:pPr>
      <w:r w:rsidRPr="00555395">
        <w:t>Design</w:t>
      </w:r>
    </w:p>
    <w:p w14:paraId="6F2478CC" w14:textId="77777777" w:rsidR="00AD3D20" w:rsidRDefault="00AD3D20" w:rsidP="00AC1D1F">
      <w:r w:rsidRPr="00555395">
        <w:t>Data from 2 ongoing pivotal, identical, Phase III, ran</w:t>
      </w:r>
      <w:r w:rsidR="00280D5B">
        <w:t xml:space="preserve">domised, parallel group, double blind, 148 </w:t>
      </w:r>
      <w:r w:rsidRPr="00555395">
        <w:t xml:space="preserve">week non-inferiority studies provided the main evidence to support antiviral activity </w:t>
      </w:r>
      <w:r w:rsidRPr="00555395">
        <w:lastRenderedPageBreak/>
        <w:t xml:space="preserve">of DTG 50 mg plus 3TC 300 mg once daily compared to DTG plus the FDC tablet of </w:t>
      </w:r>
      <w:r w:rsidR="00AC1D1F">
        <w:t>t</w:t>
      </w:r>
      <w:r w:rsidR="00AC1D1F" w:rsidRPr="00AD6775">
        <w:t xml:space="preserve">enofovir </w:t>
      </w:r>
      <w:proofErr w:type="spellStart"/>
      <w:r w:rsidR="00AC1D1F" w:rsidRPr="00AD6775">
        <w:t>disoproxil</w:t>
      </w:r>
      <w:proofErr w:type="spellEnd"/>
      <w:r w:rsidR="00AC1D1F" w:rsidRPr="00AD6775">
        <w:t xml:space="preserve"> fumarate</w:t>
      </w:r>
      <w:r w:rsidR="00AC1D1F" w:rsidRPr="00555395">
        <w:t xml:space="preserve"> </w:t>
      </w:r>
      <w:r w:rsidR="00AC1D1F">
        <w:t>(</w:t>
      </w:r>
      <w:r w:rsidRPr="00555395">
        <w:t>TDF</w:t>
      </w:r>
      <w:r w:rsidR="00AC1D1F">
        <w:t>)</w:t>
      </w:r>
      <w:r w:rsidRPr="00555395">
        <w:t>/</w:t>
      </w:r>
      <w:r w:rsidR="00AC1D1F">
        <w:t>e</w:t>
      </w:r>
      <w:r w:rsidR="00AC1D1F" w:rsidRPr="00AD6775">
        <w:t>mtricitabine</w:t>
      </w:r>
      <w:r w:rsidR="00AC1D1F" w:rsidRPr="00555395">
        <w:t xml:space="preserve"> </w:t>
      </w:r>
      <w:r w:rsidR="00AC1D1F">
        <w:t>(</w:t>
      </w:r>
      <w:r w:rsidRPr="00555395">
        <w:t>FTC</w:t>
      </w:r>
      <w:r w:rsidR="00AC1D1F">
        <w:t>)</w:t>
      </w:r>
      <w:r w:rsidRPr="00555395">
        <w:t xml:space="preserve"> once daily in 1441 ART-naïve (defined as ≤</w:t>
      </w:r>
      <w:r w:rsidR="00280D5B">
        <w:t xml:space="preserve"> </w:t>
      </w:r>
      <w:r w:rsidRPr="00555395">
        <w:t xml:space="preserve">10 days of prior therapy with any ART agent following a diagnosis of HIV-1 infection) adult subjects with HIV-1 infection. The study initially enrolled subjects with a screening HIV-1 RNA of 1000 to </w:t>
      </w:r>
      <w:r w:rsidRPr="00555395">
        <w:rPr>
          <w:u w:val="single"/>
        </w:rPr>
        <w:t>&lt;</w:t>
      </w:r>
      <w:r w:rsidR="00280D5B">
        <w:rPr>
          <w:u w:val="single"/>
        </w:rPr>
        <w:t> </w:t>
      </w:r>
      <w:r w:rsidR="00280D5B">
        <w:t>100,000 </w:t>
      </w:r>
      <w:r w:rsidR="00AC1D1F">
        <w:t>copies per millilitre (</w:t>
      </w:r>
      <w:r w:rsidRPr="00555395">
        <w:t>c/mL</w:t>
      </w:r>
      <w:r w:rsidR="00AC1D1F">
        <w:t>)</w:t>
      </w:r>
      <w:r w:rsidRPr="00555395">
        <w:t xml:space="preserve">, but the viral load cap was increased during the study to </w:t>
      </w:r>
      <w:r w:rsidRPr="00555395">
        <w:rPr>
          <w:u w:val="single"/>
        </w:rPr>
        <w:t>&lt;</w:t>
      </w:r>
      <w:r w:rsidR="00280D5B">
        <w:rPr>
          <w:u w:val="single"/>
        </w:rPr>
        <w:t xml:space="preserve"> </w:t>
      </w:r>
      <w:r w:rsidRPr="00555395">
        <w:t>500,000 c/</w:t>
      </w:r>
      <w:proofErr w:type="spellStart"/>
      <w:r w:rsidRPr="00555395">
        <w:t>mL.</w:t>
      </w:r>
      <w:proofErr w:type="spellEnd"/>
    </w:p>
    <w:p w14:paraId="653B278A" w14:textId="5D475C37" w:rsidR="00AC1D1F" w:rsidRPr="00555395" w:rsidRDefault="00AC1D1F" w:rsidP="00AC1D1F">
      <w:pPr>
        <w:pStyle w:val="FigureTitle"/>
      </w:pPr>
      <w:r>
        <w:t xml:space="preserve">Figure </w:t>
      </w:r>
      <w:r w:rsidR="00696AF7">
        <w:rPr>
          <w:noProof/>
        </w:rPr>
        <w:fldChar w:fldCharType="begin"/>
      </w:r>
      <w:r w:rsidR="00696AF7">
        <w:rPr>
          <w:noProof/>
        </w:rPr>
        <w:instrText xml:space="preserve"> SEQ Figure \* ARABIC </w:instrText>
      </w:r>
      <w:r w:rsidR="00696AF7">
        <w:rPr>
          <w:noProof/>
        </w:rPr>
        <w:fldChar w:fldCharType="separate"/>
      </w:r>
      <w:r>
        <w:rPr>
          <w:noProof/>
        </w:rPr>
        <w:t>1</w:t>
      </w:r>
      <w:r w:rsidR="00696AF7">
        <w:rPr>
          <w:noProof/>
        </w:rPr>
        <w:fldChar w:fldCharType="end"/>
      </w:r>
      <w:r>
        <w:t>: GEMINI 1 and 2</w:t>
      </w:r>
      <w:r w:rsidR="003C0559">
        <w:t xml:space="preserve"> trials;</w:t>
      </w:r>
      <w:r>
        <w:t xml:space="preserve"> study schematic</w:t>
      </w:r>
    </w:p>
    <w:p w14:paraId="2968B5AC" w14:textId="77777777" w:rsidR="00AD3D20" w:rsidRPr="00555395" w:rsidRDefault="00AD3D20" w:rsidP="00AD3D20">
      <w:pPr>
        <w:spacing w:line="240" w:lineRule="auto"/>
      </w:pPr>
      <w:r w:rsidRPr="00555395">
        <w:rPr>
          <w:noProof/>
          <w:lang w:eastAsia="en-AU"/>
        </w:rPr>
        <w:drawing>
          <wp:inline distT="0" distB="0" distL="0" distR="0" wp14:anchorId="33EF5FE9" wp14:editId="35ECA188">
            <wp:extent cx="5449824" cy="3003925"/>
            <wp:effectExtent l="0" t="0" r="0" b="6350"/>
            <wp:docPr id="3" name="Picture 3" descr="GEMINI 1 and 2 study schematic. The pivotal GEMINI studies consisted of a screening period, double-blind phase (Day 1 to Week 96) and open-label phase (week 96 to 148) and a continuation phase. Treatment arms were DTG + 3TC or DTG + TDF/FTC fixed dose combination. Target enrollment n = 700 randomised subjects planned/study. Subjects randomised 1:1 to receive a 2 drug regimen of DTG + 3TC once daily or DTG + TDF/FTC fixed dose cobmination once daily. Randomisation was stratified by screening HIV-1 RNA (equal to or less than or greater than 100,000 c/mL) and screening CD4+ cell count (equal to or less than or greater than 200 cells/cubic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4844" cy="3012204"/>
                    </a:xfrm>
                    <a:prstGeom prst="rect">
                      <a:avLst/>
                    </a:prstGeom>
                    <a:noFill/>
                    <a:ln>
                      <a:noFill/>
                    </a:ln>
                  </pic:spPr>
                </pic:pic>
              </a:graphicData>
            </a:graphic>
          </wp:inline>
        </w:drawing>
      </w:r>
    </w:p>
    <w:p w14:paraId="310E4779" w14:textId="77777777" w:rsidR="008766D5" w:rsidRDefault="00AD3D20" w:rsidP="00747724">
      <w:r w:rsidRPr="00555395">
        <w:t>Subjects with pre-existing viral resistance (based on the p</w:t>
      </w:r>
      <w:r w:rsidR="00482B9F">
        <w:t>resence of any major resistance</w:t>
      </w:r>
      <w:r w:rsidR="00482B9F">
        <w:noBreakHyphen/>
      </w:r>
      <w:r w:rsidRPr="00555395">
        <w:t xml:space="preserve">associated mutation), severe hepatic/renal impairment and </w:t>
      </w:r>
      <w:r w:rsidR="00C6515A">
        <w:t>hepatitis B</w:t>
      </w:r>
      <w:r w:rsidR="00C6515A" w:rsidRPr="00555395">
        <w:t xml:space="preserve"> p</w:t>
      </w:r>
      <w:r w:rsidR="00C6515A">
        <w:t>ositive or requiring hepatitis C</w:t>
      </w:r>
      <w:r w:rsidR="00C6515A" w:rsidRPr="00555395">
        <w:t xml:space="preserve"> th</w:t>
      </w:r>
      <w:r w:rsidRPr="00555395">
        <w:t>erapy or with significant suicidality risk were excluded from both pivotal studies. HIV-2 infected subjects were not evaluated.</w:t>
      </w:r>
    </w:p>
    <w:p w14:paraId="0BD8CB72" w14:textId="08D60502" w:rsidR="008766D5" w:rsidRDefault="00AD3D20" w:rsidP="00747724">
      <w:r w:rsidRPr="00555395">
        <w:t xml:space="preserve">Although adolescents were not included in the pivotal GEMINI </w:t>
      </w:r>
      <w:r w:rsidR="003C0559">
        <w:t>trials</w:t>
      </w:r>
      <w:r w:rsidRPr="00555395">
        <w:t xml:space="preserve">, both </w:t>
      </w:r>
      <w:proofErr w:type="spellStart"/>
      <w:r w:rsidRPr="00555395">
        <w:t>Tivicay</w:t>
      </w:r>
      <w:proofErr w:type="spellEnd"/>
      <w:r w:rsidRPr="00555395">
        <w:t xml:space="preserve"> (</w:t>
      </w:r>
      <w:proofErr w:type="spellStart"/>
      <w:r w:rsidRPr="00555395">
        <w:t>dolutegravir</w:t>
      </w:r>
      <w:proofErr w:type="spellEnd"/>
      <w:r w:rsidRPr="00555395">
        <w:t xml:space="preserve">) and </w:t>
      </w:r>
      <w:r w:rsidR="003F6568">
        <w:t xml:space="preserve">3TC </w:t>
      </w:r>
      <w:r w:rsidRPr="00555395">
        <w:t xml:space="preserve">(lamivudine) are approved in combination with other </w:t>
      </w:r>
      <w:r w:rsidR="00482B9F">
        <w:t>ARV</w:t>
      </w:r>
      <w:r w:rsidRPr="00555395">
        <w:t xml:space="preserve"> agents for the treatment of HIV-1 infection in adults and adolescents. The proposed FDC formulation consists of 50 mg DTG and 300 mg 3TC which are approved doses for adolescents ≥</w:t>
      </w:r>
      <w:r w:rsidR="00747724">
        <w:t xml:space="preserve"> </w:t>
      </w:r>
      <w:r w:rsidRPr="00555395">
        <w:t>12 years of age weighing ≥</w:t>
      </w:r>
      <w:r w:rsidR="00747724">
        <w:t xml:space="preserve"> </w:t>
      </w:r>
      <w:r w:rsidRPr="00555395">
        <w:t>40 kg (DTG) or for paediatric patients weighing ≥</w:t>
      </w:r>
      <w:r w:rsidR="00482B9F">
        <w:t> </w:t>
      </w:r>
      <w:r w:rsidRPr="00555395">
        <w:t>25 kg (3TC)</w:t>
      </w:r>
      <w:r w:rsidRPr="0054236C">
        <w:t>. Prior studies have shown that DTG and 3TC PK exposures in adolescents are sufficiently similar to those in adults and supports extrapolation of GEMINI</w:t>
      </w:r>
      <w:r w:rsidR="003C0559">
        <w:t xml:space="preserve"> trial</w:t>
      </w:r>
      <w:r w:rsidRPr="0054236C">
        <w:t xml:space="preserve"> efficacy data to adolescents</w:t>
      </w:r>
      <w:r>
        <w:t xml:space="preserve"> (</w:t>
      </w:r>
      <w:r w:rsidR="00747724">
        <w:fldChar w:fldCharType="begin"/>
      </w:r>
      <w:r w:rsidR="00747724">
        <w:instrText xml:space="preserve"> REF _Ref24364238 \h </w:instrText>
      </w:r>
      <w:r w:rsidR="00747724">
        <w:fldChar w:fldCharType="separate"/>
      </w:r>
      <w:r w:rsidR="004C0A50">
        <w:t xml:space="preserve">Table </w:t>
      </w:r>
      <w:r w:rsidR="004C0A50">
        <w:rPr>
          <w:noProof/>
        </w:rPr>
        <w:t>3</w:t>
      </w:r>
      <w:r w:rsidR="00747724">
        <w:fldChar w:fldCharType="end"/>
      </w:r>
      <w:r>
        <w:t>)</w:t>
      </w:r>
      <w:r w:rsidRPr="0054236C">
        <w:t>.</w:t>
      </w:r>
    </w:p>
    <w:p w14:paraId="170189C4" w14:textId="4AD3D5AD" w:rsidR="00747724" w:rsidRDefault="00747724" w:rsidP="00747724">
      <w:pPr>
        <w:pStyle w:val="TableTitle"/>
      </w:pPr>
      <w:bookmarkStart w:id="44" w:name="_Ref24364238"/>
      <w:r>
        <w:lastRenderedPageBreak/>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3</w:t>
      </w:r>
      <w:r w:rsidR="00696AF7">
        <w:rPr>
          <w:noProof/>
        </w:rPr>
        <w:fldChar w:fldCharType="end"/>
      </w:r>
      <w:bookmarkEnd w:id="44"/>
      <w:r>
        <w:t xml:space="preserve">: </w:t>
      </w:r>
      <w:r w:rsidRPr="00555395">
        <w:rPr>
          <w:lang w:eastAsia="ja-JP"/>
        </w:rPr>
        <w:t xml:space="preserve">Summary of supportive </w:t>
      </w:r>
      <w:r>
        <w:rPr>
          <w:lang w:eastAsia="ja-JP"/>
        </w:rPr>
        <w:t>single entity (</w:t>
      </w:r>
      <w:r w:rsidRPr="00555395">
        <w:rPr>
          <w:lang w:eastAsia="ja-JP"/>
        </w:rPr>
        <w:t>SE</w:t>
      </w:r>
      <w:r>
        <w:rPr>
          <w:lang w:eastAsia="ja-JP"/>
        </w:rPr>
        <w:t>)</w:t>
      </w:r>
      <w:r w:rsidRPr="00555395">
        <w:rPr>
          <w:lang w:eastAsia="ja-JP"/>
        </w:rPr>
        <w:t xml:space="preserve"> studies for efficacy</w:t>
      </w:r>
    </w:p>
    <w:p w14:paraId="310EE445" w14:textId="77777777" w:rsidR="00747724" w:rsidRDefault="00747724" w:rsidP="00747724">
      <w:r>
        <w:rPr>
          <w:noProof/>
          <w:lang w:eastAsia="en-AU"/>
        </w:rPr>
        <w:drawing>
          <wp:inline distT="0" distB="0" distL="0" distR="0" wp14:anchorId="73FF4DB5" wp14:editId="24550BD9">
            <wp:extent cx="5427878" cy="7955441"/>
            <wp:effectExtent l="0" t="0" r="1905" b="7620"/>
            <wp:docPr id="2" name="Picture 2" descr="Summary of supportive single entity (SE) studies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7633" cy="7969738"/>
                    </a:xfrm>
                    <a:prstGeom prst="rect">
                      <a:avLst/>
                    </a:prstGeom>
                  </pic:spPr>
                </pic:pic>
              </a:graphicData>
            </a:graphic>
          </wp:inline>
        </w:drawing>
      </w:r>
    </w:p>
    <w:p w14:paraId="2357EA28" w14:textId="7CA35E94" w:rsidR="00AD3D20" w:rsidRPr="00555395" w:rsidRDefault="00AD3D20" w:rsidP="00AD3D20">
      <w:pPr>
        <w:autoSpaceDE w:val="0"/>
        <w:autoSpaceDN w:val="0"/>
        <w:adjustRightInd w:val="0"/>
        <w:spacing w:line="240" w:lineRule="auto"/>
        <w:rPr>
          <w:lang w:eastAsia="ja-JP"/>
        </w:rPr>
      </w:pPr>
      <w:r w:rsidRPr="00555395">
        <w:rPr>
          <w:rFonts w:cs="TimesNewRoman"/>
        </w:rPr>
        <w:t xml:space="preserve">Both pivotal studies </w:t>
      </w:r>
      <w:r w:rsidRPr="00555395">
        <w:rPr>
          <w:lang w:eastAsia="ja-JP"/>
        </w:rPr>
        <w:t xml:space="preserve">complied with TGA-adopted </w:t>
      </w:r>
      <w:r w:rsidR="00747724" w:rsidRPr="00747724">
        <w:rPr>
          <w:lang w:eastAsia="ja-JP"/>
        </w:rPr>
        <w:t xml:space="preserve">Committee for Medicinal Products for Human Use </w:t>
      </w:r>
      <w:r w:rsidR="00747724">
        <w:rPr>
          <w:lang w:eastAsia="ja-JP"/>
        </w:rPr>
        <w:t>(</w:t>
      </w:r>
      <w:r w:rsidRPr="00555395">
        <w:rPr>
          <w:lang w:eastAsia="ja-JP"/>
        </w:rPr>
        <w:t>CHMP</w:t>
      </w:r>
      <w:r w:rsidR="00747724">
        <w:rPr>
          <w:lang w:eastAsia="ja-JP"/>
        </w:rPr>
        <w:t>)</w:t>
      </w:r>
      <w:r w:rsidRPr="00555395">
        <w:rPr>
          <w:lang w:eastAsia="ja-JP"/>
        </w:rPr>
        <w:t xml:space="preserve"> guidelines for evaluation of medicinal products for treatment of HIV </w:t>
      </w:r>
      <w:r w:rsidRPr="00555395">
        <w:rPr>
          <w:lang w:eastAsia="ja-JP"/>
        </w:rPr>
        <w:lastRenderedPageBreak/>
        <w:t>infection.</w:t>
      </w:r>
      <w:bookmarkStart w:id="45" w:name="_Ref24371619"/>
      <w:r w:rsidR="00747724">
        <w:rPr>
          <w:rStyle w:val="FootnoteReference"/>
          <w:lang w:eastAsia="ja-JP"/>
        </w:rPr>
        <w:footnoteReference w:id="9"/>
      </w:r>
      <w:bookmarkEnd w:id="45"/>
      <w:r w:rsidRPr="00555395">
        <w:rPr>
          <w:lang w:eastAsia="ja-JP"/>
        </w:rPr>
        <w:t xml:space="preserve"> Minor G</w:t>
      </w:r>
      <w:r w:rsidR="00747724">
        <w:rPr>
          <w:lang w:eastAsia="ja-JP"/>
        </w:rPr>
        <w:t>ood Clinical Practice (G</w:t>
      </w:r>
      <w:r w:rsidRPr="00555395">
        <w:rPr>
          <w:lang w:eastAsia="ja-JP"/>
        </w:rPr>
        <w:t>CP</w:t>
      </w:r>
      <w:r w:rsidR="00747724">
        <w:rPr>
          <w:lang w:eastAsia="ja-JP"/>
        </w:rPr>
        <w:t>)</w:t>
      </w:r>
      <w:r w:rsidRPr="00555395">
        <w:rPr>
          <w:lang w:eastAsia="ja-JP"/>
        </w:rPr>
        <w:t xml:space="preserve"> compliance issues i</w:t>
      </w:r>
      <w:r w:rsidR="00482B9F">
        <w:rPr>
          <w:lang w:eastAsia="ja-JP"/>
        </w:rPr>
        <w:t xml:space="preserve">n the GEMINI-1 </w:t>
      </w:r>
      <w:r w:rsidR="003C0559">
        <w:rPr>
          <w:lang w:eastAsia="ja-JP"/>
        </w:rPr>
        <w:t xml:space="preserve">trial </w:t>
      </w:r>
      <w:r w:rsidR="00482B9F">
        <w:rPr>
          <w:lang w:eastAsia="ja-JP"/>
        </w:rPr>
        <w:t xml:space="preserve">and HIV-1 </w:t>
      </w:r>
      <w:proofErr w:type="spellStart"/>
      <w:r w:rsidR="003C0559">
        <w:rPr>
          <w:lang w:eastAsia="ja-JP"/>
        </w:rPr>
        <w:t>s</w:t>
      </w:r>
      <w:r w:rsidRPr="00555395">
        <w:rPr>
          <w:lang w:eastAsia="ja-JP"/>
        </w:rPr>
        <w:t>ssay</w:t>
      </w:r>
      <w:proofErr w:type="spellEnd"/>
      <w:r w:rsidRPr="00555395">
        <w:rPr>
          <w:lang w:eastAsia="ja-JP"/>
        </w:rPr>
        <w:t xml:space="preserve"> contamination and reagent issues in both studies were observed.</w:t>
      </w:r>
    </w:p>
    <w:p w14:paraId="7EBED81E" w14:textId="6E5D5C1C" w:rsidR="00AD3D20" w:rsidRPr="00555395" w:rsidRDefault="00AD3D20" w:rsidP="00AD3D20">
      <w:pPr>
        <w:pStyle w:val="Heading6"/>
        <w:spacing w:line="240" w:lineRule="auto"/>
      </w:pPr>
      <w:r w:rsidRPr="00555395">
        <w:t xml:space="preserve">GEMINI-1 </w:t>
      </w:r>
      <w:r w:rsidR="003C0559">
        <w:t xml:space="preserve">trial </w:t>
      </w:r>
      <w:r w:rsidRPr="00555395">
        <w:t>results</w:t>
      </w:r>
    </w:p>
    <w:p w14:paraId="7A76040F" w14:textId="36D17B5E" w:rsidR="00AD3D20" w:rsidRPr="00555395" w:rsidRDefault="00AD3D20" w:rsidP="00AD3D20">
      <w:pPr>
        <w:autoSpaceDE w:val="0"/>
        <w:autoSpaceDN w:val="0"/>
        <w:adjustRightInd w:val="0"/>
        <w:spacing w:line="240" w:lineRule="auto"/>
        <w:rPr>
          <w:rFonts w:cs="TimesNewRoman"/>
        </w:rPr>
      </w:pPr>
      <w:r w:rsidRPr="00555395">
        <w:rPr>
          <w:rFonts w:cs="TimesNewRoman"/>
        </w:rPr>
        <w:t xml:space="preserve">In the GEMINI-1 </w:t>
      </w:r>
      <w:r w:rsidR="003C0559">
        <w:rPr>
          <w:rFonts w:cs="TimesNewRoman"/>
        </w:rPr>
        <w:t>trial</w:t>
      </w:r>
      <w:r w:rsidR="003C0559" w:rsidRPr="00555395">
        <w:rPr>
          <w:rFonts w:cs="TimesNewRoman"/>
        </w:rPr>
        <w:t xml:space="preserve"> </w:t>
      </w:r>
      <w:r w:rsidRPr="00555395">
        <w:rPr>
          <w:rFonts w:cs="TimesNewRoman"/>
        </w:rPr>
        <w:t>(</w:t>
      </w:r>
      <w:r w:rsidR="00747724">
        <w:rPr>
          <w:rFonts w:cs="TimesNewRoman"/>
        </w:rPr>
        <w:t xml:space="preserve">Intent to </w:t>
      </w:r>
      <w:r w:rsidR="003C0559">
        <w:rPr>
          <w:rFonts w:cs="TimesNewRoman"/>
        </w:rPr>
        <w:t>t</w:t>
      </w:r>
      <w:r w:rsidR="00747724">
        <w:rPr>
          <w:rFonts w:cs="TimesNewRoman"/>
        </w:rPr>
        <w:t>reat exposed (</w:t>
      </w:r>
      <w:r w:rsidRPr="00555395">
        <w:rPr>
          <w:rFonts w:cs="TimesNewRoman"/>
        </w:rPr>
        <w:t>ITT-E</w:t>
      </w:r>
      <w:r w:rsidR="00747724">
        <w:rPr>
          <w:rFonts w:cs="TimesNewRoman"/>
        </w:rPr>
        <w:t>)</w:t>
      </w:r>
      <w:r w:rsidRPr="00555395">
        <w:rPr>
          <w:rFonts w:cs="TimesNewRoman"/>
        </w:rPr>
        <w:t xml:space="preserve"> analysis), 90% of subjects in the DTG + 3TC group and 93% of subjects in the DTG + TDF/FTC group achieved the primary efficacy endpoint of plasma HIV-1 RNA &lt;</w:t>
      </w:r>
      <w:r w:rsidR="00747724">
        <w:rPr>
          <w:rFonts w:cs="TimesNewRoman"/>
        </w:rPr>
        <w:t xml:space="preserve"> </w:t>
      </w:r>
      <w:r w:rsidRPr="00555395">
        <w:rPr>
          <w:rFonts w:cs="TimesNewRoman"/>
        </w:rPr>
        <w:t>50 c/mL at Week 48 (</w:t>
      </w:r>
      <w:r w:rsidR="003C0559">
        <w:rPr>
          <w:rFonts w:cs="TimesNewRoman"/>
        </w:rPr>
        <w:t>s</w:t>
      </w:r>
      <w:r w:rsidR="003C0559" w:rsidRPr="00555395">
        <w:rPr>
          <w:rFonts w:cs="TimesNewRoman"/>
        </w:rPr>
        <w:t xml:space="preserve">napshot </w:t>
      </w:r>
      <w:r w:rsidRPr="00555395">
        <w:rPr>
          <w:rFonts w:cs="TimesNewRoman"/>
        </w:rPr>
        <w:t>algorithm). Based on a 10% non-inferiority margin, the efficacy analysis demonstrated non-inferiority of DTG + 3TC compared to DTG + TDF/FTC at Week 48 (adjusted treatment difference (95% CI) = -2.6% (-6.7%, 1.5%)).</w:t>
      </w:r>
    </w:p>
    <w:p w14:paraId="1C86BBBF" w14:textId="60B52D03" w:rsidR="008766D5" w:rsidRDefault="00AD3D20" w:rsidP="00AD3D20">
      <w:pPr>
        <w:autoSpaceDE w:val="0"/>
        <w:autoSpaceDN w:val="0"/>
        <w:adjustRightInd w:val="0"/>
        <w:spacing w:line="240" w:lineRule="auto"/>
        <w:rPr>
          <w:rFonts w:cs="TimesNewRoman"/>
        </w:rPr>
      </w:pPr>
      <w:r w:rsidRPr="00555395">
        <w:rPr>
          <w:rFonts w:cs="TimesNewRoman"/>
        </w:rPr>
        <w:t xml:space="preserve">The results for the </w:t>
      </w:r>
      <w:r w:rsidR="00747724">
        <w:rPr>
          <w:rFonts w:cs="TimesNewRoman"/>
        </w:rPr>
        <w:t xml:space="preserve">Per </w:t>
      </w:r>
      <w:r w:rsidR="003C0559">
        <w:rPr>
          <w:rFonts w:cs="TimesNewRoman"/>
        </w:rPr>
        <w:t xml:space="preserve">protocol </w:t>
      </w:r>
      <w:r w:rsidR="00747724">
        <w:rPr>
          <w:rFonts w:cs="TimesNewRoman"/>
        </w:rPr>
        <w:t>(</w:t>
      </w:r>
      <w:r w:rsidRPr="00555395">
        <w:rPr>
          <w:rFonts w:cs="TimesNewRoman"/>
        </w:rPr>
        <w:t>PP</w:t>
      </w:r>
      <w:r w:rsidR="00747724">
        <w:rPr>
          <w:rFonts w:cs="TimesNewRoman"/>
        </w:rPr>
        <w:t>)</w:t>
      </w:r>
      <w:r w:rsidRPr="00555395">
        <w:rPr>
          <w:rFonts w:cs="TimesNewRoman"/>
        </w:rPr>
        <w:t xml:space="preserve"> and </w:t>
      </w:r>
      <w:r w:rsidR="00747724">
        <w:rPr>
          <w:rFonts w:cs="TimesNewRoman"/>
        </w:rPr>
        <w:t xml:space="preserve">Intent to </w:t>
      </w:r>
      <w:r w:rsidR="003C0559">
        <w:rPr>
          <w:rFonts w:cs="TimesNewRoman"/>
        </w:rPr>
        <w:t xml:space="preserve">treat </w:t>
      </w:r>
      <w:r w:rsidR="00747724">
        <w:rPr>
          <w:rFonts w:cs="TimesNewRoman"/>
        </w:rPr>
        <w:t>(</w:t>
      </w:r>
      <w:r w:rsidRPr="00555395">
        <w:rPr>
          <w:rFonts w:cs="TimesNewRoman"/>
        </w:rPr>
        <w:t>ITT</w:t>
      </w:r>
      <w:r w:rsidR="00747724">
        <w:rPr>
          <w:rFonts w:cs="TimesNewRoman"/>
        </w:rPr>
        <w:t>)</w:t>
      </w:r>
      <w:r w:rsidRPr="00555395">
        <w:rPr>
          <w:rFonts w:cs="TimesNewRoman"/>
        </w:rPr>
        <w:t xml:space="preserve"> </w:t>
      </w:r>
      <w:r w:rsidR="003C0559">
        <w:rPr>
          <w:rFonts w:cs="TimesNewRoman"/>
        </w:rPr>
        <w:t>p</w:t>
      </w:r>
      <w:r w:rsidR="003C0559" w:rsidRPr="00555395">
        <w:rPr>
          <w:rFonts w:cs="TimesNewRoman"/>
        </w:rPr>
        <w:t xml:space="preserve">opulations </w:t>
      </w:r>
      <w:r w:rsidRPr="00555395">
        <w:rPr>
          <w:rFonts w:cs="TimesNewRoman"/>
        </w:rPr>
        <w:t xml:space="preserve">were supportive of those from the ITT-E (primary) population. Treatment differences across demographic (age, </w:t>
      </w:r>
      <w:r w:rsidR="00EE0579">
        <w:rPr>
          <w:rFonts w:cs="TimesNewRoman"/>
        </w:rPr>
        <w:t xml:space="preserve">race and gender) subgroups and </w:t>
      </w:r>
      <w:r w:rsidR="003C0559">
        <w:rPr>
          <w:rFonts w:cs="TimesNewRoman"/>
        </w:rPr>
        <w:t>b</w:t>
      </w:r>
      <w:r w:rsidR="003C0559" w:rsidRPr="00555395">
        <w:rPr>
          <w:rFonts w:cs="TimesNewRoman"/>
        </w:rPr>
        <w:t xml:space="preserve">aseline </w:t>
      </w:r>
      <w:r w:rsidRPr="00555395">
        <w:rPr>
          <w:rFonts w:cs="TimesNewRoman"/>
        </w:rPr>
        <w:t xml:space="preserve">HIV-1 RNA viral load support the primary endpoint (HIV-1 RNA &lt;50 c/mL at Week 48). There was a lower response rate in the DTG + </w:t>
      </w:r>
      <w:r w:rsidR="00EE0579">
        <w:rPr>
          <w:rFonts w:cs="TimesNewRoman"/>
        </w:rPr>
        <w:t>3TC arm in subjects with lower B</w:t>
      </w:r>
      <w:r w:rsidRPr="00555395">
        <w:rPr>
          <w:rFonts w:cs="TimesNewRoman"/>
        </w:rPr>
        <w:t>aseline CD4+ cell counts.</w:t>
      </w:r>
    </w:p>
    <w:p w14:paraId="77DD5172" w14:textId="0EA3A13A" w:rsidR="00AD3D20" w:rsidRPr="00555395" w:rsidRDefault="00AD3D20" w:rsidP="00AD3D20">
      <w:pPr>
        <w:pStyle w:val="Heading6"/>
        <w:spacing w:line="240" w:lineRule="auto"/>
      </w:pPr>
      <w:r w:rsidRPr="00555395">
        <w:t>GEMINI-2</w:t>
      </w:r>
      <w:r w:rsidR="003C0559">
        <w:t xml:space="preserve"> trial</w:t>
      </w:r>
      <w:r w:rsidRPr="00555395">
        <w:t xml:space="preserve"> results</w:t>
      </w:r>
    </w:p>
    <w:p w14:paraId="008A7210" w14:textId="1389433E" w:rsidR="00AD3D20" w:rsidRPr="00555395" w:rsidRDefault="00AD3D20" w:rsidP="00AD3D20">
      <w:pPr>
        <w:autoSpaceDE w:val="0"/>
        <w:autoSpaceDN w:val="0"/>
        <w:adjustRightInd w:val="0"/>
        <w:spacing w:line="240" w:lineRule="auto"/>
        <w:rPr>
          <w:rFonts w:cs="TimesNewRoman"/>
        </w:rPr>
      </w:pPr>
      <w:r w:rsidRPr="00555395">
        <w:rPr>
          <w:rFonts w:cs="TimesNewRoman"/>
        </w:rPr>
        <w:t>In the GEMINI-2</w:t>
      </w:r>
      <w:r w:rsidR="003C0559">
        <w:rPr>
          <w:rFonts w:cs="TimesNewRoman"/>
        </w:rPr>
        <w:t xml:space="preserve">trial </w:t>
      </w:r>
      <w:r w:rsidRPr="00555395">
        <w:rPr>
          <w:rFonts w:cs="TimesNewRoman"/>
        </w:rPr>
        <w:t>(ITT-E analysis), 93% of subjects in the DTG + 3TC group and 94% of subjects in the DTG + TDF/FTC group achieved the primary efficacy endpoint of plasma HIV-1 RNA &lt;</w:t>
      </w:r>
      <w:r w:rsidR="00EE0579">
        <w:rPr>
          <w:rFonts w:cs="TimesNewRoman"/>
        </w:rPr>
        <w:t xml:space="preserve"> </w:t>
      </w:r>
      <w:r w:rsidRPr="00555395">
        <w:rPr>
          <w:rFonts w:cs="TimesNewRoman"/>
        </w:rPr>
        <w:t>50 c/mL at Week 48 (</w:t>
      </w:r>
      <w:r w:rsidR="003C0559">
        <w:rPr>
          <w:rFonts w:cs="TimesNewRoman"/>
        </w:rPr>
        <w:t>s</w:t>
      </w:r>
      <w:r w:rsidR="003C0559" w:rsidRPr="00555395">
        <w:rPr>
          <w:rFonts w:cs="TimesNewRoman"/>
        </w:rPr>
        <w:t xml:space="preserve">napshot </w:t>
      </w:r>
      <w:r w:rsidRPr="00555395">
        <w:rPr>
          <w:rFonts w:cs="TimesNewRoman"/>
        </w:rPr>
        <w:t>algorithm). Based on a 10% non-inferiority margin, the efficacy analysis demonstrated that DTG + 3TC was non</w:t>
      </w:r>
      <w:r w:rsidR="003C0559">
        <w:rPr>
          <w:rFonts w:cs="TimesNewRoman"/>
        </w:rPr>
        <w:noBreakHyphen/>
      </w:r>
      <w:r w:rsidRPr="00555395">
        <w:rPr>
          <w:rFonts w:cs="TimesNewRoman"/>
        </w:rPr>
        <w:t>inferior to DTG+TDF/FTC at Week 48 (adjusted treatment difference (95% CI) = -0.7% (</w:t>
      </w:r>
      <w:r w:rsidR="003C0559">
        <w:rPr>
          <w:rFonts w:cs="TimesNewRoman"/>
        </w:rPr>
        <w:noBreakHyphen/>
      </w:r>
      <w:r w:rsidRPr="00555395">
        <w:rPr>
          <w:rFonts w:cs="TimesNewRoman"/>
        </w:rPr>
        <w:t>4.3%, 2.9%)).</w:t>
      </w:r>
    </w:p>
    <w:p w14:paraId="5A4675CD" w14:textId="547220F0" w:rsidR="008766D5" w:rsidRDefault="00AD3D20" w:rsidP="00AD3D20">
      <w:pPr>
        <w:autoSpaceDE w:val="0"/>
        <w:autoSpaceDN w:val="0"/>
        <w:adjustRightInd w:val="0"/>
        <w:spacing w:line="240" w:lineRule="auto"/>
        <w:rPr>
          <w:rFonts w:cs="TimesNewRoman"/>
        </w:rPr>
      </w:pPr>
      <w:r w:rsidRPr="00555395">
        <w:rPr>
          <w:rFonts w:cs="TimesNewRoman"/>
        </w:rPr>
        <w:t xml:space="preserve">The results for the PP population and ITT </w:t>
      </w:r>
      <w:r w:rsidR="003C0559">
        <w:rPr>
          <w:rFonts w:cs="TimesNewRoman"/>
        </w:rPr>
        <w:t>p</w:t>
      </w:r>
      <w:r w:rsidR="003C0559" w:rsidRPr="00555395">
        <w:rPr>
          <w:rFonts w:cs="TimesNewRoman"/>
        </w:rPr>
        <w:t xml:space="preserve">opulations </w:t>
      </w:r>
      <w:r w:rsidRPr="00555395">
        <w:rPr>
          <w:rFonts w:cs="TimesNewRoman"/>
        </w:rPr>
        <w:t>were supportive of those from the ITT-E (primary) population. Treatment differences across demographic (age, race and gender) subgroups support the primary endpoint (HIV-1 RNA &lt;</w:t>
      </w:r>
      <w:r w:rsidR="00EE0579">
        <w:rPr>
          <w:rFonts w:cs="TimesNewRoman"/>
        </w:rPr>
        <w:t xml:space="preserve"> </w:t>
      </w:r>
      <w:r w:rsidRPr="00555395">
        <w:rPr>
          <w:rFonts w:cs="TimesNewRoman"/>
        </w:rPr>
        <w:t>50 c/mL at Week 48).</w:t>
      </w:r>
    </w:p>
    <w:p w14:paraId="5C2216D5" w14:textId="6CB35F9E" w:rsidR="00AD3D20" w:rsidRPr="00EE0579" w:rsidRDefault="00AD3D20" w:rsidP="00AD3D20">
      <w:pPr>
        <w:autoSpaceDE w:val="0"/>
        <w:autoSpaceDN w:val="0"/>
        <w:adjustRightInd w:val="0"/>
        <w:spacing w:line="240" w:lineRule="auto"/>
        <w:rPr>
          <w:rFonts w:cs="TimesNewRoman"/>
        </w:rPr>
      </w:pPr>
      <w:r w:rsidRPr="00555395">
        <w:rPr>
          <w:rFonts w:cs="TimesNewRoman"/>
        </w:rPr>
        <w:t xml:space="preserve">Across both the </w:t>
      </w:r>
      <w:r w:rsidR="003C0559">
        <w:rPr>
          <w:rFonts w:cs="TimesNewRoman"/>
        </w:rPr>
        <w:t>b</w:t>
      </w:r>
      <w:r w:rsidR="003C0559" w:rsidRPr="00555395">
        <w:rPr>
          <w:rFonts w:cs="TimesNewRoman"/>
        </w:rPr>
        <w:t xml:space="preserve">aseline </w:t>
      </w:r>
      <w:r w:rsidRPr="00555395">
        <w:rPr>
          <w:rFonts w:cs="TimesNewRoman"/>
        </w:rPr>
        <w:t xml:space="preserve">HIV-1 RNA subgroup and the </w:t>
      </w:r>
      <w:r w:rsidR="003C0559">
        <w:rPr>
          <w:rFonts w:cs="TimesNewRoman"/>
        </w:rPr>
        <w:t>b</w:t>
      </w:r>
      <w:r w:rsidR="003C0559" w:rsidRPr="00555395">
        <w:rPr>
          <w:rFonts w:cs="TimesNewRoman"/>
        </w:rPr>
        <w:t xml:space="preserve">aseline </w:t>
      </w:r>
      <w:r w:rsidRPr="00555395">
        <w:rPr>
          <w:rFonts w:cs="TimesNewRoman"/>
        </w:rPr>
        <w:t>CD4+ cell count subgroup, there was statistically significant evidence of heterogeneity for the difference in proportion of subjects with HIV-1 RNA &lt;</w:t>
      </w:r>
      <w:r w:rsidR="00EE0579">
        <w:rPr>
          <w:rFonts w:cs="TimesNewRoman"/>
        </w:rPr>
        <w:t xml:space="preserve"> </w:t>
      </w:r>
      <w:r w:rsidRPr="00555395">
        <w:rPr>
          <w:rFonts w:cs="TimesNewRoman"/>
        </w:rPr>
        <w:t>50 c/</w:t>
      </w:r>
      <w:proofErr w:type="spellStart"/>
      <w:r w:rsidRPr="00555395">
        <w:rPr>
          <w:rFonts w:cs="TimesNewRoman"/>
        </w:rPr>
        <w:t>mL.</w:t>
      </w:r>
      <w:proofErr w:type="spellEnd"/>
      <w:r w:rsidRPr="00555395">
        <w:rPr>
          <w:rFonts w:cs="TimesNewRoman"/>
        </w:rPr>
        <w:t xml:space="preserve"> This appears to be driven by a higher response rate in the DTG+3TC group and a lower response in the DTG+TDF/FTC group in the subjects with higher</w:t>
      </w:r>
      <w:r w:rsidR="003C0559">
        <w:rPr>
          <w:rFonts w:cs="TimesNewRoman"/>
        </w:rPr>
        <w:t xml:space="preserve"> baseline</w:t>
      </w:r>
      <w:r w:rsidRPr="00555395">
        <w:rPr>
          <w:rFonts w:cs="TimesNewRoman"/>
        </w:rPr>
        <w:t xml:space="preserve"> plasma HIV-1 RNA (&gt;</w:t>
      </w:r>
      <w:r w:rsidR="003C0559">
        <w:rPr>
          <w:rFonts w:cs="TimesNewRoman"/>
        </w:rPr>
        <w:t> </w:t>
      </w:r>
      <w:r w:rsidRPr="00555395">
        <w:rPr>
          <w:rFonts w:cs="TimesNewRoman"/>
        </w:rPr>
        <w:t>100,000</w:t>
      </w:r>
      <w:r w:rsidR="003C0559">
        <w:rPr>
          <w:rFonts w:cs="TimesNewRoman"/>
        </w:rPr>
        <w:t> </w:t>
      </w:r>
      <w:r w:rsidRPr="00555395">
        <w:rPr>
          <w:rFonts w:cs="TimesNewRoman"/>
        </w:rPr>
        <w:t xml:space="preserve">c/mL). In the subgroup of subjects with lower </w:t>
      </w:r>
      <w:r w:rsidR="003C0559">
        <w:rPr>
          <w:rFonts w:cs="TimesNewRoman"/>
        </w:rPr>
        <w:t>b</w:t>
      </w:r>
      <w:r w:rsidRPr="00555395">
        <w:rPr>
          <w:rFonts w:cs="TimesNewRoman"/>
        </w:rPr>
        <w:t xml:space="preserve">aseline CD4+ cell count, there was a lower response rate for subjects </w:t>
      </w:r>
      <w:r w:rsidRPr="00EE0579">
        <w:rPr>
          <w:rFonts w:cs="TimesNewRoman"/>
        </w:rPr>
        <w:t>receiving DTG+3TC.</w:t>
      </w:r>
    </w:p>
    <w:p w14:paraId="22D2DB1F" w14:textId="041A7800" w:rsidR="00AD3D20" w:rsidRPr="00555395" w:rsidRDefault="00AD3D20" w:rsidP="00EE0579">
      <w:pPr>
        <w:pStyle w:val="TableTitle"/>
      </w:pPr>
      <w:bookmarkStart w:id="46" w:name="_Ref12352512"/>
      <w:r w:rsidRPr="00555395">
        <w:lastRenderedPageBreak/>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4</w:t>
      </w:r>
      <w:r w:rsidR="00696AF7">
        <w:rPr>
          <w:noProof/>
        </w:rPr>
        <w:fldChar w:fldCharType="end"/>
      </w:r>
      <w:bookmarkEnd w:id="46"/>
      <w:r w:rsidR="00EE0579">
        <w:t>:</w:t>
      </w:r>
      <w:r w:rsidRPr="00555395">
        <w:t xml:space="preserve"> GEMINI </w:t>
      </w:r>
      <w:r w:rsidR="003C0559">
        <w:t xml:space="preserve">trials </w:t>
      </w:r>
      <w:r w:rsidR="00EE0579">
        <w:t>(</w:t>
      </w:r>
      <w:r w:rsidR="00C6515A">
        <w:t xml:space="preserve">Studies </w:t>
      </w:r>
      <w:r w:rsidR="00EE0579">
        <w:t>204861</w:t>
      </w:r>
      <w:r w:rsidR="003C0559">
        <w:t xml:space="preserve"> and</w:t>
      </w:r>
      <w:r w:rsidR="00EE0579">
        <w:t xml:space="preserve"> 205543</w:t>
      </w:r>
      <w:r w:rsidR="003C0559">
        <w:t>;</w:t>
      </w:r>
      <w:r w:rsidR="00EE0579">
        <w:t xml:space="preserve"> and </w:t>
      </w:r>
      <w:r w:rsidR="003C0559">
        <w:t>p</w:t>
      </w:r>
      <w:r w:rsidR="00EE0579">
        <w:t>ooled</w:t>
      </w:r>
      <w:r w:rsidR="003C0559">
        <w:t xml:space="preserve"> studies</w:t>
      </w:r>
      <w:r w:rsidR="00EE0579">
        <w:t>)</w:t>
      </w:r>
      <w:r w:rsidR="003C0559">
        <w:t>’</w:t>
      </w:r>
      <w:r w:rsidR="00EE0579">
        <w:t xml:space="preserve"> Proportion of subjects with p</w:t>
      </w:r>
      <w:r w:rsidRPr="00555395">
        <w:t>lasma HIV-1 RNA &lt;</w:t>
      </w:r>
      <w:r w:rsidR="00EE0579">
        <w:t> </w:t>
      </w:r>
      <w:r w:rsidRPr="00555395">
        <w:t>50 c/m</w:t>
      </w:r>
      <w:r w:rsidR="00EE0579">
        <w:t xml:space="preserve">L at Week 48 (ITT-E </w:t>
      </w:r>
      <w:r w:rsidR="003C0559">
        <w:t>population</w:t>
      </w:r>
      <w:r w:rsidR="00EE0579">
        <w:t>)</w:t>
      </w:r>
    </w:p>
    <w:p w14:paraId="0E2D03C4" w14:textId="77777777" w:rsidR="00AD3D20" w:rsidRPr="00555395" w:rsidRDefault="00AD3D20" w:rsidP="00AD3D20">
      <w:pPr>
        <w:autoSpaceDE w:val="0"/>
        <w:autoSpaceDN w:val="0"/>
        <w:adjustRightInd w:val="0"/>
        <w:spacing w:line="240" w:lineRule="auto"/>
        <w:rPr>
          <w:rFonts w:cs="TimesNewRoman"/>
        </w:rPr>
      </w:pPr>
      <w:r w:rsidRPr="00555395">
        <w:rPr>
          <w:rFonts w:cs="TimesNewRoman"/>
          <w:noProof/>
          <w:lang w:eastAsia="en-AU"/>
        </w:rPr>
        <w:drawing>
          <wp:inline distT="0" distB="0" distL="0" distR="0" wp14:anchorId="6DB442D8" wp14:editId="37754F75">
            <wp:extent cx="5400040" cy="2700020"/>
            <wp:effectExtent l="0" t="0" r="0" b="5080"/>
            <wp:docPr id="5" name="Picture 5" descr="GEMINI studies (Studies 204861, 205543 and Pooled) Proportion of subjects with plasma HIV-1 RNA &lt; 50 c/mL at Week 48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6FF61EF6" w14:textId="4E9C9DEF" w:rsidR="00AD3D20" w:rsidRPr="00555395" w:rsidRDefault="00AD3D20" w:rsidP="00EE0579">
      <w:pPr>
        <w:pStyle w:val="TableTitle"/>
      </w:pPr>
      <w:bookmarkStart w:id="47" w:name="_Ref12352489"/>
      <w:r w:rsidRPr="00555395">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5</w:t>
      </w:r>
      <w:r w:rsidR="00696AF7">
        <w:rPr>
          <w:noProof/>
        </w:rPr>
        <w:fldChar w:fldCharType="end"/>
      </w:r>
      <w:bookmarkEnd w:id="47"/>
      <w:r w:rsidR="00EE0579">
        <w:t>:</w:t>
      </w:r>
      <w:r w:rsidRPr="00555395">
        <w:t xml:space="preserve"> GEMINI </w:t>
      </w:r>
      <w:r w:rsidR="003C0559">
        <w:t>trials</w:t>
      </w:r>
      <w:r w:rsidR="003C0559" w:rsidRPr="00555395">
        <w:t xml:space="preserve"> </w:t>
      </w:r>
      <w:r w:rsidRPr="00555395">
        <w:t>(</w:t>
      </w:r>
      <w:r w:rsidR="00C6515A">
        <w:t xml:space="preserve">Studies </w:t>
      </w:r>
      <w:r w:rsidRPr="00555395">
        <w:t>204861</w:t>
      </w:r>
      <w:r w:rsidR="003C0559">
        <w:t xml:space="preserve"> and</w:t>
      </w:r>
      <w:r w:rsidRPr="00555395">
        <w:t xml:space="preserve"> 205543</w:t>
      </w:r>
      <w:r w:rsidR="003C0559">
        <w:t>;</w:t>
      </w:r>
      <w:r w:rsidRPr="00555395">
        <w:t xml:space="preserve"> and </w:t>
      </w:r>
      <w:r w:rsidR="003C0559">
        <w:t>p</w:t>
      </w:r>
      <w:r w:rsidRPr="00555395">
        <w:t>ooled</w:t>
      </w:r>
      <w:r w:rsidR="003C0559">
        <w:t xml:space="preserve"> studies</w:t>
      </w:r>
      <w:r w:rsidR="00EE0579">
        <w:t>) Proportion of subjects with p</w:t>
      </w:r>
      <w:r w:rsidRPr="00555395">
        <w:t>lasma HIV-1 RNA &lt;</w:t>
      </w:r>
      <w:r w:rsidR="00EE0579">
        <w:t xml:space="preserve"> </w:t>
      </w:r>
      <w:r w:rsidRPr="00555395">
        <w:t>50 c/mL at</w:t>
      </w:r>
      <w:r w:rsidR="00EE0579">
        <w:t xml:space="preserve"> Week 48 (PP</w:t>
      </w:r>
      <w:r w:rsidR="003C0559">
        <w:t> p</w:t>
      </w:r>
      <w:r w:rsidR="00EE0579">
        <w:t>opulation)</w:t>
      </w:r>
    </w:p>
    <w:p w14:paraId="500EBC60" w14:textId="77777777" w:rsidR="00AD3D20" w:rsidRPr="00555395" w:rsidRDefault="00AD3D20" w:rsidP="00AD3D20">
      <w:pPr>
        <w:autoSpaceDE w:val="0"/>
        <w:autoSpaceDN w:val="0"/>
        <w:adjustRightInd w:val="0"/>
        <w:spacing w:line="240" w:lineRule="auto"/>
        <w:rPr>
          <w:rFonts w:cs="TimesNewRoman"/>
        </w:rPr>
      </w:pPr>
      <w:r w:rsidRPr="00555395">
        <w:rPr>
          <w:rFonts w:cs="TimesNewRoman"/>
          <w:noProof/>
          <w:lang w:eastAsia="en-AU"/>
        </w:rPr>
        <w:drawing>
          <wp:inline distT="0" distB="0" distL="0" distR="0" wp14:anchorId="2A760011" wp14:editId="0BED475F">
            <wp:extent cx="5400040" cy="2494732"/>
            <wp:effectExtent l="0" t="0" r="0" b="1270"/>
            <wp:docPr id="9" name="Picture 9" descr="GEMINI studies (Studies 204861, 205543 and Pooled) Proportion of subjects with plasma HIV-1 RNA &lt; 50 c/mL at Week 48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94732"/>
                    </a:xfrm>
                    <a:prstGeom prst="rect">
                      <a:avLst/>
                    </a:prstGeom>
                    <a:noFill/>
                    <a:ln>
                      <a:noFill/>
                    </a:ln>
                  </pic:spPr>
                </pic:pic>
              </a:graphicData>
            </a:graphic>
          </wp:inline>
        </w:drawing>
      </w:r>
    </w:p>
    <w:p w14:paraId="605D9633" w14:textId="77777777" w:rsidR="00AD3D20" w:rsidRPr="00555395" w:rsidRDefault="00AD3D20" w:rsidP="00AD3D20">
      <w:pPr>
        <w:pStyle w:val="Heading5"/>
        <w:numPr>
          <w:ilvl w:val="3"/>
          <w:numId w:val="0"/>
        </w:numPr>
        <w:tabs>
          <w:tab w:val="num" w:pos="1418"/>
        </w:tabs>
        <w:spacing w:before="0" w:after="160" w:line="240" w:lineRule="auto"/>
        <w:ind w:left="1304" w:hanging="1077"/>
      </w:pPr>
      <w:r w:rsidRPr="00555395">
        <w:t>Pooled analysis</w:t>
      </w:r>
    </w:p>
    <w:p w14:paraId="01580EE1" w14:textId="383945C9" w:rsidR="008766D5" w:rsidRDefault="00AD3D20" w:rsidP="00AD3D20">
      <w:pPr>
        <w:spacing w:line="240" w:lineRule="auto"/>
      </w:pPr>
      <w:r w:rsidRPr="00555395">
        <w:t xml:space="preserve">A pooled analysis of the GEMINI </w:t>
      </w:r>
      <w:r w:rsidR="003C0559">
        <w:t>trials</w:t>
      </w:r>
      <w:r w:rsidR="003C0559" w:rsidRPr="00555395">
        <w:t xml:space="preserve"> </w:t>
      </w:r>
      <w:r w:rsidRPr="00555395">
        <w:t xml:space="preserve">was also conducted. The subject disposition, baseline demographics and disease characteristics for the pooled GEMINI </w:t>
      </w:r>
      <w:r w:rsidR="00A8795B">
        <w:t>trials</w:t>
      </w:r>
      <w:r w:rsidR="00A8795B" w:rsidRPr="00555395">
        <w:t xml:space="preserve"> </w:t>
      </w:r>
      <w:r w:rsidRPr="00555395">
        <w:t>was similar to that described for the individual studies. The results of the pooled analysis for the primary efficacy endpoint of proportion of subjects with plasma HIV-1 RNA &lt;</w:t>
      </w:r>
      <w:r w:rsidR="00A8795B">
        <w:t> </w:t>
      </w:r>
      <w:r w:rsidRPr="00555395">
        <w:t>50</w:t>
      </w:r>
      <w:r w:rsidR="00A8795B">
        <w:t> </w:t>
      </w:r>
      <w:r w:rsidR="00EE0579">
        <w:t>c/mL at W</w:t>
      </w:r>
      <w:r w:rsidRPr="00555395">
        <w:t>eek 48 (</w:t>
      </w:r>
      <w:r w:rsidR="00A8795B">
        <w:t>s</w:t>
      </w:r>
      <w:r w:rsidR="00A8795B" w:rsidRPr="00555395">
        <w:t xml:space="preserve">napshot </w:t>
      </w:r>
      <w:r w:rsidRPr="00555395">
        <w:t>analysis) were similar to the results observed in the individual studies (</w:t>
      </w:r>
      <w:r w:rsidR="00A8795B">
        <w:t xml:space="preserve">see </w:t>
      </w:r>
      <w:r w:rsidR="00EE0579">
        <w:fldChar w:fldCharType="begin"/>
      </w:r>
      <w:r w:rsidR="00EE0579">
        <w:instrText xml:space="preserve"> REF _Ref12352512 \h </w:instrText>
      </w:r>
      <w:r w:rsidR="00EE0579">
        <w:fldChar w:fldCharType="separate"/>
      </w:r>
      <w:r w:rsidR="004C0A50" w:rsidRPr="00555395">
        <w:t xml:space="preserve">Table </w:t>
      </w:r>
      <w:r w:rsidR="004C0A50">
        <w:rPr>
          <w:noProof/>
        </w:rPr>
        <w:t>4</w:t>
      </w:r>
      <w:r w:rsidR="00EE0579">
        <w:fldChar w:fldCharType="end"/>
      </w:r>
      <w:r w:rsidRPr="00555395">
        <w:t>); ove</w:t>
      </w:r>
      <w:r w:rsidR="00EE0579">
        <w:t xml:space="preserve">rall response rate was 91% (655 out of 716) and 93% (669 out of </w:t>
      </w:r>
      <w:r w:rsidRPr="00555395">
        <w:t xml:space="preserve">717) in the DTG+3TC and DTG + TDF/FTC </w:t>
      </w:r>
      <w:r w:rsidR="00EE0579">
        <w:t>treatment groups, respectively</w:t>
      </w:r>
      <w:r w:rsidRPr="00555395">
        <w:t>.</w:t>
      </w:r>
    </w:p>
    <w:p w14:paraId="2A3F73E1" w14:textId="1720F354" w:rsidR="008766D5" w:rsidRDefault="00AD3D20" w:rsidP="00AD3D20">
      <w:pPr>
        <w:spacing w:line="240" w:lineRule="auto"/>
      </w:pPr>
      <w:r w:rsidRPr="00555395">
        <w:t>The results for the PP population (</w:t>
      </w:r>
      <w:r w:rsidR="00A8795B">
        <w:t xml:space="preserve">see </w:t>
      </w:r>
      <w:r w:rsidR="00EE0579">
        <w:fldChar w:fldCharType="begin"/>
      </w:r>
      <w:r w:rsidR="00EE0579">
        <w:instrText xml:space="preserve"> REF _Ref12352489 \h </w:instrText>
      </w:r>
      <w:r w:rsidR="00EE0579">
        <w:fldChar w:fldCharType="separate"/>
      </w:r>
      <w:r w:rsidR="004C0A50" w:rsidRPr="00555395">
        <w:t xml:space="preserve">Table </w:t>
      </w:r>
      <w:r w:rsidR="004C0A50">
        <w:rPr>
          <w:noProof/>
        </w:rPr>
        <w:t>5</w:t>
      </w:r>
      <w:r w:rsidR="00EE0579">
        <w:fldChar w:fldCharType="end"/>
      </w:r>
      <w:r w:rsidRPr="00555395">
        <w:t>) and ITT Populations were supportive of those from the ITT-E (primary) population.</w:t>
      </w:r>
    </w:p>
    <w:p w14:paraId="5F4D43AC" w14:textId="48E13310" w:rsidR="008766D5" w:rsidRDefault="00AD3D20" w:rsidP="00AD3D20">
      <w:pPr>
        <w:spacing w:line="240" w:lineRule="auto"/>
      </w:pPr>
      <w:r w:rsidRPr="00555395">
        <w:t>The secondary endpoint of proportion of subjects with plasma HIV-1 RNA &lt;</w:t>
      </w:r>
      <w:r w:rsidR="00EE0579">
        <w:t xml:space="preserve"> </w:t>
      </w:r>
      <w:r w:rsidRPr="00555395">
        <w:t>50</w:t>
      </w:r>
      <w:r w:rsidR="00EE0579">
        <w:t xml:space="preserve"> c/mL at W</w:t>
      </w:r>
      <w:r w:rsidRPr="00555395">
        <w:t>eek 24 (</w:t>
      </w:r>
      <w:r w:rsidR="00A8795B">
        <w:t>s</w:t>
      </w:r>
      <w:r w:rsidR="00A8795B" w:rsidRPr="00555395">
        <w:t xml:space="preserve">napshot </w:t>
      </w:r>
      <w:r w:rsidRPr="00555395">
        <w:t xml:space="preserve">analysis) also showed similar results in the pooled analysis. As the lower limit of quantitation detection for the Abbott </w:t>
      </w:r>
      <w:proofErr w:type="spellStart"/>
      <w:r w:rsidRPr="00555395">
        <w:t>RealTime</w:t>
      </w:r>
      <w:proofErr w:type="spellEnd"/>
      <w:r w:rsidRPr="00555395">
        <w:t xml:space="preserve"> HIV-1 Assay used in both pivotal studies was 40</w:t>
      </w:r>
      <w:r w:rsidR="00EE0579">
        <w:t xml:space="preserve"> </w:t>
      </w:r>
      <w:r w:rsidRPr="00555395">
        <w:t xml:space="preserve">c/mL, an additional sensitivity </w:t>
      </w:r>
      <w:r w:rsidRPr="00555395">
        <w:rPr>
          <w:i/>
        </w:rPr>
        <w:t>post hoc</w:t>
      </w:r>
      <w:r w:rsidRPr="00555395">
        <w:t xml:space="preserve"> analysis was carried out for </w:t>
      </w:r>
      <w:r w:rsidRPr="00555395">
        <w:lastRenderedPageBreak/>
        <w:t>the proportion of subjects with plasma HIV-1 RNA &lt;</w:t>
      </w:r>
      <w:r w:rsidR="00EE0579">
        <w:t xml:space="preserve"> </w:t>
      </w:r>
      <w:r w:rsidRPr="00555395">
        <w:t xml:space="preserve">40 c/mL by visit. In the pooled analysis at Week 48, 90% and 92% of subjects receiving DTG + 3TC and DTG + TDF/FTC, respectively, achieved </w:t>
      </w:r>
      <w:proofErr w:type="spellStart"/>
      <w:r w:rsidRPr="00555395">
        <w:t>virologic</w:t>
      </w:r>
      <w:proofErr w:type="spellEnd"/>
      <w:r w:rsidRPr="00555395">
        <w:t xml:space="preserve"> success at the threshold of HIV-1 RNA &lt;</w:t>
      </w:r>
      <w:r w:rsidR="00EE0579">
        <w:t xml:space="preserve"> </w:t>
      </w:r>
      <w:r w:rsidRPr="00555395">
        <w:t xml:space="preserve">40 c/mL, which represents a 1% reduction in each arm compared to the 91% and 93% of subjects in the ITT-E who achieved </w:t>
      </w:r>
      <w:proofErr w:type="spellStart"/>
      <w:r w:rsidRPr="00555395">
        <w:t>virologic</w:t>
      </w:r>
      <w:proofErr w:type="spellEnd"/>
      <w:r w:rsidRPr="00555395">
        <w:t xml:space="preserve"> success at the HIV-1 RNA &lt;50 c/mL threshold.</w:t>
      </w:r>
    </w:p>
    <w:p w14:paraId="322A0706" w14:textId="77777777" w:rsidR="008766D5" w:rsidRDefault="00AD3D20" w:rsidP="00AD3D20">
      <w:pPr>
        <w:spacing w:line="240" w:lineRule="auto"/>
      </w:pPr>
      <w:r w:rsidRPr="00555395">
        <w:t>Within the individual studies and the pooled analysis, the proportion of subjects with plasma HIV-1 RNA &lt;50 c/mL by visit was high and similar in both treatment groups and most subjects in both arms achieved plasma HIV-1 RNA &lt;</w:t>
      </w:r>
      <w:r w:rsidR="00EE0579">
        <w:t xml:space="preserve"> </w:t>
      </w:r>
      <w:r w:rsidRPr="00555395">
        <w:t>50 c/mL by Week 4 suggesting a rapid and sustained response Kaplan-Meier estimates of the time to viral suppression (HIV-1 RNA &lt;50 c/mL) through Week 48 indicated that subjects reached viral suppression at a similar time point in both treatment groups (median t</w:t>
      </w:r>
      <w:r w:rsidR="00EE0579">
        <w:t>ime to viral suppression = 29.0 </w:t>
      </w:r>
      <w:r w:rsidRPr="00555395">
        <w:t>days).</w:t>
      </w:r>
    </w:p>
    <w:p w14:paraId="115C31C5" w14:textId="224FE8C2" w:rsidR="008766D5" w:rsidRDefault="00AD3D20" w:rsidP="00AD3D20">
      <w:pPr>
        <w:spacing w:line="240" w:lineRule="auto"/>
      </w:pPr>
      <w:r w:rsidRPr="00555395">
        <w:t xml:space="preserve">Few subjects met protocol-defined </w:t>
      </w:r>
      <w:r w:rsidR="00A8795B" w:rsidRPr="00555395">
        <w:t xml:space="preserve">confirmed </w:t>
      </w:r>
      <w:proofErr w:type="spellStart"/>
      <w:r w:rsidR="00A8795B" w:rsidRPr="00555395">
        <w:t>virologic</w:t>
      </w:r>
      <w:proofErr w:type="spellEnd"/>
      <w:r w:rsidR="00A8795B" w:rsidRPr="00555395">
        <w:t xml:space="preserve"> withdrawal </w:t>
      </w:r>
      <w:r w:rsidRPr="00555395">
        <w:t>(CVW) criteria in either treatment group through We</w:t>
      </w:r>
      <w:r w:rsidR="00EE0579">
        <w:t xml:space="preserve">ek 48. </w:t>
      </w:r>
      <w:r w:rsidRPr="00555395">
        <w:t>No patients met CVW non-response criteria (decrease in plasma HIV-1 RNA of &lt;</w:t>
      </w:r>
      <w:r w:rsidR="006A2118">
        <w:t xml:space="preserve"> </w:t>
      </w:r>
      <w:r w:rsidRPr="00555395">
        <w:t>1 log</w:t>
      </w:r>
      <w:r w:rsidRPr="006A2118">
        <w:rPr>
          <w:vertAlign w:val="subscript"/>
        </w:rPr>
        <w:t>10</w:t>
      </w:r>
      <w:r w:rsidRPr="00555395">
        <w:t xml:space="preserve"> c/mL by Week 12, with subsequent confirmation, unless plasma HIV-1 RNA was &lt;</w:t>
      </w:r>
      <w:r w:rsidR="006A2118">
        <w:t xml:space="preserve"> </w:t>
      </w:r>
      <w:r w:rsidRPr="00555395">
        <w:t>200 c/mL, or confirmed plasma HIV-1 RNA ≥</w:t>
      </w:r>
      <w:r w:rsidR="006A2118">
        <w:t xml:space="preserve"> </w:t>
      </w:r>
      <w:r w:rsidRPr="00555395">
        <w:t>200 c/mL on or after Week 24) and &lt;</w:t>
      </w:r>
      <w:r w:rsidR="006A2118">
        <w:t xml:space="preserve"> </w:t>
      </w:r>
      <w:r w:rsidRPr="00555395">
        <w:t>1% of subjects in both treatment groups met CVW rebound criteria (confirmed rebound in plasma HIV-1 RNA levels to &gt;</w:t>
      </w:r>
      <w:r w:rsidR="006A2118">
        <w:t xml:space="preserve"> </w:t>
      </w:r>
      <w:r w:rsidRPr="00555395">
        <w:t>200 c/mL after prior confirmed suppression to &lt;</w:t>
      </w:r>
      <w:r w:rsidR="006A2118">
        <w:t xml:space="preserve"> </w:t>
      </w:r>
      <w:r w:rsidRPr="00555395">
        <w:t>200 c/mL). The incidence of treatment-emergent genotypic and phenotypic resistance to DTG and 3TC or TDF/FTC in subjects meeting CVW criteria was a secondary endpoint in each study. No subject meeting CVW criteria in either group had treatment emergent INSTI or NRTI resistance through Week 48.</w:t>
      </w:r>
    </w:p>
    <w:p w14:paraId="18EE1C13" w14:textId="38D55125" w:rsidR="008766D5" w:rsidRDefault="00AD3D20" w:rsidP="00AD3D20">
      <w:pPr>
        <w:spacing w:line="240" w:lineRule="auto"/>
      </w:pPr>
      <w:r w:rsidRPr="00555395">
        <w:t>CD4+ cell counts increased at each visit in both treatment groups with no significant difference between treatment groups in the change in CD4</w:t>
      </w:r>
      <w:r w:rsidR="006A2118">
        <w:t>+ cell counts from Baseline to W</w:t>
      </w:r>
      <w:r w:rsidRPr="00555395">
        <w:t>eek 48 in either study or the pooled analysis. However, in the pooled analysis statistically significant higher increases in the CD4+ cell count were observed in the DTG</w:t>
      </w:r>
      <w:r w:rsidR="00A8795B">
        <w:t> </w:t>
      </w:r>
      <w:r w:rsidRPr="00555395">
        <w:t>+</w:t>
      </w:r>
      <w:r w:rsidR="00A8795B">
        <w:t> </w:t>
      </w:r>
      <w:r w:rsidRPr="00555395">
        <w:t>3TC group compared to the DTG + TDF/FTC group at Week 8, Week 12, Week 16 and Week 24.</w:t>
      </w:r>
    </w:p>
    <w:p w14:paraId="01B7BFA6" w14:textId="77777777" w:rsidR="00AD3D20" w:rsidRPr="00555395" w:rsidRDefault="00AD3D20" w:rsidP="00AD3D20">
      <w:pPr>
        <w:pStyle w:val="Heading6"/>
        <w:spacing w:line="240" w:lineRule="auto"/>
      </w:pPr>
      <w:r w:rsidRPr="00555395">
        <w:t>Heterogeneity of response</w:t>
      </w:r>
    </w:p>
    <w:p w14:paraId="0140065F" w14:textId="55A06677" w:rsidR="00AD3D20" w:rsidRPr="00555395" w:rsidRDefault="00AD3D20" w:rsidP="00AD3D20">
      <w:pPr>
        <w:spacing w:line="240" w:lineRule="auto"/>
      </w:pPr>
      <w:r w:rsidRPr="00555395">
        <w:t>In Study 204861 (GEMINI-1</w:t>
      </w:r>
      <w:r w:rsidR="00A8795B">
        <w:t xml:space="preserve"> trial</w:t>
      </w:r>
      <w:r w:rsidRPr="00555395">
        <w:t>), there was no evidence of heterogeneity in the treatment differences in the proportions with plasma HIV-1 RNA &lt;</w:t>
      </w:r>
      <w:r w:rsidR="006A2118">
        <w:t xml:space="preserve"> </w:t>
      </w:r>
      <w:r w:rsidR="00ED295F">
        <w:t>50 c/mL at Week 48 across the b</w:t>
      </w:r>
      <w:r w:rsidRPr="00555395">
        <w:t>aseline HIV-1 RNA subgroups (&lt; or &gt;</w:t>
      </w:r>
      <w:r w:rsidR="006A2118">
        <w:t xml:space="preserve"> </w:t>
      </w:r>
      <w:r w:rsidRPr="00555395">
        <w:t>100,000 c/mL) while in Study 205543 (GEMINI-2</w:t>
      </w:r>
      <w:r w:rsidR="00A8795B">
        <w:t xml:space="preserve"> trial</w:t>
      </w:r>
      <w:r w:rsidRPr="00555395">
        <w:t>), there was statistically significant evidence of heterogeneity for the difference in proportion of subjects with HIV-1 RNA &lt;</w:t>
      </w:r>
      <w:r w:rsidR="006A2118">
        <w:t xml:space="preserve"> </w:t>
      </w:r>
      <w:r w:rsidRPr="00555395">
        <w:t>50 c/mL at the 10% level of significance (p</w:t>
      </w:r>
      <w:r w:rsidR="006A2118">
        <w:t> </w:t>
      </w:r>
      <w:r w:rsidRPr="00555395">
        <w:t>=</w:t>
      </w:r>
      <w:r w:rsidR="006A2118">
        <w:t> </w:t>
      </w:r>
      <w:r w:rsidRPr="00555395">
        <w:t>0.03), mainly driven by the higher response rate in the DTG + 3TC group, and lower response rate in the DTG + TDF/FTC group in</w:t>
      </w:r>
      <w:r w:rsidR="00ED295F">
        <w:t xml:space="preserve"> the subgroup of subjects with b</w:t>
      </w:r>
      <w:r w:rsidRPr="00555395">
        <w:t>aseline plasma HIV-1 RNA &gt;</w:t>
      </w:r>
      <w:r w:rsidR="006A2118">
        <w:t xml:space="preserve"> </w:t>
      </w:r>
      <w:r w:rsidRPr="00555395">
        <w:t>100,000 c/</w:t>
      </w:r>
      <w:proofErr w:type="spellStart"/>
      <w:r w:rsidRPr="00555395">
        <w:t>mL.</w:t>
      </w:r>
      <w:proofErr w:type="spellEnd"/>
      <w:r w:rsidRPr="00555395">
        <w:t xml:space="preserve"> However, in the pooled analysis, no statistically significant evidence of heterogenei</w:t>
      </w:r>
      <w:r w:rsidR="00ED295F">
        <w:t>ty between the combinations of b</w:t>
      </w:r>
      <w:r w:rsidRPr="00555395">
        <w:t>aseline HIV-1 RNA subgroups (&lt;or &gt;</w:t>
      </w:r>
      <w:r w:rsidR="006A2118">
        <w:t xml:space="preserve"> </w:t>
      </w:r>
      <w:r w:rsidRPr="00555395">
        <w:t>100,000 c/mL) and studies was observed for the primary endpoint of plasm</w:t>
      </w:r>
      <w:r w:rsidR="00ED295F">
        <w:t>a HIV-1 RNA &lt;50 c/mL at Week 48</w:t>
      </w:r>
      <w:r>
        <w:t xml:space="preserve"> (</w:t>
      </w:r>
      <w:r w:rsidR="00A8795B">
        <w:t xml:space="preserve">see </w:t>
      </w:r>
      <w:r>
        <w:fldChar w:fldCharType="begin"/>
      </w:r>
      <w:r>
        <w:instrText xml:space="preserve"> REF _Ref12530456 \h </w:instrText>
      </w:r>
      <w:r>
        <w:fldChar w:fldCharType="separate"/>
      </w:r>
      <w:r w:rsidR="004C0A50">
        <w:t xml:space="preserve">Table </w:t>
      </w:r>
      <w:r w:rsidR="004C0A50">
        <w:rPr>
          <w:noProof/>
        </w:rPr>
        <w:t>6</w:t>
      </w:r>
      <w:r>
        <w:fldChar w:fldCharType="end"/>
      </w:r>
      <w:r>
        <w:t>)</w:t>
      </w:r>
      <w:r w:rsidRPr="00555395">
        <w:t>.</w:t>
      </w:r>
    </w:p>
    <w:p w14:paraId="10410D6F" w14:textId="27190745" w:rsidR="00AD3D20" w:rsidRPr="00555395" w:rsidRDefault="00AD3D20" w:rsidP="00AD3D20">
      <w:pPr>
        <w:spacing w:line="240" w:lineRule="auto"/>
      </w:pPr>
      <w:r w:rsidRPr="00555395">
        <w:t xml:space="preserve">While the Screening HIV-1 RNA viral load for subjects participating in Study 204861 and Study 205543 was capped at &lt;500,000 c/mL, 28 subjects had a </w:t>
      </w:r>
      <w:r w:rsidR="00A8795B">
        <w:t>b</w:t>
      </w:r>
      <w:r w:rsidR="00A8795B" w:rsidRPr="00555395">
        <w:t xml:space="preserve">aseline </w:t>
      </w:r>
      <w:r w:rsidRPr="00555395">
        <w:t>HIV-1 RNA &gt;</w:t>
      </w:r>
      <w:r w:rsidR="00A8795B">
        <w:t> </w:t>
      </w:r>
      <w:r w:rsidRPr="00555395">
        <w:t>500,000 c/mL (DTG+3TC, 13 subjects; DTG+TDF/FTC, 15 subjects). 11 of 13 subjects (85%) in the DTG+3TC group and 12 of 15 (80%) subjects in the DTG+TDF/FTC group had plasma HIV-1 RNA &lt;50 c/mL at Week 48.</w:t>
      </w:r>
    </w:p>
    <w:p w14:paraId="2AAD1829" w14:textId="5DE5748C" w:rsidR="008766D5" w:rsidRDefault="00AD3D20" w:rsidP="00AD3D20">
      <w:pPr>
        <w:spacing w:line="240" w:lineRule="auto"/>
      </w:pPr>
      <w:r w:rsidRPr="00555395">
        <w:t>In ea</w:t>
      </w:r>
      <w:r w:rsidR="00ED295F">
        <w:t>ch study, in the b</w:t>
      </w:r>
      <w:r w:rsidRPr="00555395">
        <w:t>aseline CD4+ cell count &lt;200 cells/mm</w:t>
      </w:r>
      <w:r w:rsidRPr="00555395">
        <w:rPr>
          <w:vertAlign w:val="superscript"/>
        </w:rPr>
        <w:t>3</w:t>
      </w:r>
      <w:r w:rsidRPr="00555395">
        <w:t xml:space="preserve"> subgroup, there was a lower response rate in the DTG+3TC group compared to the DTG+TDF/FTC group, although the test for </w:t>
      </w:r>
      <w:r w:rsidR="00ED295F">
        <w:t>heterogeneity for an effect of b</w:t>
      </w:r>
      <w:r w:rsidRPr="00555395">
        <w:t>aseline CD4+ cell count (&lt;200 or &gt;200 cells/mm</w:t>
      </w:r>
      <w:r w:rsidRPr="00A370BB">
        <w:rPr>
          <w:vertAlign w:val="superscript"/>
        </w:rPr>
        <w:t>3</w:t>
      </w:r>
      <w:r w:rsidRPr="00555395">
        <w:t>) on the treatment difference in the proportion of subjects with plasma HIV-1 RNA &lt;</w:t>
      </w:r>
      <w:r w:rsidR="00ED295F">
        <w:t> 50 </w:t>
      </w:r>
      <w:r w:rsidRPr="00555395">
        <w:t>c/mL at Week 48 was only significant in Study 205543. In the pooled analysis, there was statistically significant evidence of heterogeneity at the 10% level (p</w:t>
      </w:r>
      <w:r w:rsidR="00ED295F">
        <w:t xml:space="preserve"> </w:t>
      </w:r>
      <w:r w:rsidRPr="00555395">
        <w:t>=</w:t>
      </w:r>
      <w:r w:rsidR="00ED295F">
        <w:t xml:space="preserve"> </w:t>
      </w:r>
      <w:r w:rsidRPr="00555395">
        <w:t>0.10) acro</w:t>
      </w:r>
      <w:r w:rsidR="00ED295F">
        <w:t xml:space="preserve">ss </w:t>
      </w:r>
      <w:r w:rsidR="00ED295F">
        <w:lastRenderedPageBreak/>
        <w:t>b</w:t>
      </w:r>
      <w:r w:rsidRPr="00555395">
        <w:t>aseline CD4+ cell count levels and Study on the treatment difference in proportion of subjects with HIV-1 RNA &lt;50 c/mL, indicating that the difference in response rates between treatm</w:t>
      </w:r>
      <w:r w:rsidR="00ED295F">
        <w:t>ents was not consistent across b</w:t>
      </w:r>
      <w:r w:rsidRPr="00555395">
        <w:t>aseline CD4+ cell count categories (&lt;</w:t>
      </w:r>
      <w:r w:rsidR="006A2118">
        <w:t xml:space="preserve"> </w:t>
      </w:r>
      <w:r w:rsidRPr="00555395">
        <w:t>or &gt;</w:t>
      </w:r>
      <w:r w:rsidR="006A2118">
        <w:t> </w:t>
      </w:r>
      <w:r w:rsidRPr="00555395">
        <w:t>200 cells/mm</w:t>
      </w:r>
      <w:r w:rsidRPr="00A370BB">
        <w:rPr>
          <w:vertAlign w:val="superscript"/>
        </w:rPr>
        <w:t>3</w:t>
      </w:r>
      <w:r w:rsidR="006A2118">
        <w:t>) and s</w:t>
      </w:r>
      <w:r w:rsidRPr="00555395">
        <w:t xml:space="preserve">tudy </w:t>
      </w:r>
      <w:r>
        <w:t>(</w:t>
      </w:r>
      <w:r w:rsidR="00A8795B">
        <w:t xml:space="preserve">see </w:t>
      </w:r>
      <w:r>
        <w:fldChar w:fldCharType="begin"/>
      </w:r>
      <w:r>
        <w:instrText xml:space="preserve"> REF _Ref12530456 \h </w:instrText>
      </w:r>
      <w:r>
        <w:fldChar w:fldCharType="separate"/>
      </w:r>
      <w:r w:rsidR="004C0A50">
        <w:t xml:space="preserve">Table </w:t>
      </w:r>
      <w:r w:rsidR="004C0A50">
        <w:rPr>
          <w:noProof/>
        </w:rPr>
        <w:t>6</w:t>
      </w:r>
      <w:r>
        <w:fldChar w:fldCharType="end"/>
      </w:r>
      <w:r>
        <w:t>)</w:t>
      </w:r>
      <w:r w:rsidRPr="00555395">
        <w:t>.</w:t>
      </w:r>
    </w:p>
    <w:p w14:paraId="4D84B67D" w14:textId="77777777" w:rsidR="00AD3D20" w:rsidRDefault="00AD3D20" w:rsidP="00AD3D20">
      <w:pPr>
        <w:spacing w:line="240" w:lineRule="auto"/>
      </w:pPr>
      <w:r w:rsidRPr="00555395">
        <w:t>Post-baseline changes in CD4+ cell counts were similar between the treat</w:t>
      </w:r>
      <w:r w:rsidR="00ED295F">
        <w:t>ment arms across categories of b</w:t>
      </w:r>
      <w:r w:rsidRPr="00555395">
        <w:t>aseline plasma HIV-1 RNA and CD4+ cell count in the pooled analysis.</w:t>
      </w:r>
    </w:p>
    <w:p w14:paraId="7759C468" w14:textId="4D32C3B0" w:rsidR="00AD3D20" w:rsidRDefault="00AD3D20" w:rsidP="00AD3D20">
      <w:pPr>
        <w:spacing w:line="240" w:lineRule="auto"/>
      </w:pPr>
      <w:r>
        <w:t xml:space="preserve">A summary of numerical results and analysis is shown in </w:t>
      </w:r>
      <w:r>
        <w:fldChar w:fldCharType="begin"/>
      </w:r>
      <w:r>
        <w:instrText xml:space="preserve"> REF _Ref12530456 \h </w:instrText>
      </w:r>
      <w:r>
        <w:fldChar w:fldCharType="separate"/>
      </w:r>
      <w:r w:rsidR="004C0A50">
        <w:t xml:space="preserve">Table </w:t>
      </w:r>
      <w:r w:rsidR="004C0A50">
        <w:rPr>
          <w:noProof/>
        </w:rPr>
        <w:t>6</w:t>
      </w:r>
      <w:r>
        <w:fldChar w:fldCharType="end"/>
      </w:r>
      <w:r>
        <w:t>.</w:t>
      </w:r>
    </w:p>
    <w:p w14:paraId="49D0B24E" w14:textId="46C4E278" w:rsidR="00AD3D20" w:rsidRDefault="00AD3D20" w:rsidP="006A2118">
      <w:pPr>
        <w:pStyle w:val="TableTitle"/>
      </w:pPr>
      <w:bookmarkStart w:id="48" w:name="_Ref12530456"/>
      <w:r>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6</w:t>
      </w:r>
      <w:r w:rsidR="00696AF7">
        <w:rPr>
          <w:noProof/>
        </w:rPr>
        <w:fldChar w:fldCharType="end"/>
      </w:r>
      <w:bookmarkEnd w:id="48"/>
      <w:r w:rsidR="006A2118">
        <w:t>:</w:t>
      </w:r>
      <w:r>
        <w:t xml:space="preserve"> GEMIN</w:t>
      </w:r>
      <w:r w:rsidR="006A2118">
        <w:t xml:space="preserve">I </w:t>
      </w:r>
      <w:r w:rsidR="00A8795B">
        <w:t xml:space="preserve">trials </w:t>
      </w:r>
      <w:r w:rsidR="006A2118">
        <w:t xml:space="preserve">(separate </w:t>
      </w:r>
      <w:r w:rsidR="00A8795B">
        <w:t xml:space="preserve">studies </w:t>
      </w:r>
      <w:r w:rsidR="006A2118">
        <w:t>and pooled</w:t>
      </w:r>
      <w:r w:rsidR="00A8795B">
        <w:t xml:space="preserve"> populations</w:t>
      </w:r>
      <w:r w:rsidR="006A2118">
        <w:t>)</w:t>
      </w:r>
      <w:r w:rsidR="00A8795B">
        <w:t>;</w:t>
      </w:r>
      <w:r>
        <w:t xml:space="preserve"> Tests of heterogeneity for the proportion of subjects with plasma HIV-1 RNA &lt;</w:t>
      </w:r>
      <w:r w:rsidR="006A2118">
        <w:t xml:space="preserve"> </w:t>
      </w:r>
      <w:r>
        <w:t>50 c/mL at Week 48 by baseline randomisation strata (</w:t>
      </w:r>
      <w:r w:rsidR="006A2118">
        <w:t>ITT-E Population)</w:t>
      </w:r>
    </w:p>
    <w:p w14:paraId="66554329" w14:textId="77777777" w:rsidR="00AD3D20" w:rsidRPr="00555395" w:rsidRDefault="00AD3D20" w:rsidP="00AD3D20">
      <w:pPr>
        <w:spacing w:line="240" w:lineRule="auto"/>
      </w:pPr>
      <w:r>
        <w:rPr>
          <w:noProof/>
          <w:lang w:eastAsia="en-AU"/>
        </w:rPr>
        <w:drawing>
          <wp:inline distT="0" distB="0" distL="0" distR="0" wp14:anchorId="28D7CE05" wp14:editId="7A076CBB">
            <wp:extent cx="5564946" cy="5232400"/>
            <wp:effectExtent l="0" t="0" r="0" b="6350"/>
            <wp:docPr id="1" name="Picture 1" descr="GEMINI studies (separate and pooled) Tests of heterogeneity for the proportion of subjects with plasma HIV-1 RNA &lt; 50 c/mL at Week 48 by baseline randomisation strata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738" cy="5230324"/>
                    </a:xfrm>
                    <a:prstGeom prst="rect">
                      <a:avLst/>
                    </a:prstGeom>
                    <a:noFill/>
                    <a:ln>
                      <a:noFill/>
                    </a:ln>
                  </pic:spPr>
                </pic:pic>
              </a:graphicData>
            </a:graphic>
          </wp:inline>
        </w:drawing>
      </w:r>
    </w:p>
    <w:p w14:paraId="6FFE5A27" w14:textId="77777777" w:rsidR="00AD3D20" w:rsidRPr="00555395" w:rsidRDefault="00AD3D20" w:rsidP="00AD3D20">
      <w:pPr>
        <w:pStyle w:val="Heading6"/>
        <w:spacing w:line="240" w:lineRule="auto"/>
      </w:pPr>
      <w:r w:rsidRPr="00555395">
        <w:t>Viral loads/virological failure</w:t>
      </w:r>
    </w:p>
    <w:p w14:paraId="0BD57758" w14:textId="686647CE" w:rsidR="00AD3D20" w:rsidRDefault="006A2118" w:rsidP="00AD3D20">
      <w:pPr>
        <w:spacing w:line="240" w:lineRule="auto"/>
      </w:pPr>
      <w:r>
        <w:t>Stratified viral load data (for example,</w:t>
      </w:r>
      <w:r w:rsidR="00AD3D20" w:rsidRPr="00555395">
        <w:t xml:space="preserve"> 20</w:t>
      </w:r>
      <w:r w:rsidR="00A8795B">
        <w:t xml:space="preserve"> to </w:t>
      </w:r>
      <w:r w:rsidR="00AD3D20" w:rsidRPr="00555395">
        <w:t>49, 50</w:t>
      </w:r>
      <w:r w:rsidR="00A8795B">
        <w:t xml:space="preserve"> to </w:t>
      </w:r>
      <w:r>
        <w:t>99, 100</w:t>
      </w:r>
      <w:r w:rsidR="00A8795B">
        <w:t xml:space="preserve"> to </w:t>
      </w:r>
      <w:r>
        <w:t>199, 200</w:t>
      </w:r>
      <w:r w:rsidR="00A8795B">
        <w:t xml:space="preserve"> to </w:t>
      </w:r>
      <w:r>
        <w:t>400 and &gt;</w:t>
      </w:r>
      <w:r w:rsidR="00A8795B">
        <w:t> </w:t>
      </w:r>
      <w:r>
        <w:t>400 </w:t>
      </w:r>
      <w:r w:rsidR="00AD3D20" w:rsidRPr="00555395">
        <w:t>copies/mL) (for the pooled GEMINI studies) are</w:t>
      </w:r>
      <w:r>
        <w:t xml:space="preserve"> shown in </w:t>
      </w:r>
      <w:r>
        <w:fldChar w:fldCharType="begin"/>
      </w:r>
      <w:r>
        <w:instrText xml:space="preserve"> REF _Ref24365838 \h </w:instrText>
      </w:r>
      <w:r>
        <w:fldChar w:fldCharType="separate"/>
      </w:r>
      <w:r w:rsidR="00A8795B">
        <w:t xml:space="preserve">Table </w:t>
      </w:r>
      <w:r w:rsidR="00A8795B">
        <w:rPr>
          <w:noProof/>
        </w:rPr>
        <w:t>7</w:t>
      </w:r>
      <w:r>
        <w:fldChar w:fldCharType="end"/>
      </w:r>
      <w:r>
        <w:t xml:space="preserve">. </w:t>
      </w:r>
      <w:r w:rsidR="00AD3D20" w:rsidRPr="00555395">
        <w:t>No significant differences were shown between the DTG+3TC and the DTG + TDF/FTC arms.</w:t>
      </w:r>
    </w:p>
    <w:p w14:paraId="1750111C" w14:textId="3AB860F7" w:rsidR="006A2118" w:rsidRDefault="006A2118" w:rsidP="006A2118">
      <w:pPr>
        <w:pStyle w:val="TableTitle"/>
      </w:pPr>
      <w:bookmarkStart w:id="49" w:name="_Ref24365838"/>
      <w:r>
        <w:lastRenderedPageBreak/>
        <w:t xml:space="preserve">Table </w:t>
      </w:r>
      <w:r w:rsidR="00696AF7">
        <w:rPr>
          <w:noProof/>
        </w:rPr>
        <w:fldChar w:fldCharType="begin"/>
      </w:r>
      <w:r w:rsidR="00696AF7">
        <w:rPr>
          <w:noProof/>
        </w:rPr>
        <w:instrText xml:space="preserve"> SEQ Table \* ARABIC </w:instrText>
      </w:r>
      <w:r w:rsidR="00696AF7">
        <w:rPr>
          <w:noProof/>
        </w:rPr>
        <w:fldChar w:fldCharType="separate"/>
      </w:r>
      <w:r w:rsidR="002335FC">
        <w:rPr>
          <w:noProof/>
        </w:rPr>
        <w:t>7</w:t>
      </w:r>
      <w:r w:rsidR="00696AF7">
        <w:rPr>
          <w:noProof/>
        </w:rPr>
        <w:fldChar w:fldCharType="end"/>
      </w:r>
      <w:bookmarkEnd w:id="49"/>
      <w:r>
        <w:t xml:space="preserve">: Pooled GEMINI </w:t>
      </w:r>
      <w:r w:rsidR="00A8795B">
        <w:t>trials</w:t>
      </w:r>
      <w:r>
        <w:t>, summary of study outcome (&lt; 50 c/mL) at Week 48 by plasma HIV-1 RNA categories (ITT-E population)</w:t>
      </w:r>
    </w:p>
    <w:p w14:paraId="75AD241A" w14:textId="77777777" w:rsidR="006A2118" w:rsidRPr="00555395" w:rsidRDefault="006A2118" w:rsidP="00AD3D20">
      <w:pPr>
        <w:spacing w:line="240" w:lineRule="auto"/>
      </w:pPr>
      <w:r>
        <w:rPr>
          <w:noProof/>
          <w:lang w:eastAsia="en-AU"/>
        </w:rPr>
        <w:drawing>
          <wp:inline distT="0" distB="0" distL="0" distR="0" wp14:anchorId="09E336C0" wp14:editId="6CB81E1E">
            <wp:extent cx="4988966" cy="4871047"/>
            <wp:effectExtent l="0" t="0" r="2540" b="6350"/>
            <wp:docPr id="4" name="Picture 4" descr="Pooled GEMINI studies, summary of study outcome (&lt; 50 c/mL) at Week 48 by plasma HIV-1 RNA categories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2052" cy="4874060"/>
                    </a:xfrm>
                    <a:prstGeom prst="rect">
                      <a:avLst/>
                    </a:prstGeom>
                  </pic:spPr>
                </pic:pic>
              </a:graphicData>
            </a:graphic>
          </wp:inline>
        </w:drawing>
      </w:r>
    </w:p>
    <w:p w14:paraId="0E4EFDD9" w14:textId="77777777" w:rsidR="00AD3D20" w:rsidRPr="00555395" w:rsidRDefault="00AD3D20" w:rsidP="00AD3D20">
      <w:pPr>
        <w:pStyle w:val="Heading5"/>
        <w:numPr>
          <w:ilvl w:val="3"/>
          <w:numId w:val="0"/>
        </w:numPr>
        <w:tabs>
          <w:tab w:val="num" w:pos="1418"/>
        </w:tabs>
        <w:spacing w:before="0" w:after="160" w:line="240" w:lineRule="auto"/>
        <w:ind w:left="1304" w:hanging="1077"/>
      </w:pPr>
      <w:r w:rsidRPr="00555395">
        <w:t>Other efficacy studies</w:t>
      </w:r>
    </w:p>
    <w:p w14:paraId="076D1FD0" w14:textId="705B3B3B" w:rsidR="00AD3D20" w:rsidRPr="00555395" w:rsidRDefault="00AD3D20" w:rsidP="00AD3D20">
      <w:pPr>
        <w:spacing w:line="240" w:lineRule="auto"/>
      </w:pPr>
      <w:r w:rsidRPr="00555395">
        <w:t xml:space="preserve">Previously submitted studies from DTG or 3TC </w:t>
      </w:r>
      <w:r w:rsidR="006A2118">
        <w:t>SE</w:t>
      </w:r>
      <w:r w:rsidRPr="00555395">
        <w:t xml:space="preserve"> development programs were also provided to support this application and are categorised as supportive studies. Key study design and efficacy results are summarised in</w:t>
      </w:r>
      <w:r w:rsidR="006A2118">
        <w:t xml:space="preserve"> </w:t>
      </w:r>
      <w:r w:rsidR="006A2118">
        <w:fldChar w:fldCharType="begin"/>
      </w:r>
      <w:r w:rsidR="006A2118">
        <w:instrText xml:space="preserve"> REF _Ref24364238 \h </w:instrText>
      </w:r>
      <w:r w:rsidR="006A2118">
        <w:fldChar w:fldCharType="separate"/>
      </w:r>
      <w:r w:rsidR="004C0A50">
        <w:t xml:space="preserve">Table </w:t>
      </w:r>
      <w:r w:rsidR="004C0A50">
        <w:rPr>
          <w:noProof/>
        </w:rPr>
        <w:t>3</w:t>
      </w:r>
      <w:r w:rsidR="006A2118">
        <w:fldChar w:fldCharType="end"/>
      </w:r>
      <w:r w:rsidRPr="00555395">
        <w:t>.</w:t>
      </w:r>
    </w:p>
    <w:p w14:paraId="006A27F6" w14:textId="77550D57" w:rsidR="00AD3D20" w:rsidRPr="00555395" w:rsidRDefault="00AD3D20" w:rsidP="00AD3D20">
      <w:pPr>
        <w:spacing w:line="240" w:lineRule="auto"/>
      </w:pPr>
      <w:r w:rsidRPr="00555395">
        <w:t xml:space="preserve">Evaluator commentary </w:t>
      </w:r>
      <w:r w:rsidR="006A2118">
        <w:t>on the other efficacy studies: t</w:t>
      </w:r>
      <w:r w:rsidRPr="00555395">
        <w:t xml:space="preserve">he supportive SE studies provided data that may be included in labelling for </w:t>
      </w:r>
      <w:proofErr w:type="spellStart"/>
      <w:r w:rsidR="006A2118" w:rsidRPr="00555395">
        <w:t>Dovato</w:t>
      </w:r>
      <w:proofErr w:type="spellEnd"/>
      <w:r w:rsidRPr="00555395">
        <w:t>, and were conducted during the individual agent (DTG and 3TC) development programs. Key clinical stud</w:t>
      </w:r>
      <w:r>
        <w:t xml:space="preserve">ies were described in the </w:t>
      </w:r>
      <w:r w:rsidR="00CE6BD6">
        <w:t xml:space="preserve">submitted dossier </w:t>
      </w:r>
      <w:r w:rsidRPr="00555395">
        <w:t xml:space="preserve">summaries and </w:t>
      </w:r>
      <w:r w:rsidR="00A8795B">
        <w:t xml:space="preserve">clinical study reports </w:t>
      </w:r>
      <w:r w:rsidR="00CE6BD6">
        <w:t>(</w:t>
      </w:r>
      <w:r w:rsidRPr="00555395">
        <w:t>CSR</w:t>
      </w:r>
      <w:r w:rsidR="00CE6BD6">
        <w:t>)</w:t>
      </w:r>
      <w:r w:rsidRPr="00555395">
        <w:t xml:space="preserve"> for these studies have been previously submitted and evaluated. These stu</w:t>
      </w:r>
      <w:r>
        <w:t>dies are not essential for the benefit-r</w:t>
      </w:r>
      <w:r w:rsidRPr="00555395">
        <w:t xml:space="preserve">isk assessment of the proposed FDC of DTG+3TC, but are considered helpful and supportive </w:t>
      </w:r>
      <w:r>
        <w:t>for</w:t>
      </w:r>
      <w:r w:rsidRPr="00555395">
        <w:t xml:space="preserve"> the proposed indication.</w:t>
      </w:r>
    </w:p>
    <w:p w14:paraId="038BC118" w14:textId="77777777" w:rsidR="00AD3D20" w:rsidRPr="00555395" w:rsidRDefault="00AD3D20" w:rsidP="00AD3D20">
      <w:pPr>
        <w:pStyle w:val="Heading4"/>
        <w:numPr>
          <w:ilvl w:val="2"/>
          <w:numId w:val="0"/>
        </w:numPr>
        <w:tabs>
          <w:tab w:val="num" w:pos="1134"/>
        </w:tabs>
        <w:adjustRightInd w:val="0"/>
        <w:snapToGrid w:val="0"/>
        <w:spacing w:before="0" w:after="160" w:line="240" w:lineRule="auto"/>
        <w:ind w:left="1134" w:hanging="964"/>
      </w:pPr>
      <w:r w:rsidRPr="00555395">
        <w:t>Safety</w:t>
      </w:r>
    </w:p>
    <w:p w14:paraId="237B5617" w14:textId="77777777" w:rsidR="00AD3D20" w:rsidRPr="00555395" w:rsidRDefault="00AD3D20" w:rsidP="00AD3D20">
      <w:pPr>
        <w:autoSpaceDE w:val="0"/>
        <w:autoSpaceDN w:val="0"/>
        <w:adjustRightInd w:val="0"/>
        <w:spacing w:line="240" w:lineRule="auto"/>
        <w:rPr>
          <w:rFonts w:cs="Arial"/>
        </w:rPr>
      </w:pPr>
      <w:r w:rsidRPr="00555395">
        <w:rPr>
          <w:rFonts w:cs="Arial"/>
        </w:rPr>
        <w:t xml:space="preserve">The safety assessment of </w:t>
      </w:r>
      <w:proofErr w:type="spellStart"/>
      <w:r w:rsidR="00CE6BD6" w:rsidRPr="00555395">
        <w:rPr>
          <w:rFonts w:cs="Arial"/>
        </w:rPr>
        <w:t>Dovato</w:t>
      </w:r>
      <w:proofErr w:type="spellEnd"/>
      <w:r w:rsidRPr="00555395">
        <w:rPr>
          <w:rFonts w:cs="Arial"/>
        </w:rPr>
        <w:t xml:space="preserve"> in HIV-1 infected treatment-naïve adult subjects with viral load ≤</w:t>
      </w:r>
      <w:r w:rsidR="00CE6BD6">
        <w:rPr>
          <w:rFonts w:cs="Arial"/>
        </w:rPr>
        <w:t xml:space="preserve"> </w:t>
      </w:r>
      <w:r w:rsidRPr="00555395">
        <w:rPr>
          <w:rFonts w:cs="Arial"/>
        </w:rPr>
        <w:t xml:space="preserve">500,000 HIV-1 RNA copies/mL, is based on the pooled primary Week 48 analyses of data from 2 identical, multicentre, </w:t>
      </w:r>
      <w:r w:rsidR="00ED295F">
        <w:rPr>
          <w:rFonts w:cs="Arial"/>
        </w:rPr>
        <w:t xml:space="preserve">double </w:t>
      </w:r>
      <w:r w:rsidRPr="00555395">
        <w:rPr>
          <w:rFonts w:cs="Arial"/>
        </w:rPr>
        <w:t>blind, controlled trials, GEMINI-1 and GEMINI-2.</w:t>
      </w:r>
    </w:p>
    <w:p w14:paraId="4DA2814F" w14:textId="77777777" w:rsidR="00AD3D20" w:rsidRPr="00555395" w:rsidRDefault="00AD3D20" w:rsidP="00CE6BD6">
      <w:pPr>
        <w:pStyle w:val="Heading5"/>
      </w:pPr>
      <w:r w:rsidRPr="00555395">
        <w:lastRenderedPageBreak/>
        <w:t>Exposure</w:t>
      </w:r>
    </w:p>
    <w:p w14:paraId="6E47A327" w14:textId="7BC237DD" w:rsidR="00AD3D20" w:rsidRPr="00555395" w:rsidRDefault="00AD3D20" w:rsidP="00AD3D20">
      <w:pPr>
        <w:autoSpaceDE w:val="0"/>
        <w:autoSpaceDN w:val="0"/>
        <w:adjustRightInd w:val="0"/>
        <w:spacing w:line="240" w:lineRule="auto"/>
      </w:pPr>
      <w:r w:rsidRPr="00555395">
        <w:t xml:space="preserve">Across the 2 GEMINI </w:t>
      </w:r>
      <w:r w:rsidR="00C6273D">
        <w:t>trials</w:t>
      </w:r>
      <w:r w:rsidRPr="00555395">
        <w:t>, 1433 subjects were exposed to DTG 50 mg. 716 subjects received at least 1 dose of DTG+3TC and 717 subjects received at least 1 dose of DTG</w:t>
      </w:r>
      <w:r w:rsidR="00C6273D">
        <w:t> </w:t>
      </w:r>
      <w:r w:rsidRPr="00555395">
        <w:t>+</w:t>
      </w:r>
      <w:r w:rsidR="00C6273D">
        <w:t> </w:t>
      </w:r>
      <w:r w:rsidRPr="00555395">
        <w:t>TDF/FTC.</w:t>
      </w:r>
    </w:p>
    <w:p w14:paraId="4D4B0375" w14:textId="77777777" w:rsidR="00AD3D20" w:rsidRPr="0054236C" w:rsidRDefault="00AD3D20" w:rsidP="00AD3D20">
      <w:pPr>
        <w:autoSpaceDE w:val="0"/>
        <w:autoSpaceDN w:val="0"/>
        <w:adjustRightInd w:val="0"/>
        <w:spacing w:line="240" w:lineRule="auto"/>
      </w:pPr>
      <w:r w:rsidRPr="0054236C">
        <w:t>The extent of exposure to proposed combination treatment with DTG+3TC was adequate to evaluate safety of</w:t>
      </w:r>
      <w:r>
        <w:t xml:space="preserve"> </w:t>
      </w:r>
      <w:proofErr w:type="spellStart"/>
      <w:r w:rsidR="00CE6BD6">
        <w:t>Dovato</w:t>
      </w:r>
      <w:proofErr w:type="spellEnd"/>
      <w:r>
        <w:t xml:space="preserve"> in proposed indication.</w:t>
      </w:r>
    </w:p>
    <w:p w14:paraId="51D075BF" w14:textId="77777777" w:rsidR="00AD3D20" w:rsidRPr="00555395" w:rsidRDefault="00AD3D20" w:rsidP="00CE6BD6">
      <w:pPr>
        <w:pStyle w:val="Heading5"/>
      </w:pPr>
      <w:r w:rsidRPr="00555395">
        <w:t>Overall adverse event profile</w:t>
      </w:r>
    </w:p>
    <w:p w14:paraId="4541FCD9" w14:textId="27694081" w:rsidR="00AD3D20" w:rsidRPr="00555395" w:rsidRDefault="00AD3D20" w:rsidP="0019198A">
      <w:r w:rsidRPr="00555395">
        <w:rPr>
          <w:lang w:eastAsia="ja-JP"/>
        </w:rPr>
        <w:t xml:space="preserve">Overall, the </w:t>
      </w:r>
      <w:r w:rsidR="00ED295F" w:rsidRPr="00AD6775">
        <w:t>adverse event</w:t>
      </w:r>
      <w:r w:rsidR="00ED295F" w:rsidRPr="00555395">
        <w:rPr>
          <w:lang w:eastAsia="ja-JP"/>
        </w:rPr>
        <w:t xml:space="preserve"> </w:t>
      </w:r>
      <w:r w:rsidR="00CE6BD6">
        <w:rPr>
          <w:lang w:eastAsia="ja-JP"/>
        </w:rPr>
        <w:t>(</w:t>
      </w:r>
      <w:r w:rsidRPr="00555395">
        <w:rPr>
          <w:lang w:eastAsia="ja-JP"/>
        </w:rPr>
        <w:t>AE</w:t>
      </w:r>
      <w:r w:rsidR="00CE6BD6">
        <w:rPr>
          <w:lang w:eastAsia="ja-JP"/>
        </w:rPr>
        <w:t>)</w:t>
      </w:r>
      <w:r w:rsidRPr="00555395">
        <w:rPr>
          <w:lang w:eastAsia="ja-JP"/>
        </w:rPr>
        <w:t xml:space="preserve"> incidence was slightly lower in the DTG+3TC group compared to th</w:t>
      </w:r>
      <w:r w:rsidR="00CE6BD6">
        <w:rPr>
          <w:lang w:eastAsia="ja-JP"/>
        </w:rPr>
        <w:t>e DTG+TDF/FTC group (DTG+3TC versus DTG+TDF/FTC: 76% versus</w:t>
      </w:r>
      <w:r w:rsidRPr="00555395">
        <w:rPr>
          <w:lang w:eastAsia="ja-JP"/>
        </w:rPr>
        <w:t xml:space="preserve"> 81%). The most commonly rep</w:t>
      </w:r>
      <w:r w:rsidR="00ED295F">
        <w:rPr>
          <w:lang w:eastAsia="ja-JP"/>
        </w:rPr>
        <w:t>orted AE</w:t>
      </w:r>
      <w:r w:rsidR="00CE6BD6">
        <w:rPr>
          <w:lang w:eastAsia="ja-JP"/>
        </w:rPr>
        <w:t xml:space="preserve"> were headache (10% versus 10%), diarrhoea (9% versus</w:t>
      </w:r>
      <w:r w:rsidRPr="00555395">
        <w:rPr>
          <w:lang w:eastAsia="ja-JP"/>
        </w:rPr>
        <w:t xml:space="preserve"> 11%), </w:t>
      </w:r>
      <w:proofErr w:type="spellStart"/>
      <w:r w:rsidRPr="00555395">
        <w:rPr>
          <w:lang w:eastAsia="ja-JP"/>
        </w:rPr>
        <w:t>nasopharyngitis</w:t>
      </w:r>
      <w:proofErr w:type="spellEnd"/>
      <w:r w:rsidRPr="00555395">
        <w:rPr>
          <w:lang w:eastAsia="ja-JP"/>
        </w:rPr>
        <w:t xml:space="preserve"> </w:t>
      </w:r>
      <w:r w:rsidR="00CE6BD6">
        <w:rPr>
          <w:lang w:eastAsia="ja-JP"/>
        </w:rPr>
        <w:t>(8% versus</w:t>
      </w:r>
      <w:r w:rsidRPr="00555395">
        <w:rPr>
          <w:lang w:eastAsia="ja-JP"/>
        </w:rPr>
        <w:t xml:space="preserve"> 11%), </w:t>
      </w:r>
      <w:r w:rsidR="00CE6BD6">
        <w:rPr>
          <w:lang w:eastAsia="ja-JP"/>
        </w:rPr>
        <w:t>upper respiratory tract infection (8% versus 6%), nausea (4% versus 7%), insomnia (4% versus 6%) and pharyngitis (5% versus</w:t>
      </w:r>
      <w:r w:rsidRPr="00555395">
        <w:rPr>
          <w:lang w:eastAsia="ja-JP"/>
        </w:rPr>
        <w:t xml:space="preserve"> 4%). </w:t>
      </w:r>
      <w:r w:rsidRPr="00555395">
        <w:t xml:space="preserve">The proportions of subjects reporting events were generally similar across the </w:t>
      </w:r>
      <w:r w:rsidR="00CE6BD6">
        <w:t>System Organ Classes (</w:t>
      </w:r>
      <w:r w:rsidRPr="00555395">
        <w:t>SOC</w:t>
      </w:r>
      <w:r w:rsidR="00CE6BD6">
        <w:t>)</w:t>
      </w:r>
      <w:r w:rsidRPr="00555395">
        <w:t xml:space="preserve"> with minor differen</w:t>
      </w:r>
      <w:r w:rsidR="00CE6BD6">
        <w:t>ces observed for some SOCs (for example, gastrointestinal</w:t>
      </w:r>
      <w:r w:rsidRPr="00555395">
        <w:t xml:space="preserve"> disorders) mainly due to higher reporting in the DTG+TDF/FTC of nausea and diarrhoea.</w:t>
      </w:r>
    </w:p>
    <w:p w14:paraId="0384D1B8" w14:textId="4910F048" w:rsidR="003F6568" w:rsidRPr="00555395" w:rsidRDefault="00CE6BD6" w:rsidP="0019198A">
      <w:r>
        <w:t>The majority of AE were Grade 1 (19% versus 21%) or Grade 2 (50% versus</w:t>
      </w:r>
      <w:r w:rsidR="00AD3D20" w:rsidRPr="00555395">
        <w:t xml:space="preserve"> 51%) with</w:t>
      </w:r>
      <w:r w:rsidR="00AD3D20" w:rsidRPr="00555395">
        <w:rPr>
          <w:b/>
        </w:rPr>
        <w:t xml:space="preserve"> </w:t>
      </w:r>
      <w:r w:rsidR="00AD3D20" w:rsidRPr="00555395">
        <w:t>similar proportions of</w:t>
      </w:r>
      <w:r>
        <w:t xml:space="preserve"> subjects reporting any Grade 2 to </w:t>
      </w:r>
      <w:r w:rsidR="00AD3D20" w:rsidRPr="00555395">
        <w:t>5 AE in the DTG+3TC and DTG+TDF/FTC groups.</w:t>
      </w:r>
    </w:p>
    <w:p w14:paraId="53455096" w14:textId="339982E2" w:rsidR="00AD3D20" w:rsidRPr="00555395" w:rsidRDefault="00AD3D20" w:rsidP="00CE6BD6">
      <w:pPr>
        <w:pStyle w:val="Heading5"/>
      </w:pPr>
      <w:r w:rsidRPr="00555395">
        <w:t>Withdrawal</w:t>
      </w:r>
      <w:r w:rsidR="00F63266">
        <w:t xml:space="preserve"> of study drug</w:t>
      </w:r>
    </w:p>
    <w:p w14:paraId="253165D5" w14:textId="5ABAC66C" w:rsidR="00AD3D20" w:rsidRPr="00555395" w:rsidRDefault="00AD3D20" w:rsidP="0019198A">
      <w:r w:rsidRPr="00555395">
        <w:t>In each treatment group,</w:t>
      </w:r>
      <w:r w:rsidR="00CE6BD6">
        <w:t xml:space="preserve"> there was a small number of AE</w:t>
      </w:r>
      <w:r w:rsidRPr="00555395">
        <w:t xml:space="preserve"> leading to withdrawal of study drug; few were considered drug</w:t>
      </w:r>
      <w:r w:rsidR="00482B9F">
        <w:t>-related.</w:t>
      </w:r>
    </w:p>
    <w:p w14:paraId="731C5FF6" w14:textId="4B53D9D6" w:rsidR="00AD3D20" w:rsidRPr="00555395" w:rsidRDefault="00CE6BD6" w:rsidP="00CE6BD6">
      <w:pPr>
        <w:pStyle w:val="Heading5"/>
        <w:rPr>
          <w:rFonts w:eastAsia="TimesNewRoman"/>
        </w:rPr>
      </w:pPr>
      <w:r>
        <w:rPr>
          <w:rFonts w:eastAsia="TimesNewRoman"/>
        </w:rPr>
        <w:t xml:space="preserve">Deaths and </w:t>
      </w:r>
      <w:r w:rsidR="00F63266">
        <w:rPr>
          <w:rFonts w:eastAsia="TimesNewRoman"/>
        </w:rPr>
        <w:t>serious adverse events</w:t>
      </w:r>
    </w:p>
    <w:p w14:paraId="27EA1BA5" w14:textId="62FB176E" w:rsidR="00696AF7" w:rsidRPr="0019198A" w:rsidRDefault="00AD3D20" w:rsidP="00696AF7">
      <w:pPr>
        <w:spacing w:line="240" w:lineRule="auto"/>
        <w:rPr>
          <w:rFonts w:eastAsia="TimesNewRoman" w:cs="TimesNewRoman"/>
        </w:rPr>
      </w:pPr>
      <w:r w:rsidRPr="00555395">
        <w:rPr>
          <w:rFonts w:eastAsia="TimesNewRoman" w:cs="Symbol"/>
        </w:rPr>
        <w:t xml:space="preserve">There were 2 deaths </w:t>
      </w:r>
      <w:r w:rsidRPr="00555395">
        <w:rPr>
          <w:rFonts w:eastAsia="TimesNewRoman" w:cs="TimesNewRoman"/>
          <w:color w:val="000000"/>
        </w:rPr>
        <w:t xml:space="preserve">reported up to the Week 48 analysis cut-off (both in the DTG+3TC group) and both were considered unrelated to study drug. </w:t>
      </w:r>
      <w:r w:rsidRPr="00555395">
        <w:rPr>
          <w:rFonts w:eastAsia="TimesNewRoman" w:cs="TimesNewRoman"/>
        </w:rPr>
        <w:t xml:space="preserve">The frequency of </w:t>
      </w:r>
      <w:r w:rsidR="00ED295F" w:rsidRPr="00AD6775">
        <w:t>serious adverse event</w:t>
      </w:r>
      <w:r w:rsidR="00ED295F">
        <w:t>s</w:t>
      </w:r>
      <w:r w:rsidR="00ED295F" w:rsidRPr="00555395">
        <w:rPr>
          <w:rFonts w:eastAsia="TimesNewRoman" w:cs="TimesNewRoman"/>
        </w:rPr>
        <w:t xml:space="preserve"> </w:t>
      </w:r>
      <w:r w:rsidR="00CE6BD6">
        <w:rPr>
          <w:rFonts w:eastAsia="TimesNewRoman" w:cs="TimesNewRoman"/>
        </w:rPr>
        <w:t>(SAE)</w:t>
      </w:r>
      <w:r w:rsidRPr="00555395">
        <w:rPr>
          <w:rFonts w:eastAsia="TimesNewRoman" w:cs="TimesNewRoman"/>
        </w:rPr>
        <w:t xml:space="preserve"> was similar between the treatm</w:t>
      </w:r>
      <w:r w:rsidR="00CE6BD6">
        <w:rPr>
          <w:rFonts w:eastAsia="TimesNewRoman" w:cs="TimesNewRoman"/>
        </w:rPr>
        <w:t>ent groups. There were few drug related SAE</w:t>
      </w:r>
      <w:r w:rsidRPr="00555395">
        <w:rPr>
          <w:rFonts w:eastAsia="TimesNewRoman" w:cs="TimesNewRoman"/>
        </w:rPr>
        <w:t xml:space="preserve"> reported during the study, with &lt;</w:t>
      </w:r>
      <w:r w:rsidR="00CE6BD6">
        <w:rPr>
          <w:rFonts w:eastAsia="TimesNewRoman" w:cs="TimesNewRoman"/>
        </w:rPr>
        <w:t xml:space="preserve"> </w:t>
      </w:r>
      <w:r w:rsidRPr="00555395">
        <w:rPr>
          <w:rFonts w:eastAsia="TimesNewRoman" w:cs="TimesNewRoman"/>
        </w:rPr>
        <w:t>1% incidence observed for both treatment groups and no discernible patterns of related events.</w:t>
      </w:r>
    </w:p>
    <w:p w14:paraId="0EB91E59" w14:textId="3E1FE00A" w:rsidR="00AD3D20" w:rsidRPr="00555395" w:rsidRDefault="004B0687" w:rsidP="00CE6BD6">
      <w:pPr>
        <w:pStyle w:val="Heading5"/>
        <w:rPr>
          <w:rFonts w:eastAsia="TimesNewRoman" w:cs="TimesNewRoman"/>
          <w:color w:val="000000"/>
        </w:rPr>
      </w:pPr>
      <w:r>
        <w:t>Adverse events</w:t>
      </w:r>
    </w:p>
    <w:p w14:paraId="6ECDE7B7" w14:textId="267B526F" w:rsidR="008766D5" w:rsidRDefault="00AD3D20" w:rsidP="00AD3D20">
      <w:pPr>
        <w:spacing w:line="240" w:lineRule="auto"/>
        <w:rPr>
          <w:rFonts w:eastAsia="TimesNewRoman" w:cs="TimesNewRoman"/>
          <w:color w:val="000000"/>
        </w:rPr>
      </w:pPr>
      <w:r w:rsidRPr="00555395">
        <w:rPr>
          <w:rFonts w:eastAsia="TimesNewRoman" w:cs="TimesNewRoman"/>
          <w:color w:val="000000"/>
        </w:rPr>
        <w:t xml:space="preserve">Across both DTG-containing treatment groups, the psychiatric AE profile was comparable to the known safety </w:t>
      </w:r>
      <w:r w:rsidR="004B0687">
        <w:rPr>
          <w:rFonts w:eastAsia="TimesNewRoman" w:cs="TimesNewRoman"/>
          <w:color w:val="000000"/>
        </w:rPr>
        <w:t>profile for DTG. Psychiatric AE</w:t>
      </w:r>
      <w:r w:rsidR="00F63266">
        <w:rPr>
          <w:rFonts w:eastAsia="TimesNewRoman" w:cs="TimesNewRoman"/>
          <w:color w:val="000000"/>
        </w:rPr>
        <w:t>s</w:t>
      </w:r>
      <w:r w:rsidRPr="00555395">
        <w:rPr>
          <w:rFonts w:eastAsia="TimesNewRoman" w:cs="TimesNewRoman"/>
          <w:color w:val="000000"/>
        </w:rPr>
        <w:t xml:space="preserve"> leading to withdrawal occurred in &lt;</w:t>
      </w:r>
      <w:r w:rsidR="004B0687">
        <w:rPr>
          <w:rFonts w:eastAsia="TimesNewRoman" w:cs="TimesNewRoman"/>
          <w:color w:val="000000"/>
        </w:rPr>
        <w:t> </w:t>
      </w:r>
      <w:r w:rsidRPr="00555395">
        <w:rPr>
          <w:rFonts w:eastAsia="TimesNewRoman" w:cs="TimesNewRoman"/>
          <w:color w:val="000000"/>
        </w:rPr>
        <w:t>1% of subjects. Suicidal ideation occurred in 1% of subjects in each treatment group, compared with DTG single-entity studies reporting rate of &lt;</w:t>
      </w:r>
      <w:r w:rsidR="004B0687">
        <w:rPr>
          <w:rFonts w:eastAsia="TimesNewRoman" w:cs="TimesNewRoman"/>
          <w:color w:val="000000"/>
        </w:rPr>
        <w:t xml:space="preserve"> </w:t>
      </w:r>
      <w:r w:rsidRPr="00555395">
        <w:rPr>
          <w:rFonts w:eastAsia="TimesNewRoman" w:cs="TimesNewRoman"/>
          <w:color w:val="000000"/>
        </w:rPr>
        <w:t>1%. Because this rate crossed the 1% threshold, this small numeric change has been represented as a new frequency category within the DTG+3TC prescribing information.</w:t>
      </w:r>
    </w:p>
    <w:p w14:paraId="6C3F37D6" w14:textId="4F18BA4E" w:rsidR="008766D5" w:rsidRDefault="00AD3D20" w:rsidP="00AD3D20">
      <w:pPr>
        <w:spacing w:line="240" w:lineRule="auto"/>
      </w:pPr>
      <w:r w:rsidRPr="00555395">
        <w:t>Grade 3 to 4 laboratory toxicities observed at ≥</w:t>
      </w:r>
      <w:r w:rsidR="004B0687">
        <w:t xml:space="preserve"> </w:t>
      </w:r>
      <w:r w:rsidRPr="00555395">
        <w:t xml:space="preserve">1% in the DTG+3TC pooled analysis were identified and compared to the product labels for the individual components. The common Grade 3 to 4 laboratory toxicities of </w:t>
      </w:r>
      <w:r w:rsidR="004B0687">
        <w:t>a</w:t>
      </w:r>
      <w:r w:rsidR="004B0687" w:rsidRPr="004B0687">
        <w:t xml:space="preserve">lanine aminotransferase </w:t>
      </w:r>
      <w:r w:rsidR="004B0687">
        <w:t>(</w:t>
      </w:r>
      <w:r w:rsidRPr="00555395">
        <w:t>ALT</w:t>
      </w:r>
      <w:r w:rsidR="004B0687">
        <w:t>)</w:t>
      </w:r>
      <w:r w:rsidRPr="00555395">
        <w:t xml:space="preserve">, </w:t>
      </w:r>
      <w:r w:rsidR="004B0687">
        <w:t>a</w:t>
      </w:r>
      <w:r w:rsidR="004B0687" w:rsidRPr="004B0687">
        <w:t xml:space="preserve">spartate </w:t>
      </w:r>
      <w:r w:rsidR="004B0687">
        <w:t>amino</w:t>
      </w:r>
      <w:r w:rsidR="004B0687" w:rsidRPr="004B0687">
        <w:t xml:space="preserve">transferase </w:t>
      </w:r>
      <w:r w:rsidR="004B0687">
        <w:t>(</w:t>
      </w:r>
      <w:r w:rsidRPr="00555395">
        <w:t>AST</w:t>
      </w:r>
      <w:r w:rsidR="004B0687">
        <w:t>)</w:t>
      </w:r>
      <w:r w:rsidRPr="00555395">
        <w:t xml:space="preserve">, </w:t>
      </w:r>
      <w:r w:rsidR="004B0687">
        <w:t>creatinine kinase (</w:t>
      </w:r>
      <w:r w:rsidRPr="00555395">
        <w:t>CK</w:t>
      </w:r>
      <w:r w:rsidR="004B0687">
        <w:t>)</w:t>
      </w:r>
      <w:r w:rsidRPr="00555395">
        <w:t xml:space="preserve"> and </w:t>
      </w:r>
      <w:r w:rsidR="004B0687" w:rsidRPr="004B0687">
        <w:t xml:space="preserve">glomerular filtration rate </w:t>
      </w:r>
      <w:r w:rsidR="004B0687">
        <w:t>(</w:t>
      </w:r>
      <w:r w:rsidRPr="00555395">
        <w:t>GFR</w:t>
      </w:r>
      <w:r w:rsidR="004B0687">
        <w:t>)</w:t>
      </w:r>
      <w:r w:rsidRPr="00555395">
        <w:t xml:space="preserve"> observed for the GEMINI </w:t>
      </w:r>
      <w:r w:rsidR="00F63266">
        <w:t>trials</w:t>
      </w:r>
      <w:r w:rsidR="00F63266" w:rsidRPr="00555395">
        <w:t xml:space="preserve"> </w:t>
      </w:r>
      <w:r w:rsidRPr="00555395">
        <w:t>were consistent with observations from the pivotal studies for the SE studies.</w:t>
      </w:r>
    </w:p>
    <w:p w14:paraId="504DFD5C" w14:textId="5AD28621" w:rsidR="008766D5" w:rsidRDefault="00AD3D20" w:rsidP="00AD3D20">
      <w:pPr>
        <w:spacing w:line="240" w:lineRule="auto"/>
        <w:rPr>
          <w:rFonts w:eastAsia="TimesNewRoman" w:cs="TimesNewRoman"/>
          <w:color w:val="000000"/>
        </w:rPr>
      </w:pPr>
      <w:r w:rsidRPr="00555395">
        <w:rPr>
          <w:rFonts w:eastAsia="TimesNewRoman" w:cs="TimesNewRoman"/>
          <w:color w:val="000000"/>
        </w:rPr>
        <w:t xml:space="preserve">Clinical laboratory assessments demonstrated there were no newly identified laboratory signals of concern in subjects receiving DTG+3TC or DTG+TDF/FTC. The hepatic safety profile of DTG+3TC was consistent with the known profile for the individual single-entity components. Hepatotoxicity has been reported in patients receiving DTG-containing regimens. Patients with underlying hepatitis B or C may be at increased risk for worsening or development of transaminase elevations and monitoring of hepatotoxicity is </w:t>
      </w:r>
      <w:r w:rsidRPr="00555395">
        <w:rPr>
          <w:rFonts w:eastAsia="TimesNewRoman" w:cs="TimesNewRoman"/>
          <w:color w:val="000000"/>
        </w:rPr>
        <w:lastRenderedPageBreak/>
        <w:t xml:space="preserve">recommended. There were no reports of cases that met criteria for </w:t>
      </w:r>
      <w:proofErr w:type="spellStart"/>
      <w:r w:rsidRPr="00555395">
        <w:rPr>
          <w:rFonts w:eastAsia="TimesNewRoman" w:cs="TimesNewRoman"/>
          <w:color w:val="000000"/>
        </w:rPr>
        <w:t>Hy’s</w:t>
      </w:r>
      <w:proofErr w:type="spellEnd"/>
      <w:r w:rsidRPr="00555395">
        <w:rPr>
          <w:rFonts w:eastAsia="TimesNewRoman" w:cs="TimesNewRoman"/>
          <w:color w:val="000000"/>
        </w:rPr>
        <w:t xml:space="preserve"> law</w:t>
      </w:r>
      <w:r w:rsidR="004B0687">
        <w:rPr>
          <w:rFonts w:eastAsia="TimesNewRoman" w:cs="TimesNewRoman"/>
          <w:color w:val="000000"/>
        </w:rPr>
        <w:t>;</w:t>
      </w:r>
      <w:r w:rsidR="004B0687">
        <w:rPr>
          <w:rStyle w:val="FootnoteReference"/>
          <w:rFonts w:eastAsia="TimesNewRoman" w:cs="TimesNewRoman"/>
          <w:color w:val="000000"/>
        </w:rPr>
        <w:footnoteReference w:id="10"/>
      </w:r>
      <w:r w:rsidRPr="00555395">
        <w:rPr>
          <w:rFonts w:eastAsia="TimesNewRoman" w:cs="TimesNewRoman"/>
          <w:color w:val="000000"/>
        </w:rPr>
        <w:t xml:space="preserve"> in the GEMINI </w:t>
      </w:r>
      <w:r w:rsidR="00F63266">
        <w:rPr>
          <w:rFonts w:eastAsia="TimesNewRoman" w:cs="TimesNewRoman"/>
          <w:color w:val="000000"/>
        </w:rPr>
        <w:t>trials</w:t>
      </w:r>
      <w:r w:rsidRPr="00555395">
        <w:rPr>
          <w:rFonts w:eastAsia="TimesNewRoman" w:cs="TimesNewRoman"/>
          <w:color w:val="000000"/>
        </w:rPr>
        <w:t>.</w:t>
      </w:r>
    </w:p>
    <w:p w14:paraId="5AFD8C8F" w14:textId="77777777" w:rsidR="00AD3D20" w:rsidRPr="00555395" w:rsidRDefault="00AD3D20" w:rsidP="00AD3D20">
      <w:pPr>
        <w:spacing w:line="240" w:lineRule="auto"/>
        <w:rPr>
          <w:rFonts w:eastAsia="TimesNewRoman" w:cs="TimesNewRoman"/>
          <w:color w:val="000000"/>
        </w:rPr>
      </w:pPr>
      <w:r w:rsidRPr="00555395">
        <w:rPr>
          <w:rFonts w:eastAsia="TimesNewRoman" w:cs="TimesNewRoman"/>
          <w:color w:val="000000"/>
        </w:rPr>
        <w:t>DTG+3TC was associated with lower impact on renal safety parameters compared with DTG+TDF/FTC FDC. At 48 weeks, there were more favourable changes from Baseline in GFR (cystatin C) and urine protein/creatinine ratio in the DTG+3TC group, suggesting that renal function in the DTG+3TC group was better preserved relative to the DTG+TDF/FTC group. Withdrawals from stud</w:t>
      </w:r>
      <w:r w:rsidR="008951BD">
        <w:rPr>
          <w:rFonts w:eastAsia="TimesNewRoman" w:cs="TimesNewRoman"/>
          <w:color w:val="000000"/>
        </w:rPr>
        <w:t>y for renal function related AE</w:t>
      </w:r>
      <w:r w:rsidRPr="00555395">
        <w:rPr>
          <w:rFonts w:eastAsia="TimesNewRoman" w:cs="TimesNewRoman"/>
          <w:color w:val="000000"/>
        </w:rPr>
        <w:t xml:space="preserve"> or for meeting predefined renal toxicity criteria were more frequently observed in subjects in the DTG+TDF/F</w:t>
      </w:r>
      <w:r w:rsidR="004B0687">
        <w:rPr>
          <w:rFonts w:eastAsia="TimesNewRoman" w:cs="TimesNewRoman"/>
          <w:color w:val="000000"/>
        </w:rPr>
        <w:t>TC group compared with the DTG+ 3</w:t>
      </w:r>
      <w:r w:rsidRPr="00555395">
        <w:rPr>
          <w:rFonts w:eastAsia="TimesNewRoman" w:cs="TimesNewRoman"/>
          <w:color w:val="000000"/>
        </w:rPr>
        <w:t>TC group.</w:t>
      </w:r>
    </w:p>
    <w:p w14:paraId="4C06377E" w14:textId="77777777" w:rsidR="00AD3D20" w:rsidRPr="00555395" w:rsidRDefault="00AD3D20" w:rsidP="00AD3D20">
      <w:pPr>
        <w:spacing w:line="240" w:lineRule="auto"/>
        <w:rPr>
          <w:rFonts w:eastAsia="TimesNewRoman" w:cs="TimesNewRoman"/>
          <w:color w:val="000000"/>
        </w:rPr>
      </w:pPr>
      <w:r w:rsidRPr="005A75AB">
        <w:rPr>
          <w:rFonts w:eastAsia="TimesNewRoman" w:cs="TimesNewRoman"/>
        </w:rPr>
        <w:t xml:space="preserve">Few subjects experienced changes in lipid profile. A small number of subjects in each treatment group experienced Grade 2 </w:t>
      </w:r>
      <w:r w:rsidR="008951BD">
        <w:rPr>
          <w:rFonts w:eastAsia="TimesNewRoman" w:cs="TimesNewRoman"/>
        </w:rPr>
        <w:t>l</w:t>
      </w:r>
      <w:r w:rsidR="008951BD" w:rsidRPr="008951BD">
        <w:rPr>
          <w:rFonts w:eastAsia="TimesNewRoman" w:cs="TimesNewRoman"/>
        </w:rPr>
        <w:t xml:space="preserve">ow density lipoprotein </w:t>
      </w:r>
      <w:r w:rsidR="008951BD">
        <w:rPr>
          <w:rFonts w:eastAsia="TimesNewRoman" w:cs="TimesNewRoman"/>
        </w:rPr>
        <w:t>(</w:t>
      </w:r>
      <w:r w:rsidRPr="005A75AB">
        <w:rPr>
          <w:rFonts w:eastAsia="TimesNewRoman" w:cs="TimesNewRoman"/>
        </w:rPr>
        <w:t>LDL</w:t>
      </w:r>
      <w:r w:rsidR="008951BD">
        <w:rPr>
          <w:rFonts w:eastAsia="TimesNewRoman" w:cs="TimesNewRoman"/>
        </w:rPr>
        <w:t>)</w:t>
      </w:r>
      <w:r w:rsidRPr="005A75AB">
        <w:rPr>
          <w:rFonts w:eastAsia="TimesNewRoman" w:cs="TimesNewRoman"/>
        </w:rPr>
        <w:t xml:space="preserve"> cholesterol toxicities, with fewer subjects in the DTG+TDF/FTC group; the difference between the 2 treatment groups was statistically significant. </w:t>
      </w:r>
      <w:r w:rsidRPr="00555395">
        <w:rPr>
          <w:rFonts w:eastAsia="TimesNewRoman" w:cs="TimesNewRoman"/>
          <w:color w:val="000000"/>
        </w:rPr>
        <w:t>However, the total cholesterol/</w:t>
      </w:r>
      <w:r w:rsidR="008951BD" w:rsidRPr="008951BD">
        <w:t xml:space="preserve"> </w:t>
      </w:r>
      <w:r w:rsidR="008951BD">
        <w:rPr>
          <w:rFonts w:eastAsia="TimesNewRoman" w:cs="TimesNewRoman"/>
          <w:color w:val="000000"/>
        </w:rPr>
        <w:t>high</w:t>
      </w:r>
      <w:r w:rsidR="008951BD" w:rsidRPr="008951BD">
        <w:rPr>
          <w:rFonts w:eastAsia="TimesNewRoman" w:cs="TimesNewRoman"/>
          <w:color w:val="000000"/>
        </w:rPr>
        <w:t xml:space="preserve"> density lipoprotein </w:t>
      </w:r>
      <w:r w:rsidR="008951BD">
        <w:rPr>
          <w:rFonts w:eastAsia="TimesNewRoman" w:cs="TimesNewRoman"/>
          <w:color w:val="000000"/>
        </w:rPr>
        <w:t>(</w:t>
      </w:r>
      <w:r w:rsidRPr="00555395">
        <w:rPr>
          <w:rFonts w:eastAsia="TimesNewRoman" w:cs="TimesNewRoman"/>
          <w:color w:val="000000"/>
        </w:rPr>
        <w:t>HDL</w:t>
      </w:r>
      <w:r w:rsidR="008951BD">
        <w:rPr>
          <w:rFonts w:eastAsia="TimesNewRoman" w:cs="TimesNewRoman"/>
          <w:color w:val="000000"/>
        </w:rPr>
        <w:t>)</w:t>
      </w:r>
      <w:r w:rsidRPr="00555395">
        <w:rPr>
          <w:rFonts w:eastAsia="TimesNewRoman" w:cs="TimesNewRoman"/>
          <w:color w:val="000000"/>
        </w:rPr>
        <w:t xml:space="preserve"> ratio category, often used to estimate long-term cardiovascular risk, was generally improved from baseline for both treatment groups.</w:t>
      </w:r>
    </w:p>
    <w:p w14:paraId="258BCC0B" w14:textId="7C66DA21" w:rsidR="00AD3D20" w:rsidRDefault="00AD3D20" w:rsidP="00AD3D20">
      <w:pPr>
        <w:spacing w:line="240" w:lineRule="auto"/>
      </w:pPr>
      <w:r w:rsidRPr="00555395">
        <w:t>At Week 48, in the pooled analysis, all markers o</w:t>
      </w:r>
      <w:r w:rsidR="00ED295F">
        <w:t>f bone turnover increased from B</w:t>
      </w:r>
      <w:r w:rsidRPr="00555395">
        <w:t>aseline in both treatment groups. Larger increases in bone turnover markers were observed in the DTG+TDF/FTC group with a statistically significant difference in favour o</w:t>
      </w:r>
      <w:r w:rsidR="00696AF7">
        <w:t>f</w:t>
      </w:r>
      <w:r w:rsidRPr="00555395">
        <w:t xml:space="preserve"> the DTG+3TC group. Vitamin D levels declined slightly at Week 48 in the DTG+3TC group and increased slightly in the DTG+TDF/FTC group with a small but statistically significant change in favour of the DTG+TDF/FTC group.</w:t>
      </w:r>
    </w:p>
    <w:p w14:paraId="298ABE5F" w14:textId="1DE847D9" w:rsidR="003F6568" w:rsidRDefault="003F6568" w:rsidP="00AD3D20">
      <w:pPr>
        <w:spacing w:line="240" w:lineRule="auto"/>
        <w:rPr>
          <w:rFonts w:eastAsia="TimesNewRoman" w:cs="TimesNewRoman"/>
        </w:rPr>
      </w:pPr>
      <w:r>
        <w:rPr>
          <w:rFonts w:eastAsia="TimesNewRoman" w:cs="TimesNewRoman"/>
        </w:rPr>
        <w:t>Fewer drug-related AE</w:t>
      </w:r>
      <w:r w:rsidRPr="00555395">
        <w:rPr>
          <w:rFonts w:eastAsia="TimesNewRoman" w:cs="TimesNewRoman"/>
        </w:rPr>
        <w:t xml:space="preserve"> were reported in the DTG+3TC group (18%) compared with the DTG+TDF/FTC group (24%). This was driven primarily by larger numbers of subjects reporting drug-related Grade 1 events, notably nausea, in the DTG+TDF/FTC group. This could reflect the contribution of a dual NRTI backbone of TDF/FTC versus a backbone of 3TC.</w:t>
      </w:r>
    </w:p>
    <w:p w14:paraId="73191849" w14:textId="4E81162A" w:rsidR="003F6568" w:rsidRPr="00555395" w:rsidRDefault="003F6568" w:rsidP="00AD3D20">
      <w:pPr>
        <w:spacing w:line="240" w:lineRule="auto"/>
      </w:pPr>
      <w:r w:rsidRPr="00555395">
        <w:rPr>
          <w:rFonts w:eastAsia="TimesNewRoman" w:cs="TimesNewRoman"/>
        </w:rPr>
        <w:t xml:space="preserve">Regimens containing DTG may be associated with a higher rate of </w:t>
      </w:r>
      <w:r>
        <w:t>i</w:t>
      </w:r>
      <w:r w:rsidRPr="00AD6775">
        <w:t>mmune reconstitution inflammatory syndrome</w:t>
      </w:r>
      <w:r w:rsidRPr="00555395">
        <w:rPr>
          <w:rFonts w:eastAsia="TimesNewRoman" w:cs="TimesNewRoman"/>
        </w:rPr>
        <w:t xml:space="preserve"> </w:t>
      </w:r>
      <w:r>
        <w:rPr>
          <w:rFonts w:eastAsia="TimesNewRoman" w:cs="TimesNewRoman"/>
        </w:rPr>
        <w:t>(</w:t>
      </w:r>
      <w:r w:rsidRPr="00555395">
        <w:rPr>
          <w:rFonts w:eastAsia="TimesNewRoman" w:cs="TimesNewRoman"/>
        </w:rPr>
        <w:t>IRIS</w:t>
      </w:r>
      <w:r>
        <w:rPr>
          <w:rFonts w:eastAsia="TimesNewRoman" w:cs="TimesNewRoman"/>
        </w:rPr>
        <w:t>)</w:t>
      </w:r>
      <w:r w:rsidRPr="00555395">
        <w:rPr>
          <w:rFonts w:eastAsia="TimesNewRoman" w:cs="TimesNewRoman"/>
        </w:rPr>
        <w:t xml:space="preserve"> compared with regimens that do not contain an integrase inhibitor, due to faster rate of viral load decline. A total</w:t>
      </w:r>
      <w:r>
        <w:rPr>
          <w:rFonts w:eastAsia="TimesNewRoman" w:cs="TimesNewRoman"/>
        </w:rPr>
        <w:t xml:space="preserve"> of 39 subjects experienced HIV</w:t>
      </w:r>
      <w:r>
        <w:rPr>
          <w:rFonts w:eastAsia="TimesNewRoman" w:cs="TimesNewRoman"/>
        </w:rPr>
        <w:noBreakHyphen/>
        <w:t>associated conditions, AE, or SAE</w:t>
      </w:r>
      <w:r w:rsidRPr="00555395">
        <w:rPr>
          <w:rFonts w:eastAsia="TimesNewRoman" w:cs="TimesNewRoman"/>
        </w:rPr>
        <w:t xml:space="preserve"> that may be associated with IRIS in the GEMINI </w:t>
      </w:r>
      <w:r w:rsidR="00F63266">
        <w:rPr>
          <w:rFonts w:eastAsia="TimesNewRoman" w:cs="TimesNewRoman"/>
        </w:rPr>
        <w:t>trials</w:t>
      </w:r>
      <w:r w:rsidRPr="00555395">
        <w:rPr>
          <w:rFonts w:eastAsia="TimesNewRoman" w:cs="TimesNewRoman"/>
        </w:rPr>
        <w:t xml:space="preserve">. Four subjects were adjudicated as having possible IRIS (2 in each treatment group). </w:t>
      </w:r>
      <w:r w:rsidRPr="00555395">
        <w:rPr>
          <w:rFonts w:eastAsia="TimesNewRoman" w:cs="TimesNewRoman"/>
          <w:color w:val="000000"/>
        </w:rPr>
        <w:t xml:space="preserve">Serious skin reactions were not observed in the GEMINI </w:t>
      </w:r>
      <w:r w:rsidR="00F63266">
        <w:rPr>
          <w:rFonts w:eastAsia="TimesNewRoman" w:cs="TimesNewRoman"/>
          <w:color w:val="000000"/>
        </w:rPr>
        <w:t>trials</w:t>
      </w:r>
      <w:r w:rsidRPr="00555395">
        <w:rPr>
          <w:rFonts w:eastAsia="TimesNewRoman" w:cs="TimesNewRoman"/>
          <w:color w:val="000000"/>
        </w:rPr>
        <w:t>.</w:t>
      </w:r>
    </w:p>
    <w:p w14:paraId="7F1F91B7" w14:textId="77777777" w:rsidR="00AD3D20" w:rsidRPr="00555395" w:rsidRDefault="00AD3D20" w:rsidP="00CE6BD6">
      <w:pPr>
        <w:pStyle w:val="Heading5"/>
      </w:pPr>
      <w:r w:rsidRPr="00555395">
        <w:t>Evaluator conclusions</w:t>
      </w:r>
    </w:p>
    <w:p w14:paraId="792623DF" w14:textId="77777777" w:rsidR="00456765" w:rsidRPr="008951BD" w:rsidRDefault="00AD3D20" w:rsidP="008951BD">
      <w:pPr>
        <w:spacing w:line="240" w:lineRule="auto"/>
        <w:rPr>
          <w:rFonts w:eastAsia="TimesNewRoman" w:cs="TimesNewRoman"/>
        </w:rPr>
      </w:pPr>
      <w:r w:rsidRPr="00555395">
        <w:rPr>
          <w:rFonts w:eastAsia="TimesNewRoman" w:cs="TimesNewRoman"/>
        </w:rPr>
        <w:t>Over 48 weeks, the safety d</w:t>
      </w:r>
      <w:r w:rsidR="008951BD">
        <w:rPr>
          <w:rFonts w:eastAsia="TimesNewRoman" w:cs="TimesNewRoman"/>
        </w:rPr>
        <w:t xml:space="preserve">ata from the randomised, double </w:t>
      </w:r>
      <w:r w:rsidRPr="00555395">
        <w:rPr>
          <w:rFonts w:eastAsia="TimesNewRoman" w:cs="TimesNewRoman"/>
        </w:rPr>
        <w:t xml:space="preserve">blind Phase III studies </w:t>
      </w:r>
      <w:r w:rsidR="008951BD">
        <w:rPr>
          <w:rFonts w:eastAsia="TimesNewRoman" w:cs="TimesNewRoman"/>
        </w:rPr>
        <w:t xml:space="preserve">comparing DTG+3TC to a standard </w:t>
      </w:r>
      <w:r w:rsidRPr="00555395">
        <w:rPr>
          <w:rFonts w:eastAsia="TimesNewRoman" w:cs="TimesNewRoman"/>
        </w:rPr>
        <w:t>of</w:t>
      </w:r>
      <w:r w:rsidR="008951BD">
        <w:rPr>
          <w:rFonts w:eastAsia="TimesNewRoman" w:cs="TimesNewRoman"/>
        </w:rPr>
        <w:t xml:space="preserve"> </w:t>
      </w:r>
      <w:r w:rsidRPr="00555395">
        <w:rPr>
          <w:rFonts w:eastAsia="TimesNewRoman" w:cs="TimesNewRoman"/>
        </w:rPr>
        <w:t>care regimen of DTG + TDF/FTC was consistent with the known safety profile for the individual products.</w:t>
      </w:r>
    </w:p>
    <w:p w14:paraId="473B0EBC" w14:textId="77777777" w:rsidR="008E7846" w:rsidRDefault="00386150" w:rsidP="007B6132">
      <w:pPr>
        <w:pStyle w:val="Heading3"/>
        <w:rPr>
          <w:lang w:eastAsia="en-AU"/>
        </w:rPr>
      </w:pPr>
      <w:bookmarkStart w:id="50" w:name="_Toc28080723"/>
      <w:r>
        <w:rPr>
          <w:lang w:eastAsia="en-AU"/>
        </w:rPr>
        <w:t>Risk m</w:t>
      </w:r>
      <w:r w:rsidR="008E7846">
        <w:rPr>
          <w:lang w:eastAsia="en-AU"/>
        </w:rPr>
        <w:t xml:space="preserve">anagement </w:t>
      </w:r>
      <w:r>
        <w:rPr>
          <w:lang w:eastAsia="en-AU"/>
        </w:rPr>
        <w:t>p</w:t>
      </w:r>
      <w:r w:rsidR="008E7846">
        <w:rPr>
          <w:lang w:eastAsia="en-AU"/>
        </w:rPr>
        <w:t>lan</w:t>
      </w:r>
      <w:bookmarkEnd w:id="43"/>
      <w:bookmarkEnd w:id="50"/>
    </w:p>
    <w:p w14:paraId="02FB97AA" w14:textId="38F110B1" w:rsidR="0019198A" w:rsidRDefault="0019198A" w:rsidP="008951BD">
      <w:pPr>
        <w:pStyle w:val="ListBullet"/>
      </w:pPr>
      <w:r>
        <w:rPr>
          <w:rStyle w:val="BulletlistChar"/>
          <w:rFonts w:eastAsia="Cambria"/>
        </w:rPr>
        <w:t>The sponsor</w:t>
      </w:r>
      <w:r w:rsidRPr="00BB3A7E">
        <w:t xml:space="preserve"> has submitted </w:t>
      </w:r>
      <w:r w:rsidR="00C20382">
        <w:t>European Union Risk Management Plan (</w:t>
      </w:r>
      <w:r w:rsidR="00C20382" w:rsidRPr="008E75FD">
        <w:t>EU-RMP</w:t>
      </w:r>
      <w:r w:rsidR="00C20382">
        <w:t>)</w:t>
      </w:r>
      <w:r w:rsidR="00C20382" w:rsidRPr="008E75FD">
        <w:t xml:space="preserve"> </w:t>
      </w:r>
      <w:r w:rsidRPr="00BB3A7E">
        <w:t xml:space="preserve">version 0.1 (date not specified; </w:t>
      </w:r>
      <w:r>
        <w:t>data lock point (</w:t>
      </w:r>
      <w:r w:rsidRPr="00BB3A7E">
        <w:t>DLP</w:t>
      </w:r>
      <w:r>
        <w:t>)</w:t>
      </w:r>
      <w:r w:rsidRPr="00BB3A7E">
        <w:t xml:space="preserve"> 21 August 2018) and </w:t>
      </w:r>
      <w:r>
        <w:t>Australian Specific Annex (</w:t>
      </w:r>
      <w:r w:rsidRPr="00BB3A7E">
        <w:t>ASA</w:t>
      </w:r>
      <w:r>
        <w:t>)</w:t>
      </w:r>
      <w:r w:rsidRPr="00BB3A7E">
        <w:t xml:space="preserve"> version 1 (11 September </w:t>
      </w:r>
      <w:r w:rsidRPr="008E75FD">
        <w:t xml:space="preserve">2018) in support of this application. In its </w:t>
      </w:r>
      <w:r>
        <w:t>response to TGA questions,</w:t>
      </w:r>
      <w:r w:rsidRPr="008E75FD">
        <w:t xml:space="preserve"> the sponsor has provided updated EU-RMP version 1.0 (date not specified; DLP 21 August 2018) and ASA version 1.1 (17 April 2019).</w:t>
      </w:r>
      <w:r w:rsidR="00C20382">
        <w:t xml:space="preserve"> See ‘</w:t>
      </w:r>
      <w:r w:rsidR="00C20382" w:rsidRPr="00C20382">
        <w:rPr>
          <w:i/>
        </w:rPr>
        <w:t>Recommended condition/s of registration</w:t>
      </w:r>
      <w:r w:rsidR="00C20382">
        <w:t>’, below.</w:t>
      </w:r>
    </w:p>
    <w:p w14:paraId="3FB10B5A" w14:textId="59325E30" w:rsidR="00710FC7" w:rsidRDefault="00710FC7" w:rsidP="008951BD">
      <w:pPr>
        <w:pStyle w:val="ListBullet"/>
      </w:pPr>
      <w:r w:rsidRPr="00555395">
        <w:t xml:space="preserve">The proposed summary of safety concerns and their associated risk monitoring and mitigation </w:t>
      </w:r>
      <w:r w:rsidR="008951BD">
        <w:t xml:space="preserve">strategies are summarised below in </w:t>
      </w:r>
      <w:r w:rsidR="008951BD">
        <w:fldChar w:fldCharType="begin"/>
      </w:r>
      <w:r w:rsidR="008951BD">
        <w:instrText xml:space="preserve"> REF _Ref24370473 \h </w:instrText>
      </w:r>
      <w:r w:rsidR="008951BD">
        <w:fldChar w:fldCharType="separate"/>
      </w:r>
      <w:r w:rsidR="004C0A50">
        <w:t xml:space="preserve">Table </w:t>
      </w:r>
      <w:r w:rsidR="004C0A50">
        <w:rPr>
          <w:noProof/>
        </w:rPr>
        <w:t>8</w:t>
      </w:r>
      <w:r w:rsidR="008951BD">
        <w:fldChar w:fldCharType="end"/>
      </w:r>
      <w:r w:rsidR="008951BD">
        <w:t>.</w:t>
      </w:r>
      <w:r w:rsidRPr="00710FC7">
        <w:rPr>
          <w:rStyle w:val="FootnoteReference"/>
          <w:lang w:eastAsia="en-AU"/>
        </w:rPr>
        <w:t xml:space="preserve"> </w:t>
      </w:r>
      <w:r>
        <w:rPr>
          <w:rStyle w:val="FootnoteReference"/>
          <w:lang w:eastAsia="en-AU"/>
        </w:rPr>
        <w:footnoteReference w:id="11"/>
      </w:r>
    </w:p>
    <w:p w14:paraId="060D595C" w14:textId="0050E36A" w:rsidR="008951BD" w:rsidRPr="00555395" w:rsidRDefault="008951BD" w:rsidP="008951BD">
      <w:pPr>
        <w:pStyle w:val="TableTitle"/>
      </w:pPr>
      <w:bookmarkStart w:id="51" w:name="_Ref24370473"/>
      <w:r>
        <w:lastRenderedPageBreak/>
        <w:t xml:space="preserve">Table </w:t>
      </w:r>
      <w:r w:rsidR="00696AF7">
        <w:rPr>
          <w:noProof/>
        </w:rPr>
        <w:fldChar w:fldCharType="begin"/>
      </w:r>
      <w:r w:rsidR="00696AF7">
        <w:rPr>
          <w:noProof/>
        </w:rPr>
        <w:instrText xml:space="preserve"> SEQ Table \* ARABIC </w:instrText>
      </w:r>
      <w:r w:rsidR="00696AF7">
        <w:rPr>
          <w:noProof/>
        </w:rPr>
        <w:fldChar w:fldCharType="separate"/>
      </w:r>
      <w:r w:rsidR="004C0A50">
        <w:rPr>
          <w:noProof/>
        </w:rPr>
        <w:t>8</w:t>
      </w:r>
      <w:r w:rsidR="00696AF7">
        <w:rPr>
          <w:noProof/>
        </w:rPr>
        <w:fldChar w:fldCharType="end"/>
      </w:r>
      <w:bookmarkEnd w:id="51"/>
      <w:r>
        <w:t>: Summary of safety concerns</w:t>
      </w:r>
    </w:p>
    <w:tbl>
      <w:tblPr>
        <w:tblStyle w:val="TableTGAblue"/>
        <w:tblW w:w="8839" w:type="dxa"/>
        <w:tblLayout w:type="fixed"/>
        <w:tblLook w:val="04A0" w:firstRow="1" w:lastRow="0" w:firstColumn="1" w:lastColumn="0" w:noHBand="0" w:noVBand="1"/>
      </w:tblPr>
      <w:tblGrid>
        <w:gridCol w:w="1388"/>
        <w:gridCol w:w="1621"/>
        <w:gridCol w:w="1494"/>
        <w:gridCol w:w="992"/>
        <w:gridCol w:w="1134"/>
        <w:gridCol w:w="992"/>
        <w:gridCol w:w="1218"/>
      </w:tblGrid>
      <w:tr w:rsidR="008951BD" w:rsidRPr="008951BD" w14:paraId="39F4BA3E" w14:textId="77777777" w:rsidTr="008951BD">
        <w:trPr>
          <w:cnfStyle w:val="100000000000" w:firstRow="1" w:lastRow="0" w:firstColumn="0" w:lastColumn="0" w:oddVBand="0" w:evenVBand="0" w:oddHBand="0" w:evenHBand="0" w:firstRowFirstColumn="0" w:firstRowLastColumn="0" w:lastRowFirstColumn="0" w:lastRowLastColumn="0"/>
          <w:trHeight w:val="128"/>
        </w:trPr>
        <w:tc>
          <w:tcPr>
            <w:tcW w:w="1388" w:type="dxa"/>
            <w:vMerge w:val="restart"/>
          </w:tcPr>
          <w:p w14:paraId="4929D3D8" w14:textId="77777777" w:rsidR="00710FC7" w:rsidRPr="008951BD" w:rsidRDefault="00710FC7" w:rsidP="008951BD">
            <w:pPr>
              <w:ind w:left="0" w:right="0"/>
              <w:rPr>
                <w:sz w:val="20"/>
                <w:szCs w:val="20"/>
              </w:rPr>
            </w:pPr>
            <w:r w:rsidRPr="008951BD">
              <w:rPr>
                <w:sz w:val="20"/>
                <w:szCs w:val="20"/>
              </w:rPr>
              <w:t>Summary of safety concerns</w:t>
            </w:r>
          </w:p>
        </w:tc>
        <w:tc>
          <w:tcPr>
            <w:tcW w:w="1621" w:type="dxa"/>
            <w:vMerge w:val="restart"/>
          </w:tcPr>
          <w:p w14:paraId="64B0F2DD" w14:textId="77777777" w:rsidR="00710FC7" w:rsidRPr="008951BD" w:rsidRDefault="00710FC7" w:rsidP="008951BD">
            <w:pPr>
              <w:ind w:left="0" w:right="0"/>
              <w:rPr>
                <w:sz w:val="20"/>
                <w:szCs w:val="20"/>
              </w:rPr>
            </w:pPr>
            <w:proofErr w:type="spellStart"/>
            <w:r w:rsidRPr="008951BD">
              <w:rPr>
                <w:sz w:val="20"/>
                <w:szCs w:val="20"/>
              </w:rPr>
              <w:t>Dolutegravir</w:t>
            </w:r>
            <w:proofErr w:type="spellEnd"/>
          </w:p>
        </w:tc>
        <w:tc>
          <w:tcPr>
            <w:tcW w:w="1494" w:type="dxa"/>
            <w:vMerge w:val="restart"/>
          </w:tcPr>
          <w:p w14:paraId="7361E99D" w14:textId="77777777" w:rsidR="00710FC7" w:rsidRPr="008951BD" w:rsidRDefault="00710FC7" w:rsidP="008951BD">
            <w:pPr>
              <w:ind w:left="0" w:right="0"/>
              <w:rPr>
                <w:sz w:val="20"/>
                <w:szCs w:val="20"/>
              </w:rPr>
            </w:pPr>
            <w:r w:rsidRPr="008951BD">
              <w:rPr>
                <w:sz w:val="20"/>
                <w:szCs w:val="20"/>
              </w:rPr>
              <w:t>Lamivudine</w:t>
            </w:r>
          </w:p>
        </w:tc>
        <w:tc>
          <w:tcPr>
            <w:tcW w:w="2126" w:type="dxa"/>
            <w:gridSpan w:val="2"/>
          </w:tcPr>
          <w:p w14:paraId="0E4C2A5E" w14:textId="77777777" w:rsidR="00710FC7" w:rsidRPr="008951BD" w:rsidRDefault="00710FC7" w:rsidP="008951BD">
            <w:pPr>
              <w:ind w:left="0" w:right="0"/>
              <w:rPr>
                <w:sz w:val="20"/>
                <w:szCs w:val="20"/>
              </w:rPr>
            </w:pPr>
            <w:r w:rsidRPr="008951BD">
              <w:rPr>
                <w:sz w:val="20"/>
                <w:szCs w:val="20"/>
              </w:rPr>
              <w:t>Pharmacovigilance</w:t>
            </w:r>
          </w:p>
        </w:tc>
        <w:tc>
          <w:tcPr>
            <w:tcW w:w="2210" w:type="dxa"/>
            <w:gridSpan w:val="2"/>
          </w:tcPr>
          <w:p w14:paraId="1B021538" w14:textId="77777777" w:rsidR="00710FC7" w:rsidRPr="008951BD" w:rsidRDefault="0022446B" w:rsidP="008951BD">
            <w:pPr>
              <w:ind w:left="0" w:right="0"/>
              <w:rPr>
                <w:sz w:val="20"/>
                <w:szCs w:val="20"/>
              </w:rPr>
            </w:pPr>
            <w:r>
              <w:rPr>
                <w:sz w:val="20"/>
                <w:szCs w:val="20"/>
              </w:rPr>
              <w:t>Risk m</w:t>
            </w:r>
            <w:r w:rsidR="00710FC7" w:rsidRPr="008951BD">
              <w:rPr>
                <w:sz w:val="20"/>
                <w:szCs w:val="20"/>
              </w:rPr>
              <w:t>inimisation</w:t>
            </w:r>
          </w:p>
        </w:tc>
      </w:tr>
      <w:tr w:rsidR="008951BD" w:rsidRPr="008951BD" w14:paraId="5ACB3EA7" w14:textId="77777777" w:rsidTr="008951BD">
        <w:trPr>
          <w:trHeight w:val="146"/>
        </w:trPr>
        <w:tc>
          <w:tcPr>
            <w:tcW w:w="1388" w:type="dxa"/>
            <w:vMerge/>
          </w:tcPr>
          <w:p w14:paraId="7C99BF80" w14:textId="77777777" w:rsidR="00710FC7" w:rsidRPr="008951BD" w:rsidRDefault="00710FC7" w:rsidP="008951BD">
            <w:pPr>
              <w:ind w:left="0" w:right="0"/>
              <w:rPr>
                <w:b/>
                <w:sz w:val="20"/>
                <w:szCs w:val="20"/>
              </w:rPr>
            </w:pPr>
          </w:p>
        </w:tc>
        <w:tc>
          <w:tcPr>
            <w:tcW w:w="1621" w:type="dxa"/>
            <w:vMerge/>
          </w:tcPr>
          <w:p w14:paraId="31548FAE" w14:textId="77777777" w:rsidR="00710FC7" w:rsidRPr="008951BD" w:rsidRDefault="00710FC7" w:rsidP="008951BD">
            <w:pPr>
              <w:ind w:left="0" w:right="0"/>
              <w:rPr>
                <w:b/>
                <w:sz w:val="20"/>
                <w:szCs w:val="20"/>
              </w:rPr>
            </w:pPr>
          </w:p>
        </w:tc>
        <w:tc>
          <w:tcPr>
            <w:tcW w:w="1494" w:type="dxa"/>
            <w:vMerge/>
          </w:tcPr>
          <w:p w14:paraId="1418DB8F" w14:textId="77777777" w:rsidR="00710FC7" w:rsidRPr="008951BD" w:rsidRDefault="00710FC7" w:rsidP="008951BD">
            <w:pPr>
              <w:ind w:left="0" w:right="0"/>
              <w:rPr>
                <w:b/>
                <w:sz w:val="20"/>
                <w:szCs w:val="20"/>
              </w:rPr>
            </w:pPr>
          </w:p>
        </w:tc>
        <w:tc>
          <w:tcPr>
            <w:tcW w:w="992" w:type="dxa"/>
          </w:tcPr>
          <w:p w14:paraId="18ABAC28" w14:textId="77777777" w:rsidR="00710FC7" w:rsidRPr="008951BD" w:rsidRDefault="00710FC7" w:rsidP="008951BD">
            <w:pPr>
              <w:ind w:left="0" w:right="0"/>
              <w:rPr>
                <w:sz w:val="20"/>
                <w:szCs w:val="20"/>
              </w:rPr>
            </w:pPr>
            <w:r w:rsidRPr="008951BD">
              <w:rPr>
                <w:sz w:val="20"/>
                <w:szCs w:val="20"/>
              </w:rPr>
              <w:t>Routine</w:t>
            </w:r>
          </w:p>
        </w:tc>
        <w:tc>
          <w:tcPr>
            <w:tcW w:w="1134" w:type="dxa"/>
          </w:tcPr>
          <w:p w14:paraId="0CF83EA5" w14:textId="77777777" w:rsidR="00710FC7" w:rsidRPr="008951BD" w:rsidRDefault="00710FC7" w:rsidP="008951BD">
            <w:pPr>
              <w:ind w:left="0" w:right="0"/>
              <w:rPr>
                <w:sz w:val="20"/>
                <w:szCs w:val="20"/>
              </w:rPr>
            </w:pPr>
            <w:r w:rsidRPr="008951BD">
              <w:rPr>
                <w:sz w:val="20"/>
                <w:szCs w:val="20"/>
              </w:rPr>
              <w:t>Additional</w:t>
            </w:r>
          </w:p>
        </w:tc>
        <w:tc>
          <w:tcPr>
            <w:tcW w:w="992" w:type="dxa"/>
          </w:tcPr>
          <w:p w14:paraId="2A87F7B1" w14:textId="77777777" w:rsidR="00710FC7" w:rsidRPr="008951BD" w:rsidRDefault="00710FC7" w:rsidP="008951BD">
            <w:pPr>
              <w:ind w:left="0" w:right="0"/>
              <w:rPr>
                <w:sz w:val="20"/>
                <w:szCs w:val="20"/>
              </w:rPr>
            </w:pPr>
            <w:r w:rsidRPr="008951BD">
              <w:rPr>
                <w:sz w:val="20"/>
                <w:szCs w:val="20"/>
              </w:rPr>
              <w:t>Routine</w:t>
            </w:r>
          </w:p>
        </w:tc>
        <w:tc>
          <w:tcPr>
            <w:tcW w:w="1218" w:type="dxa"/>
          </w:tcPr>
          <w:p w14:paraId="3D35FA2C" w14:textId="77777777" w:rsidR="00710FC7" w:rsidRPr="008951BD" w:rsidRDefault="00710FC7" w:rsidP="008951BD">
            <w:pPr>
              <w:ind w:left="0" w:right="0"/>
              <w:rPr>
                <w:sz w:val="20"/>
                <w:szCs w:val="20"/>
              </w:rPr>
            </w:pPr>
            <w:r w:rsidRPr="008951BD">
              <w:rPr>
                <w:sz w:val="20"/>
                <w:szCs w:val="20"/>
              </w:rPr>
              <w:t>Additional</w:t>
            </w:r>
          </w:p>
        </w:tc>
      </w:tr>
      <w:tr w:rsidR="008951BD" w:rsidRPr="008951BD" w14:paraId="07B1EDF8" w14:textId="77777777" w:rsidTr="008951BD">
        <w:trPr>
          <w:trHeight w:val="134"/>
        </w:trPr>
        <w:tc>
          <w:tcPr>
            <w:tcW w:w="1388" w:type="dxa"/>
            <w:vMerge w:val="restart"/>
          </w:tcPr>
          <w:p w14:paraId="422F703F" w14:textId="77777777" w:rsidR="00710FC7" w:rsidRPr="008951BD" w:rsidRDefault="00710FC7" w:rsidP="008951BD">
            <w:pPr>
              <w:ind w:left="0" w:right="0"/>
              <w:rPr>
                <w:b/>
                <w:sz w:val="20"/>
                <w:szCs w:val="20"/>
              </w:rPr>
            </w:pPr>
            <w:r w:rsidRPr="008951BD">
              <w:rPr>
                <w:b/>
                <w:sz w:val="20"/>
                <w:szCs w:val="20"/>
              </w:rPr>
              <w:t>Important Identified Risks</w:t>
            </w:r>
          </w:p>
        </w:tc>
        <w:tc>
          <w:tcPr>
            <w:tcW w:w="1621" w:type="dxa"/>
          </w:tcPr>
          <w:p w14:paraId="30F20A16" w14:textId="77777777" w:rsidR="00710FC7" w:rsidRPr="00C20382" w:rsidRDefault="00710FC7" w:rsidP="008951BD">
            <w:pPr>
              <w:ind w:left="0" w:right="0"/>
              <w:rPr>
                <w:sz w:val="19"/>
                <w:szCs w:val="19"/>
              </w:rPr>
            </w:pPr>
            <w:r w:rsidRPr="00C20382">
              <w:rPr>
                <w:sz w:val="19"/>
                <w:szCs w:val="19"/>
              </w:rPr>
              <w:t>Hypersensitivity reactions</w:t>
            </w:r>
          </w:p>
        </w:tc>
        <w:tc>
          <w:tcPr>
            <w:tcW w:w="1494" w:type="dxa"/>
          </w:tcPr>
          <w:p w14:paraId="5079C8BB" w14:textId="77777777" w:rsidR="00710FC7" w:rsidRPr="008951BD" w:rsidRDefault="00710FC7" w:rsidP="008951BD">
            <w:pPr>
              <w:ind w:left="0" w:right="0"/>
              <w:rPr>
                <w:sz w:val="20"/>
                <w:szCs w:val="20"/>
              </w:rPr>
            </w:pPr>
            <w:r w:rsidRPr="008951BD">
              <w:rPr>
                <w:sz w:val="20"/>
                <w:szCs w:val="20"/>
              </w:rPr>
              <w:t>-</w:t>
            </w:r>
          </w:p>
        </w:tc>
        <w:tc>
          <w:tcPr>
            <w:tcW w:w="992" w:type="dxa"/>
          </w:tcPr>
          <w:p w14:paraId="6B16867F" w14:textId="77777777" w:rsidR="00710FC7" w:rsidRPr="008951BD" w:rsidRDefault="00710FC7" w:rsidP="008951BD">
            <w:pPr>
              <w:ind w:left="0" w:right="0"/>
              <w:rPr>
                <w:sz w:val="20"/>
                <w:szCs w:val="20"/>
              </w:rPr>
            </w:pPr>
            <w:r w:rsidRPr="008951BD">
              <w:rPr>
                <w:sz w:val="20"/>
                <w:szCs w:val="20"/>
              </w:rPr>
              <w:sym w:font="Wingdings" w:char="F0FC"/>
            </w:r>
          </w:p>
        </w:tc>
        <w:tc>
          <w:tcPr>
            <w:tcW w:w="1134" w:type="dxa"/>
          </w:tcPr>
          <w:p w14:paraId="5A32AACC" w14:textId="77777777" w:rsidR="00710FC7" w:rsidRPr="008951BD" w:rsidRDefault="00710FC7" w:rsidP="008951BD">
            <w:pPr>
              <w:ind w:left="0" w:right="0"/>
              <w:rPr>
                <w:sz w:val="20"/>
                <w:szCs w:val="20"/>
              </w:rPr>
            </w:pPr>
            <w:r w:rsidRPr="008951BD">
              <w:rPr>
                <w:sz w:val="20"/>
                <w:szCs w:val="20"/>
              </w:rPr>
              <w:sym w:font="Wingdings" w:char="F0FC"/>
            </w:r>
          </w:p>
        </w:tc>
        <w:tc>
          <w:tcPr>
            <w:tcW w:w="992" w:type="dxa"/>
          </w:tcPr>
          <w:p w14:paraId="64CF4D44" w14:textId="77777777" w:rsidR="00710FC7" w:rsidRPr="008951BD" w:rsidRDefault="00710FC7" w:rsidP="008951BD">
            <w:pPr>
              <w:ind w:left="0" w:right="0"/>
              <w:rPr>
                <w:sz w:val="20"/>
                <w:szCs w:val="20"/>
              </w:rPr>
            </w:pPr>
            <w:r w:rsidRPr="008951BD">
              <w:rPr>
                <w:sz w:val="20"/>
                <w:szCs w:val="20"/>
              </w:rPr>
              <w:sym w:font="Wingdings" w:char="F0FC"/>
            </w:r>
          </w:p>
        </w:tc>
        <w:tc>
          <w:tcPr>
            <w:tcW w:w="1218" w:type="dxa"/>
          </w:tcPr>
          <w:p w14:paraId="7FD41EE3" w14:textId="77777777" w:rsidR="00710FC7" w:rsidRPr="008951BD" w:rsidRDefault="00710FC7" w:rsidP="008951BD">
            <w:pPr>
              <w:ind w:left="0" w:right="0"/>
              <w:rPr>
                <w:sz w:val="20"/>
                <w:szCs w:val="20"/>
              </w:rPr>
            </w:pPr>
            <w:r w:rsidRPr="008951BD">
              <w:rPr>
                <w:sz w:val="20"/>
                <w:szCs w:val="20"/>
              </w:rPr>
              <w:t>–</w:t>
            </w:r>
          </w:p>
        </w:tc>
      </w:tr>
      <w:tr w:rsidR="008951BD" w:rsidRPr="008951BD" w14:paraId="2869CDFF" w14:textId="77777777" w:rsidTr="008951BD">
        <w:trPr>
          <w:trHeight w:val="183"/>
        </w:trPr>
        <w:tc>
          <w:tcPr>
            <w:tcW w:w="1388" w:type="dxa"/>
            <w:vMerge/>
          </w:tcPr>
          <w:p w14:paraId="5002EE2D" w14:textId="77777777" w:rsidR="00710FC7" w:rsidRPr="008951BD" w:rsidRDefault="00710FC7" w:rsidP="008951BD">
            <w:pPr>
              <w:ind w:left="0" w:right="0"/>
              <w:rPr>
                <w:b/>
                <w:sz w:val="20"/>
                <w:szCs w:val="20"/>
              </w:rPr>
            </w:pPr>
          </w:p>
        </w:tc>
        <w:tc>
          <w:tcPr>
            <w:tcW w:w="1621" w:type="dxa"/>
          </w:tcPr>
          <w:p w14:paraId="1B781F33" w14:textId="77777777" w:rsidR="00710FC7" w:rsidRPr="00C20382" w:rsidRDefault="00710FC7" w:rsidP="008951BD">
            <w:pPr>
              <w:ind w:left="0" w:right="0"/>
              <w:rPr>
                <w:sz w:val="19"/>
                <w:szCs w:val="19"/>
              </w:rPr>
            </w:pPr>
            <w:r w:rsidRPr="00C20382">
              <w:rPr>
                <w:sz w:val="19"/>
                <w:szCs w:val="19"/>
              </w:rPr>
              <w:t>Hepatobiliary disorders</w:t>
            </w:r>
          </w:p>
        </w:tc>
        <w:tc>
          <w:tcPr>
            <w:tcW w:w="1494" w:type="dxa"/>
          </w:tcPr>
          <w:p w14:paraId="6A519BC0" w14:textId="77777777" w:rsidR="00710FC7" w:rsidRPr="008951BD" w:rsidRDefault="00710FC7" w:rsidP="008951BD">
            <w:pPr>
              <w:ind w:left="0" w:right="0"/>
              <w:rPr>
                <w:sz w:val="20"/>
                <w:szCs w:val="20"/>
              </w:rPr>
            </w:pPr>
            <w:r w:rsidRPr="008951BD">
              <w:rPr>
                <w:sz w:val="20"/>
                <w:szCs w:val="20"/>
              </w:rPr>
              <w:t>-</w:t>
            </w:r>
          </w:p>
        </w:tc>
        <w:tc>
          <w:tcPr>
            <w:tcW w:w="992" w:type="dxa"/>
          </w:tcPr>
          <w:p w14:paraId="57D105BE" w14:textId="77777777" w:rsidR="00710FC7" w:rsidRPr="008951BD" w:rsidRDefault="00710FC7" w:rsidP="008951BD">
            <w:pPr>
              <w:ind w:left="0" w:right="0"/>
              <w:rPr>
                <w:sz w:val="20"/>
                <w:szCs w:val="20"/>
              </w:rPr>
            </w:pPr>
            <w:r w:rsidRPr="008951BD">
              <w:rPr>
                <w:sz w:val="20"/>
                <w:szCs w:val="20"/>
              </w:rPr>
              <w:sym w:font="Wingdings" w:char="F0FC"/>
            </w:r>
          </w:p>
        </w:tc>
        <w:tc>
          <w:tcPr>
            <w:tcW w:w="1134" w:type="dxa"/>
          </w:tcPr>
          <w:p w14:paraId="08D62092" w14:textId="77777777" w:rsidR="00710FC7" w:rsidRPr="008951BD" w:rsidRDefault="00710FC7" w:rsidP="008951BD">
            <w:pPr>
              <w:ind w:left="0" w:right="0"/>
              <w:rPr>
                <w:sz w:val="20"/>
                <w:szCs w:val="20"/>
              </w:rPr>
            </w:pPr>
            <w:r w:rsidRPr="008951BD">
              <w:rPr>
                <w:sz w:val="20"/>
                <w:szCs w:val="20"/>
              </w:rPr>
              <w:sym w:font="Wingdings" w:char="F0FC"/>
            </w:r>
          </w:p>
        </w:tc>
        <w:tc>
          <w:tcPr>
            <w:tcW w:w="992" w:type="dxa"/>
          </w:tcPr>
          <w:p w14:paraId="19AC2CA6" w14:textId="77777777" w:rsidR="00710FC7" w:rsidRPr="008951BD" w:rsidRDefault="00710FC7" w:rsidP="008951BD">
            <w:pPr>
              <w:ind w:left="0" w:right="0"/>
              <w:rPr>
                <w:sz w:val="20"/>
                <w:szCs w:val="20"/>
              </w:rPr>
            </w:pPr>
            <w:r w:rsidRPr="008951BD">
              <w:rPr>
                <w:sz w:val="20"/>
                <w:szCs w:val="20"/>
              </w:rPr>
              <w:sym w:font="Wingdings" w:char="F0FC"/>
            </w:r>
          </w:p>
        </w:tc>
        <w:tc>
          <w:tcPr>
            <w:tcW w:w="1218" w:type="dxa"/>
          </w:tcPr>
          <w:p w14:paraId="7D39AB33" w14:textId="77777777" w:rsidR="00710FC7" w:rsidRPr="008951BD" w:rsidRDefault="00710FC7" w:rsidP="008951BD">
            <w:pPr>
              <w:ind w:left="0" w:right="0"/>
              <w:rPr>
                <w:sz w:val="20"/>
                <w:szCs w:val="20"/>
              </w:rPr>
            </w:pPr>
            <w:r w:rsidRPr="008951BD">
              <w:rPr>
                <w:sz w:val="20"/>
                <w:szCs w:val="20"/>
              </w:rPr>
              <w:t>–</w:t>
            </w:r>
          </w:p>
        </w:tc>
      </w:tr>
      <w:tr w:rsidR="008951BD" w:rsidRPr="008951BD" w14:paraId="613B2525" w14:textId="77777777" w:rsidTr="008951BD">
        <w:trPr>
          <w:trHeight w:val="155"/>
        </w:trPr>
        <w:tc>
          <w:tcPr>
            <w:tcW w:w="1388" w:type="dxa"/>
            <w:vMerge w:val="restart"/>
          </w:tcPr>
          <w:p w14:paraId="7E107CE2" w14:textId="77777777" w:rsidR="00710FC7" w:rsidRPr="008951BD" w:rsidRDefault="00710FC7" w:rsidP="008951BD">
            <w:pPr>
              <w:ind w:left="0" w:right="0"/>
              <w:rPr>
                <w:b/>
                <w:sz w:val="20"/>
                <w:szCs w:val="20"/>
              </w:rPr>
            </w:pPr>
            <w:r w:rsidRPr="008951BD">
              <w:rPr>
                <w:b/>
                <w:sz w:val="20"/>
                <w:szCs w:val="20"/>
              </w:rPr>
              <w:t>Important Potential Risks</w:t>
            </w:r>
          </w:p>
        </w:tc>
        <w:tc>
          <w:tcPr>
            <w:tcW w:w="1621" w:type="dxa"/>
          </w:tcPr>
          <w:p w14:paraId="5993F4B8" w14:textId="77777777" w:rsidR="00710FC7" w:rsidRPr="00C20382" w:rsidRDefault="00710FC7" w:rsidP="008951BD">
            <w:pPr>
              <w:ind w:left="0" w:right="0"/>
              <w:rPr>
                <w:sz w:val="19"/>
                <w:szCs w:val="19"/>
              </w:rPr>
            </w:pPr>
            <w:r w:rsidRPr="00C20382">
              <w:rPr>
                <w:sz w:val="19"/>
                <w:szCs w:val="19"/>
              </w:rPr>
              <w:t>Serious rash (DAIDS Grade 3 or 4)</w:t>
            </w:r>
          </w:p>
        </w:tc>
        <w:tc>
          <w:tcPr>
            <w:tcW w:w="1494" w:type="dxa"/>
          </w:tcPr>
          <w:p w14:paraId="1C20122F" w14:textId="77777777" w:rsidR="00710FC7" w:rsidRPr="008951BD" w:rsidRDefault="00710FC7" w:rsidP="008951BD">
            <w:pPr>
              <w:ind w:left="0" w:right="0"/>
              <w:rPr>
                <w:sz w:val="20"/>
                <w:szCs w:val="20"/>
              </w:rPr>
            </w:pPr>
            <w:r w:rsidRPr="008951BD">
              <w:rPr>
                <w:sz w:val="20"/>
                <w:szCs w:val="20"/>
              </w:rPr>
              <w:t>-</w:t>
            </w:r>
          </w:p>
        </w:tc>
        <w:tc>
          <w:tcPr>
            <w:tcW w:w="992" w:type="dxa"/>
          </w:tcPr>
          <w:p w14:paraId="156658AA" w14:textId="77777777" w:rsidR="00710FC7" w:rsidRPr="008951BD" w:rsidRDefault="00710FC7" w:rsidP="008951BD">
            <w:pPr>
              <w:ind w:left="0" w:right="0"/>
              <w:rPr>
                <w:sz w:val="20"/>
                <w:szCs w:val="20"/>
              </w:rPr>
            </w:pPr>
            <w:r w:rsidRPr="008951BD">
              <w:rPr>
                <w:sz w:val="20"/>
                <w:szCs w:val="20"/>
              </w:rPr>
              <w:sym w:font="Wingdings" w:char="F0FC"/>
            </w:r>
          </w:p>
        </w:tc>
        <w:tc>
          <w:tcPr>
            <w:tcW w:w="1134" w:type="dxa"/>
          </w:tcPr>
          <w:p w14:paraId="12641F18" w14:textId="162BE42B" w:rsidR="00710FC7" w:rsidRPr="008951BD" w:rsidRDefault="00696AF7" w:rsidP="008951BD">
            <w:pPr>
              <w:ind w:left="0" w:right="0"/>
              <w:rPr>
                <w:sz w:val="20"/>
                <w:szCs w:val="20"/>
              </w:rPr>
            </w:pPr>
            <w:r w:rsidRPr="008951BD">
              <w:rPr>
                <w:sz w:val="20"/>
                <w:szCs w:val="20"/>
              </w:rPr>
              <w:sym w:font="Wingdings" w:char="F0FC"/>
            </w:r>
          </w:p>
        </w:tc>
        <w:tc>
          <w:tcPr>
            <w:tcW w:w="992" w:type="dxa"/>
          </w:tcPr>
          <w:p w14:paraId="26098B13" w14:textId="77777777" w:rsidR="00710FC7" w:rsidRPr="008951BD" w:rsidRDefault="00710FC7" w:rsidP="008951BD">
            <w:pPr>
              <w:ind w:left="0" w:right="0"/>
              <w:rPr>
                <w:sz w:val="20"/>
                <w:szCs w:val="20"/>
              </w:rPr>
            </w:pPr>
            <w:r w:rsidRPr="008951BD">
              <w:rPr>
                <w:sz w:val="20"/>
                <w:szCs w:val="20"/>
              </w:rPr>
              <w:sym w:font="Wingdings" w:char="F0FC"/>
            </w:r>
          </w:p>
        </w:tc>
        <w:tc>
          <w:tcPr>
            <w:tcW w:w="1218" w:type="dxa"/>
          </w:tcPr>
          <w:p w14:paraId="572929F3" w14:textId="77777777" w:rsidR="00710FC7" w:rsidRPr="008951BD" w:rsidRDefault="00710FC7" w:rsidP="008951BD">
            <w:pPr>
              <w:ind w:left="0" w:right="0"/>
              <w:rPr>
                <w:sz w:val="20"/>
                <w:szCs w:val="20"/>
              </w:rPr>
            </w:pPr>
            <w:r w:rsidRPr="008951BD">
              <w:rPr>
                <w:sz w:val="20"/>
                <w:szCs w:val="20"/>
              </w:rPr>
              <w:t>–</w:t>
            </w:r>
          </w:p>
        </w:tc>
      </w:tr>
      <w:tr w:rsidR="008951BD" w:rsidRPr="008951BD" w14:paraId="4F69C6E6" w14:textId="77777777" w:rsidTr="008951BD">
        <w:trPr>
          <w:trHeight w:val="119"/>
        </w:trPr>
        <w:tc>
          <w:tcPr>
            <w:tcW w:w="1388" w:type="dxa"/>
            <w:vMerge/>
          </w:tcPr>
          <w:p w14:paraId="350CDC6D" w14:textId="77777777" w:rsidR="00710FC7" w:rsidRPr="008951BD" w:rsidRDefault="00710FC7" w:rsidP="008951BD">
            <w:pPr>
              <w:ind w:left="0" w:right="0"/>
              <w:rPr>
                <w:b/>
                <w:sz w:val="20"/>
                <w:szCs w:val="20"/>
              </w:rPr>
            </w:pPr>
          </w:p>
        </w:tc>
        <w:tc>
          <w:tcPr>
            <w:tcW w:w="1621" w:type="dxa"/>
          </w:tcPr>
          <w:p w14:paraId="49710F39" w14:textId="77777777" w:rsidR="00710FC7" w:rsidRPr="00C20382" w:rsidRDefault="00710FC7" w:rsidP="008951BD">
            <w:pPr>
              <w:ind w:left="0" w:right="0"/>
              <w:rPr>
                <w:sz w:val="19"/>
                <w:szCs w:val="19"/>
              </w:rPr>
            </w:pPr>
            <w:r w:rsidRPr="00C20382">
              <w:rPr>
                <w:sz w:val="19"/>
                <w:szCs w:val="19"/>
              </w:rPr>
              <w:t>Neural tube defects</w:t>
            </w:r>
          </w:p>
        </w:tc>
        <w:tc>
          <w:tcPr>
            <w:tcW w:w="1494" w:type="dxa"/>
          </w:tcPr>
          <w:p w14:paraId="1161DE71" w14:textId="77777777" w:rsidR="00710FC7" w:rsidRPr="008951BD" w:rsidRDefault="00710FC7" w:rsidP="008951BD">
            <w:pPr>
              <w:ind w:left="0" w:right="0"/>
              <w:rPr>
                <w:sz w:val="20"/>
                <w:szCs w:val="20"/>
              </w:rPr>
            </w:pPr>
            <w:r w:rsidRPr="008951BD">
              <w:rPr>
                <w:sz w:val="20"/>
                <w:szCs w:val="20"/>
              </w:rPr>
              <w:t>-</w:t>
            </w:r>
          </w:p>
        </w:tc>
        <w:tc>
          <w:tcPr>
            <w:tcW w:w="992" w:type="dxa"/>
          </w:tcPr>
          <w:p w14:paraId="729F5BA1" w14:textId="77777777" w:rsidR="00710FC7" w:rsidRPr="008951BD" w:rsidRDefault="00710FC7" w:rsidP="008951BD">
            <w:pPr>
              <w:ind w:left="0" w:right="0"/>
              <w:rPr>
                <w:sz w:val="20"/>
                <w:szCs w:val="20"/>
              </w:rPr>
            </w:pPr>
            <w:r w:rsidRPr="008951BD">
              <w:rPr>
                <w:sz w:val="20"/>
                <w:szCs w:val="20"/>
              </w:rPr>
              <w:sym w:font="Wingdings" w:char="F0FC"/>
            </w:r>
            <w:r w:rsidRPr="008951BD">
              <w:rPr>
                <w:sz w:val="20"/>
                <w:szCs w:val="20"/>
              </w:rPr>
              <w:t>†</w:t>
            </w:r>
          </w:p>
        </w:tc>
        <w:tc>
          <w:tcPr>
            <w:tcW w:w="1134" w:type="dxa"/>
          </w:tcPr>
          <w:p w14:paraId="668B33BC" w14:textId="77777777" w:rsidR="00710FC7" w:rsidRPr="008951BD" w:rsidRDefault="00710FC7" w:rsidP="008951BD">
            <w:pPr>
              <w:ind w:left="0" w:right="0"/>
              <w:rPr>
                <w:sz w:val="20"/>
                <w:szCs w:val="20"/>
              </w:rPr>
            </w:pPr>
            <w:r w:rsidRPr="008951BD">
              <w:rPr>
                <w:sz w:val="20"/>
                <w:szCs w:val="20"/>
              </w:rPr>
              <w:t>–</w:t>
            </w:r>
          </w:p>
        </w:tc>
        <w:tc>
          <w:tcPr>
            <w:tcW w:w="992" w:type="dxa"/>
          </w:tcPr>
          <w:p w14:paraId="054CA411" w14:textId="77777777" w:rsidR="00710FC7" w:rsidRPr="008951BD" w:rsidRDefault="00710FC7" w:rsidP="008951BD">
            <w:pPr>
              <w:ind w:left="0" w:right="0"/>
              <w:rPr>
                <w:sz w:val="20"/>
                <w:szCs w:val="20"/>
              </w:rPr>
            </w:pPr>
            <w:r w:rsidRPr="008951BD">
              <w:rPr>
                <w:sz w:val="20"/>
                <w:szCs w:val="20"/>
              </w:rPr>
              <w:sym w:font="Wingdings" w:char="F0FC"/>
            </w:r>
          </w:p>
        </w:tc>
        <w:tc>
          <w:tcPr>
            <w:tcW w:w="1218" w:type="dxa"/>
          </w:tcPr>
          <w:p w14:paraId="683EE1D0" w14:textId="77777777" w:rsidR="00710FC7" w:rsidRPr="008951BD" w:rsidRDefault="00710FC7" w:rsidP="008951BD">
            <w:pPr>
              <w:ind w:left="0" w:right="0"/>
              <w:rPr>
                <w:sz w:val="20"/>
                <w:szCs w:val="20"/>
              </w:rPr>
            </w:pPr>
            <w:r w:rsidRPr="008951BD">
              <w:rPr>
                <w:sz w:val="20"/>
                <w:szCs w:val="20"/>
              </w:rPr>
              <w:t>–</w:t>
            </w:r>
          </w:p>
        </w:tc>
      </w:tr>
      <w:tr w:rsidR="008951BD" w:rsidRPr="008951BD" w14:paraId="6029CB12" w14:textId="77777777" w:rsidTr="008951BD">
        <w:trPr>
          <w:trHeight w:val="174"/>
        </w:trPr>
        <w:tc>
          <w:tcPr>
            <w:tcW w:w="1388" w:type="dxa"/>
            <w:vMerge w:val="restart"/>
          </w:tcPr>
          <w:p w14:paraId="28003355" w14:textId="77777777" w:rsidR="00710FC7" w:rsidRPr="008951BD" w:rsidRDefault="00710FC7" w:rsidP="008951BD">
            <w:pPr>
              <w:ind w:left="0" w:right="0"/>
              <w:rPr>
                <w:b/>
                <w:sz w:val="20"/>
                <w:szCs w:val="20"/>
              </w:rPr>
            </w:pPr>
            <w:r w:rsidRPr="008951BD">
              <w:rPr>
                <w:b/>
                <w:sz w:val="20"/>
                <w:szCs w:val="20"/>
              </w:rPr>
              <w:t>Missing Information</w:t>
            </w:r>
          </w:p>
        </w:tc>
        <w:tc>
          <w:tcPr>
            <w:tcW w:w="1621" w:type="dxa"/>
          </w:tcPr>
          <w:p w14:paraId="2ABE0C30" w14:textId="77777777" w:rsidR="00710FC7" w:rsidRPr="00C20382" w:rsidRDefault="00710FC7" w:rsidP="008951BD">
            <w:pPr>
              <w:ind w:left="0" w:right="0"/>
              <w:rPr>
                <w:sz w:val="19"/>
                <w:szCs w:val="19"/>
              </w:rPr>
            </w:pPr>
            <w:r w:rsidRPr="00C20382">
              <w:rPr>
                <w:sz w:val="19"/>
                <w:szCs w:val="19"/>
              </w:rPr>
              <w:t>Use in pregnancy/ breastfeeding</w:t>
            </w:r>
          </w:p>
        </w:tc>
        <w:tc>
          <w:tcPr>
            <w:tcW w:w="1494" w:type="dxa"/>
          </w:tcPr>
          <w:p w14:paraId="57E64BC7" w14:textId="77777777" w:rsidR="00710FC7" w:rsidRPr="00C20382" w:rsidRDefault="00710FC7" w:rsidP="008951BD">
            <w:pPr>
              <w:ind w:left="0" w:right="0"/>
              <w:rPr>
                <w:sz w:val="19"/>
                <w:szCs w:val="19"/>
              </w:rPr>
            </w:pPr>
            <w:r w:rsidRPr="00C20382">
              <w:rPr>
                <w:sz w:val="19"/>
                <w:szCs w:val="19"/>
              </w:rPr>
              <w:t>Use in pregnancy/ breastfeeding</w:t>
            </w:r>
          </w:p>
        </w:tc>
        <w:tc>
          <w:tcPr>
            <w:tcW w:w="992" w:type="dxa"/>
          </w:tcPr>
          <w:p w14:paraId="38F5EFEE" w14:textId="77777777" w:rsidR="00710FC7" w:rsidRPr="008951BD" w:rsidRDefault="00710FC7" w:rsidP="008951BD">
            <w:pPr>
              <w:ind w:left="0" w:right="0"/>
              <w:rPr>
                <w:sz w:val="20"/>
                <w:szCs w:val="20"/>
              </w:rPr>
            </w:pPr>
            <w:r w:rsidRPr="008951BD">
              <w:rPr>
                <w:sz w:val="20"/>
                <w:szCs w:val="20"/>
              </w:rPr>
              <w:sym w:font="Wingdings" w:char="F0FC"/>
            </w:r>
          </w:p>
        </w:tc>
        <w:tc>
          <w:tcPr>
            <w:tcW w:w="1134" w:type="dxa"/>
          </w:tcPr>
          <w:p w14:paraId="4E0240BF" w14:textId="77777777" w:rsidR="00710FC7" w:rsidRPr="008951BD" w:rsidRDefault="00710FC7" w:rsidP="008951BD">
            <w:pPr>
              <w:ind w:left="0" w:right="0"/>
              <w:rPr>
                <w:sz w:val="20"/>
                <w:szCs w:val="20"/>
              </w:rPr>
            </w:pPr>
            <w:r w:rsidRPr="008951BD">
              <w:rPr>
                <w:sz w:val="20"/>
                <w:szCs w:val="20"/>
              </w:rPr>
              <w:sym w:font="Wingdings" w:char="F0FC"/>
            </w:r>
            <w:r w:rsidRPr="008951BD">
              <w:rPr>
                <w:sz w:val="20"/>
                <w:szCs w:val="20"/>
              </w:rPr>
              <w:t>§</w:t>
            </w:r>
          </w:p>
        </w:tc>
        <w:tc>
          <w:tcPr>
            <w:tcW w:w="992" w:type="dxa"/>
          </w:tcPr>
          <w:p w14:paraId="477ABD92" w14:textId="77777777" w:rsidR="00710FC7" w:rsidRPr="008951BD" w:rsidRDefault="00710FC7" w:rsidP="008951BD">
            <w:pPr>
              <w:ind w:left="0" w:right="0"/>
              <w:rPr>
                <w:sz w:val="20"/>
                <w:szCs w:val="20"/>
              </w:rPr>
            </w:pPr>
            <w:r w:rsidRPr="008951BD">
              <w:rPr>
                <w:sz w:val="20"/>
                <w:szCs w:val="20"/>
              </w:rPr>
              <w:sym w:font="Wingdings" w:char="F0FC"/>
            </w:r>
          </w:p>
        </w:tc>
        <w:tc>
          <w:tcPr>
            <w:tcW w:w="1218" w:type="dxa"/>
          </w:tcPr>
          <w:p w14:paraId="4AC7703E" w14:textId="77777777" w:rsidR="00710FC7" w:rsidRPr="008951BD" w:rsidRDefault="00710FC7" w:rsidP="008951BD">
            <w:pPr>
              <w:ind w:left="0" w:right="0"/>
              <w:rPr>
                <w:sz w:val="20"/>
                <w:szCs w:val="20"/>
              </w:rPr>
            </w:pPr>
            <w:r w:rsidRPr="008951BD">
              <w:rPr>
                <w:sz w:val="20"/>
                <w:szCs w:val="20"/>
              </w:rPr>
              <w:t>–</w:t>
            </w:r>
          </w:p>
        </w:tc>
      </w:tr>
      <w:tr w:rsidR="008951BD" w:rsidRPr="008951BD" w14:paraId="7DE05BD9" w14:textId="77777777" w:rsidTr="008951BD">
        <w:trPr>
          <w:trHeight w:val="137"/>
        </w:trPr>
        <w:tc>
          <w:tcPr>
            <w:tcW w:w="1388" w:type="dxa"/>
            <w:vMerge/>
          </w:tcPr>
          <w:p w14:paraId="3E60557E" w14:textId="77777777" w:rsidR="00710FC7" w:rsidRPr="008951BD" w:rsidRDefault="00710FC7" w:rsidP="008951BD">
            <w:pPr>
              <w:ind w:left="0" w:right="0"/>
              <w:rPr>
                <w:sz w:val="20"/>
                <w:szCs w:val="20"/>
              </w:rPr>
            </w:pPr>
          </w:p>
        </w:tc>
        <w:tc>
          <w:tcPr>
            <w:tcW w:w="1621" w:type="dxa"/>
          </w:tcPr>
          <w:p w14:paraId="10BCA874" w14:textId="77777777" w:rsidR="00710FC7" w:rsidRPr="00C20382" w:rsidRDefault="00710FC7" w:rsidP="008951BD">
            <w:pPr>
              <w:ind w:left="0" w:right="0"/>
              <w:rPr>
                <w:sz w:val="19"/>
                <w:szCs w:val="19"/>
              </w:rPr>
            </w:pPr>
            <w:r w:rsidRPr="00C20382">
              <w:rPr>
                <w:sz w:val="19"/>
                <w:szCs w:val="19"/>
              </w:rPr>
              <w:t>Long term safety data</w:t>
            </w:r>
          </w:p>
        </w:tc>
        <w:tc>
          <w:tcPr>
            <w:tcW w:w="1494" w:type="dxa"/>
          </w:tcPr>
          <w:p w14:paraId="30973046" w14:textId="77777777" w:rsidR="00710FC7" w:rsidRPr="00C20382" w:rsidRDefault="00710FC7" w:rsidP="008951BD">
            <w:pPr>
              <w:ind w:left="0" w:right="0"/>
              <w:rPr>
                <w:sz w:val="19"/>
                <w:szCs w:val="19"/>
              </w:rPr>
            </w:pPr>
            <w:r w:rsidRPr="00C20382">
              <w:rPr>
                <w:sz w:val="19"/>
                <w:szCs w:val="19"/>
              </w:rPr>
              <w:t>Long term safety data</w:t>
            </w:r>
          </w:p>
        </w:tc>
        <w:tc>
          <w:tcPr>
            <w:tcW w:w="992" w:type="dxa"/>
          </w:tcPr>
          <w:p w14:paraId="3323C7DF" w14:textId="77777777" w:rsidR="00710FC7" w:rsidRPr="008951BD" w:rsidRDefault="00710FC7" w:rsidP="008951BD">
            <w:pPr>
              <w:ind w:left="0" w:right="0"/>
              <w:rPr>
                <w:sz w:val="20"/>
                <w:szCs w:val="20"/>
              </w:rPr>
            </w:pPr>
            <w:r w:rsidRPr="008951BD">
              <w:rPr>
                <w:sz w:val="20"/>
                <w:szCs w:val="20"/>
              </w:rPr>
              <w:sym w:font="Wingdings" w:char="F0FC"/>
            </w:r>
          </w:p>
        </w:tc>
        <w:tc>
          <w:tcPr>
            <w:tcW w:w="1134" w:type="dxa"/>
          </w:tcPr>
          <w:p w14:paraId="7EB772B3" w14:textId="77777777" w:rsidR="00710FC7" w:rsidRPr="008951BD" w:rsidRDefault="00710FC7" w:rsidP="008951BD">
            <w:pPr>
              <w:ind w:left="0" w:right="0"/>
              <w:rPr>
                <w:sz w:val="20"/>
                <w:szCs w:val="20"/>
              </w:rPr>
            </w:pPr>
            <w:r w:rsidRPr="008951BD">
              <w:rPr>
                <w:sz w:val="20"/>
                <w:szCs w:val="20"/>
              </w:rPr>
              <w:sym w:font="Wingdings" w:char="F0FC"/>
            </w:r>
            <w:r w:rsidRPr="008951BD">
              <w:rPr>
                <w:sz w:val="20"/>
                <w:szCs w:val="20"/>
              </w:rPr>
              <w:t>ǁ</w:t>
            </w:r>
          </w:p>
        </w:tc>
        <w:tc>
          <w:tcPr>
            <w:tcW w:w="992" w:type="dxa"/>
          </w:tcPr>
          <w:p w14:paraId="5EB8422C" w14:textId="77777777" w:rsidR="00710FC7" w:rsidRPr="008951BD" w:rsidRDefault="00710FC7" w:rsidP="008951BD">
            <w:pPr>
              <w:ind w:left="0" w:right="0"/>
              <w:rPr>
                <w:sz w:val="20"/>
                <w:szCs w:val="20"/>
              </w:rPr>
            </w:pPr>
            <w:r w:rsidRPr="008951BD">
              <w:rPr>
                <w:sz w:val="20"/>
                <w:szCs w:val="20"/>
              </w:rPr>
              <w:t>–</w:t>
            </w:r>
          </w:p>
        </w:tc>
        <w:tc>
          <w:tcPr>
            <w:tcW w:w="1218" w:type="dxa"/>
          </w:tcPr>
          <w:p w14:paraId="5DCF89A5" w14:textId="77777777" w:rsidR="00710FC7" w:rsidRPr="008951BD" w:rsidRDefault="00710FC7" w:rsidP="008951BD">
            <w:pPr>
              <w:ind w:left="0" w:right="0"/>
              <w:rPr>
                <w:sz w:val="20"/>
                <w:szCs w:val="20"/>
              </w:rPr>
            </w:pPr>
            <w:r w:rsidRPr="008951BD">
              <w:rPr>
                <w:sz w:val="20"/>
                <w:szCs w:val="20"/>
              </w:rPr>
              <w:t>–</w:t>
            </w:r>
          </w:p>
        </w:tc>
      </w:tr>
    </w:tbl>
    <w:p w14:paraId="23309D07" w14:textId="77777777" w:rsidR="00710FC7" w:rsidRPr="00555395" w:rsidRDefault="00710FC7" w:rsidP="008951BD">
      <w:pPr>
        <w:pStyle w:val="TableDescription"/>
      </w:pPr>
      <w:r w:rsidRPr="00555395">
        <w:t>† Specific adverse drug reaction follow-up questionnaire</w:t>
      </w:r>
      <w:r w:rsidR="008951BD">
        <w:t xml:space="preserve">. </w:t>
      </w:r>
      <w:r w:rsidRPr="00555395">
        <w:t xml:space="preserve">§Antiretroviral Pregnancy Registry; prospective observational study; </w:t>
      </w:r>
      <w:r w:rsidR="008951BD">
        <w:t xml:space="preserve">cohort and surveillance studies. </w:t>
      </w:r>
      <w:r w:rsidRPr="00555395">
        <w:t>ǁ Phase III, randomised, double blind, multicentre, parallel group, non-inf</w:t>
      </w:r>
      <w:r w:rsidR="008951BD">
        <w:t>eriority study.</w:t>
      </w:r>
    </w:p>
    <w:p w14:paraId="1B04DF80" w14:textId="480BF946" w:rsidR="00710FC7" w:rsidRPr="00555395" w:rsidRDefault="00710FC7" w:rsidP="008951BD">
      <w:pPr>
        <w:pStyle w:val="ListBullet"/>
      </w:pPr>
      <w:r w:rsidRPr="00555395">
        <w:t xml:space="preserve">During evaluation the sponsor has included ‘use in pregnancy/breastfeeding’ and ‘long term safety data’ as missing information for lamivudine. The sponsor has removed ‘drug resistance’ as an important potential risk for </w:t>
      </w:r>
      <w:proofErr w:type="spellStart"/>
      <w:r w:rsidRPr="00555395">
        <w:t>dolutegravir</w:t>
      </w:r>
      <w:proofErr w:type="spellEnd"/>
      <w:r w:rsidRPr="00555395">
        <w:t xml:space="preserve"> and lamivudine on request of the EMA. The sponsor is requested to include ‘serious rash (</w:t>
      </w:r>
      <w:r w:rsidR="00C86E9E" w:rsidRPr="00AD6775">
        <w:rPr>
          <w:rFonts w:eastAsia="TimesNewRoman" w:cs="TimesNewRoman"/>
        </w:rPr>
        <w:t>Division of Acquired Immune Deficiency Syndrome</w:t>
      </w:r>
      <w:r w:rsidR="00C86E9E">
        <w:t xml:space="preserve"> (</w:t>
      </w:r>
      <w:r w:rsidRPr="00555395">
        <w:t>DAIDS</w:t>
      </w:r>
      <w:r w:rsidR="00C86E9E">
        <w:t>)</w:t>
      </w:r>
      <w:r w:rsidRPr="00555395">
        <w:t xml:space="preserve"> Grade 3 or 4)’ as an important potential risk for </w:t>
      </w:r>
      <w:proofErr w:type="spellStart"/>
      <w:r w:rsidRPr="00555395">
        <w:t>dolutegravir</w:t>
      </w:r>
      <w:proofErr w:type="spellEnd"/>
      <w:r w:rsidRPr="00555395">
        <w:t xml:space="preserve"> in the ASA to align with the </w:t>
      </w:r>
      <w:r w:rsidR="00C86E9E">
        <w:t>EU-</w:t>
      </w:r>
      <w:r w:rsidRPr="00555395">
        <w:t>RMP.</w:t>
      </w:r>
    </w:p>
    <w:p w14:paraId="24FEEFB1" w14:textId="77777777" w:rsidR="008766D5" w:rsidRDefault="00710FC7" w:rsidP="008951BD">
      <w:pPr>
        <w:pStyle w:val="ListBullet"/>
      </w:pPr>
      <w:r w:rsidRPr="00555395">
        <w:t xml:space="preserve">The Delegate is requested to review the Pregnancy Category of </w:t>
      </w:r>
      <w:proofErr w:type="spellStart"/>
      <w:r w:rsidRPr="00555395">
        <w:t>Dovato</w:t>
      </w:r>
      <w:proofErr w:type="spellEnd"/>
      <w:r w:rsidRPr="00555395">
        <w:t xml:space="preserve"> with consideration to past classification of lamivudine as Pregnancy Category B3.</w:t>
      </w:r>
      <w:r w:rsidR="00C86E9E">
        <w:fldChar w:fldCharType="begin"/>
      </w:r>
      <w:r w:rsidR="00C86E9E">
        <w:instrText xml:space="preserve"> NOTEREF _Ref24370809 \f \h </w:instrText>
      </w:r>
      <w:r w:rsidR="00C86E9E">
        <w:fldChar w:fldCharType="separate"/>
      </w:r>
      <w:r w:rsidR="00C86E9E" w:rsidRPr="00C86E9E">
        <w:rPr>
          <w:rStyle w:val="FootnoteReference"/>
        </w:rPr>
        <w:t>6</w:t>
      </w:r>
      <w:r w:rsidR="00C86E9E">
        <w:fldChar w:fldCharType="end"/>
      </w:r>
    </w:p>
    <w:p w14:paraId="633E29FF" w14:textId="77777777" w:rsidR="00710FC7" w:rsidRPr="00555395" w:rsidRDefault="00710FC7" w:rsidP="008951BD">
      <w:pPr>
        <w:pStyle w:val="ListBullet"/>
      </w:pPr>
      <w:r w:rsidRPr="00555395">
        <w:t>The sponsor has proposed routine pharmacovigilance activities and a specif</w:t>
      </w:r>
      <w:r w:rsidR="00C86E9E">
        <w:t xml:space="preserve">ic adverse drug reaction follow </w:t>
      </w:r>
      <w:r w:rsidRPr="00555395">
        <w:t>up questionnaire to monitor the important potential risk of neural tube defect. The sponsor has proposed a long term safety study and involvement in an Antiretroviral Pregnancy Register. These are acceptable.</w:t>
      </w:r>
    </w:p>
    <w:p w14:paraId="62DE0D87" w14:textId="77777777" w:rsidR="00710FC7" w:rsidRPr="00555395" w:rsidRDefault="00710FC7" w:rsidP="008951BD">
      <w:pPr>
        <w:pStyle w:val="ListBullet"/>
        <w:rPr>
          <w:rFonts w:eastAsiaTheme="majorEastAsia" w:cstheme="majorBidi"/>
          <w:b/>
          <w:bCs/>
          <w:caps/>
          <w:kern w:val="16"/>
        </w:rPr>
      </w:pPr>
      <w:r w:rsidRPr="00555395">
        <w:t xml:space="preserve">The sponsor has proposed routine risk minimisation activities and has made some amendments to the </w:t>
      </w:r>
      <w:r w:rsidR="00C86E9E">
        <w:rPr>
          <w:rFonts w:eastAsia="ArialNarrow" w:cs="ArialNarrow"/>
        </w:rPr>
        <w:t>Consumer Medicines Information</w:t>
      </w:r>
      <w:r w:rsidR="00C86E9E" w:rsidRPr="00555395">
        <w:t xml:space="preserve"> </w:t>
      </w:r>
      <w:r w:rsidR="00C86E9E">
        <w:t>(</w:t>
      </w:r>
      <w:r w:rsidRPr="00555395">
        <w:t>CMI</w:t>
      </w:r>
      <w:r w:rsidR="00C86E9E">
        <w:t>)</w:t>
      </w:r>
      <w:r w:rsidRPr="00555395">
        <w:t>. The sponsor is requested to continue to review the CMI recommendations.</w:t>
      </w:r>
    </w:p>
    <w:p w14:paraId="7BB9D17A" w14:textId="77777777" w:rsidR="00710FC7" w:rsidRPr="00555395" w:rsidRDefault="00710FC7" w:rsidP="00710FC7">
      <w:pPr>
        <w:pStyle w:val="Heading4"/>
        <w:numPr>
          <w:ilvl w:val="2"/>
          <w:numId w:val="0"/>
        </w:numPr>
        <w:tabs>
          <w:tab w:val="num" w:pos="1134"/>
        </w:tabs>
        <w:adjustRightInd w:val="0"/>
        <w:snapToGrid w:val="0"/>
        <w:spacing w:before="0" w:after="160" w:line="240" w:lineRule="auto"/>
        <w:ind w:left="1134" w:hanging="964"/>
        <w:rPr>
          <w:szCs w:val="22"/>
        </w:rPr>
      </w:pPr>
      <w:r w:rsidRPr="00555395">
        <w:rPr>
          <w:szCs w:val="22"/>
        </w:rPr>
        <w:lastRenderedPageBreak/>
        <w:t>Recommended condition/s of registration</w:t>
      </w:r>
    </w:p>
    <w:p w14:paraId="22A62291" w14:textId="77777777" w:rsidR="008E7846" w:rsidRDefault="00710FC7" w:rsidP="00C86E9E">
      <w:pPr>
        <w:rPr>
          <w:lang w:eastAsia="ja-JP"/>
        </w:rPr>
      </w:pPr>
      <w:r w:rsidRPr="00555395">
        <w:rPr>
          <w:lang w:eastAsia="ja-JP"/>
        </w:rPr>
        <w:t>This cannot be provided as the sponsor is yet to provide a copy of the EU-RMP with sign-off date and information on the dates for PSUR submission in the EU. The sponsor has committed to providing this information prior to registration decision.</w:t>
      </w:r>
      <w:r w:rsidR="00C86E9E">
        <w:rPr>
          <w:rStyle w:val="FootnoteReference"/>
          <w:lang w:eastAsia="ja-JP"/>
        </w:rPr>
        <w:footnoteReference w:id="12"/>
      </w:r>
    </w:p>
    <w:p w14:paraId="5A88E838" w14:textId="77777777" w:rsidR="008E7846" w:rsidRDefault="00AA0ED0" w:rsidP="008E7846">
      <w:pPr>
        <w:pStyle w:val="Heading3"/>
      </w:pPr>
      <w:bookmarkStart w:id="52" w:name="_Toc247691531"/>
      <w:bookmarkStart w:id="53" w:name="_Toc314842515"/>
      <w:bookmarkStart w:id="54" w:name="_Toc196046505"/>
      <w:bookmarkStart w:id="55" w:name="_Toc196046949"/>
      <w:bookmarkStart w:id="56" w:name="_Toc28080724"/>
      <w:r>
        <w:t>Risk-benefit a</w:t>
      </w:r>
      <w:r w:rsidR="008E7846">
        <w:t>nalysis</w:t>
      </w:r>
      <w:bookmarkEnd w:id="52"/>
      <w:bookmarkEnd w:id="53"/>
      <w:bookmarkEnd w:id="56"/>
    </w:p>
    <w:p w14:paraId="51419A7D" w14:textId="77777777" w:rsidR="008766D5" w:rsidRDefault="00D23139" w:rsidP="00D23139">
      <w:pPr>
        <w:pStyle w:val="Heading4"/>
      </w:pPr>
      <w:r w:rsidRPr="00D23139">
        <w:t>Delegate’s considerations</w:t>
      </w:r>
    </w:p>
    <w:p w14:paraId="5CD087B3" w14:textId="77777777" w:rsidR="00710FC7" w:rsidRDefault="00710FC7" w:rsidP="00710FC7">
      <w:pPr>
        <w:pStyle w:val="Heading5"/>
        <w:rPr>
          <w:rFonts w:eastAsia="TimesNewRoman"/>
        </w:rPr>
      </w:pPr>
      <w:r>
        <w:rPr>
          <w:rFonts w:eastAsia="TimesNewRoman"/>
        </w:rPr>
        <w:t>Discussion</w:t>
      </w:r>
    </w:p>
    <w:p w14:paraId="46F2B325" w14:textId="77777777" w:rsidR="008766D5" w:rsidRDefault="00710FC7" w:rsidP="00C86E9E">
      <w:r w:rsidRPr="00555395">
        <w:t xml:space="preserve">Overall, </w:t>
      </w:r>
      <w:r>
        <w:t xml:space="preserve">the </w:t>
      </w:r>
      <w:r w:rsidR="00C86E9E">
        <w:t xml:space="preserve">48 </w:t>
      </w:r>
      <w:r w:rsidRPr="00555395">
        <w:t>week results indicate that the DTG+3TC FDC is effective in the maintenance of plasma HIV-1 RNA &lt;</w:t>
      </w:r>
      <w:r w:rsidR="00C86E9E">
        <w:t xml:space="preserve"> </w:t>
      </w:r>
      <w:r w:rsidRPr="00555395">
        <w:t>50 c/mL in ART-naïve adults with HIV-1 infection. This simplified r</w:t>
      </w:r>
      <w:r w:rsidR="00C86E9E">
        <w:t xml:space="preserve">egimen is non-inferior to the 3 </w:t>
      </w:r>
      <w:r w:rsidRPr="00555395">
        <w:t xml:space="preserve">drug regimen of DTG+TDF/FTC without an increased risk of </w:t>
      </w:r>
      <w:proofErr w:type="spellStart"/>
      <w:r w:rsidRPr="00555395">
        <w:t>virologic</w:t>
      </w:r>
      <w:proofErr w:type="spellEnd"/>
      <w:r w:rsidRPr="00555395">
        <w:t xml:space="preserve"> failure.</w:t>
      </w:r>
    </w:p>
    <w:p w14:paraId="67CF7977" w14:textId="77777777" w:rsidR="00710FC7" w:rsidRDefault="00710FC7" w:rsidP="00C86E9E">
      <w:r>
        <w:t>Even though designed as a non-inferiority study, an ITT population was used in the primary analysis. However, the PP population analysis was consistent with the ITT analysis for the primary endpoint.</w:t>
      </w:r>
    </w:p>
    <w:p w14:paraId="1D73C112" w14:textId="77777777" w:rsidR="00710FC7" w:rsidRDefault="00710FC7" w:rsidP="00C86E9E">
      <w:r>
        <w:t xml:space="preserve">The main issues </w:t>
      </w:r>
      <w:r w:rsidR="00C86E9E">
        <w:t xml:space="preserve">of </w:t>
      </w:r>
      <w:r>
        <w:t>concern</w:t>
      </w:r>
      <w:r w:rsidR="00C86E9E">
        <w:t xml:space="preserve"> were</w:t>
      </w:r>
      <w:r>
        <w:t>:</w:t>
      </w:r>
    </w:p>
    <w:p w14:paraId="7CC28629" w14:textId="77777777" w:rsidR="00710FC7" w:rsidRDefault="00710FC7" w:rsidP="00C86E9E">
      <w:pPr>
        <w:pStyle w:val="ListBullet"/>
      </w:pPr>
      <w:r w:rsidRPr="00FA5774">
        <w:t>The proposed indication includes non-naïve patients despite the pivotal GEMINI trials being restricted to naïve patients</w:t>
      </w:r>
      <w:r w:rsidR="00C86E9E">
        <w:t>;</w:t>
      </w:r>
    </w:p>
    <w:p w14:paraId="4DA1BCB1" w14:textId="77777777" w:rsidR="00710FC7" w:rsidRDefault="00710FC7" w:rsidP="00C86E9E">
      <w:pPr>
        <w:pStyle w:val="ListBullet"/>
      </w:pPr>
      <w:r>
        <w:t>The extrapolation of efficacy and safety data (from the adult GEMINI trials, and the adult and adolescent data from the studies for the individual FDC components) to a</w:t>
      </w:r>
      <w:r w:rsidR="00C86E9E">
        <w:t>n adolescent patient population;</w:t>
      </w:r>
    </w:p>
    <w:p w14:paraId="50D0BE6C" w14:textId="77777777" w:rsidR="00710FC7" w:rsidRPr="00734815" w:rsidRDefault="00710FC7" w:rsidP="00C86E9E">
      <w:pPr>
        <w:pStyle w:val="ListBullet"/>
      </w:pPr>
      <w:r w:rsidRPr="00734815">
        <w:t>Pregnancy Category B1 is proposed</w:t>
      </w:r>
      <w:r>
        <w:t xml:space="preserve"> by the sponsor</w:t>
      </w:r>
      <w:r w:rsidRPr="00734815">
        <w:t>.</w:t>
      </w:r>
      <w:r w:rsidR="0022446B">
        <w:fldChar w:fldCharType="begin"/>
      </w:r>
      <w:r w:rsidR="0022446B">
        <w:instrText xml:space="preserve"> NOTEREF _Ref24371415 \f \h </w:instrText>
      </w:r>
      <w:r w:rsidR="0022446B">
        <w:fldChar w:fldCharType="separate"/>
      </w:r>
      <w:r w:rsidR="0022446B" w:rsidRPr="0022446B">
        <w:rPr>
          <w:rStyle w:val="FootnoteReference"/>
        </w:rPr>
        <w:t>5</w:t>
      </w:r>
      <w:r w:rsidR="0022446B">
        <w:fldChar w:fldCharType="end"/>
      </w:r>
      <w:r w:rsidRPr="00734815">
        <w:t xml:space="preserve"> However, Pregnancy Category B3</w:t>
      </w:r>
      <w:r w:rsidR="0022446B">
        <w:t>;</w:t>
      </w:r>
      <w:r w:rsidR="0022446B">
        <w:fldChar w:fldCharType="begin"/>
      </w:r>
      <w:r w:rsidR="0022446B">
        <w:instrText xml:space="preserve"> NOTEREF _Ref24370809 \f \h </w:instrText>
      </w:r>
      <w:r w:rsidR="0022446B">
        <w:fldChar w:fldCharType="separate"/>
      </w:r>
      <w:r w:rsidR="0022446B" w:rsidRPr="0022446B">
        <w:rPr>
          <w:rStyle w:val="FootnoteReference"/>
        </w:rPr>
        <w:t>6</w:t>
      </w:r>
      <w:r w:rsidR="0022446B">
        <w:fldChar w:fldCharType="end"/>
      </w:r>
      <w:r w:rsidRPr="00734815">
        <w:t xml:space="preserve"> is considered appropriate based on the Pregnancy categories for the individual agents (B1 and B3</w:t>
      </w:r>
      <w:r>
        <w:t>,</w:t>
      </w:r>
      <w:r w:rsidRPr="00734815">
        <w:t xml:space="preserve"> for DTG and 3TC, respectively).</w:t>
      </w:r>
    </w:p>
    <w:p w14:paraId="73261331" w14:textId="77777777" w:rsidR="00710FC7" w:rsidRPr="00555395" w:rsidRDefault="00710FC7" w:rsidP="00710FC7">
      <w:pPr>
        <w:pStyle w:val="Heading6"/>
      </w:pPr>
      <w:r w:rsidRPr="00555395">
        <w:t>Proposed indication</w:t>
      </w:r>
    </w:p>
    <w:p w14:paraId="16BB3677" w14:textId="77777777" w:rsidR="00710FC7" w:rsidRPr="0022446B" w:rsidRDefault="00710FC7" w:rsidP="0022446B">
      <w:r w:rsidRPr="00555395">
        <w:t>Only ART-naïve subjects were evaluated in the pivotal GEMINI studies. Furthermore, only patients with HIV-1 infection were evaluated.</w:t>
      </w:r>
      <w:r>
        <w:t xml:space="preserve"> T</w:t>
      </w:r>
      <w:r w:rsidRPr="00555395">
        <w:t xml:space="preserve">he wording of the proposed indication does not clearly state that the proposed FDC is only indicated as first line treatment in </w:t>
      </w:r>
      <w:r w:rsidRPr="0022446B">
        <w:t>ART-naïve patients with HIV-1 infection.</w:t>
      </w:r>
    </w:p>
    <w:p w14:paraId="272529DB" w14:textId="77777777" w:rsidR="00710FC7" w:rsidRPr="00555395" w:rsidRDefault="00710FC7" w:rsidP="0022446B">
      <w:r w:rsidRPr="00A556F5">
        <w:t xml:space="preserve">The clinical evaluator raised this in </w:t>
      </w:r>
      <w:r w:rsidR="0022446B">
        <w:t>first round clinical evaluation report</w:t>
      </w:r>
      <w:r w:rsidRPr="00A556F5">
        <w:t xml:space="preserve">. </w:t>
      </w:r>
      <w:r>
        <w:t>The sponsor</w:t>
      </w:r>
      <w:r w:rsidRPr="00555395">
        <w:t xml:space="preserve"> claim</w:t>
      </w:r>
      <w:r>
        <w:t>ed</w:t>
      </w:r>
      <w:r w:rsidRPr="00555395">
        <w:t xml:space="preserve"> that the use of </w:t>
      </w:r>
      <w:proofErr w:type="spellStart"/>
      <w:r w:rsidR="0022446B" w:rsidRPr="00555395">
        <w:t>Dovato</w:t>
      </w:r>
      <w:proofErr w:type="spellEnd"/>
      <w:r w:rsidRPr="00555395">
        <w:t xml:space="preserve"> should not be limited to ART-naïve patients and should be availabl</w:t>
      </w:r>
      <w:r>
        <w:t xml:space="preserve">e to stable suppressed patients, </w:t>
      </w:r>
      <w:r w:rsidRPr="00555395">
        <w:t xml:space="preserve">as long as there </w:t>
      </w:r>
      <w:r>
        <w:t>was</w:t>
      </w:r>
      <w:r w:rsidRPr="00555395">
        <w:t xml:space="preserve"> no known or suspected resistance to either antiretroviral </w:t>
      </w:r>
      <w:r>
        <w:t xml:space="preserve">component and provided </w:t>
      </w:r>
      <w:r w:rsidRPr="00555395">
        <w:t>the following information to support this:</w:t>
      </w:r>
    </w:p>
    <w:p w14:paraId="57C379FE" w14:textId="1649E054" w:rsidR="00710FC7" w:rsidRPr="00A556F5" w:rsidRDefault="00710FC7" w:rsidP="0022446B">
      <w:pPr>
        <w:pStyle w:val="ListBullet"/>
      </w:pPr>
      <w:r w:rsidRPr="00A556F5">
        <w:t xml:space="preserve">Regulatory requirements as specified in the TGA-adopted CHMP guideline for the evaluation of medicinal products for the treatment of </w:t>
      </w:r>
      <w:r w:rsidRPr="00C20382">
        <w:t>HIV</w:t>
      </w:r>
      <w:r w:rsidR="0022446B">
        <w:t>;</w:t>
      </w:r>
      <w:r w:rsidR="0022446B">
        <w:fldChar w:fldCharType="begin"/>
      </w:r>
      <w:r w:rsidR="0022446B">
        <w:instrText xml:space="preserve"> NOTEREF _Ref24371619 \f \h </w:instrText>
      </w:r>
      <w:r w:rsidR="0022446B">
        <w:fldChar w:fldCharType="separate"/>
      </w:r>
      <w:r w:rsidR="0022446B" w:rsidRPr="0022446B">
        <w:rPr>
          <w:rStyle w:val="FootnoteReference"/>
        </w:rPr>
        <w:t>7</w:t>
      </w:r>
      <w:r w:rsidR="0022446B">
        <w:fldChar w:fldCharType="end"/>
      </w:r>
      <w:r w:rsidR="008544C8">
        <w:t xml:space="preserve"> and alignment of indication in EU positive opinion;</w:t>
      </w:r>
    </w:p>
    <w:p w14:paraId="012BF166" w14:textId="77777777" w:rsidR="00710FC7" w:rsidRDefault="00710FC7" w:rsidP="0022446B">
      <w:pPr>
        <w:pStyle w:val="ListBullet"/>
      </w:pPr>
      <w:r w:rsidRPr="00A556F5">
        <w:t>Australian clinical practice and treatment guidelines</w:t>
      </w:r>
      <w:r w:rsidR="0022446B">
        <w:t>;</w:t>
      </w:r>
    </w:p>
    <w:p w14:paraId="0DD88DA8" w14:textId="77777777" w:rsidR="00710FC7" w:rsidRDefault="00710FC7" w:rsidP="0022446B">
      <w:pPr>
        <w:pStyle w:val="ListBullet"/>
      </w:pPr>
      <w:r w:rsidRPr="00A556F5">
        <w:t>TGA accepted approach for extrapolation of data to adolescent patients and historical precedents for use of data in treatment naïve patients to support use in treatme</w:t>
      </w:r>
      <w:r w:rsidR="0022446B">
        <w:t>nt stable, suppressed patients;</w:t>
      </w:r>
    </w:p>
    <w:p w14:paraId="47BF10F7" w14:textId="77777777" w:rsidR="00710FC7" w:rsidRPr="00CB4039" w:rsidRDefault="00710FC7" w:rsidP="0022446B">
      <w:pPr>
        <w:pStyle w:val="ListBullet"/>
      </w:pPr>
      <w:r w:rsidRPr="00CB4039">
        <w:lastRenderedPageBreak/>
        <w:t xml:space="preserve">Body of data supporting use of </w:t>
      </w:r>
      <w:proofErr w:type="spellStart"/>
      <w:r w:rsidRPr="00CB4039">
        <w:t>dolutegravir</w:t>
      </w:r>
      <w:proofErr w:type="spellEnd"/>
      <w:r w:rsidRPr="00CB4039">
        <w:t xml:space="preserve"> plus lamivudine in stable suppressed patients.</w:t>
      </w:r>
    </w:p>
    <w:p w14:paraId="07FABC26" w14:textId="77777777" w:rsidR="00710FC7" w:rsidRPr="00CB4039" w:rsidRDefault="00710FC7" w:rsidP="0022446B">
      <w:r w:rsidRPr="00CB4039">
        <w:t xml:space="preserve">The clinical evaluator reviewed the provided information, but retained their indication recommendation to limit </w:t>
      </w:r>
      <w:r w:rsidRPr="00CB4039">
        <w:rPr>
          <w:lang w:eastAsia="ja-JP"/>
        </w:rPr>
        <w:t xml:space="preserve">treatment with </w:t>
      </w:r>
      <w:proofErr w:type="spellStart"/>
      <w:r w:rsidR="0022446B" w:rsidRPr="00CB4039">
        <w:rPr>
          <w:lang w:eastAsia="ja-JP"/>
        </w:rPr>
        <w:t>Dovato</w:t>
      </w:r>
      <w:proofErr w:type="spellEnd"/>
      <w:r w:rsidRPr="00CB4039">
        <w:rPr>
          <w:lang w:eastAsia="ja-JP"/>
        </w:rPr>
        <w:t xml:space="preserve"> be limited to HIV</w:t>
      </w:r>
      <w:r>
        <w:rPr>
          <w:lang w:eastAsia="ja-JP"/>
        </w:rPr>
        <w:t>-</w:t>
      </w:r>
      <w:r w:rsidRPr="00CB4039">
        <w:rPr>
          <w:lang w:eastAsia="ja-JP"/>
        </w:rPr>
        <w:t>1 infected patients who are ART-naïve.</w:t>
      </w:r>
      <w:r w:rsidRPr="00CB4039">
        <w:t xml:space="preserve"> </w:t>
      </w:r>
      <w:r w:rsidRPr="00CB4039">
        <w:rPr>
          <w:lang w:eastAsia="ja-JP"/>
        </w:rPr>
        <w:t>The main reasons were:</w:t>
      </w:r>
    </w:p>
    <w:p w14:paraId="3910A285" w14:textId="6088B222" w:rsidR="008766D5" w:rsidRDefault="00710FC7" w:rsidP="0022446B">
      <w:pPr>
        <w:pStyle w:val="ListBullet"/>
      </w:pPr>
      <w:r w:rsidRPr="00555395">
        <w:t>The pivotal studies (GEMINI 1 and 2</w:t>
      </w:r>
      <w:r w:rsidR="00F63266">
        <w:t xml:space="preserve"> trials</w:t>
      </w:r>
      <w:r w:rsidRPr="00555395">
        <w:t>) were conducted in HIV-1 infe</w:t>
      </w:r>
      <w:r w:rsidR="0022446B">
        <w:t>cted patients with no prior ART;</w:t>
      </w:r>
    </w:p>
    <w:p w14:paraId="4E37A24E" w14:textId="30C34ECB" w:rsidR="00710FC7" w:rsidRPr="00CB4039" w:rsidRDefault="00710FC7" w:rsidP="0022446B">
      <w:pPr>
        <w:pStyle w:val="ListBullet"/>
        <w:rPr>
          <w:rFonts w:eastAsia="TimesNewRoman" w:cs="TimesNewRoman,Italic"/>
          <w:iCs/>
        </w:rPr>
      </w:pPr>
      <w:r w:rsidRPr="00555395">
        <w:t xml:space="preserve">The studies provided to support use in stably suppressed HIV-1 infected patients in the </w:t>
      </w:r>
      <w:r w:rsidR="0022446B">
        <w:t>response to TGA questions</w:t>
      </w:r>
      <w:r w:rsidRPr="00555395">
        <w:t xml:space="preserve"> were limited to small, observational studies. T</w:t>
      </w:r>
      <w:r>
        <w:t>he ongoing TANGO</w:t>
      </w:r>
      <w:r w:rsidR="00F63266">
        <w:t xml:space="preserve"> trial; a</w:t>
      </w:r>
      <w:r>
        <w:t xml:space="preserve"> stable switch </w:t>
      </w:r>
      <w:r w:rsidRPr="00555395">
        <w:t xml:space="preserve">study in 743 patients </w:t>
      </w:r>
      <w:r w:rsidRPr="00CB4039">
        <w:rPr>
          <w:rFonts w:eastAsia="TimesNewRoman" w:cs="TimesNewRoman"/>
        </w:rPr>
        <w:t>currently receiving tenofovir alafenamide fumarate based regimens and rand</w:t>
      </w:r>
      <w:r w:rsidR="0022446B">
        <w:rPr>
          <w:rFonts w:eastAsia="TimesNewRoman" w:cs="TimesNewRoman"/>
        </w:rPr>
        <w:t>omised to switch to DTG + 3TC</w:t>
      </w:r>
      <w:r w:rsidRPr="00CB4039">
        <w:rPr>
          <w:rFonts w:eastAsia="TimesNewRoman" w:cs="TimesNewRoman"/>
        </w:rPr>
        <w:t xml:space="preserve"> or remain on their current regimen</w:t>
      </w:r>
      <w:r w:rsidR="00F63266">
        <w:rPr>
          <w:rFonts w:eastAsia="TimesNewRoman" w:cs="TimesNewRoman"/>
        </w:rPr>
        <w:t>,</w:t>
      </w:r>
      <w:r w:rsidRPr="00CB4039">
        <w:rPr>
          <w:rFonts w:eastAsia="TimesNewRoman" w:cs="TimesNewRoman"/>
        </w:rPr>
        <w:t xml:space="preserve"> </w:t>
      </w:r>
      <w:r w:rsidRPr="00555395">
        <w:t>showed comparable efficacy at the</w:t>
      </w:r>
      <w:r w:rsidR="0022446B">
        <w:t xml:space="preserve"> 24 </w:t>
      </w:r>
      <w:r>
        <w:t xml:space="preserve">week interim analysis: </w:t>
      </w:r>
      <w:r w:rsidR="0022446B">
        <w:rPr>
          <w:rFonts w:eastAsia="TimesNewRoman" w:cs="TimesNewRoman"/>
        </w:rPr>
        <w:t xml:space="preserve">at Week 24, 1 out of </w:t>
      </w:r>
      <w:r>
        <w:rPr>
          <w:rFonts w:eastAsia="TimesNewRoman" w:cs="TimesNewRoman"/>
        </w:rPr>
        <w:t>369 (&lt;</w:t>
      </w:r>
      <w:r w:rsidR="0022446B">
        <w:rPr>
          <w:rFonts w:eastAsia="TimesNewRoman" w:cs="TimesNewRoman"/>
        </w:rPr>
        <w:t xml:space="preserve"> </w:t>
      </w:r>
      <w:r>
        <w:rPr>
          <w:rFonts w:eastAsia="TimesNewRoman" w:cs="TimesNewRoman"/>
        </w:rPr>
        <w:t>1%) subject</w:t>
      </w:r>
      <w:r w:rsidR="0022446B">
        <w:rPr>
          <w:rFonts w:eastAsia="TimesNewRoman" w:cs="TimesNewRoman"/>
        </w:rPr>
        <w:t xml:space="preserve"> on the DTG + 3TC arm and 3</w:t>
      </w:r>
      <w:r w:rsidR="00F63266">
        <w:rPr>
          <w:rFonts w:eastAsia="TimesNewRoman" w:cs="TimesNewRoman"/>
        </w:rPr>
        <w:t> </w:t>
      </w:r>
      <w:r w:rsidR="0022446B">
        <w:rPr>
          <w:rFonts w:eastAsia="TimesNewRoman" w:cs="TimesNewRoman"/>
        </w:rPr>
        <w:t xml:space="preserve">out of </w:t>
      </w:r>
      <w:r w:rsidRPr="00CB4039">
        <w:rPr>
          <w:rFonts w:eastAsia="TimesNewRoman" w:cs="TimesNewRoman"/>
        </w:rPr>
        <w:t>372 (&lt;</w:t>
      </w:r>
      <w:r w:rsidR="0022446B">
        <w:rPr>
          <w:rFonts w:eastAsia="TimesNewRoman" w:cs="TimesNewRoman"/>
        </w:rPr>
        <w:t xml:space="preserve"> </w:t>
      </w:r>
      <w:r w:rsidRPr="00CB4039">
        <w:rPr>
          <w:rFonts w:eastAsia="TimesNewRoman" w:cs="TimesNewRoman"/>
        </w:rPr>
        <w:t>1%) on th</w:t>
      </w:r>
      <w:r w:rsidR="0022446B">
        <w:rPr>
          <w:rFonts w:eastAsia="TimesNewRoman" w:cs="TimesNewRoman"/>
        </w:rPr>
        <w:t>e TAF-based regimen arm had a viral load</w:t>
      </w:r>
      <w:r w:rsidRPr="00CB4039">
        <w:rPr>
          <w:rFonts w:eastAsia="TimesNewRoman" w:cs="TimesNewRoman"/>
        </w:rPr>
        <w:t xml:space="preserve"> &gt;</w:t>
      </w:r>
      <w:r w:rsidR="0022446B">
        <w:rPr>
          <w:rFonts w:eastAsia="TimesNewRoman" w:cs="TimesNewRoman"/>
        </w:rPr>
        <w:t xml:space="preserve"> </w:t>
      </w:r>
      <w:r w:rsidRPr="00CB4039">
        <w:rPr>
          <w:rFonts w:eastAsia="TimesNewRoman" w:cs="TimesNewRoman"/>
        </w:rPr>
        <w:t>50 c/ml in an ITT-E Snapshot A</w:t>
      </w:r>
      <w:r>
        <w:rPr>
          <w:rFonts w:eastAsia="TimesNewRoman" w:cs="TimesNewRoman"/>
        </w:rPr>
        <w:t>nalysis of proportion &gt;</w:t>
      </w:r>
      <w:r w:rsidR="006835ED">
        <w:rPr>
          <w:rFonts w:eastAsia="TimesNewRoman" w:cs="TimesNewRoman"/>
        </w:rPr>
        <w:t xml:space="preserve"> </w:t>
      </w:r>
      <w:r>
        <w:rPr>
          <w:rFonts w:eastAsia="TimesNewRoman" w:cs="TimesNewRoman"/>
        </w:rPr>
        <w:t>=</w:t>
      </w:r>
      <w:r w:rsidR="006835ED">
        <w:rPr>
          <w:rFonts w:eastAsia="TimesNewRoman" w:cs="TimesNewRoman"/>
        </w:rPr>
        <w:t xml:space="preserve"> </w:t>
      </w:r>
      <w:r>
        <w:rPr>
          <w:rFonts w:eastAsia="TimesNewRoman" w:cs="TimesNewRoman"/>
        </w:rPr>
        <w:t>50 c/</w:t>
      </w:r>
      <w:proofErr w:type="spellStart"/>
      <w:r>
        <w:rPr>
          <w:rFonts w:eastAsia="TimesNewRoman" w:cs="TimesNewRoman"/>
        </w:rPr>
        <w:t>mL</w:t>
      </w:r>
      <w:r w:rsidRPr="00CB4039">
        <w:rPr>
          <w:rFonts w:eastAsia="TimesNewRoman" w:cs="TimesNewRoman"/>
        </w:rPr>
        <w:t>.</w:t>
      </w:r>
      <w:proofErr w:type="spellEnd"/>
      <w:r w:rsidRPr="00CB4039">
        <w:rPr>
          <w:rFonts w:eastAsia="TimesNewRoman" w:cs="TimesNewRoman"/>
        </w:rPr>
        <w:t xml:space="preserve"> </w:t>
      </w:r>
      <w:r w:rsidRPr="005E1729">
        <w:t xml:space="preserve">There were no confirmed </w:t>
      </w:r>
      <w:proofErr w:type="spellStart"/>
      <w:r w:rsidRPr="005E1729">
        <w:t>virologic</w:t>
      </w:r>
      <w:proofErr w:type="spellEnd"/>
      <w:r w:rsidRPr="005E1729">
        <w:t xml:space="preserve"> failures </w:t>
      </w:r>
      <w:r>
        <w:t>in</w:t>
      </w:r>
      <w:r w:rsidRPr="005E1729">
        <w:t xml:space="preserve"> the DTG</w:t>
      </w:r>
      <w:r w:rsidR="0022446B">
        <w:t xml:space="preserve"> </w:t>
      </w:r>
      <w:r w:rsidRPr="005E1729">
        <w:t>+</w:t>
      </w:r>
      <w:r w:rsidR="0022446B">
        <w:t xml:space="preserve"> </w:t>
      </w:r>
      <w:r w:rsidR="006835ED">
        <w:t>3TC</w:t>
      </w:r>
      <w:r w:rsidRPr="005E1729">
        <w:t xml:space="preserve"> arm and one </w:t>
      </w:r>
      <w:r>
        <w:t>in</w:t>
      </w:r>
      <w:r w:rsidRPr="005E1729">
        <w:t xml:space="preserve"> the TAF-based regimen arm</w:t>
      </w:r>
      <w:r>
        <w:t xml:space="preserve">. </w:t>
      </w:r>
      <w:r w:rsidR="006835ED">
        <w:t xml:space="preserve">The 48 </w:t>
      </w:r>
      <w:r w:rsidRPr="00555395">
        <w:t>week data is expected in mid-2019 and should also be presented</w:t>
      </w:r>
      <w:r>
        <w:t xml:space="preserve"> for evaluation when available.</w:t>
      </w:r>
    </w:p>
    <w:p w14:paraId="475A69F2" w14:textId="0304687D" w:rsidR="008766D5" w:rsidRDefault="00710FC7" w:rsidP="0022446B">
      <w:pPr>
        <w:pStyle w:val="ListBullet"/>
        <w:rPr>
          <w:rFonts w:eastAsia="TimesNewRoman" w:cs="TimesNewRoman,Italic"/>
          <w:iCs/>
        </w:rPr>
      </w:pPr>
      <w:r>
        <w:t xml:space="preserve">The US </w:t>
      </w:r>
      <w:r w:rsidRPr="00555395">
        <w:t xml:space="preserve">FDA has only approved use of </w:t>
      </w:r>
      <w:proofErr w:type="spellStart"/>
      <w:r w:rsidR="006835ED" w:rsidRPr="00555395">
        <w:t>Dovato</w:t>
      </w:r>
      <w:proofErr w:type="spellEnd"/>
      <w:r w:rsidRPr="00555395">
        <w:t xml:space="preserve"> for </w:t>
      </w:r>
      <w:r w:rsidRPr="00CB4039">
        <w:rPr>
          <w:rFonts w:eastAsia="TimesNewRoman" w:cs="TimesNewRoman,Italic"/>
          <w:iCs/>
        </w:rPr>
        <w:t xml:space="preserve">treatment of human immunodeficiency virus type 1 </w:t>
      </w:r>
      <w:r w:rsidRPr="00CB4039">
        <w:rPr>
          <w:rFonts w:eastAsia="TimesNewRoman" w:cs="TimesNewRoman,Italic"/>
          <w:iCs/>
          <w:u w:val="single"/>
        </w:rPr>
        <w:t>(</w:t>
      </w:r>
      <w:r w:rsidRPr="006835ED">
        <w:rPr>
          <w:rFonts w:eastAsia="TimesNewRoman" w:cs="TimesNewRoman,Italic"/>
          <w:iCs/>
        </w:rPr>
        <w:t>HIV-1) infection in adults with no antiretroviral treatment history.</w:t>
      </w:r>
      <w:r w:rsidRPr="00CB4039">
        <w:rPr>
          <w:rFonts w:eastAsia="TimesNewRoman" w:cs="TimesNewRoman,Italic"/>
          <w:iCs/>
        </w:rPr>
        <w:t xml:space="preserve"> This decision was based on the same dataset that was submitted in Australia.</w:t>
      </w:r>
    </w:p>
    <w:p w14:paraId="729F3A0F" w14:textId="0A3C9490" w:rsidR="00710FC7" w:rsidRPr="00555395" w:rsidRDefault="00F63266" w:rsidP="00710FC7">
      <w:pPr>
        <w:pStyle w:val="Heading6"/>
      </w:pPr>
      <w:r>
        <w:t>Fixed dose combination</w:t>
      </w:r>
      <w:r w:rsidRPr="00555395">
        <w:t xml:space="preserve"> </w:t>
      </w:r>
      <w:r w:rsidR="00710FC7" w:rsidRPr="00555395">
        <w:t>considerations</w:t>
      </w:r>
    </w:p>
    <w:p w14:paraId="618346C9" w14:textId="77777777" w:rsidR="00710FC7" w:rsidRPr="00555395" w:rsidRDefault="00710FC7" w:rsidP="00710FC7">
      <w:pPr>
        <w:spacing w:line="240" w:lineRule="auto"/>
        <w:rPr>
          <w:lang w:eastAsia="ja-JP"/>
        </w:rPr>
      </w:pPr>
      <w:r w:rsidRPr="00555395">
        <w:rPr>
          <w:lang w:eastAsia="ja-JP"/>
        </w:rPr>
        <w:t xml:space="preserve">The efficacy, PK, safety and drug interaction potential of DTG and 3TC as single agents have been evaluated in 2 individual extensive clinical development programs of Phase I to III clinical trials. </w:t>
      </w:r>
      <w:r w:rsidRPr="00555395">
        <w:rPr>
          <w:rFonts w:cs="TimesNewRoman"/>
        </w:rPr>
        <w:t>There appeared to be an absence of a drug-drug interaction between these components.</w:t>
      </w:r>
    </w:p>
    <w:p w14:paraId="043F783F" w14:textId="41D79BD0" w:rsidR="00710FC7" w:rsidRPr="00555395" w:rsidRDefault="00710FC7" w:rsidP="00710FC7">
      <w:pPr>
        <w:autoSpaceDE w:val="0"/>
        <w:autoSpaceDN w:val="0"/>
        <w:adjustRightInd w:val="0"/>
        <w:spacing w:line="240" w:lineRule="auto"/>
        <w:rPr>
          <w:rFonts w:cs="TimesNewRoman"/>
          <w:color w:val="000000"/>
        </w:rPr>
      </w:pPr>
      <w:r w:rsidRPr="00555395">
        <w:rPr>
          <w:rFonts w:cs="TimesNewRoman"/>
          <w:color w:val="000000"/>
        </w:rPr>
        <w:t xml:space="preserve">The </w:t>
      </w:r>
      <w:r w:rsidR="006835ED">
        <w:rPr>
          <w:rFonts w:cs="TimesNewRoman"/>
          <w:color w:val="000000"/>
        </w:rPr>
        <w:t>b</w:t>
      </w:r>
      <w:r w:rsidR="006835ED" w:rsidRPr="006835ED">
        <w:rPr>
          <w:rFonts w:cs="TimesNewRoman"/>
          <w:color w:val="000000"/>
        </w:rPr>
        <w:t xml:space="preserve">ioequivalence </w:t>
      </w:r>
      <w:r w:rsidR="006835ED">
        <w:rPr>
          <w:rFonts w:cs="TimesNewRoman"/>
          <w:color w:val="000000"/>
        </w:rPr>
        <w:t>(</w:t>
      </w:r>
      <w:r w:rsidRPr="00555395">
        <w:rPr>
          <w:rFonts w:cs="TimesNewRoman"/>
          <w:color w:val="000000"/>
        </w:rPr>
        <w:t>BE</w:t>
      </w:r>
      <w:r w:rsidR="006835ED">
        <w:rPr>
          <w:rFonts w:cs="TimesNewRoman"/>
          <w:color w:val="000000"/>
        </w:rPr>
        <w:t>)</w:t>
      </w:r>
      <w:r w:rsidRPr="00555395">
        <w:rPr>
          <w:rFonts w:cs="TimesNewRoman"/>
          <w:color w:val="000000"/>
        </w:rPr>
        <w:t xml:space="preserve"> and food effect study </w:t>
      </w:r>
      <w:r w:rsidR="006835ED">
        <w:rPr>
          <w:rFonts w:cs="TimesNewRoman"/>
          <w:color w:val="000000"/>
        </w:rPr>
        <w:t xml:space="preserve">(Study </w:t>
      </w:r>
      <w:r w:rsidRPr="00555395">
        <w:rPr>
          <w:rFonts w:cs="TimesNewRoman"/>
          <w:color w:val="000000"/>
        </w:rPr>
        <w:t>204994</w:t>
      </w:r>
      <w:r w:rsidR="006835ED">
        <w:rPr>
          <w:rFonts w:cs="TimesNewRoman"/>
          <w:color w:val="000000"/>
        </w:rPr>
        <w:t>)</w:t>
      </w:r>
      <w:r w:rsidRPr="00555395">
        <w:rPr>
          <w:rFonts w:cs="TimesNewRoman"/>
          <w:color w:val="000000"/>
        </w:rPr>
        <w:t xml:space="preserve"> together with the 3TC safety data from historical dose-ranging and </w:t>
      </w:r>
      <w:proofErr w:type="spellStart"/>
      <w:r w:rsidRPr="00555395">
        <w:rPr>
          <w:rFonts w:cs="TimesNewRoman"/>
          <w:color w:val="000000"/>
        </w:rPr>
        <w:t>registrational</w:t>
      </w:r>
      <w:proofErr w:type="spellEnd"/>
      <w:r w:rsidRPr="00555395">
        <w:rPr>
          <w:rFonts w:cs="TimesNewRoman"/>
          <w:color w:val="000000"/>
        </w:rPr>
        <w:t xml:space="preserve"> studies that evaluated higher 3TC doses/exposures provided an acceptable PK bridge between the DTG/3TC FDC and the DTG + 3TC single entities used in GEMINI-1 and GEMINI-2 </w:t>
      </w:r>
      <w:r w:rsidR="00F63266">
        <w:rPr>
          <w:rFonts w:cs="TimesNewRoman"/>
          <w:color w:val="000000"/>
        </w:rPr>
        <w:t>trials</w:t>
      </w:r>
      <w:r w:rsidRPr="00555395">
        <w:rPr>
          <w:rFonts w:cs="TimesNewRoman"/>
          <w:color w:val="000000"/>
        </w:rPr>
        <w:t>.</w:t>
      </w:r>
    </w:p>
    <w:p w14:paraId="11F4B998" w14:textId="1253BCF7" w:rsidR="008766D5" w:rsidRDefault="00710FC7" w:rsidP="00710FC7">
      <w:pPr>
        <w:spacing w:line="240" w:lineRule="auto"/>
        <w:rPr>
          <w:lang w:eastAsia="ja-JP"/>
        </w:rPr>
      </w:pPr>
      <w:r w:rsidRPr="00555395">
        <w:rPr>
          <w:lang w:eastAsia="ja-JP"/>
        </w:rPr>
        <w:t xml:space="preserve">As individual agents, DTG and 3TC are both approved and marketed as </w:t>
      </w:r>
      <w:proofErr w:type="spellStart"/>
      <w:r w:rsidRPr="00555395">
        <w:rPr>
          <w:lang w:eastAsia="ja-JP"/>
        </w:rPr>
        <w:t>Tivicay</w:t>
      </w:r>
      <w:proofErr w:type="spellEnd"/>
      <w:r w:rsidRPr="00555395">
        <w:rPr>
          <w:lang w:eastAsia="ja-JP"/>
        </w:rPr>
        <w:t xml:space="preserve"> 50 mg once daily for use in adults and adolescents &gt;</w:t>
      </w:r>
      <w:r w:rsidR="006835ED">
        <w:rPr>
          <w:lang w:eastAsia="ja-JP"/>
        </w:rPr>
        <w:t xml:space="preserve"> </w:t>
      </w:r>
      <w:r w:rsidRPr="00555395">
        <w:rPr>
          <w:lang w:eastAsia="ja-JP"/>
        </w:rPr>
        <w:t xml:space="preserve">40 kg and </w:t>
      </w:r>
      <w:r w:rsidR="00AF56EB">
        <w:rPr>
          <w:lang w:eastAsia="ja-JP"/>
        </w:rPr>
        <w:t>3TC</w:t>
      </w:r>
      <w:r w:rsidR="00C20382">
        <w:rPr>
          <w:lang w:eastAsia="ja-JP"/>
        </w:rPr>
        <w:t xml:space="preserve"> </w:t>
      </w:r>
      <w:r w:rsidRPr="00555395">
        <w:rPr>
          <w:lang w:eastAsia="ja-JP"/>
        </w:rPr>
        <w:t>300 mg once daily for use in adults and children &gt;</w:t>
      </w:r>
      <w:r w:rsidR="006835ED">
        <w:rPr>
          <w:lang w:eastAsia="ja-JP"/>
        </w:rPr>
        <w:t xml:space="preserve"> </w:t>
      </w:r>
      <w:r w:rsidRPr="00555395">
        <w:rPr>
          <w:lang w:eastAsia="ja-JP"/>
        </w:rPr>
        <w:t>25 kg, respectively, the doses used in the current studies (Study</w:t>
      </w:r>
      <w:r w:rsidR="00F63266">
        <w:rPr>
          <w:lang w:eastAsia="ja-JP"/>
        </w:rPr>
        <w:t> </w:t>
      </w:r>
      <w:r w:rsidRPr="00555395">
        <w:rPr>
          <w:lang w:eastAsia="ja-JP"/>
        </w:rPr>
        <w:t>204861 and Study 205543).</w:t>
      </w:r>
    </w:p>
    <w:p w14:paraId="7480B23D" w14:textId="77777777" w:rsidR="00710FC7" w:rsidRPr="00555395" w:rsidRDefault="00710FC7" w:rsidP="00710FC7">
      <w:pPr>
        <w:spacing w:line="240" w:lineRule="auto"/>
        <w:rPr>
          <w:lang w:eastAsia="ja-JP"/>
        </w:rPr>
      </w:pPr>
      <w:r w:rsidRPr="00555395">
        <w:rPr>
          <w:lang w:eastAsia="ja-JP"/>
        </w:rPr>
        <w:t>Hence, the proposed use of the already approved doses of the individual components of the proposed FDC of DTG and 3TC (</w:t>
      </w:r>
      <w:proofErr w:type="spellStart"/>
      <w:r w:rsidR="006835ED" w:rsidRPr="00555395">
        <w:rPr>
          <w:lang w:eastAsia="ja-JP"/>
        </w:rPr>
        <w:t>Dovato</w:t>
      </w:r>
      <w:proofErr w:type="spellEnd"/>
      <w:r w:rsidRPr="00555395">
        <w:rPr>
          <w:lang w:eastAsia="ja-JP"/>
        </w:rPr>
        <w:t>) is justified.</w:t>
      </w:r>
    </w:p>
    <w:p w14:paraId="0842CCF1" w14:textId="77777777" w:rsidR="00710FC7" w:rsidRPr="00555395" w:rsidRDefault="00710FC7" w:rsidP="00710FC7">
      <w:pPr>
        <w:pStyle w:val="Heading6"/>
      </w:pPr>
      <w:r w:rsidRPr="00555395">
        <w:t>Limitations</w:t>
      </w:r>
    </w:p>
    <w:p w14:paraId="05BCF9EB" w14:textId="77777777" w:rsidR="00710FC7" w:rsidRPr="005E1729" w:rsidRDefault="00710FC7" w:rsidP="00710FC7">
      <w:pPr>
        <w:autoSpaceDE w:val="0"/>
        <w:autoSpaceDN w:val="0"/>
        <w:adjustRightInd w:val="0"/>
        <w:spacing w:line="240" w:lineRule="auto"/>
        <w:rPr>
          <w:rFonts w:cs="TimesNewRoman"/>
        </w:rPr>
      </w:pPr>
      <w:r w:rsidRPr="005E1729">
        <w:rPr>
          <w:rFonts w:cs="TimesNewRoman"/>
        </w:rPr>
        <w:t>Additional to the indication issue described above:</w:t>
      </w:r>
    </w:p>
    <w:p w14:paraId="3DCC60F9" w14:textId="77777777" w:rsidR="008766D5" w:rsidRDefault="00710FC7" w:rsidP="006835ED">
      <w:pPr>
        <w:pStyle w:val="ListBullet"/>
      </w:pPr>
      <w:r w:rsidRPr="006835ED">
        <w:t>Stage 3 HIV:</w:t>
      </w:r>
      <w:r w:rsidRPr="00555395">
        <w:t xml:space="preserve"> There were few subjects with Stage 3 HIV-associated events or disease progressions in both treatment groups, which is not </w:t>
      </w:r>
      <w:r w:rsidR="006835ED">
        <w:t>unexpected in the evaluated ART</w:t>
      </w:r>
      <w:r w:rsidR="006835ED">
        <w:noBreakHyphen/>
      </w:r>
      <w:r w:rsidRPr="00555395">
        <w:t xml:space="preserve">naïve patient population with a high median CD4+ count. Long term data (once available) could help confirm findings observed after 48 weeks of treatment that adequate virological control provided by both treatments helps limit the development of new </w:t>
      </w:r>
      <w:proofErr w:type="spellStart"/>
      <w:r w:rsidR="006835ED">
        <w:t>Centers</w:t>
      </w:r>
      <w:proofErr w:type="spellEnd"/>
      <w:r w:rsidR="006835ED">
        <w:t xml:space="preserve"> for Disease Control and Prevention (</w:t>
      </w:r>
      <w:r w:rsidRPr="00555395">
        <w:t>CDC</w:t>
      </w:r>
      <w:r w:rsidR="006835ED">
        <w:t>)</w:t>
      </w:r>
      <w:r w:rsidRPr="00555395">
        <w:t xml:space="preserve"> Stage 3 qualifying conditions.</w:t>
      </w:r>
    </w:p>
    <w:p w14:paraId="64B0F790" w14:textId="31E6B1F1" w:rsidR="00710FC7" w:rsidRPr="006835ED" w:rsidRDefault="00710FC7" w:rsidP="006835ED">
      <w:pPr>
        <w:pStyle w:val="ListBullet"/>
      </w:pPr>
      <w:r w:rsidRPr="006835ED">
        <w:t>No data beyond 48 weeks: The curr</w:t>
      </w:r>
      <w:r w:rsidR="006835ED">
        <w:t xml:space="preserve">ent submission only includes 48 </w:t>
      </w:r>
      <w:r w:rsidRPr="006835ED">
        <w:t>week efficacy data for subjects receiving DTG+3TC in the 2 ongoing Phase III GEMINI</w:t>
      </w:r>
      <w:r w:rsidR="00C20382">
        <w:t xml:space="preserve"> </w:t>
      </w:r>
      <w:r w:rsidR="00F63266">
        <w:t>trial</w:t>
      </w:r>
      <w:r w:rsidRPr="006835ED">
        <w:t xml:space="preserve"> and evidence of long term efficacy beyond 48 weeks is not current</w:t>
      </w:r>
      <w:r w:rsidR="006835ED">
        <w:t xml:space="preserve">ly available for the proposed 2 </w:t>
      </w:r>
      <w:r w:rsidRPr="006835ED">
        <w:t xml:space="preserve">drug </w:t>
      </w:r>
      <w:r w:rsidRPr="006835ED">
        <w:lastRenderedPageBreak/>
        <w:t>regimen. However, as these studies will continue for 148 weeks, submission of the results on completion should help address this deficiency. Currently, long term data are available only for each of the components from single</w:t>
      </w:r>
      <w:r w:rsidR="006835ED">
        <w:t xml:space="preserve"> entity studies. The proposed 2 </w:t>
      </w:r>
      <w:r w:rsidRPr="006835ED">
        <w:t>drug regimen of DTG+3TC was not associated with an increased risk of treatment-emergent resistance, as no subject meeting CVW criteria in either treatment group had treatment emergent INSTI or NRTI resistance through Week 48. The resistance profiles for DTG and 3TC are adequately documented in the current product labelling.</w:t>
      </w:r>
    </w:p>
    <w:p w14:paraId="7416379C" w14:textId="064C9E4A" w:rsidR="00710FC7" w:rsidRDefault="00710FC7" w:rsidP="006835ED">
      <w:pPr>
        <w:pStyle w:val="ListBullet"/>
      </w:pPr>
      <w:r w:rsidRPr="006835ED">
        <w:rPr>
          <w:color w:val="000000"/>
        </w:rPr>
        <w:t>Adolescent data: Efficacy</w:t>
      </w:r>
      <w:r>
        <w:rPr>
          <w:color w:val="000000"/>
        </w:rPr>
        <w:t xml:space="preserve"> or s</w:t>
      </w:r>
      <w:r w:rsidRPr="00555395">
        <w:rPr>
          <w:color w:val="000000"/>
        </w:rPr>
        <w:t xml:space="preserve">afety of DTG+3TC was not evaluated in adolescents. </w:t>
      </w:r>
      <w:r w:rsidRPr="00555395">
        <w:t xml:space="preserve">Although adolescents were not included in the pivotal GEMINI studies, both </w:t>
      </w:r>
      <w:proofErr w:type="spellStart"/>
      <w:r w:rsidRPr="00555395">
        <w:t>Tivicay</w:t>
      </w:r>
      <w:proofErr w:type="spellEnd"/>
      <w:r w:rsidRPr="00555395">
        <w:t xml:space="preserve"> (</w:t>
      </w:r>
      <w:proofErr w:type="spellStart"/>
      <w:r w:rsidRPr="00555395">
        <w:t>dolutegravir</w:t>
      </w:r>
      <w:proofErr w:type="spellEnd"/>
      <w:r w:rsidRPr="00555395">
        <w:t xml:space="preserve">) and </w:t>
      </w:r>
      <w:r w:rsidR="00E95665">
        <w:t xml:space="preserve">3TC </w:t>
      </w:r>
      <w:r w:rsidRPr="00555395">
        <w:t xml:space="preserve">(lamivudine) are approved in combination with other antiretroviral agents for the treatment of HIV-1 infection in adults and </w:t>
      </w:r>
      <w:r w:rsidRPr="00CB4039">
        <w:t>adolescents. The proposed FDC formulation consists of 50 mg DTG and 300 mg 3TC which are approved doses for adolescents’ ≥</w:t>
      </w:r>
      <w:r w:rsidR="006835ED">
        <w:t xml:space="preserve"> </w:t>
      </w:r>
      <w:r w:rsidRPr="00CB4039">
        <w:t>12 years of age weighing ≥</w:t>
      </w:r>
      <w:r w:rsidR="006835ED">
        <w:t xml:space="preserve"> </w:t>
      </w:r>
      <w:r w:rsidRPr="00CB4039">
        <w:t xml:space="preserve">40 kg (DTG) or for paediatric patients weighing ≥25 kg (3TC). Prior studies have shown that DTG and 3TC PK exposures in adolescents are sufficiently similar to those in adults and allows extrapolation of GEMINI </w:t>
      </w:r>
      <w:r w:rsidR="00F63266">
        <w:t xml:space="preserve">trial </w:t>
      </w:r>
      <w:r>
        <w:t>data to adolescents (</w:t>
      </w:r>
      <w:r w:rsidR="006173DB">
        <w:fldChar w:fldCharType="begin"/>
      </w:r>
      <w:r w:rsidR="006173DB">
        <w:instrText xml:space="preserve"> REF _Ref24364238 \h </w:instrText>
      </w:r>
      <w:r w:rsidR="006173DB">
        <w:fldChar w:fldCharType="separate"/>
      </w:r>
      <w:r w:rsidR="00F63266">
        <w:t xml:space="preserve">Table </w:t>
      </w:r>
      <w:r w:rsidR="00F63266">
        <w:rPr>
          <w:noProof/>
        </w:rPr>
        <w:t>3</w:t>
      </w:r>
      <w:r w:rsidR="006173DB">
        <w:fldChar w:fldCharType="end"/>
      </w:r>
      <w:r>
        <w:t>).</w:t>
      </w:r>
    </w:p>
    <w:p w14:paraId="136055E2" w14:textId="77777777" w:rsidR="00710FC7" w:rsidRDefault="00710FC7" w:rsidP="006835ED">
      <w:pPr>
        <w:pStyle w:val="ListBullet"/>
      </w:pPr>
      <w:r w:rsidRPr="006173DB">
        <w:t>Pregnancy category and neural tube defects:</w:t>
      </w:r>
      <w:r>
        <w:t xml:space="preserve"> </w:t>
      </w:r>
      <w:r w:rsidR="00FD2C26">
        <w:t>T</w:t>
      </w:r>
      <w:r w:rsidRPr="00400C97">
        <w:t>he sponsor has proposed routine pharmacovigilance activities and a specif</w:t>
      </w:r>
      <w:r w:rsidR="006173DB">
        <w:t xml:space="preserve">ic adverse drug reaction follow </w:t>
      </w:r>
      <w:r w:rsidRPr="00400C97">
        <w:t xml:space="preserve">up questionnaire to monitor the important potential risk of neural tube defect. </w:t>
      </w:r>
      <w:r>
        <w:t>Relevant labelling in the proposed PI is also included to reflect this:</w:t>
      </w:r>
    </w:p>
    <w:p w14:paraId="71CB7C77" w14:textId="3B6241E8" w:rsidR="00710FC7" w:rsidRPr="00400C97" w:rsidRDefault="00710FC7" w:rsidP="006835ED">
      <w:pPr>
        <w:pStyle w:val="ListBullet2"/>
      </w:pPr>
      <w:r w:rsidRPr="00400C97">
        <w:t>In a preliminary analysis of an ongoing birth outcome surveillance study in Botswana there have been 4 cases (as of May 2018) of neural tube defects reported in 426 infants born to mothers w</w:t>
      </w:r>
      <w:r w:rsidR="006173DB">
        <w:t xml:space="preserve">ho were exposed to </w:t>
      </w:r>
      <w:proofErr w:type="spellStart"/>
      <w:r w:rsidR="006173DB">
        <w:t>dolutegravir</w:t>
      </w:r>
      <w:proofErr w:type="spellEnd"/>
      <w:r w:rsidR="006173DB">
        <w:noBreakHyphen/>
      </w:r>
      <w:r w:rsidRPr="00400C97">
        <w:t xml:space="preserve">containing regimens from the time of conception. In the same study, no infant born to a woman who started </w:t>
      </w:r>
      <w:proofErr w:type="spellStart"/>
      <w:r w:rsidRPr="00400C97">
        <w:t>dolutegravir</w:t>
      </w:r>
      <w:proofErr w:type="spellEnd"/>
      <w:r w:rsidRPr="00400C97">
        <w:t xml:space="preserve"> during pregnancy had a neural tube defect, out of 2,812 women. A causal relationship of these events to the use of </w:t>
      </w:r>
      <w:proofErr w:type="spellStart"/>
      <w:r w:rsidRPr="00400C97">
        <w:t>dolutegravir</w:t>
      </w:r>
      <w:proofErr w:type="spellEnd"/>
      <w:r w:rsidRPr="00400C97">
        <w:t xml:space="preserve"> has not been established. The incidence of neural tube defects in the general </w:t>
      </w:r>
      <w:r w:rsidR="006173DB">
        <w:t xml:space="preserve">population ranges from 0.5 to </w:t>
      </w:r>
      <w:r w:rsidRPr="00400C97">
        <w:t>1 case</w:t>
      </w:r>
      <w:r w:rsidR="00F63266">
        <w:t>s</w:t>
      </w:r>
      <w:r w:rsidRPr="00400C97">
        <w:t xml:space="preserve"> per 1,000 live births. As neural tube defects occur within the first 4 weeks of </w:t>
      </w:r>
      <w:proofErr w:type="spellStart"/>
      <w:r w:rsidRPr="00400C97">
        <w:t>fetal</w:t>
      </w:r>
      <w:proofErr w:type="spellEnd"/>
      <w:r w:rsidRPr="00400C97">
        <w:t xml:space="preserve"> development (at which time the neural tubes are sealed) this potential risk would concern women exposed to </w:t>
      </w:r>
      <w:proofErr w:type="spellStart"/>
      <w:r w:rsidRPr="00400C97">
        <w:t>dolutegravir</w:t>
      </w:r>
      <w:proofErr w:type="spellEnd"/>
      <w:r w:rsidRPr="00400C97">
        <w:t xml:space="preserve"> at the time of conception and in early pregnancy.</w:t>
      </w:r>
    </w:p>
    <w:p w14:paraId="2672D85E" w14:textId="77777777" w:rsidR="00710FC7" w:rsidRPr="00555395" w:rsidRDefault="00710FC7" w:rsidP="00710FC7">
      <w:pPr>
        <w:pStyle w:val="Heading6"/>
      </w:pPr>
      <w:r w:rsidRPr="00555395">
        <w:t>Conclusion</w:t>
      </w:r>
    </w:p>
    <w:p w14:paraId="1EE360CC" w14:textId="77777777" w:rsidR="00710FC7" w:rsidRPr="005E1729" w:rsidRDefault="006173DB" w:rsidP="006173DB">
      <w:r>
        <w:t>The Delegate agrees</w:t>
      </w:r>
      <w:r w:rsidR="00710FC7">
        <w:t xml:space="preserve"> with the clinical evaluator</w:t>
      </w:r>
      <w:r>
        <w:t>’s</w:t>
      </w:r>
      <w:r w:rsidR="00710FC7">
        <w:t xml:space="preserve"> opinion that the </w:t>
      </w:r>
      <w:r w:rsidR="00710FC7" w:rsidRPr="00555395">
        <w:t xml:space="preserve">overall benefit-risk </w:t>
      </w:r>
      <w:r w:rsidR="00710FC7">
        <w:t xml:space="preserve">balance for proposed indication </w:t>
      </w:r>
      <w:r w:rsidR="00710FC7" w:rsidRPr="00555395">
        <w:t xml:space="preserve">is not favourable </w:t>
      </w:r>
      <w:r w:rsidR="00710FC7">
        <w:t xml:space="preserve">for the proposed indication, </w:t>
      </w:r>
      <w:r w:rsidR="00710FC7" w:rsidRPr="00555395">
        <w:t>but would become fa</w:t>
      </w:r>
      <w:r w:rsidR="00710FC7">
        <w:t xml:space="preserve">vourable, if </w:t>
      </w:r>
      <w:r w:rsidR="00710FC7" w:rsidRPr="00555395">
        <w:t xml:space="preserve">the proposed </w:t>
      </w:r>
      <w:r w:rsidR="00710FC7">
        <w:t xml:space="preserve">indication be restricted </w:t>
      </w:r>
      <w:r w:rsidR="00710FC7" w:rsidRPr="00D212BE">
        <w:t>to ART-naïve patients with HIV-1 infection,</w:t>
      </w:r>
      <w:r w:rsidR="00710FC7">
        <w:t xml:space="preserve"> as follows:</w:t>
      </w:r>
    </w:p>
    <w:p w14:paraId="14053300" w14:textId="77777777" w:rsidR="00710FC7" w:rsidRPr="00DF6411" w:rsidRDefault="002E345B" w:rsidP="00710FC7">
      <w:pPr>
        <w:spacing w:line="240" w:lineRule="auto"/>
        <w:ind w:left="720"/>
        <w:rPr>
          <w:i/>
          <w:lang w:eastAsia="ja-JP"/>
        </w:rPr>
      </w:pPr>
      <w:proofErr w:type="spellStart"/>
      <w:r w:rsidRPr="005E1729">
        <w:rPr>
          <w:i/>
          <w:lang w:eastAsia="ja-JP"/>
        </w:rPr>
        <w:t>Dovato</w:t>
      </w:r>
      <w:proofErr w:type="spellEnd"/>
      <w:r w:rsidR="00710FC7" w:rsidRPr="005E1729">
        <w:rPr>
          <w:i/>
          <w:lang w:eastAsia="ja-JP"/>
        </w:rPr>
        <w:t xml:space="preserve"> (</w:t>
      </w:r>
      <w:proofErr w:type="spellStart"/>
      <w:r w:rsidR="00710FC7" w:rsidRPr="005E1729">
        <w:rPr>
          <w:i/>
          <w:lang w:eastAsia="ja-JP"/>
        </w:rPr>
        <w:t>dolutegravir</w:t>
      </w:r>
      <w:proofErr w:type="spellEnd"/>
      <w:r w:rsidR="00710FC7" w:rsidRPr="005E1729">
        <w:rPr>
          <w:i/>
          <w:lang w:eastAsia="ja-JP"/>
        </w:rPr>
        <w:t xml:space="preserve">/lamivudine) is indicated for the treatment </w:t>
      </w:r>
      <w:r w:rsidR="00710FC7">
        <w:rPr>
          <w:i/>
          <w:lang w:eastAsia="ja-JP"/>
        </w:rPr>
        <w:t>of Human Immunodeficiency Virus</w:t>
      </w:r>
      <w:r w:rsidR="00710FC7" w:rsidRPr="005E1729">
        <w:rPr>
          <w:i/>
          <w:lang w:eastAsia="ja-JP"/>
        </w:rPr>
        <w:t>-1(HIV-1) infection in treatment-naïve adults and adolescents from 12 years of age weighing at least 40 kg, who have no known or suspected resistance to e</w:t>
      </w:r>
      <w:r w:rsidR="00710FC7">
        <w:rPr>
          <w:i/>
          <w:lang w:eastAsia="ja-JP"/>
        </w:rPr>
        <w:t>ither antiretroviral component.</w:t>
      </w:r>
    </w:p>
    <w:p w14:paraId="26824604" w14:textId="77777777" w:rsidR="00456765" w:rsidRDefault="00710FC7" w:rsidP="00710FC7">
      <w:pPr>
        <w:pStyle w:val="Heading5"/>
      </w:pPr>
      <w:r>
        <w:t>Summary of issues</w:t>
      </w:r>
    </w:p>
    <w:p w14:paraId="6EC4D813" w14:textId="77777777" w:rsidR="00710FC7" w:rsidRDefault="00710FC7" w:rsidP="006173DB">
      <w:pPr>
        <w:pStyle w:val="ListBullet"/>
      </w:pPr>
      <w:r>
        <w:t>The proposed indication includes non-naïve patients despite the pivotal GEMINI trials bei</w:t>
      </w:r>
      <w:r w:rsidR="006173DB">
        <w:t>ng restricted to naïve patients;</w:t>
      </w:r>
    </w:p>
    <w:p w14:paraId="10A23BD4" w14:textId="77777777" w:rsidR="00710FC7" w:rsidRDefault="00710FC7" w:rsidP="006173DB">
      <w:pPr>
        <w:pStyle w:val="ListBullet"/>
      </w:pPr>
      <w:r>
        <w:t>The extrapolation of efficacy and safety data (from the adult GEMINI trials, and the adult and adolescent data from the studies for the individual FDC components) to a</w:t>
      </w:r>
      <w:r w:rsidR="006173DB">
        <w:t>n adolescent patient population;</w:t>
      </w:r>
    </w:p>
    <w:p w14:paraId="3ADDEF49" w14:textId="77777777" w:rsidR="00710FC7" w:rsidRPr="00456765" w:rsidRDefault="00710FC7" w:rsidP="006173DB">
      <w:pPr>
        <w:pStyle w:val="ListBullet"/>
      </w:pPr>
      <w:r>
        <w:t>Pregnancy Category B1 is proposed by the sponsor.</w:t>
      </w:r>
      <w:r w:rsidR="006173DB">
        <w:fldChar w:fldCharType="begin"/>
      </w:r>
      <w:r w:rsidR="006173DB">
        <w:instrText xml:space="preserve"> NOTEREF _Ref24371415 \f \h </w:instrText>
      </w:r>
      <w:r w:rsidR="006173DB">
        <w:fldChar w:fldCharType="separate"/>
      </w:r>
      <w:r w:rsidR="006173DB" w:rsidRPr="006173DB">
        <w:rPr>
          <w:rStyle w:val="FootnoteReference"/>
        </w:rPr>
        <w:t>5</w:t>
      </w:r>
      <w:r w:rsidR="006173DB">
        <w:fldChar w:fldCharType="end"/>
      </w:r>
      <w:r>
        <w:t xml:space="preserve"> However, Pregnancy Category B3</w:t>
      </w:r>
      <w:r w:rsidR="006173DB">
        <w:t>;</w:t>
      </w:r>
      <w:r w:rsidR="006173DB">
        <w:fldChar w:fldCharType="begin"/>
      </w:r>
      <w:r w:rsidR="006173DB">
        <w:instrText xml:space="preserve"> NOTEREF _Ref24370809 \f \h </w:instrText>
      </w:r>
      <w:r w:rsidR="006173DB">
        <w:fldChar w:fldCharType="separate"/>
      </w:r>
      <w:r w:rsidR="006173DB" w:rsidRPr="006173DB">
        <w:rPr>
          <w:rStyle w:val="FootnoteReference"/>
        </w:rPr>
        <w:t>6</w:t>
      </w:r>
      <w:r w:rsidR="006173DB">
        <w:fldChar w:fldCharType="end"/>
      </w:r>
      <w:r>
        <w:t xml:space="preserve"> is considered appropriate based on the Pregnancy categories for the individual agents (B1 and B3</w:t>
      </w:r>
      <w:r w:rsidR="006173DB">
        <w:t xml:space="preserve"> for DTG and 3TC, respectively).</w:t>
      </w:r>
    </w:p>
    <w:p w14:paraId="6F3190FE" w14:textId="77777777" w:rsidR="00D23139" w:rsidRDefault="00D23139" w:rsidP="00D23139">
      <w:pPr>
        <w:pStyle w:val="Heading4"/>
      </w:pPr>
      <w:r w:rsidRPr="00D23139">
        <w:lastRenderedPageBreak/>
        <w:t>Proposed action</w:t>
      </w:r>
    </w:p>
    <w:p w14:paraId="5B94596E" w14:textId="77777777" w:rsidR="00456765" w:rsidRPr="00710FC7" w:rsidRDefault="006173DB" w:rsidP="00710FC7">
      <w:pPr>
        <w:spacing w:line="240" w:lineRule="auto"/>
        <w:rPr>
          <w:rFonts w:asciiTheme="minorHAnsi" w:hAnsiTheme="minorHAnsi"/>
        </w:rPr>
      </w:pPr>
      <w:r>
        <w:rPr>
          <w:rFonts w:asciiTheme="minorHAnsi" w:hAnsiTheme="minorHAnsi"/>
        </w:rPr>
        <w:t>The Delegate has</w:t>
      </w:r>
      <w:r w:rsidR="00710FC7" w:rsidRPr="00FE6280">
        <w:rPr>
          <w:rFonts w:asciiTheme="minorHAnsi" w:hAnsiTheme="minorHAnsi"/>
        </w:rPr>
        <w:t xml:space="preserve"> no reason to say, at this time, that the application for </w:t>
      </w:r>
      <w:proofErr w:type="spellStart"/>
      <w:r w:rsidRPr="00FE6280">
        <w:rPr>
          <w:rFonts w:asciiTheme="minorHAnsi" w:hAnsiTheme="minorHAnsi"/>
        </w:rPr>
        <w:t>Dovato</w:t>
      </w:r>
      <w:proofErr w:type="spellEnd"/>
      <w:r w:rsidR="00710FC7" w:rsidRPr="00FE6280">
        <w:rPr>
          <w:rFonts w:asciiTheme="minorHAnsi" w:hAnsiTheme="minorHAnsi"/>
          <w:color w:val="0070C0"/>
        </w:rPr>
        <w:t xml:space="preserve"> </w:t>
      </w:r>
      <w:r w:rsidR="00710FC7" w:rsidRPr="00FE6280">
        <w:rPr>
          <w:rFonts w:asciiTheme="minorHAnsi" w:hAnsiTheme="minorHAnsi"/>
        </w:rPr>
        <w:t xml:space="preserve">should not be approved for registration for the treatment of </w:t>
      </w:r>
      <w:r>
        <w:rPr>
          <w:rFonts w:asciiTheme="minorHAnsi" w:hAnsiTheme="minorHAnsi"/>
        </w:rPr>
        <w:t>HIV-1</w:t>
      </w:r>
      <w:r w:rsidR="00710FC7" w:rsidRPr="00FE6280">
        <w:rPr>
          <w:rFonts w:asciiTheme="minorHAnsi" w:hAnsiTheme="minorHAnsi"/>
        </w:rPr>
        <w:t xml:space="preserve"> infection in treatment-naïve adults and adolescents from 12 years of age weighing at least 40 kg, who have no known or suspected resistance to either anti</w:t>
      </w:r>
      <w:r w:rsidR="005D224A">
        <w:rPr>
          <w:rFonts w:asciiTheme="minorHAnsi" w:hAnsiTheme="minorHAnsi"/>
        </w:rPr>
        <w:t>-</w:t>
      </w:r>
      <w:r w:rsidR="00710FC7" w:rsidRPr="00FE6280">
        <w:rPr>
          <w:rFonts w:asciiTheme="minorHAnsi" w:hAnsiTheme="minorHAnsi"/>
        </w:rPr>
        <w:t>retroviral component.</w:t>
      </w:r>
    </w:p>
    <w:p w14:paraId="6537C639" w14:textId="77777777" w:rsidR="00D23139" w:rsidRDefault="00A22D57" w:rsidP="00D23139">
      <w:pPr>
        <w:pStyle w:val="Heading4"/>
      </w:pPr>
      <w:r>
        <w:t>Request for AC</w:t>
      </w:r>
      <w:r w:rsidR="00D23139" w:rsidRPr="00D23139">
        <w:t>M advice</w:t>
      </w:r>
    </w:p>
    <w:p w14:paraId="27BC5CD0" w14:textId="77777777" w:rsidR="00710FC7" w:rsidRPr="00FE6280" w:rsidRDefault="00710FC7" w:rsidP="006173DB">
      <w:pPr>
        <w:pStyle w:val="Numberbullet0"/>
      </w:pPr>
      <w:r w:rsidRPr="00FE6280">
        <w:t>The proposed indication that includes non-naïve patients despite the pivotal GEMINI trials being restricted to naïve patients. Can the ACM comment on the proposed inclusion of non-naïve patients?</w:t>
      </w:r>
    </w:p>
    <w:p w14:paraId="004164D1" w14:textId="77777777" w:rsidR="00710FC7" w:rsidRPr="00FE6280" w:rsidRDefault="00710FC7" w:rsidP="006173DB">
      <w:pPr>
        <w:pStyle w:val="Numberbullet0"/>
      </w:pPr>
      <w:r w:rsidRPr="00FE6280">
        <w:t>Is the extrapolation of efficacy and safety data (from the adult GEMINI trials, and the adult and adolescent data from the studies for the individual FDC components) to an adolescent patient population appropriate?</w:t>
      </w:r>
    </w:p>
    <w:p w14:paraId="67C563D0" w14:textId="77777777" w:rsidR="00456765" w:rsidRPr="00456765" w:rsidRDefault="00710FC7" w:rsidP="00456765">
      <w:pPr>
        <w:pStyle w:val="Numberbullet0"/>
      </w:pPr>
      <w:r w:rsidRPr="00FE6280">
        <w:t>Pregnancy Category B1 is proposed. However, Pregnancy Category B3 is considered appropriate based on the Pregnancy categories for the individual agents (B1 and B3 for DTG and 3TC, respectively). Can the ACM comment on the appropriate pregnancy category?</w:t>
      </w:r>
    </w:p>
    <w:p w14:paraId="1A93241E" w14:textId="77777777" w:rsidR="008E7846" w:rsidRDefault="008E7846" w:rsidP="008E7846">
      <w:pPr>
        <w:pStyle w:val="Heading4"/>
      </w:pPr>
      <w:r>
        <w:t>Advisory Committee Considerations</w:t>
      </w:r>
      <w:r w:rsidR="00456765">
        <w:rPr>
          <w:rStyle w:val="FootnoteReference"/>
        </w:rPr>
        <w:footnoteReference w:id="13"/>
      </w:r>
    </w:p>
    <w:p w14:paraId="19DD56F0" w14:textId="77777777" w:rsidR="00710FC7" w:rsidRDefault="00456765" w:rsidP="006173DB">
      <w:r w:rsidRPr="00456765">
        <w:t>The Advisory Committee on Medicines (ACM), having considered the evaluations and the Delegate’s overview, as well as the sponsor’s response to these d</w:t>
      </w:r>
      <w:r w:rsidR="00710FC7">
        <w:t>ocuments, advised the following.</w:t>
      </w:r>
    </w:p>
    <w:p w14:paraId="5B5CE5F7" w14:textId="77777777" w:rsidR="008766D5" w:rsidRDefault="006173DB" w:rsidP="006173DB">
      <w:r>
        <w:t>T</w:t>
      </w:r>
      <w:r w:rsidR="00710FC7">
        <w:t xml:space="preserve">he ACM considered the referral for advice from the TGA Delegate in relation to the submission to register </w:t>
      </w:r>
      <w:proofErr w:type="spellStart"/>
      <w:r>
        <w:t>Dovato</w:t>
      </w:r>
      <w:proofErr w:type="spellEnd"/>
      <w:r w:rsidR="00710FC7">
        <w:t xml:space="preserve"> film-coated tablets, containing </w:t>
      </w:r>
      <w:proofErr w:type="spellStart"/>
      <w:r w:rsidR="00710FC7">
        <w:t>dolutegravir</w:t>
      </w:r>
      <w:proofErr w:type="spellEnd"/>
      <w:r w:rsidR="00710FC7">
        <w:t xml:space="preserve"> 50 mg and lamivudine 300 mg.</w:t>
      </w:r>
    </w:p>
    <w:p w14:paraId="15EF1817" w14:textId="77777777" w:rsidR="008766D5" w:rsidRDefault="00710FC7" w:rsidP="006173DB">
      <w:r>
        <w:t>The ACM considered the following proposed indication:</w:t>
      </w:r>
    </w:p>
    <w:p w14:paraId="107BD84A" w14:textId="77777777" w:rsidR="008766D5" w:rsidRDefault="006173DB" w:rsidP="006173DB">
      <w:pPr>
        <w:ind w:left="720"/>
        <w:rPr>
          <w:i/>
          <w:iCs/>
        </w:rPr>
      </w:pPr>
      <w:proofErr w:type="spellStart"/>
      <w:r>
        <w:rPr>
          <w:i/>
          <w:iCs/>
        </w:rPr>
        <w:t>Dovato</w:t>
      </w:r>
      <w:proofErr w:type="spellEnd"/>
      <w:r w:rsidR="00710FC7">
        <w:rPr>
          <w:i/>
          <w:iCs/>
        </w:rPr>
        <w:t xml:space="preserve"> (</w:t>
      </w:r>
      <w:proofErr w:type="spellStart"/>
      <w:r w:rsidR="00710FC7">
        <w:rPr>
          <w:i/>
          <w:iCs/>
        </w:rPr>
        <w:t>dolutegravir</w:t>
      </w:r>
      <w:proofErr w:type="spellEnd"/>
      <w:r w:rsidR="00710FC7">
        <w:rPr>
          <w:i/>
          <w:iCs/>
        </w:rPr>
        <w:t>/lamivudine) is indicated for the treatment of Human Immunodeficiency Virus (HIV) infection in adults and adolescents from 12 years of age weighing at least 40 kg, who have no known or suspected resistance to e</w:t>
      </w:r>
      <w:r>
        <w:rPr>
          <w:i/>
          <w:iCs/>
        </w:rPr>
        <w:t>ither antiretroviral component.</w:t>
      </w:r>
    </w:p>
    <w:p w14:paraId="7A254F9E" w14:textId="77777777" w:rsidR="008766D5" w:rsidRDefault="00710FC7" w:rsidP="006173DB">
      <w:r>
        <w:t xml:space="preserve">The ACM agreed that </w:t>
      </w:r>
      <w:proofErr w:type="spellStart"/>
      <w:r w:rsidR="006173DB">
        <w:t>Dovato</w:t>
      </w:r>
      <w:proofErr w:type="spellEnd"/>
      <w:r>
        <w:t xml:space="preserve"> had an overall positive benefit-risk profile for the revised indication:</w:t>
      </w:r>
    </w:p>
    <w:p w14:paraId="046C5E35" w14:textId="77777777" w:rsidR="00710FC7" w:rsidRPr="006173DB" w:rsidRDefault="006173DB" w:rsidP="006173DB">
      <w:pPr>
        <w:ind w:left="720"/>
        <w:rPr>
          <w:i/>
          <w:iCs/>
        </w:rPr>
      </w:pPr>
      <w:proofErr w:type="spellStart"/>
      <w:r>
        <w:rPr>
          <w:i/>
          <w:iCs/>
        </w:rPr>
        <w:t>Dovato</w:t>
      </w:r>
      <w:proofErr w:type="spellEnd"/>
      <w:r w:rsidR="00710FC7">
        <w:rPr>
          <w:i/>
          <w:iCs/>
        </w:rPr>
        <w:t xml:space="preserve"> (</w:t>
      </w:r>
      <w:proofErr w:type="spellStart"/>
      <w:r w:rsidR="00710FC7">
        <w:rPr>
          <w:i/>
          <w:iCs/>
        </w:rPr>
        <w:t>dolutegravir</w:t>
      </w:r>
      <w:proofErr w:type="spellEnd"/>
      <w:r w:rsidR="00710FC7">
        <w:rPr>
          <w:i/>
          <w:iCs/>
        </w:rPr>
        <w:t>/lamivudine) is indicated for the treatment of Human Immunodeficiency Virus-1 (HIV-1) infection in treatment-naive adults and adolescents from 12 years of age weighing at least 40 kg, who have a baseline viral load &lt;</w:t>
      </w:r>
      <w:r>
        <w:rPr>
          <w:i/>
          <w:iCs/>
        </w:rPr>
        <w:t xml:space="preserve"> 500 000 copies/mL</w:t>
      </w:r>
      <w:r w:rsidR="00710FC7">
        <w:rPr>
          <w:i/>
          <w:iCs/>
        </w:rPr>
        <w:t xml:space="preserve"> and no suspected resistance to ei</w:t>
      </w:r>
      <w:r>
        <w:rPr>
          <w:i/>
          <w:iCs/>
        </w:rPr>
        <w:t>ther antiretroviral component.</w:t>
      </w:r>
    </w:p>
    <w:p w14:paraId="4C66C9D4" w14:textId="77777777" w:rsidR="008766D5" w:rsidRDefault="006173DB" w:rsidP="006173DB">
      <w:pPr>
        <w:pStyle w:val="Heading5"/>
      </w:pPr>
      <w:r>
        <w:lastRenderedPageBreak/>
        <w:t>Specific a</w:t>
      </w:r>
      <w:r w:rsidR="00710FC7">
        <w:t>dvice</w:t>
      </w:r>
    </w:p>
    <w:p w14:paraId="1E59BB29" w14:textId="77777777" w:rsidR="008766D5" w:rsidRDefault="00710FC7" w:rsidP="006173DB">
      <w:r>
        <w:t>The ACM advised the following in response to the Delegate’s specific request for advice:</w:t>
      </w:r>
    </w:p>
    <w:p w14:paraId="736DD202" w14:textId="77777777" w:rsidR="00710FC7" w:rsidRPr="006173DB" w:rsidRDefault="00710FC7" w:rsidP="006173DB">
      <w:pPr>
        <w:pStyle w:val="Numberbullet0"/>
        <w:numPr>
          <w:ilvl w:val="0"/>
          <w:numId w:val="36"/>
        </w:numPr>
        <w:rPr>
          <w:b/>
          <w:i/>
        </w:rPr>
      </w:pPr>
      <w:r w:rsidRPr="006173DB">
        <w:rPr>
          <w:b/>
          <w:i/>
        </w:rPr>
        <w:t>The proposed indication that includes non-naïve patients despite the pivotal GEMINI trials being restricted to naïve patients. Can the ACM comment on the proposed inclusion of non-naïve patients?</w:t>
      </w:r>
    </w:p>
    <w:p w14:paraId="571E86D1" w14:textId="6270DD6E" w:rsidR="008766D5" w:rsidRDefault="00710FC7" w:rsidP="006173DB">
      <w:r>
        <w:t xml:space="preserve">The ACM advised that there is currently insufficient data </w:t>
      </w:r>
      <w:r w:rsidR="006173DB">
        <w:t>to support the inclusion of non</w:t>
      </w:r>
      <w:r w:rsidR="006173DB">
        <w:noBreakHyphen/>
      </w:r>
      <w:r>
        <w:t xml:space="preserve">naïve patients in the indications of </w:t>
      </w:r>
      <w:proofErr w:type="spellStart"/>
      <w:r w:rsidR="006173DB">
        <w:t>Dovato</w:t>
      </w:r>
      <w:proofErr w:type="spellEnd"/>
      <w:r>
        <w:t>. The ACM expressed concern that there could be an increased incidence of drug resistance in non-naïve patients. The ACM noted that while the 24 week data from the TANGO</w:t>
      </w:r>
      <w:r w:rsidR="00F63266">
        <w:t xml:space="preserve"> trial, (a</w:t>
      </w:r>
      <w:r>
        <w:t xml:space="preserve"> ‘switch’ study</w:t>
      </w:r>
      <w:r w:rsidR="00F63266">
        <w:t>)</w:t>
      </w:r>
      <w:r>
        <w:t xml:space="preserve"> looked promising, this trial is ongoing. The ACM was of the view that the ‘switch’ indication should be deferred until the 48 week data from the TANGO trial are available and a formal evaluation of the study is conducted, including an assessment of resistance.</w:t>
      </w:r>
    </w:p>
    <w:p w14:paraId="4926F5F0" w14:textId="77777777" w:rsidR="008766D5" w:rsidRDefault="00710FC7" w:rsidP="006173DB">
      <w:r>
        <w:t>The ACM was of the view that the proposed indication should be revised to more accurately reflect the pivotal trial population.</w:t>
      </w:r>
    </w:p>
    <w:p w14:paraId="76B5D53F" w14:textId="77777777" w:rsidR="008766D5" w:rsidRPr="006173DB" w:rsidRDefault="00710FC7" w:rsidP="006173DB">
      <w:pPr>
        <w:pStyle w:val="Numberbullet0"/>
        <w:rPr>
          <w:b/>
          <w:i/>
        </w:rPr>
      </w:pPr>
      <w:r w:rsidRPr="006173DB">
        <w:rPr>
          <w:b/>
          <w:i/>
        </w:rPr>
        <w:t>Is the extrapolation of efficacy and safety data (from the adult GEMINI trials, and the adult and adolescent data from the studies for the individual FDC components) to an adolescent patient population appropriate?</w:t>
      </w:r>
    </w:p>
    <w:p w14:paraId="38C2C2A8" w14:textId="77777777" w:rsidR="008766D5" w:rsidRDefault="00710FC7" w:rsidP="006173DB">
      <w:r>
        <w:t>The ACM advised that the extrapolation of efficacy and safety data to an adolescent patient population is appropriate. Both single component drugs are approved for use in adolescents and the exposure is similar to that in adults.</w:t>
      </w:r>
    </w:p>
    <w:p w14:paraId="22B268BF" w14:textId="77777777" w:rsidR="00710FC7" w:rsidRPr="006173DB" w:rsidRDefault="00710FC7" w:rsidP="006173DB">
      <w:pPr>
        <w:pStyle w:val="Numberbullet0"/>
        <w:rPr>
          <w:b/>
          <w:i/>
        </w:rPr>
      </w:pPr>
      <w:r w:rsidRPr="006173DB">
        <w:rPr>
          <w:b/>
          <w:i/>
        </w:rPr>
        <w:t>Pregnancy Category B1 is proposed. However, Pregnancy Category B3 is considered appropriate based on the Pregnancy categories for the individual agents (B1 and B3 for DTG and 3TC, respectively). Can the ACM comment on the appropriate pregnancy category?</w:t>
      </w:r>
    </w:p>
    <w:p w14:paraId="31692654" w14:textId="77777777" w:rsidR="008766D5" w:rsidRDefault="00710FC7" w:rsidP="006173DB">
      <w:r>
        <w:t xml:space="preserve">The ACM noted that there is no human reproductive data on the combination product; as such, the effect of </w:t>
      </w:r>
      <w:proofErr w:type="spellStart"/>
      <w:r w:rsidR="006173DB">
        <w:t>Dovato</w:t>
      </w:r>
      <w:proofErr w:type="spellEnd"/>
      <w:r>
        <w:t xml:space="preserve"> on human pregnancy is unknown and evidence for the proposed pregnancy category for </w:t>
      </w:r>
      <w:proofErr w:type="spellStart"/>
      <w:r w:rsidR="006173DB">
        <w:t>Dovato</w:t>
      </w:r>
      <w:proofErr w:type="spellEnd"/>
      <w:r>
        <w:t xml:space="preserve"> is based on the reproductive data of the single component drugs. The ACM agreed that while there are no particular concerns with the use of lamivudine in pregnancy, there is a potential signal for increased risk of neural tube defects with </w:t>
      </w:r>
      <w:proofErr w:type="spellStart"/>
      <w:r>
        <w:t>dolutegravir</w:t>
      </w:r>
      <w:proofErr w:type="spellEnd"/>
      <w:r>
        <w:t xml:space="preserve"> use at the time of conception. Based on currently available data, it is not yet clear if the rate of neural tube defects is significantly higher than in the general population or in women with HIV on other anti-retroviral combinations, however the ACM was of the view that this is a concern and a cautious approach is warranted. Based on these factors, the ACM advised that Pregnancy Category B3 is considered appropriate.</w:t>
      </w:r>
      <w:r w:rsidR="006173DB">
        <w:fldChar w:fldCharType="begin"/>
      </w:r>
      <w:r w:rsidR="006173DB">
        <w:instrText xml:space="preserve"> NOTEREF _Ref24370809 \f \h </w:instrText>
      </w:r>
      <w:r w:rsidR="006173DB">
        <w:fldChar w:fldCharType="separate"/>
      </w:r>
      <w:r w:rsidR="006173DB" w:rsidRPr="006173DB">
        <w:rPr>
          <w:rStyle w:val="FootnoteReference"/>
        </w:rPr>
        <w:t>6</w:t>
      </w:r>
      <w:r w:rsidR="006173DB">
        <w:fldChar w:fldCharType="end"/>
      </w:r>
    </w:p>
    <w:p w14:paraId="29F02E2C" w14:textId="76881C75" w:rsidR="008766D5" w:rsidRDefault="00710FC7" w:rsidP="006173DB">
      <w:pPr>
        <w:pStyle w:val="Heading5"/>
      </w:pPr>
      <w:r>
        <w:t xml:space="preserve">General </w:t>
      </w:r>
      <w:r w:rsidR="007E4787">
        <w:t>a</w:t>
      </w:r>
      <w:r>
        <w:t>dvice</w:t>
      </w:r>
    </w:p>
    <w:p w14:paraId="7E2816A9" w14:textId="77777777" w:rsidR="008766D5" w:rsidRDefault="00710FC7" w:rsidP="006173DB">
      <w:r>
        <w:t xml:space="preserve">In relation to use of </w:t>
      </w:r>
      <w:proofErr w:type="spellStart"/>
      <w:r w:rsidR="006173DB">
        <w:t>Dovato</w:t>
      </w:r>
      <w:proofErr w:type="spellEnd"/>
      <w:r>
        <w:t xml:space="preserve"> in pregnancy the ACM was of the view that while the absolute risk of birth defects was small, it was still important to include clear warnings in the </w:t>
      </w:r>
      <w:r w:rsidR="006173DB">
        <w:t>PI</w:t>
      </w:r>
      <w:r>
        <w:t xml:space="preserve"> about the potential risk of birth defects including:</w:t>
      </w:r>
    </w:p>
    <w:p w14:paraId="62FA58F0" w14:textId="77777777" w:rsidR="008766D5" w:rsidRDefault="006173DB" w:rsidP="006173DB">
      <w:pPr>
        <w:pStyle w:val="ListBullet"/>
      </w:pPr>
      <w:proofErr w:type="spellStart"/>
      <w:r>
        <w:t>Dovato</w:t>
      </w:r>
      <w:proofErr w:type="spellEnd"/>
      <w:r w:rsidR="00710FC7">
        <w:t xml:space="preserve"> should be used during the first trimester of pregnancy only if the benefit to the mother outweighs</w:t>
      </w:r>
      <w:r>
        <w:t xml:space="preserve"> the possible risk to the </w:t>
      </w:r>
      <w:proofErr w:type="spellStart"/>
      <w:r>
        <w:t>fetus</w:t>
      </w:r>
      <w:proofErr w:type="spellEnd"/>
      <w:r>
        <w:t>;</w:t>
      </w:r>
    </w:p>
    <w:p w14:paraId="3932DFA8" w14:textId="77777777" w:rsidR="008766D5" w:rsidRDefault="00710FC7" w:rsidP="006173DB">
      <w:pPr>
        <w:pStyle w:val="ListBullet"/>
      </w:pPr>
      <w:r>
        <w:t xml:space="preserve">Women of child-bearing potential should undergo pregnancy testing before initiation of </w:t>
      </w:r>
      <w:proofErr w:type="spellStart"/>
      <w:r w:rsidR="006173DB">
        <w:t>Dovato</w:t>
      </w:r>
      <w:proofErr w:type="spellEnd"/>
      <w:r>
        <w:t xml:space="preserve"> and </w:t>
      </w:r>
      <w:proofErr w:type="spellStart"/>
      <w:r w:rsidR="006173DB">
        <w:t>Dovato</w:t>
      </w:r>
      <w:proofErr w:type="spellEnd"/>
      <w:r>
        <w:t xml:space="preserve"> should be avoided in the first 6 weeks of preg</w:t>
      </w:r>
      <w:r w:rsidR="006173DB">
        <w:t>nancy (confirmed by ultrasound);</w:t>
      </w:r>
    </w:p>
    <w:p w14:paraId="6FBAFC28" w14:textId="77777777" w:rsidR="008766D5" w:rsidRDefault="00710FC7" w:rsidP="006173DB">
      <w:pPr>
        <w:pStyle w:val="ListBullet"/>
      </w:pPr>
      <w:r>
        <w:t xml:space="preserve">Women of child bearing potential who are taking </w:t>
      </w:r>
      <w:proofErr w:type="spellStart"/>
      <w:r w:rsidR="006173DB">
        <w:t>Dovato</w:t>
      </w:r>
      <w:proofErr w:type="spellEnd"/>
      <w:r>
        <w:t xml:space="preserve"> should use effective contraception throughout t</w:t>
      </w:r>
      <w:r w:rsidR="006173DB">
        <w:t>reatment;</w:t>
      </w:r>
    </w:p>
    <w:p w14:paraId="73687959" w14:textId="77777777" w:rsidR="008766D5" w:rsidRDefault="00710FC7" w:rsidP="006173DB">
      <w:pPr>
        <w:pStyle w:val="ListBullet"/>
      </w:pPr>
      <w:r>
        <w:t xml:space="preserve">No studies on the effect of </w:t>
      </w:r>
      <w:proofErr w:type="spellStart"/>
      <w:r>
        <w:t>embryofetal</w:t>
      </w:r>
      <w:proofErr w:type="spellEnd"/>
      <w:r>
        <w:t xml:space="preserve"> development have been conducted with this </w:t>
      </w:r>
      <w:proofErr w:type="spellStart"/>
      <w:r>
        <w:t>dolu</w:t>
      </w:r>
      <w:r w:rsidR="006173DB">
        <w:t>tegravir</w:t>
      </w:r>
      <w:proofErr w:type="spellEnd"/>
      <w:r w:rsidR="006173DB">
        <w:t>/lamivudine combination;</w:t>
      </w:r>
    </w:p>
    <w:p w14:paraId="0A043E0D" w14:textId="77777777" w:rsidR="00710FC7" w:rsidRDefault="00710FC7" w:rsidP="006173DB">
      <w:pPr>
        <w:pStyle w:val="ListBullet"/>
      </w:pPr>
      <w:r>
        <w:lastRenderedPageBreak/>
        <w:t xml:space="preserve">High dose folic acid supplementation is recommended in women of childbearing age taking </w:t>
      </w:r>
      <w:proofErr w:type="spellStart"/>
      <w:r w:rsidR="006173DB">
        <w:t>Dovato</w:t>
      </w:r>
      <w:proofErr w:type="spellEnd"/>
      <w:r>
        <w:t xml:space="preserve"> if they are pregnant and for the first 12 weeks of pregnancy.</w:t>
      </w:r>
    </w:p>
    <w:p w14:paraId="5FCD2FCB" w14:textId="77777777" w:rsidR="008E7846" w:rsidRPr="002E238E" w:rsidRDefault="008E7846" w:rsidP="008E7846">
      <w:pPr>
        <w:pStyle w:val="Heading3"/>
      </w:pPr>
      <w:bookmarkStart w:id="57" w:name="_Toc247691532"/>
      <w:bookmarkStart w:id="58" w:name="_Toc314842516"/>
      <w:bookmarkStart w:id="59" w:name="_Toc28080725"/>
      <w:bookmarkEnd w:id="31"/>
      <w:bookmarkEnd w:id="54"/>
      <w:bookmarkEnd w:id="55"/>
      <w:r>
        <w:t>Outcome</w:t>
      </w:r>
      <w:bookmarkEnd w:id="57"/>
      <w:bookmarkEnd w:id="58"/>
      <w:bookmarkEnd w:id="59"/>
    </w:p>
    <w:p w14:paraId="5DAF6BFD" w14:textId="1EEBC22B" w:rsidR="00D23139" w:rsidRPr="00D23139" w:rsidRDefault="00D23139" w:rsidP="006173DB">
      <w:bookmarkStart w:id="60" w:name="_Toc247691533"/>
      <w:bookmarkStart w:id="61" w:name="_Toc314842517"/>
      <w:r w:rsidRPr="00D23139">
        <w:t xml:space="preserve">Based on a review of quality, safety and efficacy, </w:t>
      </w:r>
      <w:r w:rsidR="00F63266">
        <w:t xml:space="preserve">the </w:t>
      </w:r>
      <w:r w:rsidRPr="00D23139">
        <w:t xml:space="preserve">TGA approved the registration of </w:t>
      </w:r>
      <w:proofErr w:type="spellStart"/>
      <w:r w:rsidR="00710FC7">
        <w:t>Dovato</w:t>
      </w:r>
      <w:proofErr w:type="spellEnd"/>
      <w:r w:rsidR="00710FC7">
        <w:t xml:space="preserve"> (</w:t>
      </w:r>
      <w:proofErr w:type="spellStart"/>
      <w:r w:rsidR="00710FC7">
        <w:t>dolutegravir</w:t>
      </w:r>
      <w:proofErr w:type="spellEnd"/>
      <w:r w:rsidR="00710FC7">
        <w:t xml:space="preserve"> (as sodium)/lamivudine) fixed dose combination tablet</w:t>
      </w:r>
      <w:r w:rsidRPr="00D23139">
        <w:t>, indicated for:</w:t>
      </w:r>
    </w:p>
    <w:p w14:paraId="2DCEC2AC" w14:textId="77777777" w:rsidR="00D23139" w:rsidRPr="00D23139" w:rsidRDefault="00710FC7" w:rsidP="00710FC7">
      <w:pPr>
        <w:ind w:left="720"/>
      </w:pPr>
      <w:proofErr w:type="spellStart"/>
      <w:r w:rsidRPr="007C0228">
        <w:rPr>
          <w:i/>
        </w:rPr>
        <w:t>Dovato</w:t>
      </w:r>
      <w:proofErr w:type="spellEnd"/>
      <w:r w:rsidRPr="007C0228">
        <w:rPr>
          <w:i/>
        </w:rPr>
        <w:t xml:space="preserve"> (a fixed-dose combination of </w:t>
      </w:r>
      <w:proofErr w:type="spellStart"/>
      <w:r w:rsidRPr="007C0228">
        <w:rPr>
          <w:i/>
        </w:rPr>
        <w:t>dolutegravir</w:t>
      </w:r>
      <w:proofErr w:type="spellEnd"/>
      <w:r w:rsidRPr="007C0228">
        <w:rPr>
          <w:i/>
        </w:rPr>
        <w:t xml:space="preserve"> and lamivudine) is indicated for the treatment of Human Immunodeficiency Virus-1 (HIV-1) infection in antiretroviral treatment-naïve adults and adolescents (from 12 ye</w:t>
      </w:r>
      <w:r>
        <w:rPr>
          <w:i/>
        </w:rPr>
        <w:t>ars of age weighing at least 40 </w:t>
      </w:r>
      <w:r w:rsidRPr="007C0228">
        <w:rPr>
          <w:i/>
        </w:rPr>
        <w:t xml:space="preserve">kg) who have no known or suspected resistance to either antiretroviral component (see section 5.1 </w:t>
      </w:r>
      <w:proofErr w:type="spellStart"/>
      <w:r w:rsidRPr="007C0228">
        <w:rPr>
          <w:i/>
        </w:rPr>
        <w:t>Pharmacodynamic</w:t>
      </w:r>
      <w:proofErr w:type="spellEnd"/>
      <w:r w:rsidRPr="007C0228">
        <w:rPr>
          <w:i/>
        </w:rPr>
        <w:t xml:space="preserve"> Properties, Clinical trials).</w:t>
      </w:r>
    </w:p>
    <w:p w14:paraId="700EFA54" w14:textId="77777777" w:rsidR="00D23139" w:rsidRPr="00D23139" w:rsidRDefault="00D23139" w:rsidP="00D23139">
      <w:pPr>
        <w:pStyle w:val="Heading4"/>
      </w:pPr>
      <w:r w:rsidRPr="00D23139">
        <w:t>Specific conditions of registration applying to these goods</w:t>
      </w:r>
    </w:p>
    <w:p w14:paraId="09A64B0D" w14:textId="21D2C04D" w:rsidR="00710FC7" w:rsidRDefault="00710FC7" w:rsidP="00710FC7">
      <w:r>
        <w:t xml:space="preserve">The </w:t>
      </w:r>
      <w:proofErr w:type="spellStart"/>
      <w:r>
        <w:t>Dovato</w:t>
      </w:r>
      <w:proofErr w:type="spellEnd"/>
      <w:r>
        <w:t xml:space="preserve"> EU-</w:t>
      </w:r>
      <w:r w:rsidR="006173DB">
        <w:t>RMP</w:t>
      </w:r>
      <w:r>
        <w:t xml:space="preserve"> (version 1.0, dated 10 May 2019, data lock point 21 August 2018), with </w:t>
      </w:r>
      <w:r w:rsidR="006173DB">
        <w:t>ASA</w:t>
      </w:r>
      <w:r>
        <w:t xml:space="preserve"> (version 1.1, dated 17 April 2019), included with submission PM</w:t>
      </w:r>
      <w:r w:rsidR="00F63266">
        <w:noBreakHyphen/>
      </w:r>
      <w:r>
        <w:t>2018</w:t>
      </w:r>
      <w:r w:rsidR="00F63266">
        <w:noBreakHyphen/>
      </w:r>
      <w:r>
        <w:t>04002</w:t>
      </w:r>
      <w:r w:rsidR="00F63266">
        <w:noBreakHyphen/>
      </w:r>
      <w:r>
        <w:t>1</w:t>
      </w:r>
      <w:r w:rsidR="00F63266">
        <w:noBreakHyphen/>
      </w:r>
      <w:r>
        <w:t>2, and any subsequent revisions, as agreed with the TGA will be implemented in Australia.</w:t>
      </w:r>
    </w:p>
    <w:p w14:paraId="4B99DFCE" w14:textId="77777777" w:rsidR="00710FC7" w:rsidRDefault="00710FC7" w:rsidP="00710FC7">
      <w:r>
        <w:t>An obligatory component of risk management plans is routine pharmacovigilance. Routine pharmacovigilance includes the submission of periodic safety update reports (PSURs).</w:t>
      </w:r>
    </w:p>
    <w:p w14:paraId="692BB082" w14:textId="77777777" w:rsidR="00710FC7" w:rsidRDefault="00710FC7" w:rsidP="00710FC7">
      <w:r>
        <w:t>Reports are to be provided in line with the current published list of EU reference dates and frequency of submission of PSURs until the period covered by such reports is not less than three years from the date of this approval letter.</w:t>
      </w:r>
    </w:p>
    <w:p w14:paraId="4C1F60CA" w14:textId="77777777" w:rsidR="00456765" w:rsidRDefault="00710FC7" w:rsidP="00710FC7">
      <w:r>
        <w:t>The reports are to at least meet the requirements for PSURs as described in the European M</w:t>
      </w:r>
      <w:r w:rsidR="004279C6">
        <w:t>edicines Agency’s Guideline on Good Pharmacovigilance P</w:t>
      </w:r>
      <w:r>
        <w:t>ractices (GVP) Module VII-periodic safety update report (Rev 1), Part VII.B Structures and processes. Note that submission of a PSUR does not constitute an application to vary the registration.</w:t>
      </w:r>
    </w:p>
    <w:p w14:paraId="6AD0FEFF" w14:textId="77777777" w:rsidR="008E7846" w:rsidRDefault="00A80B5B" w:rsidP="00D23139">
      <w:pPr>
        <w:pStyle w:val="Heading2"/>
      </w:pPr>
      <w:bookmarkStart w:id="62" w:name="_Toc28080726"/>
      <w:r>
        <w:t xml:space="preserve">Attachment 1. </w:t>
      </w:r>
      <w:r w:rsidR="008E7846">
        <w:t xml:space="preserve">Product </w:t>
      </w:r>
      <w:r w:rsidR="00AA0ED0">
        <w:t>I</w:t>
      </w:r>
      <w:r w:rsidR="008E7846">
        <w:t>nformation</w:t>
      </w:r>
      <w:bookmarkEnd w:id="60"/>
      <w:bookmarkEnd w:id="61"/>
      <w:bookmarkEnd w:id="62"/>
    </w:p>
    <w:p w14:paraId="6ED35FC4" w14:textId="77777777" w:rsidR="00770CAC" w:rsidRPr="004279C6" w:rsidRDefault="006136D7" w:rsidP="004279C6">
      <w:pPr>
        <w:rPr>
          <w:color w:val="000000"/>
          <w:lang w:eastAsia="en-AU"/>
        </w:rPr>
      </w:pPr>
      <w:r w:rsidRPr="002B3624">
        <w:t xml:space="preserve">The </w:t>
      </w:r>
      <w:r>
        <w:t>PI</w:t>
      </w:r>
      <w:r w:rsidRPr="002B3624">
        <w:t xml:space="preserve"> for </w:t>
      </w:r>
      <w:proofErr w:type="spellStart"/>
      <w:r w:rsidR="00710FC7">
        <w:t>Dovato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710FC7">
        <w:t>&gt;.</w:t>
      </w:r>
    </w:p>
    <w:p w14:paraId="3E0DC808" w14:textId="77777777" w:rsidR="00291957" w:rsidRDefault="00291957" w:rsidP="00291957">
      <w:pPr>
        <w:rPr>
          <w:lang w:eastAsia="ja-JP"/>
        </w:rPr>
      </w:pPr>
    </w:p>
    <w:p w14:paraId="31BFAF0D"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6640A26" w14:textId="77777777" w:rsidTr="00A05FA4">
        <w:trPr>
          <w:trHeight w:hRule="exact" w:val="704"/>
        </w:trPr>
        <w:tc>
          <w:tcPr>
            <w:tcW w:w="9175" w:type="dxa"/>
          </w:tcPr>
          <w:p w14:paraId="21AB5EE4" w14:textId="77777777" w:rsidR="001C32CD" w:rsidRPr="00487162" w:rsidRDefault="001C32CD" w:rsidP="00A05FA4">
            <w:pPr>
              <w:pStyle w:val="TGASignoff"/>
            </w:pPr>
            <w:r w:rsidRPr="00487162">
              <w:lastRenderedPageBreak/>
              <w:t>Therapeutic Goods Administration</w:t>
            </w:r>
          </w:p>
        </w:tc>
      </w:tr>
      <w:tr w:rsidR="001C32CD" w:rsidRPr="004C239D" w14:paraId="5B78D328" w14:textId="77777777" w:rsidTr="00A05FA4">
        <w:trPr>
          <w:trHeight w:val="1221"/>
        </w:trPr>
        <w:tc>
          <w:tcPr>
            <w:tcW w:w="9175" w:type="dxa"/>
            <w:tcMar>
              <w:top w:w="28" w:type="dxa"/>
            </w:tcMar>
          </w:tcPr>
          <w:p w14:paraId="06E62BED" w14:textId="77777777" w:rsidR="001C32CD" w:rsidRPr="00487162" w:rsidRDefault="001C32CD" w:rsidP="00A05FA4">
            <w:pPr>
              <w:pStyle w:val="Address"/>
            </w:pPr>
            <w:r w:rsidRPr="00487162">
              <w:t>PO Box 100 Woden ACT 2606 Australia</w:t>
            </w:r>
          </w:p>
          <w:p w14:paraId="472FC796"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14:paraId="0F08B0F1" w14:textId="77777777" w:rsidR="001C32CD" w:rsidRPr="004C239D" w:rsidRDefault="007E4787"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45499BEB"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18A981" w16cid:durableId="21755A09"/>
  <w16cid:commentId w16cid:paraId="542B9234" w16cid:durableId="217559C9"/>
  <w16cid:commentId w16cid:paraId="4326746C" w16cid:durableId="217690D7"/>
  <w16cid:commentId w16cid:paraId="58F3678C" w16cid:durableId="21756007"/>
  <w16cid:commentId w16cid:paraId="2694B4A7" w16cid:durableId="2175594E"/>
  <w16cid:commentId w16cid:paraId="2855129D" w16cid:durableId="21756067"/>
  <w16cid:commentId w16cid:paraId="4CCF493D" w16cid:durableId="21769645"/>
  <w16cid:commentId w16cid:paraId="1F423839" w16cid:durableId="217696A5"/>
  <w16cid:commentId w16cid:paraId="76BCA868" w16cid:durableId="217696D2"/>
  <w16cid:commentId w16cid:paraId="31E32364" w16cid:durableId="21755917"/>
  <w16cid:commentId w16cid:paraId="5B45B614" w16cid:durableId="217559E1"/>
  <w16cid:commentId w16cid:paraId="5B335A2A" w16cid:durableId="21755B47"/>
  <w16cid:commentId w16cid:paraId="3D659E72" w16cid:durableId="2177A5C0"/>
  <w16cid:commentId w16cid:paraId="5F36FD2A" w16cid:durableId="217C40F8"/>
  <w16cid:commentId w16cid:paraId="785EE6D1" w16cid:durableId="21755EC4"/>
  <w16cid:commentId w16cid:paraId="71D17A0F" w16cid:durableId="21755A2B"/>
  <w16cid:commentId w16cid:paraId="0C447D46" w16cid:durableId="21755A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A0A72" w14:textId="77777777" w:rsidR="0019198A" w:rsidRDefault="0019198A" w:rsidP="00C40A36">
      <w:pPr>
        <w:spacing w:after="0"/>
      </w:pPr>
      <w:r>
        <w:separator/>
      </w:r>
    </w:p>
  </w:endnote>
  <w:endnote w:type="continuationSeparator" w:id="0">
    <w:p w14:paraId="4479CA5E" w14:textId="77777777" w:rsidR="0019198A" w:rsidRDefault="0019198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Cambria"/>
    <w:panose1 w:val="00000000000000000000"/>
    <w:charset w:val="80"/>
    <w:family w:val="auto"/>
    <w:notTrueType/>
    <w:pitch w:val="default"/>
    <w:sig w:usb0="00000081" w:usb1="08070000" w:usb2="00000010" w:usb3="00000000" w:csb0="00020008" w:csb1="00000000"/>
  </w:font>
  <w:font w:name="ArialNarrow">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imesNewRoman,Ital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36533" w14:textId="77777777" w:rsidR="009A7D3C" w:rsidRDefault="009A7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9198A" w:rsidRPr="00487162" w14:paraId="2D0CE30F" w14:textId="77777777" w:rsidTr="00DB750B">
      <w:trPr>
        <w:trHeight w:val="269"/>
      </w:trPr>
      <w:tc>
        <w:tcPr>
          <w:tcW w:w="7371" w:type="dxa"/>
          <w:tcMar>
            <w:top w:w="142" w:type="dxa"/>
            <w:bottom w:w="0" w:type="dxa"/>
          </w:tcMar>
        </w:tcPr>
        <w:p w14:paraId="15B00C12" w14:textId="01031A6B" w:rsidR="0019198A" w:rsidRPr="00487162" w:rsidRDefault="0019198A" w:rsidP="004C0A50">
          <w:pPr>
            <w:pStyle w:val="Footer"/>
          </w:pPr>
          <w:r w:rsidRPr="00487162">
            <w:t>AusPA</w:t>
          </w:r>
          <w:r>
            <w:t xml:space="preserve">R - </w:t>
          </w:r>
          <w:r w:rsidRPr="00215397">
            <w:t xml:space="preserve">DOVATO - </w:t>
          </w:r>
          <w:proofErr w:type="spellStart"/>
          <w:r w:rsidRPr="00215397">
            <w:t>Dolutegravir</w:t>
          </w:r>
          <w:proofErr w:type="spellEnd"/>
          <w:r w:rsidRPr="00215397">
            <w:t xml:space="preserve"> and lamivudine - </w:t>
          </w:r>
          <w:proofErr w:type="spellStart"/>
          <w:r w:rsidRPr="00215397">
            <w:t>ViiV</w:t>
          </w:r>
          <w:proofErr w:type="spellEnd"/>
          <w:r w:rsidRPr="00215397">
            <w:t xml:space="preserve"> Healthcare Pty Ltd - PM-2018-04002-1-2</w:t>
          </w:r>
          <w:r>
            <w:br/>
          </w:r>
          <w:r w:rsidR="004C0A50">
            <w:t>FINAL 4 December</w:t>
          </w:r>
          <w:r>
            <w:t xml:space="preserve"> 2019</w:t>
          </w:r>
        </w:p>
      </w:tc>
      <w:tc>
        <w:tcPr>
          <w:tcW w:w="1490" w:type="dxa"/>
          <w:tcMar>
            <w:top w:w="142" w:type="dxa"/>
            <w:bottom w:w="0" w:type="dxa"/>
          </w:tcMar>
        </w:tcPr>
        <w:p w14:paraId="1DCBC337" w14:textId="4CA180F9" w:rsidR="0019198A" w:rsidRPr="00487162" w:rsidRDefault="0019198A" w:rsidP="00DB750B">
          <w:pPr>
            <w:pStyle w:val="Footer"/>
            <w:jc w:val="right"/>
          </w:pPr>
          <w:r w:rsidRPr="00487162">
            <w:t xml:space="preserve">Page </w:t>
          </w:r>
          <w:r>
            <w:fldChar w:fldCharType="begin"/>
          </w:r>
          <w:r>
            <w:instrText xml:space="preserve"> PAGE  \* Arabic </w:instrText>
          </w:r>
          <w:r>
            <w:fldChar w:fldCharType="separate"/>
          </w:r>
          <w:r w:rsidR="007E4787">
            <w:rPr>
              <w:noProof/>
            </w:rPr>
            <w:t>21</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7E4787">
            <w:rPr>
              <w:noProof/>
            </w:rPr>
            <w:t>32</w:t>
          </w:r>
          <w:r>
            <w:rPr>
              <w:noProof/>
            </w:rPr>
            <w:fldChar w:fldCharType="end"/>
          </w:r>
        </w:p>
      </w:tc>
    </w:tr>
  </w:tbl>
  <w:p w14:paraId="626F7443" w14:textId="77777777" w:rsidR="0019198A" w:rsidRDefault="0019198A"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3D0A" w14:textId="77777777" w:rsidR="009A7D3C" w:rsidRDefault="009A7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9198A" w:rsidRPr="00487162" w14:paraId="29403434" w14:textId="77777777" w:rsidTr="00E45619">
      <w:trPr>
        <w:trHeight w:val="269"/>
      </w:trPr>
      <w:tc>
        <w:tcPr>
          <w:tcW w:w="4519" w:type="dxa"/>
          <w:tcBorders>
            <w:top w:val="single" w:sz="4" w:space="0" w:color="auto"/>
          </w:tcBorders>
          <w:tcMar>
            <w:top w:w="142" w:type="dxa"/>
            <w:bottom w:w="0" w:type="dxa"/>
          </w:tcMar>
        </w:tcPr>
        <w:p w14:paraId="3D415964" w14:textId="77777777" w:rsidR="0019198A" w:rsidRPr="00487162" w:rsidRDefault="0019198A" w:rsidP="00FE1DEE">
          <w:pPr>
            <w:pStyle w:val="Footer"/>
          </w:pPr>
          <w:r w:rsidRPr="00487162">
            <w:t>Document title, Part #, Section # - Section title</w:t>
          </w:r>
        </w:p>
        <w:p w14:paraId="0F0F142B" w14:textId="77777777" w:rsidR="0019198A" w:rsidRPr="00487162" w:rsidRDefault="0019198A" w:rsidP="00FE1DEE">
          <w:pPr>
            <w:pStyle w:val="Footer"/>
          </w:pPr>
          <w:r w:rsidRPr="00487162">
            <w:t>V1.0 October 2010</w:t>
          </w:r>
        </w:p>
      </w:tc>
      <w:tc>
        <w:tcPr>
          <w:tcW w:w="4342" w:type="dxa"/>
          <w:tcBorders>
            <w:top w:val="single" w:sz="4" w:space="0" w:color="auto"/>
          </w:tcBorders>
          <w:tcMar>
            <w:top w:w="142" w:type="dxa"/>
            <w:bottom w:w="0" w:type="dxa"/>
          </w:tcMar>
        </w:tcPr>
        <w:p w14:paraId="508569FF" w14:textId="77777777" w:rsidR="0019198A" w:rsidRPr="00487162" w:rsidRDefault="0019198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1F1F7D31" w14:textId="77777777" w:rsidR="0019198A" w:rsidRDefault="001919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BAB8" w14:textId="77777777" w:rsidR="0019198A" w:rsidRPr="001C32CD" w:rsidRDefault="0019198A"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9198A" w14:paraId="3DC46891" w14:textId="77777777" w:rsidTr="0010601F">
      <w:trPr>
        <w:trHeight w:val="108"/>
      </w:trPr>
      <w:tc>
        <w:tcPr>
          <w:tcW w:w="8875" w:type="dxa"/>
          <w:gridSpan w:val="2"/>
          <w:tcBorders>
            <w:bottom w:val="single" w:sz="4" w:space="0" w:color="auto"/>
          </w:tcBorders>
          <w:tcMar>
            <w:right w:w="284" w:type="dxa"/>
          </w:tcMar>
        </w:tcPr>
        <w:p w14:paraId="14605C86" w14:textId="77777777" w:rsidR="0019198A" w:rsidRDefault="0019198A" w:rsidP="006E08B3">
          <w:pPr>
            <w:pStyle w:val="Heading3"/>
          </w:pPr>
          <w:r>
            <w:t>Copyright</w:t>
          </w:r>
        </w:p>
        <w:p w14:paraId="4FCA2BEA" w14:textId="77777777" w:rsidR="0019198A" w:rsidRDefault="0019198A" w:rsidP="006E08B3">
          <w:r>
            <w:rPr>
              <w:rFonts w:cs="Arial"/>
            </w:rPr>
            <w:t>©</w:t>
          </w:r>
          <w:r>
            <w:t xml:space="preserve"> Commonwealth of Australia [add year]</w:t>
          </w:r>
        </w:p>
        <w:p w14:paraId="1A03826E" w14:textId="77777777" w:rsidR="0019198A" w:rsidRDefault="0019198A" w:rsidP="006E08B3"/>
        <w:p w14:paraId="13AF884F" w14:textId="77777777" w:rsidR="0019198A" w:rsidRDefault="0019198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00D0A14" w14:textId="77777777" w:rsidR="0019198A" w:rsidRDefault="0019198A" w:rsidP="006E08B3"/>
        <w:p w14:paraId="1F4870C4" w14:textId="77777777" w:rsidR="0019198A" w:rsidRDefault="0019198A" w:rsidP="006E08B3">
          <w:pPr>
            <w:pStyle w:val="Heading3"/>
          </w:pPr>
          <w:r>
            <w:t>Confidentiality</w:t>
          </w:r>
        </w:p>
        <w:p w14:paraId="391ADE54" w14:textId="77777777" w:rsidR="0019198A" w:rsidRDefault="0019198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6D00F29" w14:textId="77777777" w:rsidR="0019198A" w:rsidRDefault="0019198A" w:rsidP="006E08B3"/>
        <w:p w14:paraId="06E27F26" w14:textId="77777777" w:rsidR="0019198A" w:rsidRDefault="0019198A" w:rsidP="006E08B3">
          <w:r>
            <w:t>For submission made by individuals, all personal details, other than your name, will be removed from your submission before it is published on the TGA’s Internet site.</w:t>
          </w:r>
        </w:p>
        <w:p w14:paraId="3A3493D2" w14:textId="77777777" w:rsidR="0019198A" w:rsidRDefault="0019198A" w:rsidP="006E08B3"/>
        <w:p w14:paraId="0E17AFEA" w14:textId="77777777" w:rsidR="0019198A" w:rsidRDefault="0019198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9198A" w14:paraId="41926F10" w14:textId="77777777" w:rsidTr="0010601F">
      <w:trPr>
        <w:trHeight w:val="417"/>
      </w:trPr>
      <w:tc>
        <w:tcPr>
          <w:tcW w:w="4519" w:type="dxa"/>
          <w:tcBorders>
            <w:top w:val="single" w:sz="4" w:space="0" w:color="auto"/>
          </w:tcBorders>
          <w:tcMar>
            <w:top w:w="142" w:type="dxa"/>
            <w:bottom w:w="0" w:type="dxa"/>
          </w:tcMar>
        </w:tcPr>
        <w:p w14:paraId="32EC643C" w14:textId="77777777" w:rsidR="0019198A" w:rsidRDefault="0019198A" w:rsidP="006E08B3">
          <w:r>
            <w:t>Document title, Part #, Section # - Section title</w:t>
          </w:r>
        </w:p>
        <w:p w14:paraId="31CE184E" w14:textId="77777777" w:rsidR="0019198A" w:rsidRDefault="0019198A" w:rsidP="006E08B3">
          <w:r>
            <w:t>V1.0 October 2010</w:t>
          </w:r>
        </w:p>
      </w:tc>
      <w:tc>
        <w:tcPr>
          <w:tcW w:w="4356" w:type="dxa"/>
          <w:tcBorders>
            <w:top w:val="single" w:sz="4" w:space="0" w:color="auto"/>
          </w:tcBorders>
          <w:tcMar>
            <w:top w:w="142" w:type="dxa"/>
            <w:bottom w:w="0" w:type="dxa"/>
          </w:tcMar>
        </w:tcPr>
        <w:p w14:paraId="4A873F41" w14:textId="77777777" w:rsidR="0019198A" w:rsidRDefault="0019198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29BB9979" w14:textId="77777777" w:rsidR="0019198A" w:rsidRDefault="001919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E919B" w14:textId="77777777" w:rsidR="0019198A" w:rsidRDefault="0019198A" w:rsidP="00C40A36">
      <w:pPr>
        <w:spacing w:after="0"/>
      </w:pPr>
      <w:r>
        <w:separator/>
      </w:r>
    </w:p>
  </w:footnote>
  <w:footnote w:type="continuationSeparator" w:id="0">
    <w:p w14:paraId="63B0E4DF" w14:textId="77777777" w:rsidR="0019198A" w:rsidRDefault="0019198A" w:rsidP="00C40A36">
      <w:pPr>
        <w:spacing w:after="0"/>
      </w:pPr>
      <w:r>
        <w:continuationSeparator/>
      </w:r>
    </w:p>
  </w:footnote>
  <w:footnote w:id="1">
    <w:p w14:paraId="6CF3864F" w14:textId="099379D1" w:rsidR="0019198A" w:rsidRDefault="0019198A">
      <w:pPr>
        <w:pStyle w:val="FootnoteText"/>
      </w:pPr>
      <w:r>
        <w:rPr>
          <w:rStyle w:val="FootnoteReference"/>
        </w:rPr>
        <w:footnoteRef/>
      </w:r>
      <w:r>
        <w:t xml:space="preserve"> </w:t>
      </w:r>
      <w:r w:rsidRPr="00733454">
        <w:rPr>
          <w:rFonts w:asciiTheme="minorHAnsi" w:eastAsiaTheme="minorHAnsi" w:hAnsiTheme="minorHAnsi" w:cs="TimesNewRoman"/>
          <w:sz w:val="16"/>
          <w:szCs w:val="16"/>
        </w:rPr>
        <w:t>Kirby Institute. HIV, viral hepatitis and sexually transmissible infections in Australia:</w:t>
      </w:r>
      <w:r>
        <w:rPr>
          <w:rFonts w:asciiTheme="minorHAnsi" w:eastAsiaTheme="minorHAnsi" w:hAnsiTheme="minorHAnsi" w:cs="TimesNewRoman"/>
          <w:sz w:val="16"/>
          <w:szCs w:val="16"/>
        </w:rPr>
        <w:t xml:space="preserve"> A</w:t>
      </w:r>
      <w:r w:rsidRPr="00733454">
        <w:rPr>
          <w:rFonts w:asciiTheme="minorHAnsi" w:eastAsiaTheme="minorHAnsi" w:hAnsiTheme="minorHAnsi" w:cs="TimesNewRoman"/>
          <w:sz w:val="16"/>
          <w:szCs w:val="16"/>
        </w:rPr>
        <w:t>nnual surveillance report 2017. Sydney: Kirby Institute, UNSW Sydney; 2017</w:t>
      </w:r>
    </w:p>
  </w:footnote>
  <w:footnote w:id="2">
    <w:p w14:paraId="55746E6C" w14:textId="77777777" w:rsidR="0019198A" w:rsidRDefault="0019198A">
      <w:pPr>
        <w:pStyle w:val="FootnoteText"/>
      </w:pPr>
      <w:r>
        <w:rPr>
          <w:rStyle w:val="FootnoteReference"/>
        </w:rPr>
        <w:footnoteRef/>
      </w:r>
      <w:r>
        <w:t xml:space="preserve"> </w:t>
      </w:r>
      <w:proofErr w:type="spellStart"/>
      <w:r w:rsidRPr="00B50D8A">
        <w:rPr>
          <w:rFonts w:asciiTheme="minorHAnsi" w:eastAsia="TimesNewRoman" w:hAnsiTheme="minorHAnsi" w:cs="TimesNewRoman"/>
        </w:rPr>
        <w:t>Tivicay</w:t>
      </w:r>
      <w:proofErr w:type="spellEnd"/>
      <w:r w:rsidRPr="00B50D8A">
        <w:rPr>
          <w:rFonts w:asciiTheme="minorHAnsi" w:eastAsia="TimesNewRoman" w:hAnsiTheme="minorHAnsi" w:cs="TimesNewRoman"/>
        </w:rPr>
        <w:t xml:space="preserve"> (</w:t>
      </w:r>
      <w:proofErr w:type="spellStart"/>
      <w:r w:rsidRPr="00B50D8A">
        <w:rPr>
          <w:rFonts w:asciiTheme="minorHAnsi" w:eastAsia="TimesNewRoman" w:hAnsiTheme="minorHAnsi" w:cs="TimesNewRoman"/>
        </w:rPr>
        <w:t>dolutegravir</w:t>
      </w:r>
      <w:proofErr w:type="spellEnd"/>
      <w:r w:rsidRPr="00B50D8A">
        <w:rPr>
          <w:rFonts w:asciiTheme="minorHAnsi" w:eastAsia="TimesNewRoman" w:hAnsiTheme="minorHAnsi" w:cs="TimesNewRoman"/>
        </w:rPr>
        <w:t>) Summary of Product Character</w:t>
      </w:r>
      <w:r>
        <w:rPr>
          <w:rFonts w:asciiTheme="minorHAnsi" w:eastAsia="TimesNewRoman" w:hAnsiTheme="minorHAnsi" w:cs="TimesNewRoman"/>
        </w:rPr>
        <w:t>istics, July 2018. Available from the United Kingdom electronic medicines compendium website</w:t>
      </w:r>
      <w:r w:rsidRPr="00B50D8A">
        <w:rPr>
          <w:rFonts w:asciiTheme="minorHAnsi" w:eastAsia="TimesNewRoman" w:hAnsiTheme="minorHAnsi" w:cs="TimesNewRoman"/>
        </w:rPr>
        <w:t>. Accessed 4 September 2018.</w:t>
      </w:r>
    </w:p>
  </w:footnote>
  <w:footnote w:id="3">
    <w:p w14:paraId="6EBD0A76" w14:textId="77777777" w:rsidR="0019198A" w:rsidRDefault="0019198A">
      <w:pPr>
        <w:pStyle w:val="FootnoteText"/>
      </w:pPr>
      <w:r>
        <w:rPr>
          <w:rStyle w:val="FootnoteReference"/>
        </w:rPr>
        <w:footnoteRef/>
      </w:r>
      <w:r>
        <w:t xml:space="preserve"> </w:t>
      </w:r>
      <w:proofErr w:type="spellStart"/>
      <w:r w:rsidRPr="00B50D8A">
        <w:rPr>
          <w:rFonts w:asciiTheme="minorHAnsi" w:eastAsia="TimesNewRoman" w:hAnsiTheme="minorHAnsi" w:cs="TimesNewRoman"/>
        </w:rPr>
        <w:t>Tivicay</w:t>
      </w:r>
      <w:proofErr w:type="spellEnd"/>
      <w:r w:rsidRPr="00B50D8A">
        <w:rPr>
          <w:rFonts w:asciiTheme="minorHAnsi" w:eastAsia="TimesNewRoman" w:hAnsiTheme="minorHAnsi" w:cs="TimesNewRoman"/>
        </w:rPr>
        <w:t xml:space="preserve"> (</w:t>
      </w:r>
      <w:proofErr w:type="spellStart"/>
      <w:r w:rsidRPr="00B50D8A">
        <w:rPr>
          <w:rFonts w:asciiTheme="minorHAnsi" w:eastAsia="TimesNewRoman" w:hAnsiTheme="minorHAnsi" w:cs="TimesNewRoman"/>
        </w:rPr>
        <w:t>dolutegravir</w:t>
      </w:r>
      <w:proofErr w:type="spellEnd"/>
      <w:r w:rsidRPr="00B50D8A">
        <w:rPr>
          <w:rFonts w:asciiTheme="minorHAnsi" w:eastAsia="TimesNewRoman" w:hAnsiTheme="minorHAnsi" w:cs="TimesNewRoman"/>
        </w:rPr>
        <w:t xml:space="preserve">) US Prescribing Information, November 2017. Available </w:t>
      </w:r>
      <w:r>
        <w:rPr>
          <w:rFonts w:asciiTheme="minorHAnsi" w:eastAsia="TimesNewRoman" w:hAnsiTheme="minorHAnsi" w:cs="TimesNewRoman"/>
        </w:rPr>
        <w:t>from the GlaxoSmithKline website</w:t>
      </w:r>
      <w:r w:rsidRPr="00B50D8A">
        <w:rPr>
          <w:rFonts w:asciiTheme="minorHAnsi" w:eastAsia="TimesNewRoman" w:hAnsiTheme="minorHAnsi" w:cs="TimesNewRoman"/>
        </w:rPr>
        <w:t xml:space="preserve"> Accessed 4 September 2018.</w:t>
      </w:r>
    </w:p>
  </w:footnote>
  <w:footnote w:id="4">
    <w:p w14:paraId="654739EA" w14:textId="77777777" w:rsidR="0019198A" w:rsidRDefault="0019198A">
      <w:pPr>
        <w:pStyle w:val="FootnoteText"/>
      </w:pPr>
      <w:r>
        <w:rPr>
          <w:rStyle w:val="FootnoteReference"/>
        </w:rPr>
        <w:footnoteRef/>
      </w:r>
      <w:r>
        <w:t xml:space="preserve"> </w:t>
      </w:r>
      <w:proofErr w:type="spellStart"/>
      <w:r w:rsidRPr="00B50D8A">
        <w:rPr>
          <w:rFonts w:asciiTheme="minorHAnsi" w:eastAsia="TimesNewRoman" w:hAnsiTheme="minorHAnsi" w:cs="TimesNewRoman"/>
        </w:rPr>
        <w:t>Epivir</w:t>
      </w:r>
      <w:proofErr w:type="spellEnd"/>
      <w:r w:rsidRPr="00B50D8A">
        <w:rPr>
          <w:rFonts w:asciiTheme="minorHAnsi" w:eastAsia="TimesNewRoman" w:hAnsiTheme="minorHAnsi" w:cs="TimesNewRoman"/>
        </w:rPr>
        <w:t xml:space="preserve"> (lamivudine) Summary of Product Characteristics, March 2018. </w:t>
      </w:r>
      <w:r>
        <w:rPr>
          <w:rFonts w:asciiTheme="minorHAnsi" w:eastAsia="TimesNewRoman" w:hAnsiTheme="minorHAnsi" w:cs="TimesNewRoman"/>
        </w:rPr>
        <w:t>Available from the United Kingdom electronic medicines compendium website</w:t>
      </w:r>
      <w:r w:rsidRPr="00B50D8A">
        <w:rPr>
          <w:rFonts w:asciiTheme="minorHAnsi" w:eastAsia="TimesNewRoman" w:hAnsiTheme="minorHAnsi" w:cs="TimesNewRoman"/>
        </w:rPr>
        <w:t>. Accessed 4 September 2018</w:t>
      </w:r>
    </w:p>
  </w:footnote>
  <w:footnote w:id="5">
    <w:p w14:paraId="7885B952" w14:textId="77777777" w:rsidR="0019198A" w:rsidRDefault="0019198A">
      <w:pPr>
        <w:pStyle w:val="FootnoteText"/>
      </w:pPr>
      <w:r>
        <w:rPr>
          <w:rStyle w:val="FootnoteReference"/>
        </w:rPr>
        <w:footnoteRef/>
      </w:r>
      <w:r>
        <w:t xml:space="preserve"> </w:t>
      </w:r>
      <w:proofErr w:type="spellStart"/>
      <w:r w:rsidRPr="00B50D8A">
        <w:rPr>
          <w:rFonts w:asciiTheme="minorHAnsi" w:eastAsia="TimesNewRoman" w:hAnsiTheme="minorHAnsi" w:cs="TimesNewRoman"/>
        </w:rPr>
        <w:t>Epivir</w:t>
      </w:r>
      <w:proofErr w:type="spellEnd"/>
      <w:r w:rsidRPr="00B50D8A">
        <w:rPr>
          <w:rFonts w:asciiTheme="minorHAnsi" w:eastAsia="TimesNewRoman" w:hAnsiTheme="minorHAnsi" w:cs="TimesNewRoman"/>
        </w:rPr>
        <w:t xml:space="preserve"> (lamivudine) US Prescribing Information, April 2018</w:t>
      </w:r>
      <w:r>
        <w:rPr>
          <w:rFonts w:asciiTheme="minorHAnsi" w:eastAsia="TimesNewRoman" w:hAnsiTheme="minorHAnsi" w:cs="TimesNewRoman"/>
        </w:rPr>
        <w:t xml:space="preserve">. </w:t>
      </w:r>
      <w:r w:rsidRPr="00B50D8A">
        <w:rPr>
          <w:rFonts w:asciiTheme="minorHAnsi" w:eastAsia="TimesNewRoman" w:hAnsiTheme="minorHAnsi" w:cs="TimesNewRoman"/>
        </w:rPr>
        <w:t xml:space="preserve">Available </w:t>
      </w:r>
      <w:r>
        <w:rPr>
          <w:rFonts w:asciiTheme="minorHAnsi" w:eastAsia="TimesNewRoman" w:hAnsiTheme="minorHAnsi" w:cs="TimesNewRoman"/>
        </w:rPr>
        <w:t>from the GlaxoSmithKline website</w:t>
      </w:r>
      <w:r w:rsidRPr="00B50D8A">
        <w:rPr>
          <w:rFonts w:asciiTheme="minorHAnsi" w:eastAsia="TimesNewRoman" w:hAnsiTheme="minorHAnsi" w:cs="TimesNewRoman"/>
        </w:rPr>
        <w:t xml:space="preserve"> Accessed 4 September 2018</w:t>
      </w:r>
    </w:p>
  </w:footnote>
  <w:footnote w:id="6">
    <w:p w14:paraId="0CB6BCA6" w14:textId="6FD99738" w:rsidR="0019198A" w:rsidRDefault="0019198A">
      <w:pPr>
        <w:pStyle w:val="FootnoteText"/>
      </w:pPr>
      <w:r>
        <w:rPr>
          <w:rStyle w:val="FootnoteReference"/>
        </w:rPr>
        <w:footnoteRef/>
      </w:r>
      <w:r>
        <w:t xml:space="preserve"> These issues were subsequently resolved in the sponsor’s response to TGA questions.</w:t>
      </w:r>
    </w:p>
  </w:footnote>
  <w:footnote w:id="7">
    <w:p w14:paraId="3D236D89" w14:textId="77777777" w:rsidR="0019198A" w:rsidRDefault="0019198A" w:rsidP="007A626C">
      <w:pPr>
        <w:pStyle w:val="FootnoteText"/>
      </w:pPr>
      <w:r>
        <w:rPr>
          <w:rStyle w:val="FootnoteReference"/>
        </w:rPr>
        <w:footnoteRef/>
      </w:r>
      <w:r>
        <w:t xml:space="preserve"> Pregnancy Category B1: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have not shown evidence of an increased occurrence of </w:t>
      </w:r>
      <w:proofErr w:type="spellStart"/>
      <w:r>
        <w:t>fetal</w:t>
      </w:r>
      <w:proofErr w:type="spellEnd"/>
      <w:r>
        <w:t xml:space="preserve"> damage.</w:t>
      </w:r>
    </w:p>
  </w:footnote>
  <w:footnote w:id="8">
    <w:p w14:paraId="132DE63B" w14:textId="77777777" w:rsidR="0019198A" w:rsidRDefault="0019198A" w:rsidP="007A626C">
      <w:pPr>
        <w:pStyle w:val="FootnoteText"/>
      </w:pPr>
      <w:r>
        <w:rPr>
          <w:rStyle w:val="FootnoteReference"/>
        </w:rPr>
        <w:footnoteRef/>
      </w:r>
      <w:r>
        <w:t xml:space="preserve"> Pregnancy Category B3: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have shown evidence of an increased occurrence of </w:t>
      </w:r>
      <w:proofErr w:type="spellStart"/>
      <w:r>
        <w:t>fetal</w:t>
      </w:r>
      <w:proofErr w:type="spellEnd"/>
      <w:r>
        <w:t xml:space="preserve"> damage, the significance of which is considered uncertain in humans.</w:t>
      </w:r>
    </w:p>
  </w:footnote>
  <w:footnote w:id="9">
    <w:p w14:paraId="62E62785" w14:textId="77777777" w:rsidR="0019198A" w:rsidRDefault="0019198A">
      <w:pPr>
        <w:pStyle w:val="FootnoteText"/>
      </w:pPr>
      <w:r>
        <w:rPr>
          <w:rStyle w:val="FootnoteReference"/>
        </w:rPr>
        <w:footnoteRef/>
      </w:r>
      <w:r>
        <w:t xml:space="preserve"> European Medicines Agency (EMA), </w:t>
      </w:r>
      <w:r>
        <w:rPr>
          <w:lang w:eastAsia="ja-JP"/>
        </w:rPr>
        <w:t xml:space="preserve">Committee for Medicinal Products for Human Use (CHMP), Guidelines for evaluation of medicinal products for treatment of HIV infection, </w:t>
      </w:r>
      <w:r w:rsidRPr="00747724">
        <w:rPr>
          <w:lang w:eastAsia="ja-JP"/>
        </w:rPr>
        <w:t>EMEA/CPMP/EWP/633/02 Rev. 3</w:t>
      </w:r>
      <w:r>
        <w:rPr>
          <w:lang w:eastAsia="ja-JP"/>
        </w:rPr>
        <w:t>, 28 April 2016.</w:t>
      </w:r>
    </w:p>
  </w:footnote>
  <w:footnote w:id="10">
    <w:p w14:paraId="3286FB19" w14:textId="77777777" w:rsidR="0019198A" w:rsidRDefault="0019198A">
      <w:pPr>
        <w:pStyle w:val="FootnoteText"/>
      </w:pPr>
      <w:r>
        <w:rPr>
          <w:rStyle w:val="FootnoteReference"/>
        </w:rPr>
        <w:footnoteRef/>
      </w:r>
      <w:r>
        <w:t xml:space="preserve"> </w:t>
      </w:r>
      <w:proofErr w:type="spellStart"/>
      <w:r>
        <w:t>Hy’s</w:t>
      </w:r>
      <w:proofErr w:type="spellEnd"/>
      <w:r>
        <w:t xml:space="preserve"> law: ALT &gt; 3 x upper limit of normal (ULN) and total bilirubin &gt; 2 x ULN.</w:t>
      </w:r>
    </w:p>
  </w:footnote>
  <w:footnote w:id="11">
    <w:p w14:paraId="7F5BC97E" w14:textId="77777777" w:rsidR="0019198A" w:rsidRDefault="0019198A" w:rsidP="00710FC7">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F4DD7B0" w14:textId="77777777" w:rsidR="0019198A" w:rsidRDefault="0019198A" w:rsidP="00710FC7">
      <w:pPr>
        <w:pStyle w:val="FootnoteText"/>
      </w:pPr>
      <w:r w:rsidRPr="00F12492">
        <w:rPr>
          <w:i/>
        </w:rPr>
        <w:t>Routine pharmacovigilance</w:t>
      </w:r>
      <w:r>
        <w:t xml:space="preserve"> practices involve the following activities:</w:t>
      </w:r>
    </w:p>
    <w:p w14:paraId="685870F3" w14:textId="77777777" w:rsidR="0019198A" w:rsidRDefault="0019198A" w:rsidP="00710FC7">
      <w:pPr>
        <w:pStyle w:val="FootnoteText"/>
        <w:numPr>
          <w:ilvl w:val="0"/>
          <w:numId w:val="28"/>
        </w:numPr>
      </w:pPr>
      <w:r>
        <w:t>All suspected adverse reactions that are reported to the personnel of the company are collected and collated in an accessible manner;</w:t>
      </w:r>
    </w:p>
    <w:p w14:paraId="23F1F76A" w14:textId="77777777" w:rsidR="0019198A" w:rsidRDefault="0019198A" w:rsidP="00710FC7">
      <w:pPr>
        <w:pStyle w:val="FootnoteText"/>
        <w:numPr>
          <w:ilvl w:val="0"/>
          <w:numId w:val="28"/>
        </w:numPr>
      </w:pPr>
      <w:r>
        <w:t>Reporting to regulatory authorities;</w:t>
      </w:r>
    </w:p>
    <w:p w14:paraId="14AD6EE2" w14:textId="77777777" w:rsidR="0019198A" w:rsidRDefault="0019198A" w:rsidP="00710FC7">
      <w:pPr>
        <w:pStyle w:val="FootnoteText"/>
        <w:numPr>
          <w:ilvl w:val="0"/>
          <w:numId w:val="28"/>
        </w:numPr>
      </w:pPr>
      <w:r>
        <w:t>Continuous monitoring of the safety profiles of approved products including signal detection and updating of labelling;</w:t>
      </w:r>
    </w:p>
    <w:p w14:paraId="5C83919E" w14:textId="77777777" w:rsidR="0019198A" w:rsidRDefault="0019198A" w:rsidP="00710FC7">
      <w:pPr>
        <w:pStyle w:val="FootnoteText"/>
        <w:numPr>
          <w:ilvl w:val="0"/>
          <w:numId w:val="28"/>
        </w:numPr>
      </w:pPr>
      <w:r>
        <w:t>Submission of PSURs;</w:t>
      </w:r>
    </w:p>
    <w:p w14:paraId="3E76391C" w14:textId="77777777" w:rsidR="0019198A" w:rsidRPr="00F12492" w:rsidRDefault="0019198A" w:rsidP="00710FC7">
      <w:pPr>
        <w:pStyle w:val="FootnoteText"/>
        <w:numPr>
          <w:ilvl w:val="0"/>
          <w:numId w:val="28"/>
        </w:numPr>
        <w:rPr>
          <w:lang w:val="en-US"/>
        </w:rPr>
      </w:pPr>
      <w:r>
        <w:t>Meeting other local regulatory agency requirements.</w:t>
      </w:r>
    </w:p>
  </w:footnote>
  <w:footnote w:id="12">
    <w:p w14:paraId="5879B16D" w14:textId="4AF1DA97" w:rsidR="0019198A" w:rsidRDefault="0019198A">
      <w:pPr>
        <w:pStyle w:val="FootnoteText"/>
      </w:pPr>
      <w:r>
        <w:rPr>
          <w:rStyle w:val="FootnoteReference"/>
        </w:rPr>
        <w:footnoteRef/>
      </w:r>
      <w:r>
        <w:t xml:space="preserve"> The signed EU RMP was subsequently provided by the sponsor.</w:t>
      </w:r>
    </w:p>
  </w:footnote>
  <w:footnote w:id="13">
    <w:p w14:paraId="4F987CA9" w14:textId="77777777" w:rsidR="0019198A" w:rsidRDefault="0019198A"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7F345F9" w14:textId="77777777" w:rsidR="0019198A" w:rsidRPr="00456765" w:rsidRDefault="0019198A"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7D58" w14:textId="77777777" w:rsidR="009A7D3C" w:rsidRDefault="009A7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9C823" w14:textId="77777777" w:rsidR="0019198A" w:rsidRDefault="0019198A"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C5DD" w14:textId="77777777" w:rsidR="0019198A" w:rsidRDefault="0019198A">
    <w:pPr>
      <w:rPr>
        <w:noProof/>
        <w:lang w:eastAsia="en-AU"/>
      </w:rPr>
    </w:pPr>
    <w:r w:rsidRPr="00347824">
      <w:rPr>
        <w:noProof/>
        <w:lang w:eastAsia="en-AU"/>
      </w:rPr>
      <w:drawing>
        <wp:anchor distT="0" distB="0" distL="114300" distR="114300" simplePos="0" relativeHeight="251658240" behindDoc="1" locked="0" layoutInCell="1" allowOverlap="1" wp14:anchorId="112F1351" wp14:editId="5604C8B1">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E95B135" w14:textId="3C2BFEF0" w:rsidR="0019198A" w:rsidRDefault="0019198A"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6E253" w14:textId="77777777" w:rsidR="0019198A" w:rsidRDefault="001919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4289" w14:textId="77777777" w:rsidR="0019198A" w:rsidRDefault="0019198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25C31" w14:textId="77777777" w:rsidR="0019198A" w:rsidRDefault="0019198A">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4389" w14:textId="77777777" w:rsidR="0019198A" w:rsidRDefault="001919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49D8B" w14:textId="77777777" w:rsidR="0019198A" w:rsidRDefault="0019198A"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E4D2B" w14:textId="77777777" w:rsidR="0019198A" w:rsidRDefault="0019198A" w:rsidP="006E08B3">
    <w:r>
      <w:t>Therapeutic Goods Administration</w:t>
    </w:r>
  </w:p>
  <w:p w14:paraId="16C31EC6" w14:textId="77777777" w:rsidR="0019198A" w:rsidRDefault="0019198A"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DA66F1"/>
    <w:multiLevelType w:val="hybridMultilevel"/>
    <w:tmpl w:val="CD42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11791F"/>
    <w:multiLevelType w:val="hybridMultilevel"/>
    <w:tmpl w:val="CA244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8F13E9"/>
    <w:multiLevelType w:val="multilevel"/>
    <w:tmpl w:val="70F4B20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CE661C"/>
    <w:multiLevelType w:val="hybridMultilevel"/>
    <w:tmpl w:val="464C4F68"/>
    <w:lvl w:ilvl="0" w:tplc="775C6C8A">
      <w:start w:val="1"/>
      <w:numFmt w:val="decimal"/>
      <w:lvlText w:val="(%1)"/>
      <w:lvlJc w:val="left"/>
      <w:pPr>
        <w:ind w:left="1080" w:hanging="360"/>
      </w:pPr>
      <w:rPr>
        <w:rFonts w:cs="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53A1D0C"/>
    <w:multiLevelType w:val="hybridMultilevel"/>
    <w:tmpl w:val="14821A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702641D"/>
    <w:multiLevelType w:val="hybridMultilevel"/>
    <w:tmpl w:val="031E06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4"/>
  </w:num>
  <w:num w:numId="29">
    <w:abstractNumId w:val="4"/>
  </w:num>
  <w:num w:numId="30">
    <w:abstractNumId w:val="6"/>
  </w:num>
  <w:num w:numId="31">
    <w:abstractNumId w:val="11"/>
  </w:num>
  <w:num w:numId="32">
    <w:abstractNumId w:val="13"/>
  </w:num>
  <w:num w:numId="33">
    <w:abstractNumId w:val="5"/>
  </w:num>
  <w:num w:numId="34">
    <w:abstractNumId w:val="9"/>
  </w:num>
  <w:num w:numId="35">
    <w:abstractNumId w:val="12"/>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076"/>
    <w:rsid w:val="00002031"/>
    <w:rsid w:val="00004734"/>
    <w:rsid w:val="00005261"/>
    <w:rsid w:val="00006B22"/>
    <w:rsid w:val="0001276A"/>
    <w:rsid w:val="000246AE"/>
    <w:rsid w:val="00025C67"/>
    <w:rsid w:val="000318AD"/>
    <w:rsid w:val="00044772"/>
    <w:rsid w:val="0004541C"/>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1DB5"/>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4BB3"/>
    <w:rsid w:val="001850E0"/>
    <w:rsid w:val="0019198A"/>
    <w:rsid w:val="001A03AF"/>
    <w:rsid w:val="001A2158"/>
    <w:rsid w:val="001A525F"/>
    <w:rsid w:val="001B09F9"/>
    <w:rsid w:val="001B3DD8"/>
    <w:rsid w:val="001B5C90"/>
    <w:rsid w:val="001B6448"/>
    <w:rsid w:val="001C32CD"/>
    <w:rsid w:val="001D2984"/>
    <w:rsid w:val="001E0616"/>
    <w:rsid w:val="001E07CF"/>
    <w:rsid w:val="001E59F1"/>
    <w:rsid w:val="001F011E"/>
    <w:rsid w:val="001F2CEE"/>
    <w:rsid w:val="001F49EB"/>
    <w:rsid w:val="001F6CBA"/>
    <w:rsid w:val="00201D4E"/>
    <w:rsid w:val="002076C9"/>
    <w:rsid w:val="00215397"/>
    <w:rsid w:val="00217FB8"/>
    <w:rsid w:val="00220B8A"/>
    <w:rsid w:val="0022446B"/>
    <w:rsid w:val="002257F3"/>
    <w:rsid w:val="00233456"/>
    <w:rsid w:val="002335FC"/>
    <w:rsid w:val="002339A5"/>
    <w:rsid w:val="00257848"/>
    <w:rsid w:val="0027084A"/>
    <w:rsid w:val="00280265"/>
    <w:rsid w:val="00280D5B"/>
    <w:rsid w:val="00286434"/>
    <w:rsid w:val="00286C59"/>
    <w:rsid w:val="00291957"/>
    <w:rsid w:val="002942D1"/>
    <w:rsid w:val="0029501A"/>
    <w:rsid w:val="002A3721"/>
    <w:rsid w:val="002B1638"/>
    <w:rsid w:val="002B3624"/>
    <w:rsid w:val="002D0952"/>
    <w:rsid w:val="002E345B"/>
    <w:rsid w:val="002E40B3"/>
    <w:rsid w:val="002E4C9A"/>
    <w:rsid w:val="002F11F8"/>
    <w:rsid w:val="002F3F56"/>
    <w:rsid w:val="002F44B5"/>
    <w:rsid w:val="002F5122"/>
    <w:rsid w:val="002F7CF5"/>
    <w:rsid w:val="00311AC0"/>
    <w:rsid w:val="003176FC"/>
    <w:rsid w:val="0032583B"/>
    <w:rsid w:val="00327883"/>
    <w:rsid w:val="00335504"/>
    <w:rsid w:val="00340C18"/>
    <w:rsid w:val="003442FD"/>
    <w:rsid w:val="00347824"/>
    <w:rsid w:val="00350567"/>
    <w:rsid w:val="003521E8"/>
    <w:rsid w:val="0036157B"/>
    <w:rsid w:val="00370CE3"/>
    <w:rsid w:val="003728F3"/>
    <w:rsid w:val="003735BC"/>
    <w:rsid w:val="0037496E"/>
    <w:rsid w:val="00383221"/>
    <w:rsid w:val="00386150"/>
    <w:rsid w:val="003874CE"/>
    <w:rsid w:val="00390900"/>
    <w:rsid w:val="003A7F6C"/>
    <w:rsid w:val="003B4D60"/>
    <w:rsid w:val="003B7E39"/>
    <w:rsid w:val="003C0559"/>
    <w:rsid w:val="003C58DC"/>
    <w:rsid w:val="003D1E62"/>
    <w:rsid w:val="003E0B99"/>
    <w:rsid w:val="003E2486"/>
    <w:rsid w:val="003E3208"/>
    <w:rsid w:val="003F0B04"/>
    <w:rsid w:val="003F6568"/>
    <w:rsid w:val="0040134E"/>
    <w:rsid w:val="004279C6"/>
    <w:rsid w:val="004334C7"/>
    <w:rsid w:val="00440A2D"/>
    <w:rsid w:val="00441C3F"/>
    <w:rsid w:val="00444D1A"/>
    <w:rsid w:val="0045186A"/>
    <w:rsid w:val="004539AE"/>
    <w:rsid w:val="004564A7"/>
    <w:rsid w:val="00456765"/>
    <w:rsid w:val="004617BF"/>
    <w:rsid w:val="00463658"/>
    <w:rsid w:val="004637A0"/>
    <w:rsid w:val="004722CC"/>
    <w:rsid w:val="00482B9F"/>
    <w:rsid w:val="00490483"/>
    <w:rsid w:val="004936E4"/>
    <w:rsid w:val="004949A8"/>
    <w:rsid w:val="00494E60"/>
    <w:rsid w:val="00497487"/>
    <w:rsid w:val="004A2771"/>
    <w:rsid w:val="004A6189"/>
    <w:rsid w:val="004A7390"/>
    <w:rsid w:val="004B0687"/>
    <w:rsid w:val="004B4F33"/>
    <w:rsid w:val="004B7B76"/>
    <w:rsid w:val="004C0A50"/>
    <w:rsid w:val="004C239D"/>
    <w:rsid w:val="004C2DCA"/>
    <w:rsid w:val="004C61D2"/>
    <w:rsid w:val="004F02EF"/>
    <w:rsid w:val="004F0C4A"/>
    <w:rsid w:val="004F0F38"/>
    <w:rsid w:val="004F47D6"/>
    <w:rsid w:val="00500337"/>
    <w:rsid w:val="00501921"/>
    <w:rsid w:val="00504454"/>
    <w:rsid w:val="00504BF2"/>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224A"/>
    <w:rsid w:val="005D5442"/>
    <w:rsid w:val="005E0F40"/>
    <w:rsid w:val="00603F32"/>
    <w:rsid w:val="00605AD4"/>
    <w:rsid w:val="006136D7"/>
    <w:rsid w:val="006173DB"/>
    <w:rsid w:val="00625A6E"/>
    <w:rsid w:val="00632398"/>
    <w:rsid w:val="00640FC3"/>
    <w:rsid w:val="00642020"/>
    <w:rsid w:val="006430EE"/>
    <w:rsid w:val="0065337B"/>
    <w:rsid w:val="0065419D"/>
    <w:rsid w:val="006603BC"/>
    <w:rsid w:val="006604D8"/>
    <w:rsid w:val="00664A5B"/>
    <w:rsid w:val="0066735C"/>
    <w:rsid w:val="006763D2"/>
    <w:rsid w:val="00680C08"/>
    <w:rsid w:val="006835ED"/>
    <w:rsid w:val="006916A0"/>
    <w:rsid w:val="006931B1"/>
    <w:rsid w:val="00696AF7"/>
    <w:rsid w:val="006A15C0"/>
    <w:rsid w:val="006A2118"/>
    <w:rsid w:val="006A58A8"/>
    <w:rsid w:val="006C3E2A"/>
    <w:rsid w:val="006C642F"/>
    <w:rsid w:val="006D03E5"/>
    <w:rsid w:val="006D5D3E"/>
    <w:rsid w:val="006D5ED2"/>
    <w:rsid w:val="006E08B3"/>
    <w:rsid w:val="006F17AC"/>
    <w:rsid w:val="006F25B8"/>
    <w:rsid w:val="006F572E"/>
    <w:rsid w:val="007046D6"/>
    <w:rsid w:val="00705DB0"/>
    <w:rsid w:val="00710FC7"/>
    <w:rsid w:val="00722B57"/>
    <w:rsid w:val="00730F8A"/>
    <w:rsid w:val="00735A8C"/>
    <w:rsid w:val="0074253D"/>
    <w:rsid w:val="0074429B"/>
    <w:rsid w:val="00747724"/>
    <w:rsid w:val="007615BC"/>
    <w:rsid w:val="00762F05"/>
    <w:rsid w:val="007652FF"/>
    <w:rsid w:val="007671AD"/>
    <w:rsid w:val="00770CAC"/>
    <w:rsid w:val="00770EF1"/>
    <w:rsid w:val="00773EF7"/>
    <w:rsid w:val="00774E1D"/>
    <w:rsid w:val="007765D8"/>
    <w:rsid w:val="0077675A"/>
    <w:rsid w:val="00780355"/>
    <w:rsid w:val="007819FD"/>
    <w:rsid w:val="00785717"/>
    <w:rsid w:val="00785721"/>
    <w:rsid w:val="00793A59"/>
    <w:rsid w:val="007A46F5"/>
    <w:rsid w:val="007A626C"/>
    <w:rsid w:val="007A6505"/>
    <w:rsid w:val="007B6132"/>
    <w:rsid w:val="007B6E9F"/>
    <w:rsid w:val="007C0228"/>
    <w:rsid w:val="007C0F47"/>
    <w:rsid w:val="007C1216"/>
    <w:rsid w:val="007C1AF7"/>
    <w:rsid w:val="007C6B9B"/>
    <w:rsid w:val="007E4787"/>
    <w:rsid w:val="00805D27"/>
    <w:rsid w:val="00806DCB"/>
    <w:rsid w:val="00821776"/>
    <w:rsid w:val="008321F5"/>
    <w:rsid w:val="00832369"/>
    <w:rsid w:val="00834660"/>
    <w:rsid w:val="00836BC2"/>
    <w:rsid w:val="0085156D"/>
    <w:rsid w:val="00852B28"/>
    <w:rsid w:val="00854091"/>
    <w:rsid w:val="008544C8"/>
    <w:rsid w:val="0085641B"/>
    <w:rsid w:val="00857136"/>
    <w:rsid w:val="00875A6B"/>
    <w:rsid w:val="008766D5"/>
    <w:rsid w:val="00876A6C"/>
    <w:rsid w:val="00885B11"/>
    <w:rsid w:val="00886D15"/>
    <w:rsid w:val="00887DD8"/>
    <w:rsid w:val="00891BA9"/>
    <w:rsid w:val="008951BD"/>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3076"/>
    <w:rsid w:val="00937C17"/>
    <w:rsid w:val="00940A89"/>
    <w:rsid w:val="00941F77"/>
    <w:rsid w:val="00946EA5"/>
    <w:rsid w:val="00963C08"/>
    <w:rsid w:val="009752A5"/>
    <w:rsid w:val="0098585A"/>
    <w:rsid w:val="009A4CED"/>
    <w:rsid w:val="009A690D"/>
    <w:rsid w:val="009A7D3C"/>
    <w:rsid w:val="009B1D12"/>
    <w:rsid w:val="009B416B"/>
    <w:rsid w:val="009C4BD5"/>
    <w:rsid w:val="009D7B77"/>
    <w:rsid w:val="009E0BB0"/>
    <w:rsid w:val="009E3FBB"/>
    <w:rsid w:val="009F7353"/>
    <w:rsid w:val="00A04F85"/>
    <w:rsid w:val="00A05FA4"/>
    <w:rsid w:val="00A102E4"/>
    <w:rsid w:val="00A1219C"/>
    <w:rsid w:val="00A12C42"/>
    <w:rsid w:val="00A14DF7"/>
    <w:rsid w:val="00A22D57"/>
    <w:rsid w:val="00A2723F"/>
    <w:rsid w:val="00A31CBE"/>
    <w:rsid w:val="00A3246D"/>
    <w:rsid w:val="00A36FA7"/>
    <w:rsid w:val="00A44DDB"/>
    <w:rsid w:val="00A475B7"/>
    <w:rsid w:val="00A47AF7"/>
    <w:rsid w:val="00A47C3E"/>
    <w:rsid w:val="00A50226"/>
    <w:rsid w:val="00A60BAD"/>
    <w:rsid w:val="00A77F87"/>
    <w:rsid w:val="00A80B5B"/>
    <w:rsid w:val="00A84E36"/>
    <w:rsid w:val="00A8795B"/>
    <w:rsid w:val="00A964D1"/>
    <w:rsid w:val="00AA0ED0"/>
    <w:rsid w:val="00AA5AF5"/>
    <w:rsid w:val="00AC1D1F"/>
    <w:rsid w:val="00AC2B40"/>
    <w:rsid w:val="00AC2BB2"/>
    <w:rsid w:val="00AC2C3C"/>
    <w:rsid w:val="00AC512D"/>
    <w:rsid w:val="00AD0083"/>
    <w:rsid w:val="00AD3935"/>
    <w:rsid w:val="00AD3D20"/>
    <w:rsid w:val="00AE65EB"/>
    <w:rsid w:val="00AE67A7"/>
    <w:rsid w:val="00AF1D94"/>
    <w:rsid w:val="00AF56EB"/>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66DCC"/>
    <w:rsid w:val="00B76B91"/>
    <w:rsid w:val="00B77EB1"/>
    <w:rsid w:val="00B811C6"/>
    <w:rsid w:val="00B855B0"/>
    <w:rsid w:val="00B92E08"/>
    <w:rsid w:val="00BA445C"/>
    <w:rsid w:val="00BC622A"/>
    <w:rsid w:val="00BE0A78"/>
    <w:rsid w:val="00BE79F0"/>
    <w:rsid w:val="00BF046D"/>
    <w:rsid w:val="00BF1190"/>
    <w:rsid w:val="00BF3774"/>
    <w:rsid w:val="00BF5D04"/>
    <w:rsid w:val="00C009AA"/>
    <w:rsid w:val="00C1164D"/>
    <w:rsid w:val="00C16861"/>
    <w:rsid w:val="00C17B5C"/>
    <w:rsid w:val="00C20382"/>
    <w:rsid w:val="00C346AB"/>
    <w:rsid w:val="00C404A6"/>
    <w:rsid w:val="00C40A36"/>
    <w:rsid w:val="00C44419"/>
    <w:rsid w:val="00C45E7B"/>
    <w:rsid w:val="00C471B1"/>
    <w:rsid w:val="00C51896"/>
    <w:rsid w:val="00C52E24"/>
    <w:rsid w:val="00C554AF"/>
    <w:rsid w:val="00C6273D"/>
    <w:rsid w:val="00C6316B"/>
    <w:rsid w:val="00C634A9"/>
    <w:rsid w:val="00C64586"/>
    <w:rsid w:val="00C6515A"/>
    <w:rsid w:val="00C70D53"/>
    <w:rsid w:val="00C73D0B"/>
    <w:rsid w:val="00C772FF"/>
    <w:rsid w:val="00C80137"/>
    <w:rsid w:val="00C801AF"/>
    <w:rsid w:val="00C80256"/>
    <w:rsid w:val="00C86E9E"/>
    <w:rsid w:val="00C94CD4"/>
    <w:rsid w:val="00C9747E"/>
    <w:rsid w:val="00CB6BC0"/>
    <w:rsid w:val="00CC1B7C"/>
    <w:rsid w:val="00CC727F"/>
    <w:rsid w:val="00CD1E0A"/>
    <w:rsid w:val="00CE4290"/>
    <w:rsid w:val="00CE6BD6"/>
    <w:rsid w:val="00CF15C3"/>
    <w:rsid w:val="00CF2B6F"/>
    <w:rsid w:val="00CF2F3E"/>
    <w:rsid w:val="00CF58B6"/>
    <w:rsid w:val="00D0062D"/>
    <w:rsid w:val="00D017ED"/>
    <w:rsid w:val="00D040D3"/>
    <w:rsid w:val="00D04C65"/>
    <w:rsid w:val="00D0789B"/>
    <w:rsid w:val="00D153D8"/>
    <w:rsid w:val="00D201D2"/>
    <w:rsid w:val="00D224FE"/>
    <w:rsid w:val="00D23139"/>
    <w:rsid w:val="00D425BB"/>
    <w:rsid w:val="00D453FA"/>
    <w:rsid w:val="00D6493E"/>
    <w:rsid w:val="00D7195D"/>
    <w:rsid w:val="00D7301E"/>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1D89"/>
    <w:rsid w:val="00DE3807"/>
    <w:rsid w:val="00DE39D1"/>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4BA4"/>
    <w:rsid w:val="00E7344E"/>
    <w:rsid w:val="00E82665"/>
    <w:rsid w:val="00E92116"/>
    <w:rsid w:val="00E92623"/>
    <w:rsid w:val="00E95665"/>
    <w:rsid w:val="00EB0798"/>
    <w:rsid w:val="00EB40AD"/>
    <w:rsid w:val="00EB586E"/>
    <w:rsid w:val="00EB5FC8"/>
    <w:rsid w:val="00EC236C"/>
    <w:rsid w:val="00EC463D"/>
    <w:rsid w:val="00EC5C07"/>
    <w:rsid w:val="00EC7A85"/>
    <w:rsid w:val="00ED2922"/>
    <w:rsid w:val="00ED295F"/>
    <w:rsid w:val="00ED3CAD"/>
    <w:rsid w:val="00ED5A41"/>
    <w:rsid w:val="00EE0579"/>
    <w:rsid w:val="00EE1DE8"/>
    <w:rsid w:val="00EE27C2"/>
    <w:rsid w:val="00EF4BAD"/>
    <w:rsid w:val="00EF59DC"/>
    <w:rsid w:val="00EF7833"/>
    <w:rsid w:val="00F033EC"/>
    <w:rsid w:val="00F04F68"/>
    <w:rsid w:val="00F12670"/>
    <w:rsid w:val="00F14B27"/>
    <w:rsid w:val="00F222C7"/>
    <w:rsid w:val="00F3148D"/>
    <w:rsid w:val="00F325C5"/>
    <w:rsid w:val="00F32EE0"/>
    <w:rsid w:val="00F32FE0"/>
    <w:rsid w:val="00F35298"/>
    <w:rsid w:val="00F402BD"/>
    <w:rsid w:val="00F47333"/>
    <w:rsid w:val="00F47E37"/>
    <w:rsid w:val="00F53C07"/>
    <w:rsid w:val="00F54B65"/>
    <w:rsid w:val="00F63266"/>
    <w:rsid w:val="00F640B6"/>
    <w:rsid w:val="00F66DF2"/>
    <w:rsid w:val="00F80E40"/>
    <w:rsid w:val="00F848D9"/>
    <w:rsid w:val="00F8501E"/>
    <w:rsid w:val="00FA5069"/>
    <w:rsid w:val="00FA5B82"/>
    <w:rsid w:val="00FA639E"/>
    <w:rsid w:val="00FC1FCA"/>
    <w:rsid w:val="00FC1FD4"/>
    <w:rsid w:val="00FC25E4"/>
    <w:rsid w:val="00FC4EF7"/>
    <w:rsid w:val="00FD0824"/>
    <w:rsid w:val="00FD119B"/>
    <w:rsid w:val="00FD1EDC"/>
    <w:rsid w:val="00FD2C26"/>
    <w:rsid w:val="00FE04C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907F95C"/>
  <w15:docId w15:val="{8634299A-0565-4CEC-95F0-BD8D4571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7E478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AD3D20"/>
    <w:pPr>
      <w:adjustRightInd w:val="0"/>
      <w:snapToGrid w:val="0"/>
      <w:spacing w:before="180" w:after="180" w:line="259" w:lineRule="auto"/>
      <w:ind w:left="720"/>
      <w:contextualSpacing/>
    </w:pPr>
    <w:rPr>
      <w:rFonts w:ascii="Times New Roman" w:eastAsia="MS Mincho" w:hAnsi="Times New Roman"/>
      <w:sz w:val="24"/>
      <w:szCs w:val="20"/>
      <w:lang w:eastAsia="ja-JP"/>
    </w:rPr>
  </w:style>
  <w:style w:type="paragraph" w:customStyle="1" w:styleId="Standard">
    <w:name w:val="Standard"/>
    <w:basedOn w:val="Normal"/>
    <w:link w:val="StandardChar"/>
    <w:qFormat/>
    <w:rsid w:val="00710FC7"/>
    <w:pPr>
      <w:spacing w:before="0" w:after="220" w:line="252" w:lineRule="auto"/>
    </w:pPr>
    <w:rPr>
      <w:rFonts w:ascii="Times New Roman" w:eastAsia="Times New Roman" w:hAnsi="Times New Roman"/>
      <w:snapToGrid w:val="0"/>
      <w:kern w:val="16"/>
      <w:sz w:val="23"/>
      <w:szCs w:val="24"/>
    </w:rPr>
  </w:style>
  <w:style w:type="character" w:customStyle="1" w:styleId="StandardChar">
    <w:name w:val="Standard Char"/>
    <w:basedOn w:val="DefaultParagraphFont"/>
    <w:link w:val="Standard"/>
    <w:rsid w:val="00710FC7"/>
    <w:rPr>
      <w:rFonts w:ascii="Times New Roman" w:eastAsia="Times New Roman" w:hAnsi="Times New Roman" w:cs="Times New Roman"/>
      <w:snapToGrid w:val="0"/>
      <w:kern w:val="16"/>
      <w:sz w:val="23"/>
      <w:szCs w:val="24"/>
    </w:rPr>
  </w:style>
  <w:style w:type="paragraph" w:customStyle="1" w:styleId="Bulletlist">
    <w:name w:val="Bullet list"/>
    <w:basedOn w:val="Standard"/>
    <w:link w:val="BulletlistChar"/>
    <w:qFormat/>
    <w:rsid w:val="00710FC7"/>
    <w:pPr>
      <w:numPr>
        <w:numId w:val="30"/>
      </w:numPr>
      <w:spacing w:after="180"/>
      <w:ind w:left="426" w:hanging="284"/>
    </w:pPr>
    <w:rPr>
      <w:rFonts w:ascii="Cambria" w:hAnsi="Cambria"/>
      <w:kern w:val="2"/>
    </w:rPr>
  </w:style>
  <w:style w:type="character" w:customStyle="1" w:styleId="TabletextChar">
    <w:name w:val="Table text Char"/>
    <w:basedOn w:val="StandardChar"/>
    <w:link w:val="Tabletext"/>
    <w:rsid w:val="00710FC7"/>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10FC7"/>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10FC7"/>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10FC7"/>
    <w:rPr>
      <w:rFonts w:ascii="Cambria" w:eastAsia="Times New Roman" w:hAnsi="Cambria" w:cs="Times New Roman"/>
      <w:b/>
      <w:snapToGrid w:val="0"/>
      <w:kern w:val="16"/>
      <w:sz w:val="20"/>
      <w:szCs w:val="24"/>
    </w:rPr>
  </w:style>
  <w:style w:type="paragraph" w:customStyle="1" w:styleId="Bulletpoint">
    <w:name w:val="Bullet point"/>
    <w:basedOn w:val="Normal"/>
    <w:rsid w:val="00710FC7"/>
    <w:pPr>
      <w:numPr>
        <w:numId w:val="34"/>
      </w:numPr>
      <w:tabs>
        <w:tab w:val="left" w:pos="397"/>
      </w:tabs>
      <w:spacing w:before="0" w:after="180" w:line="252" w:lineRule="auto"/>
    </w:pPr>
    <w:rPr>
      <w:rFonts w:ascii="Times New Roman" w:eastAsia="Times New Roman" w:hAnsi="Times New Roman"/>
      <w:snapToGrid w:val="0"/>
      <w:kern w:val="16"/>
      <w:szCs w:val="24"/>
    </w:rPr>
  </w:style>
  <w:style w:type="paragraph" w:customStyle="1" w:styleId="Default">
    <w:name w:val="Default"/>
    <w:rsid w:val="00710FC7"/>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3772">
      <w:bodyDiv w:val="1"/>
      <w:marLeft w:val="0"/>
      <w:marRight w:val="0"/>
      <w:marTop w:val="0"/>
      <w:marBottom w:val="0"/>
      <w:divBdr>
        <w:top w:val="none" w:sz="0" w:space="0" w:color="auto"/>
        <w:left w:val="none" w:sz="0" w:space="0" w:color="auto"/>
        <w:bottom w:val="none" w:sz="0" w:space="0" w:color="auto"/>
        <w:right w:val="none" w:sz="0" w:space="0" w:color="auto"/>
      </w:divBdr>
    </w:div>
    <w:div w:id="152256158">
      <w:bodyDiv w:val="1"/>
      <w:marLeft w:val="0"/>
      <w:marRight w:val="0"/>
      <w:marTop w:val="0"/>
      <w:marBottom w:val="0"/>
      <w:divBdr>
        <w:top w:val="none" w:sz="0" w:space="0" w:color="auto"/>
        <w:left w:val="none" w:sz="0" w:space="0" w:color="auto"/>
        <w:bottom w:val="none" w:sz="0" w:space="0" w:color="auto"/>
        <w:right w:val="none" w:sz="0" w:space="0" w:color="auto"/>
      </w:divBdr>
    </w:div>
    <w:div w:id="238904711">
      <w:bodyDiv w:val="1"/>
      <w:marLeft w:val="0"/>
      <w:marRight w:val="0"/>
      <w:marTop w:val="0"/>
      <w:marBottom w:val="0"/>
      <w:divBdr>
        <w:top w:val="none" w:sz="0" w:space="0" w:color="auto"/>
        <w:left w:val="none" w:sz="0" w:space="0" w:color="auto"/>
        <w:bottom w:val="none" w:sz="0" w:space="0" w:color="auto"/>
        <w:right w:val="none" w:sz="0" w:space="0" w:color="auto"/>
      </w:divBdr>
    </w:div>
    <w:div w:id="671958589">
      <w:bodyDiv w:val="1"/>
      <w:marLeft w:val="0"/>
      <w:marRight w:val="0"/>
      <w:marTop w:val="0"/>
      <w:marBottom w:val="0"/>
      <w:divBdr>
        <w:top w:val="none" w:sz="0" w:space="0" w:color="auto"/>
        <w:left w:val="none" w:sz="0" w:space="0" w:color="auto"/>
        <w:bottom w:val="none" w:sz="0" w:space="0" w:color="auto"/>
        <w:right w:val="none" w:sz="0" w:space="0" w:color="auto"/>
      </w:divBdr>
    </w:div>
    <w:div w:id="712734432">
      <w:bodyDiv w:val="1"/>
      <w:marLeft w:val="0"/>
      <w:marRight w:val="0"/>
      <w:marTop w:val="0"/>
      <w:marBottom w:val="0"/>
      <w:divBdr>
        <w:top w:val="none" w:sz="0" w:space="0" w:color="auto"/>
        <w:left w:val="none" w:sz="0" w:space="0" w:color="auto"/>
        <w:bottom w:val="none" w:sz="0" w:space="0" w:color="auto"/>
        <w:right w:val="none" w:sz="0" w:space="0" w:color="auto"/>
      </w:divBdr>
    </w:div>
    <w:div w:id="859469631">
      <w:bodyDiv w:val="1"/>
      <w:marLeft w:val="0"/>
      <w:marRight w:val="0"/>
      <w:marTop w:val="0"/>
      <w:marBottom w:val="0"/>
      <w:divBdr>
        <w:top w:val="none" w:sz="0" w:space="0" w:color="auto"/>
        <w:left w:val="none" w:sz="0" w:space="0" w:color="auto"/>
        <w:bottom w:val="none" w:sz="0" w:space="0" w:color="auto"/>
        <w:right w:val="none" w:sz="0" w:space="0" w:color="auto"/>
      </w:divBdr>
    </w:div>
    <w:div w:id="937326918">
      <w:bodyDiv w:val="1"/>
      <w:marLeft w:val="0"/>
      <w:marRight w:val="0"/>
      <w:marTop w:val="0"/>
      <w:marBottom w:val="0"/>
      <w:divBdr>
        <w:top w:val="none" w:sz="0" w:space="0" w:color="auto"/>
        <w:left w:val="none" w:sz="0" w:space="0" w:color="auto"/>
        <w:bottom w:val="none" w:sz="0" w:space="0" w:color="auto"/>
        <w:right w:val="none" w:sz="0" w:space="0" w:color="auto"/>
      </w:divBdr>
    </w:div>
    <w:div w:id="1218513267">
      <w:bodyDiv w:val="1"/>
      <w:marLeft w:val="0"/>
      <w:marRight w:val="0"/>
      <w:marTop w:val="0"/>
      <w:marBottom w:val="0"/>
      <w:divBdr>
        <w:top w:val="none" w:sz="0" w:space="0" w:color="auto"/>
        <w:left w:val="none" w:sz="0" w:space="0" w:color="auto"/>
        <w:bottom w:val="none" w:sz="0" w:space="0" w:color="auto"/>
        <w:right w:val="none" w:sz="0" w:space="0" w:color="auto"/>
      </w:divBdr>
    </w:div>
    <w:div w:id="1260528605">
      <w:bodyDiv w:val="1"/>
      <w:marLeft w:val="0"/>
      <w:marRight w:val="0"/>
      <w:marTop w:val="0"/>
      <w:marBottom w:val="0"/>
      <w:divBdr>
        <w:top w:val="none" w:sz="0" w:space="0" w:color="auto"/>
        <w:left w:val="none" w:sz="0" w:space="0" w:color="auto"/>
        <w:bottom w:val="none" w:sz="0" w:space="0" w:color="auto"/>
        <w:right w:val="none" w:sz="0" w:space="0" w:color="auto"/>
      </w:divBdr>
    </w:div>
    <w:div w:id="1307661606">
      <w:bodyDiv w:val="1"/>
      <w:marLeft w:val="0"/>
      <w:marRight w:val="0"/>
      <w:marTop w:val="0"/>
      <w:marBottom w:val="0"/>
      <w:divBdr>
        <w:top w:val="none" w:sz="0" w:space="0" w:color="auto"/>
        <w:left w:val="none" w:sz="0" w:space="0" w:color="auto"/>
        <w:bottom w:val="none" w:sz="0" w:space="0" w:color="auto"/>
        <w:right w:val="none" w:sz="0" w:space="0" w:color="auto"/>
      </w:divBdr>
    </w:div>
    <w:div w:id="1382900664">
      <w:bodyDiv w:val="1"/>
      <w:marLeft w:val="0"/>
      <w:marRight w:val="0"/>
      <w:marTop w:val="0"/>
      <w:marBottom w:val="0"/>
      <w:divBdr>
        <w:top w:val="none" w:sz="0" w:space="0" w:color="auto"/>
        <w:left w:val="none" w:sz="0" w:space="0" w:color="auto"/>
        <w:bottom w:val="none" w:sz="0" w:space="0" w:color="auto"/>
        <w:right w:val="none" w:sz="0" w:space="0" w:color="auto"/>
      </w:divBdr>
    </w:div>
    <w:div w:id="1387338752">
      <w:bodyDiv w:val="1"/>
      <w:marLeft w:val="0"/>
      <w:marRight w:val="0"/>
      <w:marTop w:val="0"/>
      <w:marBottom w:val="0"/>
      <w:divBdr>
        <w:top w:val="none" w:sz="0" w:space="0" w:color="auto"/>
        <w:left w:val="none" w:sz="0" w:space="0" w:color="auto"/>
        <w:bottom w:val="none" w:sz="0" w:space="0" w:color="auto"/>
        <w:right w:val="none" w:sz="0" w:space="0" w:color="auto"/>
      </w:divBdr>
    </w:div>
    <w:div w:id="1393039779">
      <w:bodyDiv w:val="1"/>
      <w:marLeft w:val="0"/>
      <w:marRight w:val="0"/>
      <w:marTop w:val="0"/>
      <w:marBottom w:val="0"/>
      <w:divBdr>
        <w:top w:val="none" w:sz="0" w:space="0" w:color="auto"/>
        <w:left w:val="none" w:sz="0" w:space="0" w:color="auto"/>
        <w:bottom w:val="none" w:sz="0" w:space="0" w:color="auto"/>
        <w:right w:val="none" w:sz="0" w:space="0" w:color="auto"/>
      </w:divBdr>
    </w:div>
    <w:div w:id="1486700352">
      <w:bodyDiv w:val="1"/>
      <w:marLeft w:val="0"/>
      <w:marRight w:val="0"/>
      <w:marTop w:val="0"/>
      <w:marBottom w:val="0"/>
      <w:divBdr>
        <w:top w:val="none" w:sz="0" w:space="0" w:color="auto"/>
        <w:left w:val="none" w:sz="0" w:space="0" w:color="auto"/>
        <w:bottom w:val="none" w:sz="0" w:space="0" w:color="auto"/>
        <w:right w:val="none" w:sz="0" w:space="0" w:color="auto"/>
      </w:divBdr>
    </w:div>
    <w:div w:id="1531992555">
      <w:bodyDiv w:val="1"/>
      <w:marLeft w:val="0"/>
      <w:marRight w:val="0"/>
      <w:marTop w:val="0"/>
      <w:marBottom w:val="0"/>
      <w:divBdr>
        <w:top w:val="none" w:sz="0" w:space="0" w:color="auto"/>
        <w:left w:val="none" w:sz="0" w:space="0" w:color="auto"/>
        <w:bottom w:val="none" w:sz="0" w:space="0" w:color="auto"/>
        <w:right w:val="none" w:sz="0" w:space="0" w:color="auto"/>
      </w:divBdr>
    </w:div>
    <w:div w:id="1581451540">
      <w:bodyDiv w:val="1"/>
      <w:marLeft w:val="0"/>
      <w:marRight w:val="0"/>
      <w:marTop w:val="0"/>
      <w:marBottom w:val="0"/>
      <w:divBdr>
        <w:top w:val="none" w:sz="0" w:space="0" w:color="auto"/>
        <w:left w:val="none" w:sz="0" w:space="0" w:color="auto"/>
        <w:bottom w:val="none" w:sz="0" w:space="0" w:color="auto"/>
        <w:right w:val="none" w:sz="0" w:space="0" w:color="auto"/>
      </w:divBdr>
    </w:div>
    <w:div w:id="1790850855">
      <w:bodyDiv w:val="1"/>
      <w:marLeft w:val="0"/>
      <w:marRight w:val="0"/>
      <w:marTop w:val="0"/>
      <w:marBottom w:val="0"/>
      <w:divBdr>
        <w:top w:val="none" w:sz="0" w:space="0" w:color="auto"/>
        <w:left w:val="none" w:sz="0" w:space="0" w:color="auto"/>
        <w:bottom w:val="none" w:sz="0" w:space="0" w:color="auto"/>
        <w:right w:val="none" w:sz="0" w:space="0" w:color="auto"/>
      </w:divBdr>
    </w:div>
    <w:div w:id="1929465918">
      <w:bodyDiv w:val="1"/>
      <w:marLeft w:val="0"/>
      <w:marRight w:val="0"/>
      <w:marTop w:val="0"/>
      <w:marBottom w:val="0"/>
      <w:divBdr>
        <w:top w:val="none" w:sz="0" w:space="0" w:color="auto"/>
        <w:left w:val="none" w:sz="0" w:space="0" w:color="auto"/>
        <w:bottom w:val="none" w:sz="0" w:space="0" w:color="auto"/>
        <w:right w:val="none" w:sz="0" w:space="0" w:color="auto"/>
      </w:divBdr>
    </w:div>
    <w:div w:id="2004972266">
      <w:bodyDiv w:val="1"/>
      <w:marLeft w:val="0"/>
      <w:marRight w:val="0"/>
      <w:marTop w:val="0"/>
      <w:marBottom w:val="0"/>
      <w:divBdr>
        <w:top w:val="none" w:sz="0" w:space="0" w:color="auto"/>
        <w:left w:val="none" w:sz="0" w:space="0" w:color="auto"/>
        <w:bottom w:val="none" w:sz="0" w:space="0" w:color="auto"/>
        <w:right w:val="none" w:sz="0" w:space="0" w:color="auto"/>
      </w:divBdr>
    </w:div>
    <w:div w:id="205095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header" Target="header6.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emf"/><Relationship Id="rId32" Type="http://schemas.openxmlformats.org/officeDocument/2006/relationships/hyperlink" Target="https://www.tga.gov.au" TargetMode="Externa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E3C437ED13E949B041C7AC050F95BA" ma:contentTypeVersion="9" ma:contentTypeDescription="Create a new document." ma:contentTypeScope="" ma:versionID="94b931a4866e88bab6e68d7aaa29a97e">
  <xsd:schema xmlns:xsd="http://www.w3.org/2001/XMLSchema" xmlns:xs="http://www.w3.org/2001/XMLSchema" xmlns:p="http://schemas.microsoft.com/office/2006/metadata/properties" xmlns:ns3="b14d1408-9fe6-4287-bf44-68ae98f3d2fc" targetNamespace="http://schemas.microsoft.com/office/2006/metadata/properties" ma:root="true" ma:fieldsID="f15940a26483a4f860e582249b3cab35" ns3:_="">
    <xsd:import namespace="b14d1408-9fe6-4287-bf44-68ae98f3d2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d1408-9fe6-4287-bf44-68ae98f3d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E7501-4B66-4369-A6DA-96BA45A9F0F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14d1408-9fe6-4287-bf44-68ae98f3d2fc"/>
    <ds:schemaRef ds:uri="http://purl.org/dc/elements/1.1/"/>
    <ds:schemaRef ds:uri="http://www.w3.org/XML/1998/namespace"/>
  </ds:schemaRefs>
</ds:datastoreItem>
</file>

<file path=customXml/itemProps2.xml><?xml version="1.0" encoding="utf-8"?>
<ds:datastoreItem xmlns:ds="http://schemas.openxmlformats.org/officeDocument/2006/customXml" ds:itemID="{FAC1E532-051E-43D1-9896-716D3A971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d1408-9fe6-4287-bf44-68ae98f3d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A8F2B-FBE3-424E-8379-F2032A5D9740}">
  <ds:schemaRefs>
    <ds:schemaRef ds:uri="http://schemas.microsoft.com/sharepoint/v3/contenttype/forms"/>
  </ds:schemaRefs>
</ds:datastoreItem>
</file>

<file path=customXml/itemProps4.xml><?xml version="1.0" encoding="utf-8"?>
<ds:datastoreItem xmlns:ds="http://schemas.openxmlformats.org/officeDocument/2006/customXml" ds:itemID="{E0F7150B-E343-4C16-9165-78E8B98F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9963</Words>
  <Characters>55794</Characters>
  <Application>Microsoft Office Word</Application>
  <DocSecurity>0</DocSecurity>
  <Lines>1187</Lines>
  <Paragraphs>476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65281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Dolutegravir/Lamivudine</dc:title>
  <dc:subject>prescription medicines</dc:subject>
  <dc:creator>Therapeutic Goods Administration</dc:creator>
  <cp:keywords>AusPARs</cp:keywords>
  <cp:lastPrinted>2019-08-14T04:30:00Z</cp:lastPrinted>
  <dcterms:created xsi:type="dcterms:W3CDTF">2019-12-24T00:47:00Z</dcterms:created>
  <dcterms:modified xsi:type="dcterms:W3CDTF">2019-12-24T00:52:00Z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0x0101003AE3C437ED13E949B041C7AC050F95BA</vt:lpwstr>
  </property>
</Properties>
</file>