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929464F" w14:textId="77777777" w:rsidTr="00BF1190">
        <w:trPr>
          <w:trHeight w:val="1863"/>
        </w:trPr>
        <w:tc>
          <w:tcPr>
            <w:tcW w:w="3652" w:type="dxa"/>
            <w:tcBorders>
              <w:top w:val="nil"/>
              <w:left w:val="nil"/>
              <w:bottom w:val="nil"/>
              <w:right w:val="nil"/>
            </w:tcBorders>
          </w:tcPr>
          <w:p w14:paraId="6C497563" w14:textId="2A9F6E20" w:rsidR="008E7846" w:rsidRPr="00096AA7" w:rsidRDefault="00383C40" w:rsidP="00096AA7">
            <w:pPr>
              <w:rPr>
                <w:rFonts w:ascii="Arial" w:hAnsi="Arial" w:cs="Arial"/>
                <w:b/>
                <w:color w:val="002C47"/>
                <w:sz w:val="36"/>
                <w:szCs w:val="36"/>
              </w:rPr>
            </w:pPr>
            <w:r>
              <w:rPr>
                <w:rFonts w:ascii="Arial" w:hAnsi="Arial" w:cs="Arial"/>
                <w:b/>
                <w:color w:val="002C47"/>
                <w:sz w:val="36"/>
                <w:szCs w:val="36"/>
              </w:rPr>
              <w:t>June</w:t>
            </w:r>
            <w:r w:rsidR="00C346AB">
              <w:rPr>
                <w:rFonts w:ascii="Arial" w:hAnsi="Arial" w:cs="Arial"/>
                <w:b/>
                <w:color w:val="002C47"/>
                <w:sz w:val="36"/>
                <w:szCs w:val="36"/>
              </w:rPr>
              <w:t xml:space="preserve"> </w:t>
            </w:r>
            <w:r w:rsidR="003A1D09">
              <w:rPr>
                <w:rFonts w:ascii="Arial" w:hAnsi="Arial" w:cs="Arial"/>
                <w:b/>
                <w:color w:val="002C47"/>
                <w:sz w:val="36"/>
                <w:szCs w:val="36"/>
              </w:rPr>
              <w:t>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0DC6AFA" w14:textId="77777777" w:rsidTr="0032583B">
        <w:trPr>
          <w:trHeight w:val="868"/>
        </w:trPr>
        <w:tc>
          <w:tcPr>
            <w:tcW w:w="9079" w:type="dxa"/>
          </w:tcPr>
          <w:p w14:paraId="1F7B1B8B" w14:textId="794BB5DD" w:rsidR="0032583B" w:rsidRPr="00A964D1" w:rsidRDefault="0032583B" w:rsidP="003A1D09">
            <w:pPr>
              <w:pStyle w:val="Title"/>
              <w:rPr>
                <w:color w:val="FFFFFF" w:themeColor="background1"/>
              </w:rPr>
            </w:pPr>
            <w:r w:rsidRPr="00A964D1">
              <w:rPr>
                <w:color w:val="FFFFFF" w:themeColor="background1"/>
              </w:rPr>
              <w:t>Australian Pu</w:t>
            </w:r>
            <w:r w:rsidR="003A1D09">
              <w:rPr>
                <w:color w:val="FFFFFF" w:themeColor="background1"/>
              </w:rPr>
              <w:t xml:space="preserve">blic Assessment Report for </w:t>
            </w:r>
            <w:proofErr w:type="spellStart"/>
            <w:r w:rsidR="003A1D09">
              <w:rPr>
                <w:color w:val="FFFFFF" w:themeColor="background1"/>
              </w:rPr>
              <w:t>D</w:t>
            </w:r>
            <w:r w:rsidR="003A1D09" w:rsidRPr="003A1D09">
              <w:rPr>
                <w:color w:val="FFFFFF" w:themeColor="background1"/>
              </w:rPr>
              <w:t>inutuximab</w:t>
            </w:r>
            <w:proofErr w:type="spellEnd"/>
            <w:r w:rsidR="003A1D09" w:rsidRPr="003A1D09">
              <w:rPr>
                <w:color w:val="FFFFFF" w:themeColor="background1"/>
              </w:rPr>
              <w:t xml:space="preserve"> beta</w:t>
            </w:r>
          </w:p>
        </w:tc>
      </w:tr>
      <w:tr w:rsidR="0032583B" w:rsidRPr="00B64760" w14:paraId="43421C2F" w14:textId="77777777" w:rsidTr="0032583B">
        <w:tc>
          <w:tcPr>
            <w:tcW w:w="9079" w:type="dxa"/>
          </w:tcPr>
          <w:p w14:paraId="3300DD9A" w14:textId="0B7A7C3B"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3A1D09" w:rsidRPr="003A1D09">
              <w:rPr>
                <w:color w:val="FFFFFF" w:themeColor="background1"/>
              </w:rPr>
              <w:t>Qarzib</w:t>
            </w:r>
            <w:r w:rsidR="003A1D09">
              <w:rPr>
                <w:color w:val="FFFFFF" w:themeColor="background1"/>
              </w:rPr>
              <w:t>a</w:t>
            </w:r>
            <w:proofErr w:type="spellEnd"/>
          </w:p>
        </w:tc>
      </w:tr>
      <w:tr w:rsidR="0032583B" w:rsidRPr="00B64760" w14:paraId="68961E81" w14:textId="77777777" w:rsidTr="0032583B">
        <w:trPr>
          <w:trHeight w:val="486"/>
        </w:trPr>
        <w:tc>
          <w:tcPr>
            <w:tcW w:w="9079" w:type="dxa"/>
          </w:tcPr>
          <w:p w14:paraId="5A401C9A" w14:textId="41F5343F" w:rsidR="0032583B" w:rsidRPr="008E7846" w:rsidRDefault="003A1D09" w:rsidP="003A1D09">
            <w:pPr>
              <w:pStyle w:val="Subtitle"/>
              <w:rPr>
                <w:color w:val="FFFFFF" w:themeColor="background1"/>
              </w:rPr>
            </w:pPr>
            <w:r>
              <w:rPr>
                <w:color w:val="FFFFFF" w:themeColor="background1"/>
              </w:rPr>
              <w:t xml:space="preserve">Sponsor: </w:t>
            </w:r>
            <w:r w:rsidRPr="003A1D09">
              <w:rPr>
                <w:color w:val="FFFFFF" w:themeColor="background1"/>
              </w:rPr>
              <w:t>Emerge Health Pty Ltd</w:t>
            </w:r>
          </w:p>
        </w:tc>
      </w:tr>
    </w:tbl>
    <w:p w14:paraId="621D1D8B" w14:textId="77777777" w:rsidR="008E7846" w:rsidRPr="0085156D" w:rsidRDefault="008E7846" w:rsidP="0085156D">
      <w:r w:rsidRPr="0085156D">
        <w:br w:type="page"/>
      </w:r>
    </w:p>
    <w:p w14:paraId="12033FCE" w14:textId="77777777" w:rsidR="008E7846" w:rsidRPr="001F6CBA" w:rsidRDefault="008E7846" w:rsidP="008E7846">
      <w:pPr>
        <w:pStyle w:val="NonTOCHeading2"/>
      </w:pPr>
      <w:r w:rsidRPr="001F6CBA">
        <w:lastRenderedPageBreak/>
        <w:t>About the Therapeutic Goods Administration (TGA)</w:t>
      </w:r>
    </w:p>
    <w:p w14:paraId="21B3814D"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E743B0A"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4C09E731"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32F726AE"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4E93BFEB"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15368AFE" w14:textId="77777777" w:rsidR="008E7846" w:rsidRDefault="008E7846" w:rsidP="00875A6B">
      <w:pPr>
        <w:pStyle w:val="NonTOCHeading2"/>
      </w:pPr>
      <w:r>
        <w:t>About AusPARs</w:t>
      </w:r>
    </w:p>
    <w:p w14:paraId="687EE5F9"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67496808" w14:textId="77777777" w:rsidR="008E7846" w:rsidRDefault="008E7846" w:rsidP="008E7846">
      <w:pPr>
        <w:pStyle w:val="ListBullet"/>
        <w:numPr>
          <w:ilvl w:val="0"/>
          <w:numId w:val="3"/>
        </w:numPr>
        <w:ind w:left="357" w:hanging="357"/>
      </w:pPr>
      <w:r>
        <w:t>AusPARs are prepared and published by the TGA.</w:t>
      </w:r>
    </w:p>
    <w:p w14:paraId="0628EE4D"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6B4AA8F5"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2A40A68E"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0D4270A1" w14:textId="77777777" w:rsidR="00924482" w:rsidRPr="00DF1D7F" w:rsidRDefault="00924482" w:rsidP="00F54B65">
      <w:pPr>
        <w:pStyle w:val="LegalSubheading"/>
        <w:spacing w:before="3120"/>
      </w:pPr>
      <w:r w:rsidRPr="00DF1D7F">
        <w:t>Copyright</w:t>
      </w:r>
    </w:p>
    <w:p w14:paraId="48E77833" w14:textId="77777777" w:rsidR="00924482" w:rsidRDefault="00924482" w:rsidP="00924482">
      <w:pPr>
        <w:pStyle w:val="LegalCopy"/>
      </w:pPr>
      <w:r w:rsidRPr="00191B3B">
        <w:rPr>
          <w:rFonts w:cs="Arial"/>
          <w:lang w:val="en-GB"/>
        </w:rPr>
        <w:t>© Comm</w:t>
      </w:r>
      <w:r w:rsidR="006C6DC1">
        <w:rPr>
          <w:rFonts w:cs="Arial"/>
          <w:lang w:val="en-GB"/>
        </w:rPr>
        <w:t>onwealth of Australia 2020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72FB20B4"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72293FA" w14:textId="77777777" w:rsidR="0089635C" w:rsidRPr="0089635C" w:rsidRDefault="0089635C" w:rsidP="0010788A">
          <w:pPr>
            <w:pStyle w:val="Contents"/>
          </w:pPr>
          <w:r w:rsidRPr="0010788A">
            <w:t>Con</w:t>
          </w:r>
          <w:bookmarkStart w:id="2" w:name="_GoBack"/>
          <w:bookmarkEnd w:id="2"/>
          <w:r w:rsidRPr="0010788A">
            <w:t>tents</w:t>
          </w:r>
        </w:p>
        <w:p w14:paraId="6469C7C9" w14:textId="2B0F441E" w:rsidR="00BE0492" w:rsidRDefault="00960520">
          <w:pPr>
            <w:pStyle w:val="TOC2"/>
            <w:rPr>
              <w:rFonts w:asciiTheme="minorHAnsi" w:eastAsiaTheme="minorEastAsia" w:hAnsiTheme="minorHAnsi" w:cstheme="minorBidi"/>
              <w:b w:val="0"/>
              <w:noProof/>
              <w:sz w:val="22"/>
              <w:lang w:eastAsia="en-AU"/>
            </w:rPr>
          </w:pPr>
          <w:r>
            <w:fldChar w:fldCharType="begin"/>
          </w:r>
          <w:r>
            <w:instrText xml:space="preserve"> TOC \o "3-3" \h \z \t "Heading 1,1,Heading 2,2" </w:instrText>
          </w:r>
          <w:r>
            <w:fldChar w:fldCharType="separate"/>
          </w:r>
          <w:hyperlink w:anchor="_Toc44507089" w:history="1">
            <w:r w:rsidR="00BE0492" w:rsidRPr="008D0AC7">
              <w:rPr>
                <w:rStyle w:val="Hyperlink"/>
                <w:noProof/>
              </w:rPr>
              <w:t>Common abbreviations</w:t>
            </w:r>
            <w:r w:rsidR="00BE0492">
              <w:rPr>
                <w:noProof/>
                <w:webHidden/>
              </w:rPr>
              <w:tab/>
            </w:r>
            <w:r w:rsidR="00BE0492">
              <w:rPr>
                <w:noProof/>
                <w:webHidden/>
              </w:rPr>
              <w:fldChar w:fldCharType="begin"/>
            </w:r>
            <w:r w:rsidR="00BE0492">
              <w:rPr>
                <w:noProof/>
                <w:webHidden/>
              </w:rPr>
              <w:instrText xml:space="preserve"> PAGEREF _Toc44507089 \h </w:instrText>
            </w:r>
            <w:r w:rsidR="00BE0492">
              <w:rPr>
                <w:noProof/>
                <w:webHidden/>
              </w:rPr>
            </w:r>
            <w:r w:rsidR="00BE0492">
              <w:rPr>
                <w:noProof/>
                <w:webHidden/>
              </w:rPr>
              <w:fldChar w:fldCharType="separate"/>
            </w:r>
            <w:r w:rsidR="00BE0492">
              <w:rPr>
                <w:noProof/>
                <w:webHidden/>
              </w:rPr>
              <w:t>4</w:t>
            </w:r>
            <w:r w:rsidR="00BE0492">
              <w:rPr>
                <w:noProof/>
                <w:webHidden/>
              </w:rPr>
              <w:fldChar w:fldCharType="end"/>
            </w:r>
          </w:hyperlink>
        </w:p>
        <w:p w14:paraId="492245CE" w14:textId="1B5B9FCF" w:rsidR="00BE0492" w:rsidRDefault="00BE0492">
          <w:pPr>
            <w:pStyle w:val="TOC2"/>
            <w:rPr>
              <w:rFonts w:asciiTheme="minorHAnsi" w:eastAsiaTheme="minorEastAsia" w:hAnsiTheme="minorHAnsi" w:cstheme="minorBidi"/>
              <w:b w:val="0"/>
              <w:noProof/>
              <w:sz w:val="22"/>
              <w:lang w:eastAsia="en-AU"/>
            </w:rPr>
          </w:pPr>
          <w:hyperlink w:anchor="_Toc44507090" w:history="1">
            <w:r w:rsidRPr="008D0AC7">
              <w:rPr>
                <w:rStyle w:val="Hyperlink"/>
                <w:noProof/>
              </w:rPr>
              <w:t>I. Introduction to product submission</w:t>
            </w:r>
            <w:r>
              <w:rPr>
                <w:noProof/>
                <w:webHidden/>
              </w:rPr>
              <w:tab/>
            </w:r>
            <w:r>
              <w:rPr>
                <w:noProof/>
                <w:webHidden/>
              </w:rPr>
              <w:fldChar w:fldCharType="begin"/>
            </w:r>
            <w:r>
              <w:rPr>
                <w:noProof/>
                <w:webHidden/>
              </w:rPr>
              <w:instrText xml:space="preserve"> PAGEREF _Toc44507090 \h </w:instrText>
            </w:r>
            <w:r>
              <w:rPr>
                <w:noProof/>
                <w:webHidden/>
              </w:rPr>
            </w:r>
            <w:r>
              <w:rPr>
                <w:noProof/>
                <w:webHidden/>
              </w:rPr>
              <w:fldChar w:fldCharType="separate"/>
            </w:r>
            <w:r>
              <w:rPr>
                <w:noProof/>
                <w:webHidden/>
              </w:rPr>
              <w:t>7</w:t>
            </w:r>
            <w:r>
              <w:rPr>
                <w:noProof/>
                <w:webHidden/>
              </w:rPr>
              <w:fldChar w:fldCharType="end"/>
            </w:r>
          </w:hyperlink>
        </w:p>
        <w:p w14:paraId="42DCDD3B" w14:textId="44AC5816" w:rsidR="00BE0492" w:rsidRDefault="00BE0492">
          <w:pPr>
            <w:pStyle w:val="TOC3"/>
            <w:rPr>
              <w:rFonts w:asciiTheme="minorHAnsi" w:eastAsiaTheme="minorEastAsia" w:hAnsiTheme="minorHAnsi" w:cstheme="minorBidi"/>
              <w:noProof/>
              <w:lang w:eastAsia="en-AU"/>
            </w:rPr>
          </w:pPr>
          <w:hyperlink w:anchor="_Toc44507091" w:history="1">
            <w:r w:rsidRPr="008D0AC7">
              <w:rPr>
                <w:rStyle w:val="Hyperlink"/>
                <w:noProof/>
                <w:lang w:eastAsia="en-AU"/>
              </w:rPr>
              <w:t>Submission details</w:t>
            </w:r>
            <w:r>
              <w:rPr>
                <w:noProof/>
                <w:webHidden/>
              </w:rPr>
              <w:tab/>
            </w:r>
            <w:r>
              <w:rPr>
                <w:noProof/>
                <w:webHidden/>
              </w:rPr>
              <w:fldChar w:fldCharType="begin"/>
            </w:r>
            <w:r>
              <w:rPr>
                <w:noProof/>
                <w:webHidden/>
              </w:rPr>
              <w:instrText xml:space="preserve"> PAGEREF _Toc44507091 \h </w:instrText>
            </w:r>
            <w:r>
              <w:rPr>
                <w:noProof/>
                <w:webHidden/>
              </w:rPr>
            </w:r>
            <w:r>
              <w:rPr>
                <w:noProof/>
                <w:webHidden/>
              </w:rPr>
              <w:fldChar w:fldCharType="separate"/>
            </w:r>
            <w:r>
              <w:rPr>
                <w:noProof/>
                <w:webHidden/>
              </w:rPr>
              <w:t>7</w:t>
            </w:r>
            <w:r>
              <w:rPr>
                <w:noProof/>
                <w:webHidden/>
              </w:rPr>
              <w:fldChar w:fldCharType="end"/>
            </w:r>
          </w:hyperlink>
        </w:p>
        <w:p w14:paraId="2E2001C4" w14:textId="14E43872" w:rsidR="00BE0492" w:rsidRDefault="00BE0492">
          <w:pPr>
            <w:pStyle w:val="TOC3"/>
            <w:rPr>
              <w:rFonts w:asciiTheme="minorHAnsi" w:eastAsiaTheme="minorEastAsia" w:hAnsiTheme="minorHAnsi" w:cstheme="minorBidi"/>
              <w:noProof/>
              <w:lang w:eastAsia="en-AU"/>
            </w:rPr>
          </w:pPr>
          <w:hyperlink w:anchor="_Toc44507092" w:history="1">
            <w:r w:rsidRPr="008D0AC7">
              <w:rPr>
                <w:rStyle w:val="Hyperlink"/>
                <w:noProof/>
              </w:rPr>
              <w:t>Product background</w:t>
            </w:r>
            <w:r>
              <w:rPr>
                <w:noProof/>
                <w:webHidden/>
              </w:rPr>
              <w:tab/>
            </w:r>
            <w:r>
              <w:rPr>
                <w:noProof/>
                <w:webHidden/>
              </w:rPr>
              <w:fldChar w:fldCharType="begin"/>
            </w:r>
            <w:r>
              <w:rPr>
                <w:noProof/>
                <w:webHidden/>
              </w:rPr>
              <w:instrText xml:space="preserve"> PAGEREF _Toc44507092 \h </w:instrText>
            </w:r>
            <w:r>
              <w:rPr>
                <w:noProof/>
                <w:webHidden/>
              </w:rPr>
            </w:r>
            <w:r>
              <w:rPr>
                <w:noProof/>
                <w:webHidden/>
              </w:rPr>
              <w:fldChar w:fldCharType="separate"/>
            </w:r>
            <w:r>
              <w:rPr>
                <w:noProof/>
                <w:webHidden/>
              </w:rPr>
              <w:t>8</w:t>
            </w:r>
            <w:r>
              <w:rPr>
                <w:noProof/>
                <w:webHidden/>
              </w:rPr>
              <w:fldChar w:fldCharType="end"/>
            </w:r>
          </w:hyperlink>
        </w:p>
        <w:p w14:paraId="1CF0942C" w14:textId="11F17865" w:rsidR="00BE0492" w:rsidRDefault="00BE0492">
          <w:pPr>
            <w:pStyle w:val="TOC3"/>
            <w:rPr>
              <w:rFonts w:asciiTheme="minorHAnsi" w:eastAsiaTheme="minorEastAsia" w:hAnsiTheme="minorHAnsi" w:cstheme="minorBidi"/>
              <w:noProof/>
              <w:lang w:eastAsia="en-AU"/>
            </w:rPr>
          </w:pPr>
          <w:hyperlink w:anchor="_Toc44507093" w:history="1">
            <w:r w:rsidRPr="008D0AC7">
              <w:rPr>
                <w:rStyle w:val="Hyperlink"/>
                <w:noProof/>
              </w:rPr>
              <w:t>Regulatory status</w:t>
            </w:r>
            <w:r>
              <w:rPr>
                <w:noProof/>
                <w:webHidden/>
              </w:rPr>
              <w:tab/>
            </w:r>
            <w:r>
              <w:rPr>
                <w:noProof/>
                <w:webHidden/>
              </w:rPr>
              <w:fldChar w:fldCharType="begin"/>
            </w:r>
            <w:r>
              <w:rPr>
                <w:noProof/>
                <w:webHidden/>
              </w:rPr>
              <w:instrText xml:space="preserve"> PAGEREF _Toc44507093 \h </w:instrText>
            </w:r>
            <w:r>
              <w:rPr>
                <w:noProof/>
                <w:webHidden/>
              </w:rPr>
            </w:r>
            <w:r>
              <w:rPr>
                <w:noProof/>
                <w:webHidden/>
              </w:rPr>
              <w:fldChar w:fldCharType="separate"/>
            </w:r>
            <w:r>
              <w:rPr>
                <w:noProof/>
                <w:webHidden/>
              </w:rPr>
              <w:t>10</w:t>
            </w:r>
            <w:r>
              <w:rPr>
                <w:noProof/>
                <w:webHidden/>
              </w:rPr>
              <w:fldChar w:fldCharType="end"/>
            </w:r>
          </w:hyperlink>
        </w:p>
        <w:p w14:paraId="547118E6" w14:textId="63DF190E" w:rsidR="00BE0492" w:rsidRDefault="00BE0492">
          <w:pPr>
            <w:pStyle w:val="TOC3"/>
            <w:rPr>
              <w:rFonts w:asciiTheme="minorHAnsi" w:eastAsiaTheme="minorEastAsia" w:hAnsiTheme="minorHAnsi" w:cstheme="minorBidi"/>
              <w:noProof/>
              <w:lang w:eastAsia="en-AU"/>
            </w:rPr>
          </w:pPr>
          <w:hyperlink w:anchor="_Toc44507094" w:history="1">
            <w:r w:rsidRPr="008D0AC7">
              <w:rPr>
                <w:rStyle w:val="Hyperlink"/>
                <w:noProof/>
              </w:rPr>
              <w:t>Product Information</w:t>
            </w:r>
            <w:r>
              <w:rPr>
                <w:noProof/>
                <w:webHidden/>
              </w:rPr>
              <w:tab/>
            </w:r>
            <w:r>
              <w:rPr>
                <w:noProof/>
                <w:webHidden/>
              </w:rPr>
              <w:fldChar w:fldCharType="begin"/>
            </w:r>
            <w:r>
              <w:rPr>
                <w:noProof/>
                <w:webHidden/>
              </w:rPr>
              <w:instrText xml:space="preserve"> PAGEREF _Toc44507094 \h </w:instrText>
            </w:r>
            <w:r>
              <w:rPr>
                <w:noProof/>
                <w:webHidden/>
              </w:rPr>
            </w:r>
            <w:r>
              <w:rPr>
                <w:noProof/>
                <w:webHidden/>
              </w:rPr>
              <w:fldChar w:fldCharType="separate"/>
            </w:r>
            <w:r>
              <w:rPr>
                <w:noProof/>
                <w:webHidden/>
              </w:rPr>
              <w:t>10</w:t>
            </w:r>
            <w:r>
              <w:rPr>
                <w:noProof/>
                <w:webHidden/>
              </w:rPr>
              <w:fldChar w:fldCharType="end"/>
            </w:r>
          </w:hyperlink>
        </w:p>
        <w:p w14:paraId="11D5233F" w14:textId="002CB3DC" w:rsidR="00BE0492" w:rsidRDefault="00BE0492">
          <w:pPr>
            <w:pStyle w:val="TOC2"/>
            <w:rPr>
              <w:rFonts w:asciiTheme="minorHAnsi" w:eastAsiaTheme="minorEastAsia" w:hAnsiTheme="minorHAnsi" w:cstheme="minorBidi"/>
              <w:b w:val="0"/>
              <w:noProof/>
              <w:sz w:val="22"/>
              <w:lang w:eastAsia="en-AU"/>
            </w:rPr>
          </w:pPr>
          <w:hyperlink w:anchor="_Toc44507095" w:history="1">
            <w:r w:rsidRPr="008D0AC7">
              <w:rPr>
                <w:rStyle w:val="Hyperlink"/>
                <w:noProof/>
              </w:rPr>
              <w:t>II. Registration timeline</w:t>
            </w:r>
            <w:r>
              <w:rPr>
                <w:noProof/>
                <w:webHidden/>
              </w:rPr>
              <w:tab/>
            </w:r>
            <w:r>
              <w:rPr>
                <w:noProof/>
                <w:webHidden/>
              </w:rPr>
              <w:fldChar w:fldCharType="begin"/>
            </w:r>
            <w:r>
              <w:rPr>
                <w:noProof/>
                <w:webHidden/>
              </w:rPr>
              <w:instrText xml:space="preserve"> PAGEREF _Toc44507095 \h </w:instrText>
            </w:r>
            <w:r>
              <w:rPr>
                <w:noProof/>
                <w:webHidden/>
              </w:rPr>
            </w:r>
            <w:r>
              <w:rPr>
                <w:noProof/>
                <w:webHidden/>
              </w:rPr>
              <w:fldChar w:fldCharType="separate"/>
            </w:r>
            <w:r>
              <w:rPr>
                <w:noProof/>
                <w:webHidden/>
              </w:rPr>
              <w:t>10</w:t>
            </w:r>
            <w:r>
              <w:rPr>
                <w:noProof/>
                <w:webHidden/>
              </w:rPr>
              <w:fldChar w:fldCharType="end"/>
            </w:r>
          </w:hyperlink>
        </w:p>
        <w:p w14:paraId="38B5ECBF" w14:textId="15889ED8" w:rsidR="00BE0492" w:rsidRDefault="00BE0492">
          <w:pPr>
            <w:pStyle w:val="TOC2"/>
            <w:rPr>
              <w:rFonts w:asciiTheme="minorHAnsi" w:eastAsiaTheme="minorEastAsia" w:hAnsiTheme="minorHAnsi" w:cstheme="minorBidi"/>
              <w:b w:val="0"/>
              <w:noProof/>
              <w:sz w:val="22"/>
              <w:lang w:eastAsia="en-AU"/>
            </w:rPr>
          </w:pPr>
          <w:hyperlink w:anchor="_Toc44507096" w:history="1">
            <w:r w:rsidRPr="008D0AC7">
              <w:rPr>
                <w:rStyle w:val="Hyperlink"/>
                <w:noProof/>
              </w:rPr>
              <w:t>III. Submission overview and risk/benefit assessment</w:t>
            </w:r>
            <w:r>
              <w:rPr>
                <w:noProof/>
                <w:webHidden/>
              </w:rPr>
              <w:tab/>
            </w:r>
            <w:r>
              <w:rPr>
                <w:noProof/>
                <w:webHidden/>
              </w:rPr>
              <w:fldChar w:fldCharType="begin"/>
            </w:r>
            <w:r>
              <w:rPr>
                <w:noProof/>
                <w:webHidden/>
              </w:rPr>
              <w:instrText xml:space="preserve"> PAGEREF _Toc44507096 \h </w:instrText>
            </w:r>
            <w:r>
              <w:rPr>
                <w:noProof/>
                <w:webHidden/>
              </w:rPr>
            </w:r>
            <w:r>
              <w:rPr>
                <w:noProof/>
                <w:webHidden/>
              </w:rPr>
              <w:fldChar w:fldCharType="separate"/>
            </w:r>
            <w:r>
              <w:rPr>
                <w:noProof/>
                <w:webHidden/>
              </w:rPr>
              <w:t>11</w:t>
            </w:r>
            <w:r>
              <w:rPr>
                <w:noProof/>
                <w:webHidden/>
              </w:rPr>
              <w:fldChar w:fldCharType="end"/>
            </w:r>
          </w:hyperlink>
        </w:p>
        <w:p w14:paraId="36483274" w14:textId="4864A1BD" w:rsidR="00BE0492" w:rsidRDefault="00BE0492">
          <w:pPr>
            <w:pStyle w:val="TOC3"/>
            <w:rPr>
              <w:rFonts w:asciiTheme="minorHAnsi" w:eastAsiaTheme="minorEastAsia" w:hAnsiTheme="minorHAnsi" w:cstheme="minorBidi"/>
              <w:noProof/>
              <w:lang w:eastAsia="en-AU"/>
            </w:rPr>
          </w:pPr>
          <w:hyperlink w:anchor="_Toc44507097" w:history="1">
            <w:r w:rsidRPr="008D0AC7">
              <w:rPr>
                <w:rStyle w:val="Hyperlink"/>
                <w:noProof/>
              </w:rPr>
              <w:t>Quality</w:t>
            </w:r>
            <w:r>
              <w:rPr>
                <w:noProof/>
                <w:webHidden/>
              </w:rPr>
              <w:tab/>
            </w:r>
            <w:r>
              <w:rPr>
                <w:noProof/>
                <w:webHidden/>
              </w:rPr>
              <w:fldChar w:fldCharType="begin"/>
            </w:r>
            <w:r>
              <w:rPr>
                <w:noProof/>
                <w:webHidden/>
              </w:rPr>
              <w:instrText xml:space="preserve"> PAGEREF _Toc44507097 \h </w:instrText>
            </w:r>
            <w:r>
              <w:rPr>
                <w:noProof/>
                <w:webHidden/>
              </w:rPr>
            </w:r>
            <w:r>
              <w:rPr>
                <w:noProof/>
                <w:webHidden/>
              </w:rPr>
              <w:fldChar w:fldCharType="separate"/>
            </w:r>
            <w:r>
              <w:rPr>
                <w:noProof/>
                <w:webHidden/>
              </w:rPr>
              <w:t>11</w:t>
            </w:r>
            <w:r>
              <w:rPr>
                <w:noProof/>
                <w:webHidden/>
              </w:rPr>
              <w:fldChar w:fldCharType="end"/>
            </w:r>
          </w:hyperlink>
        </w:p>
        <w:p w14:paraId="0AC46888" w14:textId="793EDFAC" w:rsidR="00BE0492" w:rsidRDefault="00BE0492">
          <w:pPr>
            <w:pStyle w:val="TOC3"/>
            <w:rPr>
              <w:rFonts w:asciiTheme="minorHAnsi" w:eastAsiaTheme="minorEastAsia" w:hAnsiTheme="minorHAnsi" w:cstheme="minorBidi"/>
              <w:noProof/>
              <w:lang w:eastAsia="en-AU"/>
            </w:rPr>
          </w:pPr>
          <w:hyperlink w:anchor="_Toc44507098" w:history="1">
            <w:r w:rsidRPr="008D0AC7">
              <w:rPr>
                <w:rStyle w:val="Hyperlink"/>
                <w:noProof/>
              </w:rPr>
              <w:t>Nonclinical</w:t>
            </w:r>
            <w:r>
              <w:rPr>
                <w:noProof/>
                <w:webHidden/>
              </w:rPr>
              <w:tab/>
            </w:r>
            <w:r>
              <w:rPr>
                <w:noProof/>
                <w:webHidden/>
              </w:rPr>
              <w:fldChar w:fldCharType="begin"/>
            </w:r>
            <w:r>
              <w:rPr>
                <w:noProof/>
                <w:webHidden/>
              </w:rPr>
              <w:instrText xml:space="preserve"> PAGEREF _Toc44507098 \h </w:instrText>
            </w:r>
            <w:r>
              <w:rPr>
                <w:noProof/>
                <w:webHidden/>
              </w:rPr>
            </w:r>
            <w:r>
              <w:rPr>
                <w:noProof/>
                <w:webHidden/>
              </w:rPr>
              <w:fldChar w:fldCharType="separate"/>
            </w:r>
            <w:r>
              <w:rPr>
                <w:noProof/>
                <w:webHidden/>
              </w:rPr>
              <w:t>12</w:t>
            </w:r>
            <w:r>
              <w:rPr>
                <w:noProof/>
                <w:webHidden/>
              </w:rPr>
              <w:fldChar w:fldCharType="end"/>
            </w:r>
          </w:hyperlink>
        </w:p>
        <w:p w14:paraId="2BEADB76" w14:textId="2DCE6113" w:rsidR="00BE0492" w:rsidRDefault="00BE0492">
          <w:pPr>
            <w:pStyle w:val="TOC3"/>
            <w:rPr>
              <w:rFonts w:asciiTheme="minorHAnsi" w:eastAsiaTheme="minorEastAsia" w:hAnsiTheme="minorHAnsi" w:cstheme="minorBidi"/>
              <w:noProof/>
              <w:lang w:eastAsia="en-AU"/>
            </w:rPr>
          </w:pPr>
          <w:hyperlink w:anchor="_Toc44507099" w:history="1">
            <w:r w:rsidRPr="008D0AC7">
              <w:rPr>
                <w:rStyle w:val="Hyperlink"/>
                <w:noProof/>
              </w:rPr>
              <w:t>Clinical</w:t>
            </w:r>
            <w:r>
              <w:rPr>
                <w:noProof/>
                <w:webHidden/>
              </w:rPr>
              <w:tab/>
            </w:r>
            <w:r>
              <w:rPr>
                <w:noProof/>
                <w:webHidden/>
              </w:rPr>
              <w:fldChar w:fldCharType="begin"/>
            </w:r>
            <w:r>
              <w:rPr>
                <w:noProof/>
                <w:webHidden/>
              </w:rPr>
              <w:instrText xml:space="preserve"> PAGEREF _Toc44507099 \h </w:instrText>
            </w:r>
            <w:r>
              <w:rPr>
                <w:noProof/>
                <w:webHidden/>
              </w:rPr>
            </w:r>
            <w:r>
              <w:rPr>
                <w:noProof/>
                <w:webHidden/>
              </w:rPr>
              <w:fldChar w:fldCharType="separate"/>
            </w:r>
            <w:r>
              <w:rPr>
                <w:noProof/>
                <w:webHidden/>
              </w:rPr>
              <w:t>12</w:t>
            </w:r>
            <w:r>
              <w:rPr>
                <w:noProof/>
                <w:webHidden/>
              </w:rPr>
              <w:fldChar w:fldCharType="end"/>
            </w:r>
          </w:hyperlink>
        </w:p>
        <w:p w14:paraId="6BF1FE3A" w14:textId="0BCBA6B3" w:rsidR="00BE0492" w:rsidRDefault="00BE0492">
          <w:pPr>
            <w:pStyle w:val="TOC3"/>
            <w:rPr>
              <w:rFonts w:asciiTheme="minorHAnsi" w:eastAsiaTheme="minorEastAsia" w:hAnsiTheme="minorHAnsi" w:cstheme="minorBidi"/>
              <w:noProof/>
              <w:lang w:eastAsia="en-AU"/>
            </w:rPr>
          </w:pPr>
          <w:hyperlink w:anchor="_Toc44507100" w:history="1">
            <w:r w:rsidRPr="008D0AC7">
              <w:rPr>
                <w:rStyle w:val="Hyperlink"/>
                <w:noProof/>
                <w:lang w:eastAsia="en-AU"/>
              </w:rPr>
              <w:t>Risk management plan</w:t>
            </w:r>
            <w:r>
              <w:rPr>
                <w:noProof/>
                <w:webHidden/>
              </w:rPr>
              <w:tab/>
            </w:r>
            <w:r>
              <w:rPr>
                <w:noProof/>
                <w:webHidden/>
              </w:rPr>
              <w:fldChar w:fldCharType="begin"/>
            </w:r>
            <w:r>
              <w:rPr>
                <w:noProof/>
                <w:webHidden/>
              </w:rPr>
              <w:instrText xml:space="preserve"> PAGEREF _Toc44507100 \h </w:instrText>
            </w:r>
            <w:r>
              <w:rPr>
                <w:noProof/>
                <w:webHidden/>
              </w:rPr>
            </w:r>
            <w:r>
              <w:rPr>
                <w:noProof/>
                <w:webHidden/>
              </w:rPr>
              <w:fldChar w:fldCharType="separate"/>
            </w:r>
            <w:r>
              <w:rPr>
                <w:noProof/>
                <w:webHidden/>
              </w:rPr>
              <w:t>26</w:t>
            </w:r>
            <w:r>
              <w:rPr>
                <w:noProof/>
                <w:webHidden/>
              </w:rPr>
              <w:fldChar w:fldCharType="end"/>
            </w:r>
          </w:hyperlink>
        </w:p>
        <w:p w14:paraId="3DB2F866" w14:textId="42DA4517" w:rsidR="00BE0492" w:rsidRDefault="00BE0492">
          <w:pPr>
            <w:pStyle w:val="TOC3"/>
            <w:rPr>
              <w:rFonts w:asciiTheme="minorHAnsi" w:eastAsiaTheme="minorEastAsia" w:hAnsiTheme="minorHAnsi" w:cstheme="minorBidi"/>
              <w:noProof/>
              <w:lang w:eastAsia="en-AU"/>
            </w:rPr>
          </w:pPr>
          <w:hyperlink w:anchor="_Toc44507101" w:history="1">
            <w:r w:rsidRPr="008D0AC7">
              <w:rPr>
                <w:rStyle w:val="Hyperlink"/>
                <w:noProof/>
              </w:rPr>
              <w:t>Risk-benefit analysis</w:t>
            </w:r>
            <w:r>
              <w:rPr>
                <w:noProof/>
                <w:webHidden/>
              </w:rPr>
              <w:tab/>
            </w:r>
            <w:r>
              <w:rPr>
                <w:noProof/>
                <w:webHidden/>
              </w:rPr>
              <w:fldChar w:fldCharType="begin"/>
            </w:r>
            <w:r>
              <w:rPr>
                <w:noProof/>
                <w:webHidden/>
              </w:rPr>
              <w:instrText xml:space="preserve"> PAGEREF _Toc44507101 \h </w:instrText>
            </w:r>
            <w:r>
              <w:rPr>
                <w:noProof/>
                <w:webHidden/>
              </w:rPr>
            </w:r>
            <w:r>
              <w:rPr>
                <w:noProof/>
                <w:webHidden/>
              </w:rPr>
              <w:fldChar w:fldCharType="separate"/>
            </w:r>
            <w:r>
              <w:rPr>
                <w:noProof/>
                <w:webHidden/>
              </w:rPr>
              <w:t>28</w:t>
            </w:r>
            <w:r>
              <w:rPr>
                <w:noProof/>
                <w:webHidden/>
              </w:rPr>
              <w:fldChar w:fldCharType="end"/>
            </w:r>
          </w:hyperlink>
        </w:p>
        <w:p w14:paraId="15F02850" w14:textId="6E544DBB" w:rsidR="00BE0492" w:rsidRDefault="00BE0492">
          <w:pPr>
            <w:pStyle w:val="TOC3"/>
            <w:rPr>
              <w:rFonts w:asciiTheme="minorHAnsi" w:eastAsiaTheme="minorEastAsia" w:hAnsiTheme="minorHAnsi" w:cstheme="minorBidi"/>
              <w:noProof/>
              <w:lang w:eastAsia="en-AU"/>
            </w:rPr>
          </w:pPr>
          <w:hyperlink w:anchor="_Toc44507102" w:history="1">
            <w:r w:rsidRPr="008D0AC7">
              <w:rPr>
                <w:rStyle w:val="Hyperlink"/>
                <w:noProof/>
              </w:rPr>
              <w:t>Outcome</w:t>
            </w:r>
            <w:r>
              <w:rPr>
                <w:noProof/>
                <w:webHidden/>
              </w:rPr>
              <w:tab/>
            </w:r>
            <w:r>
              <w:rPr>
                <w:noProof/>
                <w:webHidden/>
              </w:rPr>
              <w:fldChar w:fldCharType="begin"/>
            </w:r>
            <w:r>
              <w:rPr>
                <w:noProof/>
                <w:webHidden/>
              </w:rPr>
              <w:instrText xml:space="preserve"> PAGEREF _Toc44507102 \h </w:instrText>
            </w:r>
            <w:r>
              <w:rPr>
                <w:noProof/>
                <w:webHidden/>
              </w:rPr>
            </w:r>
            <w:r>
              <w:rPr>
                <w:noProof/>
                <w:webHidden/>
              </w:rPr>
              <w:fldChar w:fldCharType="separate"/>
            </w:r>
            <w:r>
              <w:rPr>
                <w:noProof/>
                <w:webHidden/>
              </w:rPr>
              <w:t>32</w:t>
            </w:r>
            <w:r>
              <w:rPr>
                <w:noProof/>
                <w:webHidden/>
              </w:rPr>
              <w:fldChar w:fldCharType="end"/>
            </w:r>
          </w:hyperlink>
        </w:p>
        <w:p w14:paraId="394754F0" w14:textId="0A532B9B" w:rsidR="00BE0492" w:rsidRDefault="00BE0492">
          <w:pPr>
            <w:pStyle w:val="TOC2"/>
            <w:rPr>
              <w:rFonts w:asciiTheme="minorHAnsi" w:eastAsiaTheme="minorEastAsia" w:hAnsiTheme="minorHAnsi" w:cstheme="minorBidi"/>
              <w:b w:val="0"/>
              <w:noProof/>
              <w:sz w:val="22"/>
              <w:lang w:eastAsia="en-AU"/>
            </w:rPr>
          </w:pPr>
          <w:hyperlink w:anchor="_Toc44507103" w:history="1">
            <w:r w:rsidRPr="008D0AC7">
              <w:rPr>
                <w:rStyle w:val="Hyperlink"/>
                <w:noProof/>
              </w:rPr>
              <w:t>Attachment 1. Product Information</w:t>
            </w:r>
            <w:r>
              <w:rPr>
                <w:noProof/>
                <w:webHidden/>
              </w:rPr>
              <w:tab/>
            </w:r>
            <w:r>
              <w:rPr>
                <w:noProof/>
                <w:webHidden/>
              </w:rPr>
              <w:fldChar w:fldCharType="begin"/>
            </w:r>
            <w:r>
              <w:rPr>
                <w:noProof/>
                <w:webHidden/>
              </w:rPr>
              <w:instrText xml:space="preserve"> PAGEREF _Toc44507103 \h </w:instrText>
            </w:r>
            <w:r>
              <w:rPr>
                <w:noProof/>
                <w:webHidden/>
              </w:rPr>
            </w:r>
            <w:r>
              <w:rPr>
                <w:noProof/>
                <w:webHidden/>
              </w:rPr>
              <w:fldChar w:fldCharType="separate"/>
            </w:r>
            <w:r>
              <w:rPr>
                <w:noProof/>
                <w:webHidden/>
              </w:rPr>
              <w:t>34</w:t>
            </w:r>
            <w:r>
              <w:rPr>
                <w:noProof/>
                <w:webHidden/>
              </w:rPr>
              <w:fldChar w:fldCharType="end"/>
            </w:r>
          </w:hyperlink>
        </w:p>
        <w:p w14:paraId="4A1B2842" w14:textId="6EFFBFB0" w:rsidR="003A7F6C" w:rsidRPr="00B811C6" w:rsidRDefault="00960520" w:rsidP="00B811C6">
          <w:pPr>
            <w:pStyle w:val="TOC2"/>
          </w:pPr>
          <w:r>
            <w:fldChar w:fldCharType="end"/>
          </w:r>
        </w:p>
      </w:sdtContent>
    </w:sdt>
    <w:bookmarkStart w:id="3" w:name="_Toc314842482" w:displacedByCustomXml="prev"/>
    <w:p w14:paraId="0EE43615" w14:textId="77777777" w:rsidR="00FD119B" w:rsidRDefault="00FD119B">
      <w:pPr>
        <w:spacing w:before="0" w:after="200" w:line="0" w:lineRule="auto"/>
      </w:pPr>
      <w:r>
        <w:br w:type="page"/>
      </w:r>
    </w:p>
    <w:p w14:paraId="63FB8FC1" w14:textId="77777777" w:rsidR="00FD119B" w:rsidRDefault="00441C3F" w:rsidP="004F0C4A">
      <w:pPr>
        <w:pStyle w:val="Heading2"/>
      </w:pPr>
      <w:bookmarkStart w:id="4" w:name="_Toc351716269"/>
      <w:bookmarkStart w:id="5" w:name="_Toc351718881"/>
      <w:bookmarkStart w:id="6" w:name="_Toc355338616"/>
      <w:bookmarkStart w:id="7" w:name="_Toc356306144"/>
      <w:bookmarkStart w:id="8" w:name="_Toc44507089"/>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34"/>
        <w:gridCol w:w="6650"/>
      </w:tblGrid>
      <w:tr w:rsidR="00714B8C" w:rsidRPr="00FD119B" w14:paraId="5A86188A" w14:textId="77777777" w:rsidTr="002F46DC">
        <w:trPr>
          <w:cnfStyle w:val="100000000000" w:firstRow="1" w:lastRow="0" w:firstColumn="0" w:lastColumn="0" w:oddVBand="0" w:evenVBand="0" w:oddHBand="0" w:evenHBand="0" w:firstRowFirstColumn="0" w:firstRowLastColumn="0" w:lastRowFirstColumn="0" w:lastRowLastColumn="0"/>
        </w:trPr>
        <w:tc>
          <w:tcPr>
            <w:tcW w:w="1834" w:type="dxa"/>
          </w:tcPr>
          <w:p w14:paraId="65D2D47A" w14:textId="77777777" w:rsidR="00714B8C" w:rsidRPr="00FD119B" w:rsidRDefault="00714B8C" w:rsidP="00834E8B">
            <w:pPr>
              <w:keepNext w:val="0"/>
              <w:ind w:right="0"/>
              <w:rPr>
                <w:szCs w:val="22"/>
                <w:lang w:eastAsia="en-US"/>
              </w:rPr>
            </w:pPr>
            <w:r w:rsidRPr="00FD119B">
              <w:rPr>
                <w:szCs w:val="22"/>
                <w:lang w:eastAsia="en-US"/>
              </w:rPr>
              <w:t>Abbreviation</w:t>
            </w:r>
          </w:p>
        </w:tc>
        <w:tc>
          <w:tcPr>
            <w:tcW w:w="6650" w:type="dxa"/>
          </w:tcPr>
          <w:p w14:paraId="642E2D20" w14:textId="77777777" w:rsidR="00714B8C" w:rsidRPr="00FD119B" w:rsidRDefault="00714B8C" w:rsidP="00834E8B">
            <w:pPr>
              <w:keepNext w:val="0"/>
              <w:ind w:right="0"/>
              <w:rPr>
                <w:szCs w:val="22"/>
                <w:lang w:eastAsia="en-US"/>
              </w:rPr>
            </w:pPr>
            <w:r w:rsidRPr="00FD119B">
              <w:rPr>
                <w:szCs w:val="22"/>
                <w:lang w:eastAsia="en-US"/>
              </w:rPr>
              <w:t>Meaning</w:t>
            </w:r>
          </w:p>
        </w:tc>
      </w:tr>
      <w:tr w:rsidR="00714B8C" w:rsidRPr="00FD119B" w14:paraId="156A327D" w14:textId="77777777" w:rsidTr="002F46DC">
        <w:tc>
          <w:tcPr>
            <w:tcW w:w="1834" w:type="dxa"/>
          </w:tcPr>
          <w:p w14:paraId="65683FE5" w14:textId="77777777" w:rsidR="00714B8C" w:rsidRPr="00563A3D" w:rsidRDefault="00714B8C" w:rsidP="00834E8B">
            <w:r w:rsidRPr="00563A3D">
              <w:t>13-cis-RA</w:t>
            </w:r>
          </w:p>
        </w:tc>
        <w:tc>
          <w:tcPr>
            <w:tcW w:w="6650" w:type="dxa"/>
          </w:tcPr>
          <w:p w14:paraId="6B682542" w14:textId="77777777" w:rsidR="00714B8C" w:rsidRPr="00563A3D" w:rsidRDefault="00714B8C" w:rsidP="00834E8B">
            <w:r w:rsidRPr="00563A3D">
              <w:t>13-cis-retinoic acid</w:t>
            </w:r>
          </w:p>
        </w:tc>
      </w:tr>
      <w:tr w:rsidR="00714B8C" w:rsidRPr="00FD119B" w14:paraId="39B1C79E" w14:textId="77777777" w:rsidTr="002F46DC">
        <w:tc>
          <w:tcPr>
            <w:tcW w:w="1834" w:type="dxa"/>
          </w:tcPr>
          <w:p w14:paraId="261FB343" w14:textId="77777777" w:rsidR="00714B8C" w:rsidRPr="00563A3D" w:rsidRDefault="00714B8C" w:rsidP="00834E8B">
            <w:r>
              <w:t>ACM</w:t>
            </w:r>
          </w:p>
        </w:tc>
        <w:tc>
          <w:tcPr>
            <w:tcW w:w="6650" w:type="dxa"/>
          </w:tcPr>
          <w:p w14:paraId="292CE09E" w14:textId="77777777" w:rsidR="00714B8C" w:rsidRPr="00563A3D" w:rsidRDefault="00714B8C" w:rsidP="00834E8B">
            <w:r>
              <w:t>Advisory Committee on Medicines</w:t>
            </w:r>
          </w:p>
        </w:tc>
      </w:tr>
      <w:tr w:rsidR="00714B8C" w:rsidRPr="00FD119B" w14:paraId="76C9324C" w14:textId="77777777" w:rsidTr="002F46DC">
        <w:tc>
          <w:tcPr>
            <w:tcW w:w="1834" w:type="dxa"/>
          </w:tcPr>
          <w:p w14:paraId="7443D768" w14:textId="77777777" w:rsidR="00714B8C" w:rsidRPr="00563A3D" w:rsidRDefault="00714B8C" w:rsidP="00834E8B">
            <w:pPr>
              <w:rPr>
                <w:rFonts w:eastAsiaTheme="minorHAnsi" w:cs="Verdana"/>
              </w:rPr>
            </w:pPr>
            <w:r w:rsidRPr="00563A3D">
              <w:rPr>
                <w:rFonts w:eastAsiaTheme="minorHAnsi" w:cs="Verdana"/>
              </w:rPr>
              <w:t>ADA</w:t>
            </w:r>
          </w:p>
        </w:tc>
        <w:tc>
          <w:tcPr>
            <w:tcW w:w="6650" w:type="dxa"/>
          </w:tcPr>
          <w:p w14:paraId="69AB96E8" w14:textId="77777777" w:rsidR="00714B8C" w:rsidRPr="00563A3D" w:rsidRDefault="00714B8C" w:rsidP="00834E8B">
            <w:pPr>
              <w:rPr>
                <w:rFonts w:eastAsiaTheme="minorHAnsi" w:cs="Verdana"/>
              </w:rPr>
            </w:pPr>
            <w:r>
              <w:rPr>
                <w:rFonts w:eastAsiaTheme="minorHAnsi" w:cs="Verdana"/>
              </w:rPr>
              <w:t>A</w:t>
            </w:r>
            <w:r w:rsidRPr="00563A3D">
              <w:rPr>
                <w:rFonts w:eastAsiaTheme="minorHAnsi" w:cs="Verdana"/>
              </w:rPr>
              <w:t>nti-drug antibody</w:t>
            </w:r>
          </w:p>
        </w:tc>
      </w:tr>
      <w:tr w:rsidR="00714B8C" w:rsidRPr="00FD119B" w14:paraId="37E27BF7" w14:textId="77777777" w:rsidTr="002F46DC">
        <w:tc>
          <w:tcPr>
            <w:tcW w:w="1834" w:type="dxa"/>
          </w:tcPr>
          <w:p w14:paraId="1F9B7CA8" w14:textId="77777777" w:rsidR="00714B8C" w:rsidRPr="00563A3D" w:rsidRDefault="00714B8C" w:rsidP="00834E8B">
            <w:pPr>
              <w:rPr>
                <w:rFonts w:eastAsiaTheme="minorHAnsi" w:cs="Verdana"/>
              </w:rPr>
            </w:pPr>
            <w:r>
              <w:rPr>
                <w:rFonts w:eastAsiaTheme="minorHAnsi" w:cs="Verdana"/>
              </w:rPr>
              <w:t>ADCC</w:t>
            </w:r>
          </w:p>
        </w:tc>
        <w:tc>
          <w:tcPr>
            <w:tcW w:w="6650" w:type="dxa"/>
          </w:tcPr>
          <w:p w14:paraId="2B09F400" w14:textId="77777777" w:rsidR="00714B8C" w:rsidRDefault="00714B8C" w:rsidP="00834E8B">
            <w:r>
              <w:t>Antibody-dependent cell-mediated cytotoxicity</w:t>
            </w:r>
          </w:p>
        </w:tc>
      </w:tr>
      <w:tr w:rsidR="00714B8C" w:rsidRPr="00FD119B" w14:paraId="59AAD3BB" w14:textId="77777777" w:rsidTr="002F46DC">
        <w:tc>
          <w:tcPr>
            <w:tcW w:w="1834" w:type="dxa"/>
          </w:tcPr>
          <w:p w14:paraId="06BA9604" w14:textId="77777777" w:rsidR="00714B8C" w:rsidRPr="00563A3D" w:rsidRDefault="00714B8C" w:rsidP="00834E8B">
            <w:pPr>
              <w:rPr>
                <w:rFonts w:eastAsiaTheme="minorHAnsi" w:cs="Verdana"/>
              </w:rPr>
            </w:pPr>
            <w:r w:rsidRPr="00563A3D">
              <w:rPr>
                <w:rFonts w:eastAsiaTheme="minorHAnsi" w:cs="Verdana"/>
              </w:rPr>
              <w:t>AE</w:t>
            </w:r>
          </w:p>
        </w:tc>
        <w:tc>
          <w:tcPr>
            <w:tcW w:w="6650" w:type="dxa"/>
          </w:tcPr>
          <w:p w14:paraId="3F19BE6B" w14:textId="77777777" w:rsidR="00714B8C" w:rsidRPr="00563A3D" w:rsidRDefault="00714B8C" w:rsidP="00834E8B">
            <w:pPr>
              <w:rPr>
                <w:rFonts w:asciiTheme="minorHAnsi" w:hAnsiTheme="minorHAnsi"/>
              </w:rPr>
            </w:pPr>
            <w:r>
              <w:t>A</w:t>
            </w:r>
            <w:r w:rsidRPr="00563A3D">
              <w:t>dverse event</w:t>
            </w:r>
          </w:p>
        </w:tc>
      </w:tr>
      <w:tr w:rsidR="00714B8C" w:rsidRPr="00FD119B" w14:paraId="56DC3E61" w14:textId="77777777" w:rsidTr="002F46DC">
        <w:tc>
          <w:tcPr>
            <w:tcW w:w="1834" w:type="dxa"/>
          </w:tcPr>
          <w:p w14:paraId="09898401" w14:textId="77777777" w:rsidR="00714B8C" w:rsidRPr="00563A3D" w:rsidRDefault="00714B8C" w:rsidP="00834E8B">
            <w:pPr>
              <w:ind w:right="0"/>
              <w:rPr>
                <w:color w:val="auto"/>
                <w:szCs w:val="22"/>
                <w:lang w:eastAsia="en-US"/>
              </w:rPr>
            </w:pPr>
            <w:r w:rsidRPr="00563A3D">
              <w:t>ALT</w:t>
            </w:r>
          </w:p>
        </w:tc>
        <w:tc>
          <w:tcPr>
            <w:tcW w:w="6650" w:type="dxa"/>
          </w:tcPr>
          <w:p w14:paraId="7B99D062" w14:textId="77777777" w:rsidR="00714B8C" w:rsidRPr="00563A3D" w:rsidRDefault="00714B8C" w:rsidP="00834E8B">
            <w:pPr>
              <w:ind w:right="0"/>
              <w:rPr>
                <w:color w:val="auto"/>
                <w:szCs w:val="22"/>
                <w:lang w:eastAsia="en-US"/>
              </w:rPr>
            </w:pPr>
            <w:r>
              <w:t>A</w:t>
            </w:r>
            <w:r w:rsidRPr="00563A3D">
              <w:t>lanine aminotransferase</w:t>
            </w:r>
          </w:p>
        </w:tc>
      </w:tr>
      <w:tr w:rsidR="00714B8C" w:rsidRPr="00FD119B" w14:paraId="1A7376C6" w14:textId="77777777" w:rsidTr="002F46DC">
        <w:tc>
          <w:tcPr>
            <w:tcW w:w="1834" w:type="dxa"/>
          </w:tcPr>
          <w:p w14:paraId="5A51F5F7" w14:textId="77777777" w:rsidR="00714B8C" w:rsidRPr="00563A3D" w:rsidRDefault="00714B8C" w:rsidP="00834E8B">
            <w:pPr>
              <w:ind w:right="0"/>
              <w:rPr>
                <w:color w:val="auto"/>
                <w:szCs w:val="22"/>
                <w:lang w:eastAsia="en-US"/>
              </w:rPr>
            </w:pPr>
            <w:r w:rsidRPr="00563A3D">
              <w:t>AST</w:t>
            </w:r>
          </w:p>
        </w:tc>
        <w:tc>
          <w:tcPr>
            <w:tcW w:w="6650" w:type="dxa"/>
          </w:tcPr>
          <w:p w14:paraId="1555DFB2" w14:textId="77777777" w:rsidR="00714B8C" w:rsidRPr="00563A3D" w:rsidRDefault="00714B8C" w:rsidP="00834E8B">
            <w:pPr>
              <w:ind w:right="0"/>
              <w:rPr>
                <w:color w:val="auto"/>
                <w:szCs w:val="22"/>
                <w:lang w:eastAsia="en-US"/>
              </w:rPr>
            </w:pPr>
            <w:r>
              <w:t>A</w:t>
            </w:r>
            <w:r w:rsidRPr="00563A3D">
              <w:t>spartate aminotransferase</w:t>
            </w:r>
          </w:p>
        </w:tc>
      </w:tr>
      <w:tr w:rsidR="00714B8C" w:rsidRPr="00FD119B" w14:paraId="46A8606E" w14:textId="77777777" w:rsidTr="002F46DC">
        <w:tc>
          <w:tcPr>
            <w:tcW w:w="1834" w:type="dxa"/>
          </w:tcPr>
          <w:p w14:paraId="5AA04BDE" w14:textId="77777777" w:rsidR="00714B8C" w:rsidRPr="00563A3D" w:rsidRDefault="00714B8C" w:rsidP="00834E8B">
            <w:pPr>
              <w:rPr>
                <w:rFonts w:eastAsiaTheme="minorHAnsi" w:cs="Verdana"/>
              </w:rPr>
            </w:pPr>
            <w:r w:rsidRPr="00563A3D">
              <w:rPr>
                <w:rFonts w:eastAsiaTheme="minorHAnsi" w:cs="Verdana"/>
              </w:rPr>
              <w:t>BSA</w:t>
            </w:r>
          </w:p>
        </w:tc>
        <w:tc>
          <w:tcPr>
            <w:tcW w:w="6650" w:type="dxa"/>
          </w:tcPr>
          <w:p w14:paraId="528B577E" w14:textId="77777777" w:rsidR="00714B8C" w:rsidRPr="00563A3D" w:rsidRDefault="00714B8C" w:rsidP="00834E8B">
            <w:r>
              <w:rPr>
                <w:rFonts w:eastAsiaTheme="minorHAnsi" w:cs="Verdana"/>
              </w:rPr>
              <w:t>B</w:t>
            </w:r>
            <w:r w:rsidRPr="00563A3D">
              <w:rPr>
                <w:rFonts w:eastAsiaTheme="minorHAnsi" w:cs="Verdana"/>
              </w:rPr>
              <w:t>ody surface area</w:t>
            </w:r>
          </w:p>
        </w:tc>
      </w:tr>
      <w:tr w:rsidR="00714B8C" w:rsidRPr="00FD119B" w14:paraId="2A959F3B" w14:textId="77777777" w:rsidTr="002F46DC">
        <w:tc>
          <w:tcPr>
            <w:tcW w:w="1834" w:type="dxa"/>
          </w:tcPr>
          <w:p w14:paraId="448825C4" w14:textId="77777777" w:rsidR="00714B8C" w:rsidRDefault="00714B8C" w:rsidP="00834E8B">
            <w:pPr>
              <w:rPr>
                <w:rFonts w:eastAsiaTheme="minorHAnsi" w:cs="Verdana"/>
              </w:rPr>
            </w:pPr>
            <w:r>
              <w:rPr>
                <w:rFonts w:eastAsiaTheme="minorHAnsi" w:cs="Verdana"/>
              </w:rPr>
              <w:t>CD</w:t>
            </w:r>
          </w:p>
        </w:tc>
        <w:tc>
          <w:tcPr>
            <w:tcW w:w="6650" w:type="dxa"/>
          </w:tcPr>
          <w:p w14:paraId="361DA6D2" w14:textId="77777777" w:rsidR="00714B8C" w:rsidRDefault="00714B8C" w:rsidP="00834E8B">
            <w:r>
              <w:t>Cluster of differentiation</w:t>
            </w:r>
          </w:p>
        </w:tc>
      </w:tr>
      <w:tr w:rsidR="00714B8C" w:rsidRPr="00FD119B" w14:paraId="6FD261CF" w14:textId="77777777" w:rsidTr="002F46DC">
        <w:tc>
          <w:tcPr>
            <w:tcW w:w="1834" w:type="dxa"/>
          </w:tcPr>
          <w:p w14:paraId="490A6536" w14:textId="77777777" w:rsidR="00714B8C" w:rsidRPr="00563A3D" w:rsidRDefault="00714B8C" w:rsidP="00834E8B">
            <w:pPr>
              <w:rPr>
                <w:rFonts w:eastAsiaTheme="minorHAnsi" w:cs="Verdana"/>
              </w:rPr>
            </w:pPr>
            <w:r>
              <w:rPr>
                <w:rFonts w:eastAsiaTheme="minorHAnsi" w:cs="Verdana"/>
              </w:rPr>
              <w:t>CDC</w:t>
            </w:r>
          </w:p>
        </w:tc>
        <w:tc>
          <w:tcPr>
            <w:tcW w:w="6650" w:type="dxa"/>
          </w:tcPr>
          <w:p w14:paraId="2ED9AD19" w14:textId="77777777" w:rsidR="00714B8C" w:rsidRDefault="00714B8C" w:rsidP="005B5F7B">
            <w:r>
              <w:t>Complement-dependent cytotoxicity</w:t>
            </w:r>
          </w:p>
        </w:tc>
      </w:tr>
      <w:tr w:rsidR="00714B8C" w:rsidRPr="00FD119B" w14:paraId="1EB95990" w14:textId="77777777" w:rsidTr="002F46DC">
        <w:tc>
          <w:tcPr>
            <w:tcW w:w="1834" w:type="dxa"/>
          </w:tcPr>
          <w:p w14:paraId="74FF3835" w14:textId="77777777" w:rsidR="00714B8C" w:rsidRDefault="00714B8C" w:rsidP="00834E8B">
            <w:pPr>
              <w:rPr>
                <w:rFonts w:eastAsiaTheme="minorHAnsi" w:cs="Verdana"/>
              </w:rPr>
            </w:pPr>
            <w:r>
              <w:rPr>
                <w:rFonts w:eastAsiaTheme="minorHAnsi" w:cs="Verdana"/>
              </w:rPr>
              <w:t>ch14.18</w:t>
            </w:r>
          </w:p>
        </w:tc>
        <w:tc>
          <w:tcPr>
            <w:tcW w:w="6650" w:type="dxa"/>
          </w:tcPr>
          <w:p w14:paraId="7E1C4CC0" w14:textId="77777777" w:rsidR="00714B8C" w:rsidRDefault="00714B8C" w:rsidP="005B5F7B">
            <w:proofErr w:type="spellStart"/>
            <w:r>
              <w:t>Dinutuximab</w:t>
            </w:r>
            <w:proofErr w:type="spellEnd"/>
            <w:r>
              <w:t xml:space="preserve"> (antibody name)</w:t>
            </w:r>
          </w:p>
        </w:tc>
      </w:tr>
      <w:tr w:rsidR="00714B8C" w:rsidRPr="00FD119B" w14:paraId="6D52188B" w14:textId="77777777" w:rsidTr="002F46DC">
        <w:tc>
          <w:tcPr>
            <w:tcW w:w="1834" w:type="dxa"/>
          </w:tcPr>
          <w:p w14:paraId="47ADADDF" w14:textId="77777777" w:rsidR="00714B8C" w:rsidRDefault="00714B8C" w:rsidP="00834E8B">
            <w:pPr>
              <w:rPr>
                <w:rFonts w:eastAsiaTheme="minorHAnsi" w:cs="Verdana"/>
              </w:rPr>
            </w:pPr>
            <w:r w:rsidRPr="006B3BFA">
              <w:rPr>
                <w:rFonts w:eastAsiaTheme="minorHAnsi" w:cs="Verdana"/>
              </w:rPr>
              <w:t>ch14.18/CHO</w:t>
            </w:r>
          </w:p>
        </w:tc>
        <w:tc>
          <w:tcPr>
            <w:tcW w:w="6650" w:type="dxa"/>
          </w:tcPr>
          <w:p w14:paraId="6CF42591" w14:textId="77777777" w:rsidR="00714B8C" w:rsidRDefault="00714B8C" w:rsidP="005B5F7B">
            <w:proofErr w:type="spellStart"/>
            <w:r>
              <w:t>Dinutuximab</w:t>
            </w:r>
            <w:proofErr w:type="spellEnd"/>
            <w:r>
              <w:t xml:space="preserve"> beta (antibody name)</w:t>
            </w:r>
          </w:p>
        </w:tc>
      </w:tr>
      <w:tr w:rsidR="00714B8C" w:rsidRPr="00FD119B" w14:paraId="7CE35471" w14:textId="77777777" w:rsidTr="002F46DC">
        <w:tc>
          <w:tcPr>
            <w:tcW w:w="1834" w:type="dxa"/>
          </w:tcPr>
          <w:p w14:paraId="018489DB" w14:textId="77777777" w:rsidR="00714B8C" w:rsidRDefault="00714B8C" w:rsidP="00834E8B">
            <w:pPr>
              <w:rPr>
                <w:rFonts w:eastAsiaTheme="minorHAnsi" w:cs="Verdana"/>
              </w:rPr>
            </w:pPr>
            <w:r>
              <w:rPr>
                <w:rFonts w:eastAsiaTheme="minorHAnsi" w:cs="Verdana"/>
              </w:rPr>
              <w:t>CHMP</w:t>
            </w:r>
          </w:p>
        </w:tc>
        <w:tc>
          <w:tcPr>
            <w:tcW w:w="6650" w:type="dxa"/>
          </w:tcPr>
          <w:p w14:paraId="54A945B0" w14:textId="77777777" w:rsidR="00714B8C" w:rsidRDefault="00714B8C" w:rsidP="00834E8B">
            <w:r w:rsidRPr="00095FB4">
              <w:rPr>
                <w:rFonts w:asciiTheme="minorHAnsi" w:eastAsia="TimesNewRoman" w:hAnsiTheme="minorHAnsi" w:cs="TimesNewRoman"/>
              </w:rPr>
              <w:t>Committee for Medicinal Products for Human Use</w:t>
            </w:r>
            <w:r>
              <w:rPr>
                <w:rFonts w:asciiTheme="minorHAnsi" w:eastAsia="TimesNewRoman" w:hAnsiTheme="minorHAnsi" w:cs="TimesNewRoman"/>
              </w:rPr>
              <w:t xml:space="preserve"> (EU)</w:t>
            </w:r>
          </w:p>
        </w:tc>
      </w:tr>
      <w:tr w:rsidR="00714B8C" w:rsidRPr="00FD119B" w14:paraId="6097DCEA" w14:textId="77777777" w:rsidTr="002F46DC">
        <w:tc>
          <w:tcPr>
            <w:tcW w:w="1834" w:type="dxa"/>
          </w:tcPr>
          <w:p w14:paraId="382B60BF" w14:textId="77777777" w:rsidR="00714B8C" w:rsidRDefault="00714B8C" w:rsidP="00834E8B">
            <w:pPr>
              <w:rPr>
                <w:rFonts w:eastAsiaTheme="minorHAnsi" w:cs="Verdana"/>
              </w:rPr>
            </w:pPr>
            <w:r>
              <w:rPr>
                <w:rFonts w:eastAsiaTheme="minorHAnsi" w:cs="Verdana"/>
              </w:rPr>
              <w:t>CLS</w:t>
            </w:r>
          </w:p>
        </w:tc>
        <w:tc>
          <w:tcPr>
            <w:tcW w:w="6650" w:type="dxa"/>
          </w:tcPr>
          <w:p w14:paraId="732B563A" w14:textId="77777777" w:rsidR="00714B8C" w:rsidRPr="00F63AED" w:rsidRDefault="00714B8C" w:rsidP="00834E8B">
            <w:pPr>
              <w:rPr>
                <w:i/>
              </w:rPr>
            </w:pPr>
            <w:r w:rsidRPr="00F63AED">
              <w:rPr>
                <w:rStyle w:val="Heading6Char"/>
                <w:rFonts w:eastAsia="Cambria"/>
                <w:i w:val="0"/>
              </w:rPr>
              <w:t>Capillary leak syndrome</w:t>
            </w:r>
          </w:p>
        </w:tc>
      </w:tr>
      <w:tr w:rsidR="00714B8C" w:rsidRPr="00FD119B" w14:paraId="1F49AA13" w14:textId="77777777" w:rsidTr="002F46DC">
        <w:tc>
          <w:tcPr>
            <w:tcW w:w="1834" w:type="dxa"/>
          </w:tcPr>
          <w:p w14:paraId="3D02E1F0" w14:textId="77777777" w:rsidR="00714B8C" w:rsidRPr="00563A3D" w:rsidRDefault="00714B8C" w:rsidP="00834E8B">
            <w:pPr>
              <w:rPr>
                <w:rFonts w:eastAsiaTheme="minorHAnsi" w:cs="Verdana"/>
              </w:rPr>
            </w:pPr>
            <w:r w:rsidRPr="00563A3D">
              <w:rPr>
                <w:rFonts w:eastAsiaTheme="minorHAnsi" w:cs="Verdana"/>
              </w:rPr>
              <w:t>CMI</w:t>
            </w:r>
          </w:p>
        </w:tc>
        <w:tc>
          <w:tcPr>
            <w:tcW w:w="6650" w:type="dxa"/>
          </w:tcPr>
          <w:p w14:paraId="32A2815D" w14:textId="77777777" w:rsidR="00714B8C" w:rsidRPr="00563A3D" w:rsidRDefault="00714B8C" w:rsidP="00834E8B">
            <w:r>
              <w:t>Consumer Medicines I</w:t>
            </w:r>
            <w:r w:rsidRPr="00563A3D">
              <w:t>nformation</w:t>
            </w:r>
          </w:p>
        </w:tc>
      </w:tr>
      <w:tr w:rsidR="00714B8C" w:rsidRPr="00FD119B" w14:paraId="6A60E60D" w14:textId="77777777" w:rsidTr="002F46DC">
        <w:tc>
          <w:tcPr>
            <w:tcW w:w="1834" w:type="dxa"/>
          </w:tcPr>
          <w:p w14:paraId="680E53D9" w14:textId="77777777" w:rsidR="00714B8C" w:rsidRPr="00563A3D" w:rsidRDefault="00714B8C" w:rsidP="00834E8B">
            <w:pPr>
              <w:rPr>
                <w:rFonts w:eastAsiaTheme="minorHAnsi" w:cs="Verdana"/>
              </w:rPr>
            </w:pPr>
            <w:r w:rsidRPr="00563A3D">
              <w:rPr>
                <w:rFonts w:eastAsiaTheme="minorHAnsi" w:cs="Verdana"/>
              </w:rPr>
              <w:t>COG</w:t>
            </w:r>
          </w:p>
        </w:tc>
        <w:tc>
          <w:tcPr>
            <w:tcW w:w="6650" w:type="dxa"/>
          </w:tcPr>
          <w:p w14:paraId="08B38779" w14:textId="77777777" w:rsidR="00714B8C" w:rsidRPr="00563A3D" w:rsidRDefault="00714B8C" w:rsidP="00834E8B">
            <w:r>
              <w:t>C</w:t>
            </w:r>
            <w:r w:rsidRPr="00563A3D">
              <w:t>hildren’s oncology group</w:t>
            </w:r>
          </w:p>
        </w:tc>
      </w:tr>
      <w:tr w:rsidR="00714B8C" w:rsidRPr="00FD119B" w14:paraId="4040D4FA" w14:textId="77777777" w:rsidTr="002F46DC">
        <w:tc>
          <w:tcPr>
            <w:tcW w:w="1834" w:type="dxa"/>
          </w:tcPr>
          <w:p w14:paraId="22666A4C" w14:textId="77777777" w:rsidR="00714B8C" w:rsidRPr="00563A3D" w:rsidRDefault="00714B8C" w:rsidP="00834E8B">
            <w:pPr>
              <w:rPr>
                <w:rFonts w:eastAsiaTheme="minorHAnsi" w:cs="Verdana"/>
              </w:rPr>
            </w:pPr>
            <w:r w:rsidRPr="00563A3D">
              <w:rPr>
                <w:rFonts w:eastAsiaTheme="minorHAnsi" w:cs="Verdana"/>
              </w:rPr>
              <w:t>CPD</w:t>
            </w:r>
          </w:p>
        </w:tc>
        <w:tc>
          <w:tcPr>
            <w:tcW w:w="6650" w:type="dxa"/>
          </w:tcPr>
          <w:p w14:paraId="4E08BCD3" w14:textId="77777777" w:rsidR="00714B8C" w:rsidRPr="00563A3D" w:rsidRDefault="00714B8C" w:rsidP="00834E8B">
            <w:r>
              <w:t>C</w:t>
            </w:r>
            <w:r w:rsidRPr="00563A3D">
              <w:t>ertified product details</w:t>
            </w:r>
          </w:p>
        </w:tc>
      </w:tr>
      <w:tr w:rsidR="00714B8C" w:rsidRPr="00FD119B" w14:paraId="62626EAB" w14:textId="77777777" w:rsidTr="002F46DC">
        <w:tc>
          <w:tcPr>
            <w:tcW w:w="1834" w:type="dxa"/>
          </w:tcPr>
          <w:p w14:paraId="12374AFF" w14:textId="77777777" w:rsidR="00714B8C" w:rsidRPr="00563A3D" w:rsidRDefault="00714B8C" w:rsidP="00834E8B">
            <w:pPr>
              <w:rPr>
                <w:rFonts w:eastAsiaTheme="minorHAnsi" w:cs="Verdana"/>
              </w:rPr>
            </w:pPr>
            <w:r w:rsidRPr="00563A3D">
              <w:rPr>
                <w:rFonts w:eastAsiaTheme="minorHAnsi" w:cs="Verdana"/>
              </w:rPr>
              <w:t>CR</w:t>
            </w:r>
          </w:p>
        </w:tc>
        <w:tc>
          <w:tcPr>
            <w:tcW w:w="6650" w:type="dxa"/>
          </w:tcPr>
          <w:p w14:paraId="6E44D9BF" w14:textId="77777777" w:rsidR="00714B8C" w:rsidRPr="00563A3D" w:rsidRDefault="00714B8C" w:rsidP="00834E8B">
            <w:pPr>
              <w:rPr>
                <w:rFonts w:asciiTheme="minorHAnsi" w:hAnsiTheme="minorHAnsi"/>
              </w:rPr>
            </w:pPr>
            <w:r>
              <w:t>C</w:t>
            </w:r>
            <w:r w:rsidRPr="00563A3D">
              <w:t>omplete response</w:t>
            </w:r>
          </w:p>
        </w:tc>
      </w:tr>
      <w:tr w:rsidR="00714B8C" w:rsidRPr="00FD119B" w14:paraId="5517BAAE" w14:textId="77777777" w:rsidTr="002F46DC">
        <w:tc>
          <w:tcPr>
            <w:tcW w:w="1834" w:type="dxa"/>
          </w:tcPr>
          <w:p w14:paraId="753C80BE" w14:textId="77777777" w:rsidR="00714B8C" w:rsidRPr="00563A3D" w:rsidRDefault="00714B8C" w:rsidP="00834E8B">
            <w:pPr>
              <w:rPr>
                <w:rFonts w:eastAsiaTheme="minorHAnsi" w:cs="Verdana"/>
              </w:rPr>
            </w:pPr>
            <w:r w:rsidRPr="00563A3D">
              <w:rPr>
                <w:rFonts w:eastAsiaTheme="minorHAnsi" w:cs="Verdana"/>
              </w:rPr>
              <w:t>CRS</w:t>
            </w:r>
          </w:p>
        </w:tc>
        <w:tc>
          <w:tcPr>
            <w:tcW w:w="6650" w:type="dxa"/>
          </w:tcPr>
          <w:p w14:paraId="2D23E512" w14:textId="77777777" w:rsidR="00714B8C" w:rsidRPr="00563A3D" w:rsidRDefault="00714B8C" w:rsidP="00834E8B">
            <w:r>
              <w:t>Cytokine release syndrome</w:t>
            </w:r>
          </w:p>
        </w:tc>
      </w:tr>
      <w:tr w:rsidR="00714B8C" w:rsidRPr="00FD119B" w14:paraId="37CF6F32" w14:textId="77777777" w:rsidTr="002F46DC">
        <w:tc>
          <w:tcPr>
            <w:tcW w:w="1834" w:type="dxa"/>
          </w:tcPr>
          <w:p w14:paraId="0A618892" w14:textId="77777777" w:rsidR="00714B8C" w:rsidRDefault="00714B8C" w:rsidP="00834E8B">
            <w:pPr>
              <w:rPr>
                <w:rFonts w:eastAsiaTheme="minorHAnsi" w:cs="Verdana"/>
              </w:rPr>
            </w:pPr>
            <w:r>
              <w:rPr>
                <w:rFonts w:eastAsiaTheme="minorHAnsi" w:cs="Verdana"/>
              </w:rPr>
              <w:t>DLP</w:t>
            </w:r>
          </w:p>
        </w:tc>
        <w:tc>
          <w:tcPr>
            <w:tcW w:w="6650" w:type="dxa"/>
          </w:tcPr>
          <w:p w14:paraId="5AC0F6F8" w14:textId="77777777" w:rsidR="00714B8C" w:rsidRPr="00F63AED" w:rsidRDefault="00714B8C" w:rsidP="00834E8B">
            <w:pPr>
              <w:rPr>
                <w:rStyle w:val="Heading6Char"/>
                <w:rFonts w:eastAsia="Cambria"/>
                <w:i w:val="0"/>
              </w:rPr>
            </w:pPr>
            <w:r>
              <w:t>Data lock point</w:t>
            </w:r>
          </w:p>
        </w:tc>
      </w:tr>
      <w:tr w:rsidR="00714B8C" w:rsidRPr="00FD119B" w14:paraId="257D5129" w14:textId="77777777" w:rsidTr="002F46DC">
        <w:tc>
          <w:tcPr>
            <w:tcW w:w="1834" w:type="dxa"/>
          </w:tcPr>
          <w:p w14:paraId="2BE9A89B" w14:textId="77777777" w:rsidR="00714B8C" w:rsidRPr="00563A3D" w:rsidRDefault="00714B8C" w:rsidP="00834E8B">
            <w:pPr>
              <w:rPr>
                <w:rFonts w:eastAsiaTheme="minorHAnsi" w:cs="Verdana"/>
              </w:rPr>
            </w:pPr>
            <w:r w:rsidRPr="00563A3D">
              <w:rPr>
                <w:rFonts w:eastAsiaTheme="minorHAnsi" w:cs="Verdana"/>
              </w:rPr>
              <w:t>EFS</w:t>
            </w:r>
          </w:p>
        </w:tc>
        <w:tc>
          <w:tcPr>
            <w:tcW w:w="6650" w:type="dxa"/>
          </w:tcPr>
          <w:p w14:paraId="3DF61B2D" w14:textId="77777777" w:rsidR="00714B8C" w:rsidRPr="00563A3D" w:rsidRDefault="00714B8C" w:rsidP="00834E8B">
            <w:pPr>
              <w:rPr>
                <w:rFonts w:eastAsiaTheme="minorHAnsi" w:cs="Verdana"/>
              </w:rPr>
            </w:pPr>
            <w:r>
              <w:rPr>
                <w:rFonts w:asciiTheme="minorHAnsi" w:hAnsiTheme="minorHAnsi"/>
              </w:rPr>
              <w:t>E</w:t>
            </w:r>
            <w:r w:rsidRPr="00563A3D">
              <w:rPr>
                <w:rFonts w:asciiTheme="minorHAnsi" w:hAnsiTheme="minorHAnsi"/>
              </w:rPr>
              <w:t>vent-free s</w:t>
            </w:r>
            <w:r>
              <w:rPr>
                <w:rFonts w:asciiTheme="minorHAnsi" w:hAnsiTheme="minorHAnsi"/>
              </w:rPr>
              <w:t>urvival</w:t>
            </w:r>
          </w:p>
        </w:tc>
      </w:tr>
      <w:tr w:rsidR="00714B8C" w:rsidRPr="00FD119B" w14:paraId="0D29A3EE" w14:textId="77777777" w:rsidTr="002F46DC">
        <w:tc>
          <w:tcPr>
            <w:tcW w:w="1834" w:type="dxa"/>
          </w:tcPr>
          <w:p w14:paraId="539F5421" w14:textId="77777777" w:rsidR="00714B8C" w:rsidRDefault="00714B8C" w:rsidP="00834E8B">
            <w:pPr>
              <w:rPr>
                <w:rFonts w:eastAsiaTheme="minorHAnsi" w:cs="Verdana"/>
              </w:rPr>
            </w:pPr>
            <w:r>
              <w:rPr>
                <w:rFonts w:eastAsiaTheme="minorHAnsi" w:cs="Verdana"/>
              </w:rPr>
              <w:t>EMA</w:t>
            </w:r>
          </w:p>
        </w:tc>
        <w:tc>
          <w:tcPr>
            <w:tcW w:w="6650" w:type="dxa"/>
          </w:tcPr>
          <w:p w14:paraId="226B65B5" w14:textId="77777777" w:rsidR="00714B8C" w:rsidRDefault="00714B8C" w:rsidP="00834E8B">
            <w:r>
              <w:t>European Medicines Agency (EU)</w:t>
            </w:r>
          </w:p>
        </w:tc>
      </w:tr>
      <w:tr w:rsidR="00714B8C" w:rsidRPr="00FD119B" w14:paraId="3B046E86" w14:textId="77777777" w:rsidTr="002F46DC">
        <w:tc>
          <w:tcPr>
            <w:tcW w:w="1834" w:type="dxa"/>
          </w:tcPr>
          <w:p w14:paraId="11828667" w14:textId="77777777" w:rsidR="00714B8C" w:rsidRDefault="00714B8C" w:rsidP="00834E8B">
            <w:pPr>
              <w:rPr>
                <w:rFonts w:eastAsiaTheme="minorHAnsi" w:cs="Verdana"/>
              </w:rPr>
            </w:pPr>
            <w:r>
              <w:rPr>
                <w:rFonts w:eastAsiaTheme="minorHAnsi" w:cs="Verdana"/>
              </w:rPr>
              <w:t>EU</w:t>
            </w:r>
          </w:p>
        </w:tc>
        <w:tc>
          <w:tcPr>
            <w:tcW w:w="6650" w:type="dxa"/>
          </w:tcPr>
          <w:p w14:paraId="576AE5F3" w14:textId="77777777" w:rsidR="00714B8C" w:rsidRDefault="00714B8C" w:rsidP="00834E8B">
            <w:r>
              <w:t>European Union</w:t>
            </w:r>
          </w:p>
        </w:tc>
      </w:tr>
      <w:tr w:rsidR="00714B8C" w:rsidRPr="00FD119B" w14:paraId="46416358" w14:textId="77777777" w:rsidTr="002F46DC">
        <w:tc>
          <w:tcPr>
            <w:tcW w:w="1834" w:type="dxa"/>
          </w:tcPr>
          <w:p w14:paraId="3410DCF4" w14:textId="77777777" w:rsidR="00714B8C" w:rsidRDefault="00714B8C" w:rsidP="00834E8B">
            <w:pPr>
              <w:rPr>
                <w:rFonts w:eastAsiaTheme="minorHAnsi" w:cs="Verdana"/>
              </w:rPr>
            </w:pPr>
            <w:r>
              <w:rPr>
                <w:rFonts w:eastAsiaTheme="minorHAnsi" w:cs="Verdana"/>
              </w:rPr>
              <w:t>EU-RMP</w:t>
            </w:r>
          </w:p>
        </w:tc>
        <w:tc>
          <w:tcPr>
            <w:tcW w:w="6650" w:type="dxa"/>
          </w:tcPr>
          <w:p w14:paraId="05F9410E" w14:textId="77777777" w:rsidR="00714B8C" w:rsidRDefault="00714B8C" w:rsidP="00834E8B">
            <w:r>
              <w:t>European Union risk management plan</w:t>
            </w:r>
          </w:p>
        </w:tc>
      </w:tr>
      <w:tr w:rsidR="00714B8C" w:rsidRPr="00FD119B" w14:paraId="7FDECA94" w14:textId="77777777" w:rsidTr="002F46DC">
        <w:tc>
          <w:tcPr>
            <w:tcW w:w="1834" w:type="dxa"/>
          </w:tcPr>
          <w:p w14:paraId="558CF5B8" w14:textId="77777777" w:rsidR="00714B8C" w:rsidRDefault="00714B8C" w:rsidP="00834E8B">
            <w:pPr>
              <w:rPr>
                <w:rFonts w:eastAsiaTheme="minorHAnsi" w:cs="Verdana"/>
              </w:rPr>
            </w:pPr>
            <w:r>
              <w:rPr>
                <w:rFonts w:eastAsiaTheme="minorHAnsi" w:cs="Verdana"/>
              </w:rPr>
              <w:t>FAS</w:t>
            </w:r>
          </w:p>
        </w:tc>
        <w:tc>
          <w:tcPr>
            <w:tcW w:w="6650" w:type="dxa"/>
          </w:tcPr>
          <w:p w14:paraId="1BBB6A04" w14:textId="77777777" w:rsidR="00714B8C" w:rsidRPr="00095FB4" w:rsidRDefault="00714B8C" w:rsidP="00834E8B">
            <w:pPr>
              <w:rPr>
                <w:rFonts w:asciiTheme="minorHAnsi" w:eastAsia="TimesNewRoman" w:hAnsiTheme="minorHAnsi" w:cs="TimesNewRoman"/>
              </w:rPr>
            </w:pPr>
            <w:r>
              <w:rPr>
                <w:rFonts w:asciiTheme="minorHAnsi" w:hAnsiTheme="minorHAnsi"/>
              </w:rPr>
              <w:t>Full analysis set</w:t>
            </w:r>
          </w:p>
        </w:tc>
      </w:tr>
      <w:tr w:rsidR="00714B8C" w:rsidRPr="00FD119B" w14:paraId="5E110A7D" w14:textId="77777777" w:rsidTr="002F46DC">
        <w:tc>
          <w:tcPr>
            <w:tcW w:w="1834" w:type="dxa"/>
          </w:tcPr>
          <w:p w14:paraId="210E99A3" w14:textId="77777777" w:rsidR="00714B8C" w:rsidRDefault="00714B8C" w:rsidP="00834E8B">
            <w:pPr>
              <w:rPr>
                <w:rFonts w:eastAsiaTheme="minorHAnsi" w:cs="Verdana"/>
              </w:rPr>
            </w:pPr>
            <w:r>
              <w:rPr>
                <w:rFonts w:eastAsiaTheme="minorHAnsi" w:cs="Verdana"/>
              </w:rPr>
              <w:lastRenderedPageBreak/>
              <w:t>GCP</w:t>
            </w:r>
          </w:p>
        </w:tc>
        <w:tc>
          <w:tcPr>
            <w:tcW w:w="6650" w:type="dxa"/>
          </w:tcPr>
          <w:p w14:paraId="4828BE15" w14:textId="4EBCFC9C" w:rsidR="00714B8C" w:rsidRDefault="00714B8C" w:rsidP="00834E8B">
            <w:r>
              <w:t>Good Clinical Practice(s)</w:t>
            </w:r>
          </w:p>
        </w:tc>
      </w:tr>
      <w:tr w:rsidR="00714B8C" w:rsidRPr="00FD119B" w14:paraId="77A91487" w14:textId="77777777" w:rsidTr="002F46DC">
        <w:tc>
          <w:tcPr>
            <w:tcW w:w="1834" w:type="dxa"/>
          </w:tcPr>
          <w:p w14:paraId="4ECC359A" w14:textId="77777777" w:rsidR="00714B8C" w:rsidRDefault="00714B8C" w:rsidP="00834E8B">
            <w:pPr>
              <w:rPr>
                <w:rFonts w:eastAsiaTheme="minorHAnsi" w:cs="Verdana"/>
              </w:rPr>
            </w:pPr>
            <w:r>
              <w:rPr>
                <w:rFonts w:eastAsiaTheme="minorHAnsi" w:cs="Verdana"/>
              </w:rPr>
              <w:t>GD2</w:t>
            </w:r>
          </w:p>
        </w:tc>
        <w:tc>
          <w:tcPr>
            <w:tcW w:w="6650" w:type="dxa"/>
          </w:tcPr>
          <w:p w14:paraId="0B3126C5" w14:textId="77777777" w:rsidR="00714B8C" w:rsidRDefault="00714B8C" w:rsidP="00834E8B">
            <w:r>
              <w:t xml:space="preserve">Ganglioside </w:t>
            </w:r>
            <w:proofErr w:type="spellStart"/>
            <w:r>
              <w:t>disialic</w:t>
            </w:r>
            <w:proofErr w:type="spellEnd"/>
            <w:r>
              <w:t xml:space="preserve"> acid 2</w:t>
            </w:r>
          </w:p>
        </w:tc>
      </w:tr>
      <w:tr w:rsidR="00714B8C" w:rsidRPr="00FD119B" w14:paraId="5DBA1B0E" w14:textId="77777777" w:rsidTr="002F46DC">
        <w:tc>
          <w:tcPr>
            <w:tcW w:w="1834" w:type="dxa"/>
          </w:tcPr>
          <w:p w14:paraId="2C856B64" w14:textId="77777777" w:rsidR="00714B8C" w:rsidRPr="00563A3D" w:rsidRDefault="00714B8C" w:rsidP="00834E8B">
            <w:r>
              <w:t>GFR</w:t>
            </w:r>
          </w:p>
        </w:tc>
        <w:tc>
          <w:tcPr>
            <w:tcW w:w="6650" w:type="dxa"/>
          </w:tcPr>
          <w:p w14:paraId="1575A7FC" w14:textId="77777777" w:rsidR="00714B8C" w:rsidRPr="00563A3D" w:rsidRDefault="00714B8C" w:rsidP="00834E8B">
            <w:r>
              <w:t>G</w:t>
            </w:r>
            <w:r w:rsidRPr="00563A3D">
              <w:t>lomerular filtration rate</w:t>
            </w:r>
          </w:p>
        </w:tc>
      </w:tr>
      <w:tr w:rsidR="00714B8C" w:rsidRPr="00FD119B" w14:paraId="359D72DC" w14:textId="77777777" w:rsidTr="002F46DC">
        <w:tc>
          <w:tcPr>
            <w:tcW w:w="1834" w:type="dxa"/>
          </w:tcPr>
          <w:p w14:paraId="47ACBDE1" w14:textId="77777777" w:rsidR="00714B8C" w:rsidRDefault="00714B8C" w:rsidP="00834E8B">
            <w:pPr>
              <w:rPr>
                <w:rFonts w:eastAsiaTheme="minorHAnsi" w:cs="Verdana"/>
              </w:rPr>
            </w:pPr>
            <w:r>
              <w:rPr>
                <w:rFonts w:eastAsiaTheme="minorHAnsi" w:cs="Verdana"/>
              </w:rPr>
              <w:t>GM2</w:t>
            </w:r>
          </w:p>
        </w:tc>
        <w:tc>
          <w:tcPr>
            <w:tcW w:w="6650" w:type="dxa"/>
          </w:tcPr>
          <w:p w14:paraId="48FD39C1" w14:textId="77777777" w:rsidR="00714B8C" w:rsidRDefault="00714B8C" w:rsidP="00642F48">
            <w:r>
              <w:t xml:space="preserve">Ganglioside </w:t>
            </w:r>
            <w:proofErr w:type="spellStart"/>
            <w:r>
              <w:t>monosialic</w:t>
            </w:r>
            <w:proofErr w:type="spellEnd"/>
            <w:r>
              <w:t xml:space="preserve"> acid 2</w:t>
            </w:r>
          </w:p>
        </w:tc>
      </w:tr>
      <w:tr w:rsidR="00714B8C" w:rsidRPr="00FD119B" w14:paraId="4D396C8B" w14:textId="77777777" w:rsidTr="002F46DC">
        <w:tc>
          <w:tcPr>
            <w:tcW w:w="1834" w:type="dxa"/>
          </w:tcPr>
          <w:p w14:paraId="744C4247" w14:textId="77777777" w:rsidR="00714B8C" w:rsidRPr="00563A3D" w:rsidRDefault="00714B8C" w:rsidP="00834E8B">
            <w:r w:rsidRPr="00563A3D">
              <w:t>GM-CSF</w:t>
            </w:r>
          </w:p>
        </w:tc>
        <w:tc>
          <w:tcPr>
            <w:tcW w:w="6650" w:type="dxa"/>
          </w:tcPr>
          <w:p w14:paraId="2C978E43" w14:textId="77777777" w:rsidR="00714B8C" w:rsidRPr="00563A3D" w:rsidRDefault="00714B8C" w:rsidP="00834E8B">
            <w:r>
              <w:t>G</w:t>
            </w:r>
            <w:r w:rsidRPr="00563A3D">
              <w:t>ranulocyte-macrophage colony-stimulating factor</w:t>
            </w:r>
          </w:p>
        </w:tc>
      </w:tr>
      <w:tr w:rsidR="00714B8C" w:rsidRPr="00FD119B" w14:paraId="43698998" w14:textId="77777777" w:rsidTr="002F46DC">
        <w:tc>
          <w:tcPr>
            <w:tcW w:w="1834" w:type="dxa"/>
          </w:tcPr>
          <w:p w14:paraId="2F05DFEC" w14:textId="77777777" w:rsidR="00714B8C" w:rsidRPr="00563A3D" w:rsidRDefault="00714B8C" w:rsidP="00834E8B">
            <w:pPr>
              <w:rPr>
                <w:rFonts w:eastAsiaTheme="minorHAnsi" w:cs="Verdana"/>
              </w:rPr>
            </w:pPr>
            <w:proofErr w:type="spellStart"/>
            <w:r w:rsidRPr="00563A3D">
              <w:rPr>
                <w:rFonts w:eastAsiaTheme="minorHAnsi" w:cs="Verdana"/>
              </w:rPr>
              <w:t>GvHD</w:t>
            </w:r>
            <w:proofErr w:type="spellEnd"/>
          </w:p>
        </w:tc>
        <w:tc>
          <w:tcPr>
            <w:tcW w:w="6650" w:type="dxa"/>
          </w:tcPr>
          <w:p w14:paraId="0F6C28E5" w14:textId="77777777" w:rsidR="00714B8C" w:rsidRPr="00563A3D" w:rsidRDefault="00714B8C" w:rsidP="00834E8B">
            <w:r>
              <w:t>G</w:t>
            </w:r>
            <w:r w:rsidRPr="00563A3D">
              <w:t>raft versus host disease</w:t>
            </w:r>
          </w:p>
        </w:tc>
      </w:tr>
      <w:tr w:rsidR="00714B8C" w:rsidRPr="00FD119B" w14:paraId="0ADABAA1" w14:textId="77777777" w:rsidTr="002F46DC">
        <w:tc>
          <w:tcPr>
            <w:tcW w:w="1834" w:type="dxa"/>
          </w:tcPr>
          <w:p w14:paraId="42D07318" w14:textId="77777777" w:rsidR="00714B8C" w:rsidRPr="00563A3D" w:rsidRDefault="00714B8C" w:rsidP="00834E8B">
            <w:pPr>
              <w:rPr>
                <w:rFonts w:eastAsiaTheme="minorHAnsi" w:cs="Verdana"/>
              </w:rPr>
            </w:pPr>
            <w:r w:rsidRPr="00563A3D">
              <w:rPr>
                <w:rFonts w:eastAsiaTheme="minorHAnsi" w:cs="Verdana"/>
              </w:rPr>
              <w:t>GVP</w:t>
            </w:r>
          </w:p>
        </w:tc>
        <w:tc>
          <w:tcPr>
            <w:tcW w:w="6650" w:type="dxa"/>
          </w:tcPr>
          <w:p w14:paraId="51DC489E" w14:textId="77777777" w:rsidR="00714B8C" w:rsidRPr="00563A3D" w:rsidRDefault="00714B8C" w:rsidP="00834E8B">
            <w:r>
              <w:rPr>
                <w:iCs/>
              </w:rPr>
              <w:t>G</w:t>
            </w:r>
            <w:r w:rsidRPr="00563A3D">
              <w:rPr>
                <w:iCs/>
              </w:rPr>
              <w:t xml:space="preserve">ood </w:t>
            </w:r>
            <w:r>
              <w:rPr>
                <w:iCs/>
              </w:rPr>
              <w:t>P</w:t>
            </w:r>
            <w:r w:rsidRPr="00563A3D">
              <w:rPr>
                <w:iCs/>
              </w:rPr>
              <w:t xml:space="preserve">harmacovigilance </w:t>
            </w:r>
            <w:r>
              <w:rPr>
                <w:iCs/>
              </w:rPr>
              <w:t>P</w:t>
            </w:r>
            <w:r w:rsidRPr="00563A3D">
              <w:rPr>
                <w:iCs/>
              </w:rPr>
              <w:t>ractice</w:t>
            </w:r>
            <w:r>
              <w:rPr>
                <w:iCs/>
              </w:rPr>
              <w:t>(</w:t>
            </w:r>
            <w:r w:rsidRPr="00563A3D">
              <w:rPr>
                <w:iCs/>
              </w:rPr>
              <w:t>s</w:t>
            </w:r>
            <w:r>
              <w:rPr>
                <w:iCs/>
              </w:rPr>
              <w:t>)</w:t>
            </w:r>
          </w:p>
        </w:tc>
      </w:tr>
      <w:tr w:rsidR="00714B8C" w:rsidRPr="00FD119B" w14:paraId="25F0EE9D" w14:textId="77777777" w:rsidTr="002F46DC">
        <w:tc>
          <w:tcPr>
            <w:tcW w:w="1834" w:type="dxa"/>
          </w:tcPr>
          <w:p w14:paraId="0436752E" w14:textId="77777777" w:rsidR="00714B8C" w:rsidRPr="00563A3D" w:rsidRDefault="00714B8C" w:rsidP="00834E8B">
            <w:pPr>
              <w:rPr>
                <w:rFonts w:eastAsiaTheme="minorHAnsi" w:cs="Verdana"/>
              </w:rPr>
            </w:pPr>
            <w:r w:rsidRPr="00563A3D">
              <w:rPr>
                <w:rFonts w:eastAsiaTheme="minorHAnsi" w:cs="Verdana"/>
              </w:rPr>
              <w:t>HACA</w:t>
            </w:r>
          </w:p>
        </w:tc>
        <w:tc>
          <w:tcPr>
            <w:tcW w:w="6650" w:type="dxa"/>
          </w:tcPr>
          <w:p w14:paraId="383A0C26" w14:textId="77777777" w:rsidR="00714B8C" w:rsidRPr="00563A3D" w:rsidRDefault="00714B8C" w:rsidP="00834E8B">
            <w:pPr>
              <w:rPr>
                <w:rFonts w:eastAsiaTheme="minorHAnsi" w:cs="Verdana"/>
              </w:rPr>
            </w:pPr>
            <w:r w:rsidRPr="00563A3D">
              <w:rPr>
                <w:rFonts w:asciiTheme="minorHAnsi" w:eastAsiaTheme="minorHAnsi" w:hAnsiTheme="minorHAnsi" w:cs="Verdana"/>
              </w:rPr>
              <w:t>Human anti</w:t>
            </w:r>
            <w:r>
              <w:rPr>
                <w:rFonts w:asciiTheme="minorHAnsi" w:eastAsiaTheme="minorHAnsi" w:hAnsiTheme="minorHAnsi" w:cs="Verdana"/>
              </w:rPr>
              <w:t>-</w:t>
            </w:r>
            <w:r w:rsidRPr="00563A3D">
              <w:rPr>
                <w:rFonts w:asciiTheme="minorHAnsi" w:eastAsiaTheme="minorHAnsi" w:hAnsiTheme="minorHAnsi" w:cs="Verdana"/>
              </w:rPr>
              <w:t>chimeric antibodies</w:t>
            </w:r>
          </w:p>
        </w:tc>
      </w:tr>
      <w:tr w:rsidR="00714B8C" w:rsidRPr="00FD119B" w14:paraId="2492CCAF" w14:textId="77777777" w:rsidTr="002F46DC">
        <w:tc>
          <w:tcPr>
            <w:tcW w:w="1834" w:type="dxa"/>
          </w:tcPr>
          <w:p w14:paraId="26FECA96" w14:textId="77777777" w:rsidR="00714B8C" w:rsidRPr="00563A3D" w:rsidRDefault="00714B8C" w:rsidP="00834E8B">
            <w:pPr>
              <w:rPr>
                <w:rFonts w:eastAsiaTheme="minorHAnsi" w:cs="Verdana"/>
              </w:rPr>
            </w:pPr>
            <w:proofErr w:type="spellStart"/>
            <w:r>
              <w:rPr>
                <w:rFonts w:eastAsiaTheme="minorHAnsi" w:cs="Verdana"/>
              </w:rPr>
              <w:t>Haplo</w:t>
            </w:r>
            <w:proofErr w:type="spellEnd"/>
            <w:r>
              <w:rPr>
                <w:rFonts w:eastAsiaTheme="minorHAnsi" w:cs="Verdana"/>
              </w:rPr>
              <w:t>-</w:t>
            </w:r>
            <w:r w:rsidRPr="00563A3D">
              <w:rPr>
                <w:rFonts w:eastAsiaTheme="minorHAnsi" w:cs="Verdana"/>
              </w:rPr>
              <w:t>SCT</w:t>
            </w:r>
          </w:p>
        </w:tc>
        <w:tc>
          <w:tcPr>
            <w:tcW w:w="6650" w:type="dxa"/>
          </w:tcPr>
          <w:p w14:paraId="17AEB642" w14:textId="77777777" w:rsidR="00714B8C" w:rsidRPr="00563A3D" w:rsidRDefault="00714B8C" w:rsidP="00031D2A">
            <w:pPr>
              <w:rPr>
                <w:rFonts w:asciiTheme="minorHAnsi" w:hAnsiTheme="minorHAnsi"/>
              </w:rPr>
            </w:pPr>
            <w:proofErr w:type="spellStart"/>
            <w:r>
              <w:t>Haploidentical</w:t>
            </w:r>
            <w:proofErr w:type="spellEnd"/>
            <w:r>
              <w:t xml:space="preserve"> s</w:t>
            </w:r>
            <w:r w:rsidRPr="00563A3D">
              <w:t>tem cell transplant</w:t>
            </w:r>
          </w:p>
        </w:tc>
      </w:tr>
      <w:tr w:rsidR="00714B8C" w:rsidRPr="00FD119B" w14:paraId="27D285BA" w14:textId="77777777" w:rsidTr="002F46DC">
        <w:tc>
          <w:tcPr>
            <w:tcW w:w="1834" w:type="dxa"/>
          </w:tcPr>
          <w:p w14:paraId="2EC30CB9" w14:textId="77777777" w:rsidR="00714B8C" w:rsidRDefault="00714B8C" w:rsidP="00834E8B">
            <w:r>
              <w:t>Ig</w:t>
            </w:r>
          </w:p>
        </w:tc>
        <w:tc>
          <w:tcPr>
            <w:tcW w:w="6650" w:type="dxa"/>
          </w:tcPr>
          <w:p w14:paraId="0BCBE310" w14:textId="77777777" w:rsidR="00714B8C" w:rsidRDefault="00714B8C" w:rsidP="002F46DC">
            <w:r>
              <w:t>Immunoglobulin</w:t>
            </w:r>
          </w:p>
        </w:tc>
      </w:tr>
      <w:tr w:rsidR="00714B8C" w:rsidRPr="00FD119B" w14:paraId="31F9B075" w14:textId="77777777" w:rsidTr="002F46DC">
        <w:tc>
          <w:tcPr>
            <w:tcW w:w="1834" w:type="dxa"/>
          </w:tcPr>
          <w:p w14:paraId="5260EACA" w14:textId="77777777" w:rsidR="00714B8C" w:rsidRPr="00563A3D" w:rsidRDefault="00714B8C" w:rsidP="00834E8B">
            <w:r>
              <w:t>IgG1</w:t>
            </w:r>
          </w:p>
        </w:tc>
        <w:tc>
          <w:tcPr>
            <w:tcW w:w="6650" w:type="dxa"/>
          </w:tcPr>
          <w:p w14:paraId="6B1C2664" w14:textId="77777777" w:rsidR="00714B8C" w:rsidRDefault="00714B8C" w:rsidP="00834E8B">
            <w:r>
              <w:t>Immunoglobulin G1</w:t>
            </w:r>
          </w:p>
        </w:tc>
      </w:tr>
      <w:tr w:rsidR="00714B8C" w:rsidRPr="00FD119B" w14:paraId="36E9D396" w14:textId="77777777" w:rsidTr="002F46DC">
        <w:tc>
          <w:tcPr>
            <w:tcW w:w="1834" w:type="dxa"/>
          </w:tcPr>
          <w:p w14:paraId="52F34228" w14:textId="77777777" w:rsidR="00714B8C" w:rsidRPr="00563A3D" w:rsidRDefault="00714B8C" w:rsidP="00834E8B">
            <w:r w:rsidRPr="00563A3D">
              <w:t>IL-2</w:t>
            </w:r>
          </w:p>
        </w:tc>
        <w:tc>
          <w:tcPr>
            <w:tcW w:w="6650" w:type="dxa"/>
          </w:tcPr>
          <w:p w14:paraId="593DE793" w14:textId="77777777" w:rsidR="00714B8C" w:rsidRPr="00563A3D" w:rsidRDefault="00714B8C" w:rsidP="00834E8B">
            <w:r>
              <w:t>I</w:t>
            </w:r>
            <w:r w:rsidRPr="00563A3D">
              <w:t>nterleukin 2</w:t>
            </w:r>
          </w:p>
        </w:tc>
      </w:tr>
      <w:tr w:rsidR="00714B8C" w:rsidRPr="00FD119B" w14:paraId="129F5CAF" w14:textId="77777777" w:rsidTr="002F46DC">
        <w:tc>
          <w:tcPr>
            <w:tcW w:w="1834" w:type="dxa"/>
          </w:tcPr>
          <w:p w14:paraId="4366EB85" w14:textId="77777777" w:rsidR="00714B8C" w:rsidRPr="00563A3D" w:rsidRDefault="00714B8C" w:rsidP="00834E8B">
            <w:r w:rsidRPr="00563A3D">
              <w:t>INRG</w:t>
            </w:r>
          </w:p>
        </w:tc>
        <w:tc>
          <w:tcPr>
            <w:tcW w:w="6650" w:type="dxa"/>
          </w:tcPr>
          <w:p w14:paraId="5E6638D6" w14:textId="77777777" w:rsidR="00714B8C" w:rsidRPr="00563A3D" w:rsidRDefault="00714B8C" w:rsidP="00834E8B">
            <w:r>
              <w:t xml:space="preserve">International </w:t>
            </w:r>
            <w:proofErr w:type="spellStart"/>
            <w:r>
              <w:t>Neuroblastoma</w:t>
            </w:r>
            <w:proofErr w:type="spellEnd"/>
            <w:r>
              <w:t xml:space="preserve"> Risk G</w:t>
            </w:r>
            <w:r w:rsidRPr="00563A3D">
              <w:t>roup</w:t>
            </w:r>
          </w:p>
        </w:tc>
      </w:tr>
      <w:tr w:rsidR="00714B8C" w:rsidRPr="00FD119B" w14:paraId="20C1E970" w14:textId="77777777" w:rsidTr="002F46DC">
        <w:tc>
          <w:tcPr>
            <w:tcW w:w="1834" w:type="dxa"/>
          </w:tcPr>
          <w:p w14:paraId="06B3717B" w14:textId="77777777" w:rsidR="00714B8C" w:rsidRPr="00563A3D" w:rsidRDefault="00714B8C" w:rsidP="00834E8B">
            <w:pPr>
              <w:rPr>
                <w:rFonts w:eastAsiaTheme="minorHAnsi" w:cs="Verdana"/>
              </w:rPr>
            </w:pPr>
            <w:r>
              <w:rPr>
                <w:rFonts w:eastAsiaTheme="minorHAnsi" w:cs="Verdana"/>
              </w:rPr>
              <w:t>INSS</w:t>
            </w:r>
          </w:p>
        </w:tc>
        <w:tc>
          <w:tcPr>
            <w:tcW w:w="6650" w:type="dxa"/>
          </w:tcPr>
          <w:p w14:paraId="2D152F3C" w14:textId="77777777" w:rsidR="00714B8C" w:rsidRDefault="00714B8C" w:rsidP="00834E8B">
            <w:r>
              <w:t xml:space="preserve">International </w:t>
            </w:r>
            <w:proofErr w:type="spellStart"/>
            <w:r>
              <w:t>Neuroblastoma</w:t>
            </w:r>
            <w:proofErr w:type="spellEnd"/>
            <w:r>
              <w:t xml:space="preserve"> (Risk Group) staging system</w:t>
            </w:r>
          </w:p>
        </w:tc>
      </w:tr>
      <w:tr w:rsidR="00714B8C" w:rsidRPr="00FD119B" w14:paraId="4CDA258A" w14:textId="77777777" w:rsidTr="002F46DC">
        <w:tc>
          <w:tcPr>
            <w:tcW w:w="1834" w:type="dxa"/>
          </w:tcPr>
          <w:p w14:paraId="4A2542F5" w14:textId="77777777" w:rsidR="00714B8C" w:rsidRPr="00563A3D" w:rsidRDefault="00714B8C" w:rsidP="00834E8B">
            <w:r w:rsidRPr="00563A3D">
              <w:t>IV</w:t>
            </w:r>
          </w:p>
        </w:tc>
        <w:tc>
          <w:tcPr>
            <w:tcW w:w="6650" w:type="dxa"/>
          </w:tcPr>
          <w:p w14:paraId="12867F9B" w14:textId="77777777" w:rsidR="00714B8C" w:rsidRPr="00563A3D" w:rsidRDefault="00714B8C" w:rsidP="00834E8B">
            <w:r>
              <w:t>I</w:t>
            </w:r>
            <w:r w:rsidRPr="00563A3D">
              <w:t>ntravenous</w:t>
            </w:r>
          </w:p>
        </w:tc>
      </w:tr>
      <w:tr w:rsidR="00714B8C" w:rsidRPr="00FD119B" w14:paraId="06CA5FB2" w14:textId="77777777" w:rsidTr="002F46DC">
        <w:tc>
          <w:tcPr>
            <w:tcW w:w="1834" w:type="dxa"/>
          </w:tcPr>
          <w:p w14:paraId="67DEFCDE" w14:textId="77777777" w:rsidR="00714B8C" w:rsidRPr="00563A3D" w:rsidRDefault="00714B8C" w:rsidP="00834E8B">
            <w:pPr>
              <w:rPr>
                <w:rFonts w:eastAsiaTheme="minorHAnsi" w:cs="Verdana"/>
              </w:rPr>
            </w:pPr>
            <w:r w:rsidRPr="00563A3D">
              <w:rPr>
                <w:rFonts w:eastAsiaTheme="minorHAnsi" w:cs="Verdana"/>
              </w:rPr>
              <w:t>NCI</w:t>
            </w:r>
            <w:r>
              <w:rPr>
                <w:rFonts w:eastAsiaTheme="minorHAnsi" w:cs="Verdana"/>
              </w:rPr>
              <w:t xml:space="preserve"> CTC</w:t>
            </w:r>
          </w:p>
        </w:tc>
        <w:tc>
          <w:tcPr>
            <w:tcW w:w="6650" w:type="dxa"/>
          </w:tcPr>
          <w:p w14:paraId="7097B367" w14:textId="77777777" w:rsidR="00714B8C" w:rsidRPr="00563A3D" w:rsidRDefault="00714B8C" w:rsidP="00834E8B">
            <w:r>
              <w:t>National Cancer Institute common toxicity criteria</w:t>
            </w:r>
          </w:p>
        </w:tc>
      </w:tr>
      <w:tr w:rsidR="00714B8C" w:rsidRPr="00FD119B" w14:paraId="5AE9508C" w14:textId="77777777" w:rsidTr="002F46DC">
        <w:tc>
          <w:tcPr>
            <w:tcW w:w="1834" w:type="dxa"/>
          </w:tcPr>
          <w:p w14:paraId="1CC5EB16" w14:textId="77777777" w:rsidR="00714B8C" w:rsidRPr="00563A3D" w:rsidRDefault="00714B8C" w:rsidP="00834E8B">
            <w:pPr>
              <w:rPr>
                <w:rFonts w:eastAsiaTheme="minorHAnsi" w:cs="Verdana"/>
              </w:rPr>
            </w:pPr>
            <w:r w:rsidRPr="00563A3D">
              <w:t>NK</w:t>
            </w:r>
          </w:p>
        </w:tc>
        <w:tc>
          <w:tcPr>
            <w:tcW w:w="6650" w:type="dxa"/>
          </w:tcPr>
          <w:p w14:paraId="6FD8600A" w14:textId="77777777" w:rsidR="00714B8C" w:rsidRPr="00563A3D" w:rsidRDefault="00714B8C" w:rsidP="00834E8B">
            <w:pPr>
              <w:rPr>
                <w:rFonts w:asciiTheme="minorHAnsi" w:hAnsiTheme="minorHAnsi"/>
              </w:rPr>
            </w:pPr>
            <w:r>
              <w:t>N</w:t>
            </w:r>
            <w:r w:rsidRPr="00563A3D">
              <w:t>atural killer</w:t>
            </w:r>
          </w:p>
        </w:tc>
      </w:tr>
      <w:tr w:rsidR="00714B8C" w:rsidRPr="00FD119B" w14:paraId="4273CB4E" w14:textId="77777777" w:rsidTr="002F46DC">
        <w:tc>
          <w:tcPr>
            <w:tcW w:w="1834" w:type="dxa"/>
          </w:tcPr>
          <w:p w14:paraId="43C400DF" w14:textId="77777777" w:rsidR="00714B8C" w:rsidRPr="00563A3D" w:rsidRDefault="00714B8C" w:rsidP="00834E8B">
            <w:pPr>
              <w:rPr>
                <w:rFonts w:eastAsiaTheme="minorHAnsi" w:cs="Verdana"/>
              </w:rPr>
            </w:pPr>
            <w:r w:rsidRPr="00563A3D">
              <w:t>NSAID</w:t>
            </w:r>
          </w:p>
        </w:tc>
        <w:tc>
          <w:tcPr>
            <w:tcW w:w="6650" w:type="dxa"/>
          </w:tcPr>
          <w:p w14:paraId="51624812" w14:textId="77777777" w:rsidR="00714B8C" w:rsidRPr="00563A3D" w:rsidRDefault="00714B8C" w:rsidP="00834E8B">
            <w:r>
              <w:t>N</w:t>
            </w:r>
            <w:r w:rsidRPr="00563A3D">
              <w:t>onsteroidal anti-inflammatory drugs</w:t>
            </w:r>
          </w:p>
        </w:tc>
      </w:tr>
      <w:tr w:rsidR="00714B8C" w:rsidRPr="00FD119B" w14:paraId="3086679E" w14:textId="77777777" w:rsidTr="002F46DC">
        <w:tc>
          <w:tcPr>
            <w:tcW w:w="1834" w:type="dxa"/>
          </w:tcPr>
          <w:p w14:paraId="6F4B5755" w14:textId="77777777" w:rsidR="00714B8C" w:rsidRPr="00563A3D" w:rsidRDefault="00714B8C" w:rsidP="00834E8B">
            <w:pPr>
              <w:rPr>
                <w:rFonts w:eastAsiaTheme="minorHAnsi" w:cs="Verdana"/>
              </w:rPr>
            </w:pPr>
            <w:r w:rsidRPr="00563A3D">
              <w:rPr>
                <w:rFonts w:eastAsiaTheme="minorHAnsi" w:cs="Verdana"/>
              </w:rPr>
              <w:t>ORR</w:t>
            </w:r>
          </w:p>
        </w:tc>
        <w:tc>
          <w:tcPr>
            <w:tcW w:w="6650" w:type="dxa"/>
          </w:tcPr>
          <w:p w14:paraId="38625C94" w14:textId="77777777" w:rsidR="00714B8C" w:rsidRPr="00563A3D" w:rsidRDefault="00714B8C" w:rsidP="00834E8B">
            <w:pPr>
              <w:rPr>
                <w:rFonts w:asciiTheme="minorHAnsi" w:hAnsiTheme="minorHAnsi"/>
              </w:rPr>
            </w:pPr>
            <w:r>
              <w:t>O</w:t>
            </w:r>
            <w:r w:rsidRPr="00563A3D">
              <w:t>verall response rate</w:t>
            </w:r>
          </w:p>
        </w:tc>
      </w:tr>
      <w:tr w:rsidR="00714B8C" w:rsidRPr="00FD119B" w14:paraId="502D752F" w14:textId="77777777" w:rsidTr="002F46DC">
        <w:tc>
          <w:tcPr>
            <w:tcW w:w="1834" w:type="dxa"/>
          </w:tcPr>
          <w:p w14:paraId="2F41E7AD" w14:textId="77777777" w:rsidR="00714B8C" w:rsidRPr="00563A3D" w:rsidRDefault="00714B8C" w:rsidP="00834E8B">
            <w:pPr>
              <w:rPr>
                <w:rFonts w:eastAsiaTheme="minorHAnsi" w:cs="Verdana"/>
              </w:rPr>
            </w:pPr>
            <w:r w:rsidRPr="00563A3D">
              <w:rPr>
                <w:rFonts w:eastAsiaTheme="minorHAnsi" w:cs="Verdana"/>
              </w:rPr>
              <w:t>OS</w:t>
            </w:r>
          </w:p>
        </w:tc>
        <w:tc>
          <w:tcPr>
            <w:tcW w:w="6650" w:type="dxa"/>
          </w:tcPr>
          <w:p w14:paraId="0E619212" w14:textId="77777777" w:rsidR="00714B8C" w:rsidRPr="00563A3D" w:rsidRDefault="00714B8C" w:rsidP="00834E8B">
            <w:pPr>
              <w:rPr>
                <w:rFonts w:eastAsiaTheme="minorHAnsi" w:cs="Verdana"/>
              </w:rPr>
            </w:pPr>
            <w:r>
              <w:rPr>
                <w:rFonts w:asciiTheme="minorHAnsi" w:hAnsiTheme="minorHAnsi"/>
              </w:rPr>
              <w:t>O</w:t>
            </w:r>
            <w:r w:rsidRPr="00563A3D">
              <w:rPr>
                <w:rFonts w:asciiTheme="minorHAnsi" w:hAnsiTheme="minorHAnsi"/>
              </w:rPr>
              <w:t>verall survival</w:t>
            </w:r>
          </w:p>
        </w:tc>
      </w:tr>
      <w:tr w:rsidR="00714B8C" w:rsidRPr="00FD119B" w14:paraId="4D7129D2" w14:textId="77777777" w:rsidTr="002F46DC">
        <w:tc>
          <w:tcPr>
            <w:tcW w:w="1834" w:type="dxa"/>
          </w:tcPr>
          <w:p w14:paraId="7AF57233" w14:textId="77777777" w:rsidR="00714B8C" w:rsidRPr="00563A3D" w:rsidRDefault="00714B8C" w:rsidP="00834E8B">
            <w:r w:rsidRPr="00563A3D">
              <w:t>PD</w:t>
            </w:r>
          </w:p>
        </w:tc>
        <w:tc>
          <w:tcPr>
            <w:tcW w:w="6650" w:type="dxa"/>
          </w:tcPr>
          <w:p w14:paraId="352AFE79" w14:textId="77777777" w:rsidR="00714B8C" w:rsidRPr="00563A3D" w:rsidRDefault="00714B8C" w:rsidP="00834E8B">
            <w:r>
              <w:t>P</w:t>
            </w:r>
            <w:r w:rsidRPr="00563A3D">
              <w:t>harmacodynamic</w:t>
            </w:r>
            <w:r>
              <w:t>(</w:t>
            </w:r>
            <w:r w:rsidRPr="00563A3D">
              <w:t>s</w:t>
            </w:r>
            <w:r>
              <w:t>)</w:t>
            </w:r>
          </w:p>
        </w:tc>
      </w:tr>
      <w:tr w:rsidR="00714B8C" w:rsidRPr="00FD119B" w14:paraId="008AA3B4" w14:textId="77777777" w:rsidTr="002F46DC">
        <w:tc>
          <w:tcPr>
            <w:tcW w:w="1834" w:type="dxa"/>
          </w:tcPr>
          <w:p w14:paraId="095E2A2B" w14:textId="77777777" w:rsidR="00714B8C" w:rsidRPr="00563A3D" w:rsidRDefault="00714B8C" w:rsidP="00834E8B">
            <w:r w:rsidRPr="00563A3D">
              <w:t>PK</w:t>
            </w:r>
          </w:p>
        </w:tc>
        <w:tc>
          <w:tcPr>
            <w:tcW w:w="6650" w:type="dxa"/>
          </w:tcPr>
          <w:p w14:paraId="7C847508" w14:textId="77777777" w:rsidR="00714B8C" w:rsidRPr="00563A3D" w:rsidRDefault="00714B8C" w:rsidP="00834E8B">
            <w:r>
              <w:t>P</w:t>
            </w:r>
            <w:r w:rsidRPr="00563A3D">
              <w:t>harmacokinetic</w:t>
            </w:r>
            <w:r>
              <w:t>(</w:t>
            </w:r>
            <w:r w:rsidRPr="00563A3D">
              <w:t>s</w:t>
            </w:r>
            <w:r>
              <w:t>)</w:t>
            </w:r>
          </w:p>
        </w:tc>
      </w:tr>
      <w:tr w:rsidR="00714B8C" w:rsidRPr="00FD119B" w14:paraId="26640F35" w14:textId="77777777" w:rsidTr="002F46DC">
        <w:trPr>
          <w:trHeight w:val="138"/>
        </w:trPr>
        <w:tc>
          <w:tcPr>
            <w:tcW w:w="1834" w:type="dxa"/>
          </w:tcPr>
          <w:p w14:paraId="61B6E42A" w14:textId="77777777" w:rsidR="00714B8C" w:rsidRPr="00563A3D" w:rsidRDefault="00714B8C" w:rsidP="00834E8B">
            <w:pPr>
              <w:rPr>
                <w:rFonts w:eastAsiaTheme="minorHAnsi" w:cs="Verdana"/>
              </w:rPr>
            </w:pPr>
            <w:r w:rsidRPr="00563A3D">
              <w:rPr>
                <w:rFonts w:eastAsiaTheme="minorHAnsi" w:cs="Verdana"/>
              </w:rPr>
              <w:t>PR</w:t>
            </w:r>
          </w:p>
        </w:tc>
        <w:tc>
          <w:tcPr>
            <w:tcW w:w="6650" w:type="dxa"/>
          </w:tcPr>
          <w:p w14:paraId="405C0CCE" w14:textId="77777777" w:rsidR="00714B8C" w:rsidRPr="00563A3D" w:rsidRDefault="00714B8C" w:rsidP="00834E8B">
            <w:pPr>
              <w:rPr>
                <w:rFonts w:asciiTheme="minorHAnsi" w:hAnsiTheme="minorHAnsi"/>
              </w:rPr>
            </w:pPr>
            <w:r>
              <w:t>P</w:t>
            </w:r>
            <w:r w:rsidRPr="00563A3D">
              <w:t>artial response</w:t>
            </w:r>
          </w:p>
        </w:tc>
      </w:tr>
      <w:tr w:rsidR="00714B8C" w:rsidRPr="00FD119B" w14:paraId="7C1CEC2C" w14:textId="77777777" w:rsidTr="002F46DC">
        <w:tc>
          <w:tcPr>
            <w:tcW w:w="1834" w:type="dxa"/>
          </w:tcPr>
          <w:p w14:paraId="67A82BF5" w14:textId="77777777" w:rsidR="00714B8C" w:rsidRPr="00563A3D" w:rsidRDefault="00714B8C" w:rsidP="00834E8B">
            <w:pPr>
              <w:rPr>
                <w:rFonts w:eastAsiaTheme="minorHAnsi" w:cs="Verdana"/>
              </w:rPr>
            </w:pPr>
            <w:r w:rsidRPr="00563A3D">
              <w:rPr>
                <w:iCs/>
              </w:rPr>
              <w:t>PSUR</w:t>
            </w:r>
          </w:p>
        </w:tc>
        <w:tc>
          <w:tcPr>
            <w:tcW w:w="6650" w:type="dxa"/>
          </w:tcPr>
          <w:p w14:paraId="39AB4FB0" w14:textId="77777777" w:rsidR="00714B8C" w:rsidRPr="00563A3D" w:rsidRDefault="00714B8C" w:rsidP="00834E8B">
            <w:r>
              <w:rPr>
                <w:iCs/>
              </w:rPr>
              <w:t>P</w:t>
            </w:r>
            <w:r w:rsidRPr="00563A3D">
              <w:rPr>
                <w:iCs/>
              </w:rPr>
              <w:t>eriodic safety update report</w:t>
            </w:r>
          </w:p>
        </w:tc>
      </w:tr>
      <w:tr w:rsidR="00714B8C" w:rsidRPr="00FD119B" w14:paraId="3D6191AE" w14:textId="77777777" w:rsidTr="002F46DC">
        <w:tc>
          <w:tcPr>
            <w:tcW w:w="1834" w:type="dxa"/>
          </w:tcPr>
          <w:p w14:paraId="7C9D60FF" w14:textId="77777777" w:rsidR="00714B8C" w:rsidRPr="00563A3D" w:rsidRDefault="00714B8C" w:rsidP="00834E8B">
            <w:pPr>
              <w:rPr>
                <w:iCs/>
              </w:rPr>
            </w:pPr>
            <w:r>
              <w:rPr>
                <w:iCs/>
              </w:rPr>
              <w:t>R1</w:t>
            </w:r>
          </w:p>
        </w:tc>
        <w:tc>
          <w:tcPr>
            <w:tcW w:w="6650" w:type="dxa"/>
          </w:tcPr>
          <w:p w14:paraId="3C9F1125" w14:textId="77777777" w:rsidR="00714B8C" w:rsidRDefault="00714B8C" w:rsidP="00834E8B">
            <w:pPr>
              <w:rPr>
                <w:iCs/>
              </w:rPr>
            </w:pPr>
            <w:r>
              <w:rPr>
                <w:iCs/>
              </w:rPr>
              <w:t xml:space="preserve">First randomisation cohort in the </w:t>
            </w:r>
            <w:r>
              <w:t>SIOPEN HR-NBL1 trial</w:t>
            </w:r>
          </w:p>
        </w:tc>
      </w:tr>
      <w:tr w:rsidR="00714B8C" w:rsidRPr="00FD119B" w14:paraId="1A52D563" w14:textId="77777777" w:rsidTr="002F46DC">
        <w:tc>
          <w:tcPr>
            <w:tcW w:w="1834" w:type="dxa"/>
          </w:tcPr>
          <w:p w14:paraId="631EA6DC" w14:textId="77777777" w:rsidR="00714B8C" w:rsidRPr="00563A3D" w:rsidRDefault="00714B8C" w:rsidP="00834E8B">
            <w:pPr>
              <w:rPr>
                <w:rFonts w:eastAsiaTheme="minorHAnsi" w:cs="Verdana"/>
              </w:rPr>
            </w:pPr>
            <w:r w:rsidRPr="00563A3D">
              <w:t>SAE</w:t>
            </w:r>
          </w:p>
        </w:tc>
        <w:tc>
          <w:tcPr>
            <w:tcW w:w="6650" w:type="dxa"/>
          </w:tcPr>
          <w:p w14:paraId="29F44048" w14:textId="77777777" w:rsidR="00714B8C" w:rsidRPr="00563A3D" w:rsidRDefault="00714B8C" w:rsidP="00834E8B">
            <w:pPr>
              <w:rPr>
                <w:rFonts w:asciiTheme="minorHAnsi" w:hAnsiTheme="minorHAnsi"/>
              </w:rPr>
            </w:pPr>
            <w:r>
              <w:t>S</w:t>
            </w:r>
            <w:r w:rsidRPr="00563A3D">
              <w:t>erious adverse event</w:t>
            </w:r>
          </w:p>
        </w:tc>
      </w:tr>
      <w:tr w:rsidR="00714B8C" w:rsidRPr="00FD119B" w14:paraId="77F6D030" w14:textId="77777777" w:rsidTr="002F46DC">
        <w:tc>
          <w:tcPr>
            <w:tcW w:w="1834" w:type="dxa"/>
          </w:tcPr>
          <w:p w14:paraId="76D0F886" w14:textId="77777777" w:rsidR="00714B8C" w:rsidRPr="00563A3D" w:rsidRDefault="00714B8C" w:rsidP="00834E8B">
            <w:pPr>
              <w:rPr>
                <w:rFonts w:eastAsiaTheme="minorHAnsi" w:cs="Verdana"/>
              </w:rPr>
            </w:pPr>
            <w:r w:rsidRPr="00563A3D">
              <w:rPr>
                <w:rFonts w:eastAsiaTheme="minorHAnsi" w:cs="Verdana"/>
              </w:rPr>
              <w:lastRenderedPageBreak/>
              <w:t>SC</w:t>
            </w:r>
          </w:p>
        </w:tc>
        <w:tc>
          <w:tcPr>
            <w:tcW w:w="6650" w:type="dxa"/>
          </w:tcPr>
          <w:p w14:paraId="49DB2A69" w14:textId="77777777" w:rsidR="00714B8C" w:rsidRPr="00563A3D" w:rsidRDefault="00714B8C" w:rsidP="00834E8B">
            <w:pPr>
              <w:rPr>
                <w:rFonts w:eastAsiaTheme="minorHAnsi" w:cs="Verdana"/>
              </w:rPr>
            </w:pPr>
            <w:r>
              <w:rPr>
                <w:rFonts w:asciiTheme="minorHAnsi" w:hAnsiTheme="minorHAnsi"/>
              </w:rPr>
              <w:t>S</w:t>
            </w:r>
            <w:r w:rsidRPr="00563A3D">
              <w:rPr>
                <w:rFonts w:asciiTheme="minorHAnsi" w:hAnsiTheme="minorHAnsi"/>
              </w:rPr>
              <w:t>ubcutaneous</w:t>
            </w:r>
          </w:p>
        </w:tc>
      </w:tr>
      <w:tr w:rsidR="00714B8C" w:rsidRPr="00FD119B" w14:paraId="04757E2E" w14:textId="77777777" w:rsidTr="002F46DC">
        <w:tc>
          <w:tcPr>
            <w:tcW w:w="1834" w:type="dxa"/>
          </w:tcPr>
          <w:p w14:paraId="529DBDAB" w14:textId="77777777" w:rsidR="00714B8C" w:rsidRPr="00563A3D" w:rsidRDefault="00714B8C" w:rsidP="00834E8B">
            <w:pPr>
              <w:rPr>
                <w:rFonts w:eastAsiaTheme="minorHAnsi" w:cs="Verdana"/>
              </w:rPr>
            </w:pPr>
            <w:r>
              <w:rPr>
                <w:rFonts w:eastAsiaTheme="minorHAnsi" w:cs="Verdana"/>
              </w:rPr>
              <w:t>SIOPEN</w:t>
            </w:r>
          </w:p>
        </w:tc>
        <w:tc>
          <w:tcPr>
            <w:tcW w:w="6650" w:type="dxa"/>
          </w:tcPr>
          <w:p w14:paraId="08822942" w14:textId="77777777" w:rsidR="00714B8C" w:rsidRDefault="00714B8C" w:rsidP="00834E8B">
            <w:r w:rsidRPr="00980BB5">
              <w:t xml:space="preserve">International </w:t>
            </w:r>
            <w:r>
              <w:t>Society of Paediatric O</w:t>
            </w:r>
            <w:r w:rsidRPr="00980BB5">
              <w:t>ncology</w:t>
            </w:r>
            <w:r>
              <w:t xml:space="preserve"> European </w:t>
            </w:r>
            <w:proofErr w:type="spellStart"/>
            <w:r>
              <w:t>N</w:t>
            </w:r>
            <w:r w:rsidRPr="00980BB5">
              <w:t>euroblastoma</w:t>
            </w:r>
            <w:proofErr w:type="spellEnd"/>
          </w:p>
        </w:tc>
      </w:tr>
      <w:tr w:rsidR="00714B8C" w:rsidRPr="00FD119B" w14:paraId="052A7E89" w14:textId="77777777" w:rsidTr="002F46DC">
        <w:tc>
          <w:tcPr>
            <w:tcW w:w="1834" w:type="dxa"/>
          </w:tcPr>
          <w:p w14:paraId="2A765CD7" w14:textId="77777777" w:rsidR="00714B8C" w:rsidRPr="00563A3D" w:rsidRDefault="00714B8C" w:rsidP="00834E8B">
            <w:pPr>
              <w:rPr>
                <w:rFonts w:eastAsiaTheme="minorHAnsi" w:cs="Verdana"/>
              </w:rPr>
            </w:pPr>
            <w:r w:rsidRPr="003F163A">
              <w:t>T</w:t>
            </w:r>
            <w:r w:rsidRPr="003F163A">
              <w:rPr>
                <w:vertAlign w:val="subscript"/>
              </w:rPr>
              <w:t>1/2</w:t>
            </w:r>
          </w:p>
        </w:tc>
        <w:tc>
          <w:tcPr>
            <w:tcW w:w="6650" w:type="dxa"/>
          </w:tcPr>
          <w:p w14:paraId="19D46B71" w14:textId="77777777" w:rsidR="00714B8C" w:rsidRDefault="00714B8C" w:rsidP="003F163A">
            <w:r>
              <w:t>Half-life</w:t>
            </w:r>
          </w:p>
        </w:tc>
      </w:tr>
      <w:tr w:rsidR="00714B8C" w:rsidRPr="00FD119B" w14:paraId="378BB321" w14:textId="77777777" w:rsidTr="002F46DC">
        <w:tc>
          <w:tcPr>
            <w:tcW w:w="1834" w:type="dxa"/>
          </w:tcPr>
          <w:p w14:paraId="4A44EEE3" w14:textId="77777777" w:rsidR="00714B8C" w:rsidRPr="00563A3D" w:rsidRDefault="00714B8C" w:rsidP="00834E8B">
            <w:pPr>
              <w:rPr>
                <w:rFonts w:eastAsiaTheme="minorHAnsi" w:cs="Verdana"/>
              </w:rPr>
            </w:pPr>
            <w:r w:rsidRPr="00563A3D">
              <w:rPr>
                <w:rFonts w:eastAsiaTheme="minorHAnsi" w:cs="Verdana"/>
              </w:rPr>
              <w:t>TEAE</w:t>
            </w:r>
          </w:p>
        </w:tc>
        <w:tc>
          <w:tcPr>
            <w:tcW w:w="6650" w:type="dxa"/>
          </w:tcPr>
          <w:p w14:paraId="518D5F3E" w14:textId="77777777" w:rsidR="00714B8C" w:rsidRPr="00563A3D" w:rsidRDefault="00714B8C" w:rsidP="00834E8B">
            <w:r>
              <w:t>T</w:t>
            </w:r>
            <w:r w:rsidRPr="00563A3D">
              <w:t>reatment emergent adverse event</w:t>
            </w:r>
          </w:p>
        </w:tc>
      </w:tr>
      <w:tr w:rsidR="00714B8C" w:rsidRPr="00FD119B" w14:paraId="5A1C5840" w14:textId="77777777" w:rsidTr="002F46DC">
        <w:tc>
          <w:tcPr>
            <w:tcW w:w="1834" w:type="dxa"/>
          </w:tcPr>
          <w:p w14:paraId="0563B828" w14:textId="77777777" w:rsidR="00714B8C" w:rsidRDefault="00714B8C" w:rsidP="00834E8B">
            <w:pPr>
              <w:rPr>
                <w:rFonts w:eastAsiaTheme="minorHAnsi" w:cs="Verdana"/>
              </w:rPr>
            </w:pPr>
            <w:r>
              <w:rPr>
                <w:rFonts w:eastAsiaTheme="minorHAnsi" w:cs="Verdana"/>
              </w:rPr>
              <w:t>USA</w:t>
            </w:r>
          </w:p>
        </w:tc>
        <w:tc>
          <w:tcPr>
            <w:tcW w:w="6650" w:type="dxa"/>
          </w:tcPr>
          <w:p w14:paraId="5D9C8EBA" w14:textId="77777777" w:rsidR="00714B8C" w:rsidRDefault="00714B8C" w:rsidP="00834E8B">
            <w:r>
              <w:t>United States of America</w:t>
            </w:r>
          </w:p>
        </w:tc>
      </w:tr>
    </w:tbl>
    <w:p w14:paraId="5DFFE769" w14:textId="77777777" w:rsidR="00FD119B" w:rsidRPr="00FD119B" w:rsidRDefault="00FD119B" w:rsidP="00FD119B">
      <w:pPr>
        <w:spacing w:before="0" w:after="200" w:line="0" w:lineRule="auto"/>
        <w:rPr>
          <w:b/>
          <w:i/>
          <w:sz w:val="24"/>
          <w:szCs w:val="24"/>
        </w:rPr>
      </w:pPr>
      <w:r w:rsidRPr="00FD119B">
        <w:rPr>
          <w:b/>
          <w:i/>
          <w:sz w:val="24"/>
          <w:szCs w:val="24"/>
        </w:rPr>
        <w:br w:type="page"/>
      </w:r>
    </w:p>
    <w:p w14:paraId="3D5D887A" w14:textId="77777777" w:rsidR="008E7846" w:rsidRDefault="00F53C07" w:rsidP="008E7846">
      <w:pPr>
        <w:pStyle w:val="Heading2"/>
      </w:pPr>
      <w:bookmarkStart w:id="9" w:name="_Toc44507090"/>
      <w:r>
        <w:lastRenderedPageBreak/>
        <w:t>I.</w:t>
      </w:r>
      <w:r w:rsidR="008E7846">
        <w:t xml:space="preserve"> Introduction to product submission</w:t>
      </w:r>
      <w:bookmarkEnd w:id="0"/>
      <w:bookmarkEnd w:id="3"/>
      <w:bookmarkEnd w:id="9"/>
    </w:p>
    <w:p w14:paraId="48498849" w14:textId="77777777" w:rsidR="008E7846" w:rsidRDefault="008E7846" w:rsidP="008E7846">
      <w:pPr>
        <w:pStyle w:val="Heading3"/>
        <w:rPr>
          <w:lang w:eastAsia="en-AU"/>
        </w:rPr>
      </w:pPr>
      <w:bookmarkStart w:id="10" w:name="_Toc247691502"/>
      <w:bookmarkStart w:id="11" w:name="_Toc314842483"/>
      <w:bookmarkStart w:id="12" w:name="_Toc44507091"/>
      <w:r>
        <w:rPr>
          <w:lang w:eastAsia="en-AU"/>
        </w:rPr>
        <w:t>Submission details</w:t>
      </w:r>
      <w:bookmarkEnd w:id="10"/>
      <w:bookmarkEnd w:id="11"/>
      <w:bookmarkEnd w:id="12"/>
    </w:p>
    <w:tbl>
      <w:tblPr>
        <w:tblW w:w="9106" w:type="dxa"/>
        <w:tblInd w:w="108" w:type="dxa"/>
        <w:tblLook w:val="01E0" w:firstRow="1" w:lastRow="1" w:firstColumn="1" w:lastColumn="1" w:noHBand="0" w:noVBand="0"/>
      </w:tblPr>
      <w:tblGrid>
        <w:gridCol w:w="2907"/>
        <w:gridCol w:w="6199"/>
      </w:tblGrid>
      <w:tr w:rsidR="008E7846" w:rsidRPr="003D1E62" w14:paraId="2CE42155" w14:textId="77777777" w:rsidTr="00F03EFF">
        <w:tc>
          <w:tcPr>
            <w:tcW w:w="2907" w:type="dxa"/>
          </w:tcPr>
          <w:p w14:paraId="47FE3BCD" w14:textId="77777777" w:rsidR="008E7846" w:rsidRPr="003D1E62" w:rsidRDefault="001B5C90" w:rsidP="001B5C90">
            <w:pPr>
              <w:rPr>
                <w:i/>
              </w:rPr>
            </w:pPr>
            <w:r>
              <w:rPr>
                <w:i/>
              </w:rPr>
              <w:t>Type of s</w:t>
            </w:r>
            <w:r w:rsidR="008E7846" w:rsidRPr="003D1E62">
              <w:rPr>
                <w:i/>
              </w:rPr>
              <w:t>ubmission</w:t>
            </w:r>
            <w:r>
              <w:rPr>
                <w:i/>
              </w:rPr>
              <w:t>:</w:t>
            </w:r>
          </w:p>
        </w:tc>
        <w:tc>
          <w:tcPr>
            <w:tcW w:w="6199" w:type="dxa"/>
          </w:tcPr>
          <w:p w14:paraId="7F48F4CC" w14:textId="77777777" w:rsidR="008E7846" w:rsidRPr="003D1E62" w:rsidRDefault="008E7846" w:rsidP="001B5C90">
            <w:r w:rsidRPr="003D1E62">
              <w:t xml:space="preserve">New </w:t>
            </w:r>
            <w:r w:rsidR="00F25ACA">
              <w:t>b</w:t>
            </w:r>
            <w:r w:rsidR="009C5E28">
              <w:t>iological</w:t>
            </w:r>
            <w:r w:rsidRPr="003D1E62">
              <w:t xml:space="preserve"> </w:t>
            </w:r>
            <w:r w:rsidR="001B5C90">
              <w:t>e</w:t>
            </w:r>
            <w:r w:rsidR="009C5E28">
              <w:t>ntity</w:t>
            </w:r>
          </w:p>
        </w:tc>
      </w:tr>
      <w:tr w:rsidR="008E7846" w:rsidRPr="003D1E62" w14:paraId="57CF7C47" w14:textId="77777777" w:rsidTr="00F03EFF">
        <w:tc>
          <w:tcPr>
            <w:tcW w:w="2907" w:type="dxa"/>
          </w:tcPr>
          <w:p w14:paraId="46DF9105" w14:textId="77777777" w:rsidR="008E7846" w:rsidRPr="003D1E62" w:rsidRDefault="008E7846" w:rsidP="003D1E62">
            <w:r w:rsidRPr="003D1E62">
              <w:rPr>
                <w:i/>
              </w:rPr>
              <w:t>Decision</w:t>
            </w:r>
            <w:r w:rsidRPr="003D1E62">
              <w:t>:</w:t>
            </w:r>
          </w:p>
        </w:tc>
        <w:tc>
          <w:tcPr>
            <w:tcW w:w="6199" w:type="dxa"/>
          </w:tcPr>
          <w:p w14:paraId="09CB502D" w14:textId="77777777" w:rsidR="008E7846" w:rsidRPr="003D1E62" w:rsidRDefault="009C5E28" w:rsidP="001B5C90">
            <w:r>
              <w:t>Approved</w:t>
            </w:r>
          </w:p>
        </w:tc>
      </w:tr>
      <w:tr w:rsidR="008E7846" w:rsidRPr="003D1E62" w14:paraId="1B816DB8" w14:textId="77777777" w:rsidTr="00F03EFF">
        <w:tc>
          <w:tcPr>
            <w:tcW w:w="2907" w:type="dxa"/>
          </w:tcPr>
          <w:p w14:paraId="4DDF96E5"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199" w:type="dxa"/>
          </w:tcPr>
          <w:p w14:paraId="15ACA6A3" w14:textId="77777777" w:rsidR="008E7846" w:rsidRPr="003D1E62" w:rsidRDefault="009C5E28" w:rsidP="001B5C90">
            <w:r>
              <w:t>17 March 2020</w:t>
            </w:r>
          </w:p>
        </w:tc>
      </w:tr>
      <w:tr w:rsidR="00ED2922" w:rsidRPr="003D1E62" w14:paraId="5B319A6B" w14:textId="77777777" w:rsidTr="00F03EFF">
        <w:tc>
          <w:tcPr>
            <w:tcW w:w="2907" w:type="dxa"/>
          </w:tcPr>
          <w:p w14:paraId="4F5AEFA7" w14:textId="77777777" w:rsidR="00ED2922" w:rsidRPr="00441C3F" w:rsidRDefault="00ED2922" w:rsidP="001B5C90">
            <w:pPr>
              <w:rPr>
                <w:i/>
              </w:rPr>
            </w:pPr>
            <w:r w:rsidRPr="00441C3F">
              <w:rPr>
                <w:i/>
              </w:rPr>
              <w:t>Date of entry onto ARTG</w:t>
            </w:r>
            <w:r w:rsidR="00500337">
              <w:rPr>
                <w:i/>
              </w:rPr>
              <w:t>:</w:t>
            </w:r>
          </w:p>
        </w:tc>
        <w:tc>
          <w:tcPr>
            <w:tcW w:w="6199" w:type="dxa"/>
          </w:tcPr>
          <w:p w14:paraId="6EA8C244" w14:textId="77777777" w:rsidR="00ED2922" w:rsidRPr="00441C3F" w:rsidRDefault="00EA3CE1" w:rsidP="00D153D8">
            <w:pPr>
              <w:rPr>
                <w:i/>
              </w:rPr>
            </w:pPr>
            <w:r>
              <w:t>2 April 2020</w:t>
            </w:r>
          </w:p>
        </w:tc>
      </w:tr>
      <w:tr w:rsidR="00500337" w:rsidRPr="003D1E62" w14:paraId="41944F6A" w14:textId="77777777" w:rsidTr="00F03EFF">
        <w:tc>
          <w:tcPr>
            <w:tcW w:w="2907" w:type="dxa"/>
          </w:tcPr>
          <w:p w14:paraId="18FDF47B" w14:textId="77777777" w:rsidR="00500337" w:rsidRPr="00441C3F" w:rsidRDefault="00EA3CE1" w:rsidP="001B5C90">
            <w:pPr>
              <w:rPr>
                <w:i/>
              </w:rPr>
            </w:pPr>
            <w:r>
              <w:rPr>
                <w:i/>
              </w:rPr>
              <w:t>ARTG number</w:t>
            </w:r>
            <w:r w:rsidR="00500337">
              <w:rPr>
                <w:i/>
              </w:rPr>
              <w:t>:</w:t>
            </w:r>
          </w:p>
        </w:tc>
        <w:tc>
          <w:tcPr>
            <w:tcW w:w="6199" w:type="dxa"/>
          </w:tcPr>
          <w:p w14:paraId="6198E4F4" w14:textId="77777777" w:rsidR="00500337" w:rsidRPr="00441C3F" w:rsidRDefault="00EA3CE1" w:rsidP="00EC463D">
            <w:r>
              <w:t>321016</w:t>
            </w:r>
          </w:p>
        </w:tc>
      </w:tr>
      <w:tr w:rsidR="003735BC" w:rsidRPr="003D1E62" w14:paraId="3E5FCF61" w14:textId="77777777" w:rsidTr="00F03EFF">
        <w:tc>
          <w:tcPr>
            <w:tcW w:w="2907" w:type="dxa"/>
          </w:tcPr>
          <w:p w14:paraId="71B76920"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199" w:type="dxa"/>
          </w:tcPr>
          <w:p w14:paraId="2448E5BD" w14:textId="6A49CA78" w:rsidR="00416A76" w:rsidRDefault="00084B6E" w:rsidP="00416A76">
            <w:r>
              <w:t>Yes</w:t>
            </w:r>
          </w:p>
          <w:p w14:paraId="1BA259E8" w14:textId="0A44CB7D" w:rsidR="003735BC" w:rsidRPr="00487162" w:rsidRDefault="003735BC" w:rsidP="00416A76">
            <w:r>
              <w:t xml:space="preserve">This product will remain in the scheme for 5 years, starting on the date the product is first supplied in </w:t>
            </w:r>
            <w:r w:rsidR="00084B6E">
              <w:t>Australia.</w:t>
            </w:r>
          </w:p>
        </w:tc>
      </w:tr>
      <w:tr w:rsidR="008E7846" w:rsidRPr="00487162" w14:paraId="3558C27D" w14:textId="77777777" w:rsidTr="00F03EFF">
        <w:tc>
          <w:tcPr>
            <w:tcW w:w="2907" w:type="dxa"/>
          </w:tcPr>
          <w:p w14:paraId="7CA39B9E" w14:textId="77777777" w:rsidR="008E7846" w:rsidRPr="00487162" w:rsidRDefault="00272176" w:rsidP="00E45619">
            <w:pPr>
              <w:rPr>
                <w:i/>
              </w:rPr>
            </w:pPr>
            <w:r>
              <w:rPr>
                <w:i/>
              </w:rPr>
              <w:t>Active ingredient</w:t>
            </w:r>
            <w:r w:rsidR="001B5C90">
              <w:rPr>
                <w:i/>
              </w:rPr>
              <w:t>:</w:t>
            </w:r>
          </w:p>
        </w:tc>
        <w:tc>
          <w:tcPr>
            <w:tcW w:w="6199" w:type="dxa"/>
          </w:tcPr>
          <w:p w14:paraId="2B96055E" w14:textId="77777777" w:rsidR="008E7846" w:rsidRPr="00487162" w:rsidRDefault="00EA3CE1" w:rsidP="00EA3CE1">
            <w:proofErr w:type="spellStart"/>
            <w:r>
              <w:t>Dinutuximab</w:t>
            </w:r>
            <w:proofErr w:type="spellEnd"/>
            <w:r>
              <w:t xml:space="preserve"> beta</w:t>
            </w:r>
          </w:p>
        </w:tc>
      </w:tr>
      <w:tr w:rsidR="008E7846" w:rsidRPr="00487162" w14:paraId="662BEC98" w14:textId="77777777" w:rsidTr="00F03EFF">
        <w:tc>
          <w:tcPr>
            <w:tcW w:w="2907" w:type="dxa"/>
          </w:tcPr>
          <w:p w14:paraId="2929F8FF" w14:textId="77777777" w:rsidR="008E7846" w:rsidRPr="00487162" w:rsidRDefault="008E7846" w:rsidP="001B5C90">
            <w:pPr>
              <w:rPr>
                <w:i/>
              </w:rPr>
            </w:pPr>
            <w:r w:rsidRPr="00487162">
              <w:rPr>
                <w:i/>
              </w:rPr>
              <w:t>Product</w:t>
            </w:r>
            <w:r w:rsidR="00272176">
              <w:rPr>
                <w:i/>
              </w:rPr>
              <w:t xml:space="preserve"> name</w:t>
            </w:r>
            <w:r w:rsidR="001B5C90">
              <w:rPr>
                <w:i/>
              </w:rPr>
              <w:t>:</w:t>
            </w:r>
          </w:p>
        </w:tc>
        <w:tc>
          <w:tcPr>
            <w:tcW w:w="6199" w:type="dxa"/>
          </w:tcPr>
          <w:p w14:paraId="4A422255" w14:textId="2E5B1B54" w:rsidR="008E7846" w:rsidRPr="00487162" w:rsidRDefault="00272176" w:rsidP="00857B8C">
            <w:proofErr w:type="spellStart"/>
            <w:r>
              <w:t>Q</w:t>
            </w:r>
            <w:r w:rsidR="00084B6E">
              <w:t>arziba</w:t>
            </w:r>
            <w:proofErr w:type="spellEnd"/>
          </w:p>
        </w:tc>
      </w:tr>
      <w:tr w:rsidR="00272176" w:rsidRPr="00487162" w14:paraId="7FEB6F70" w14:textId="77777777" w:rsidTr="00F03EFF">
        <w:tc>
          <w:tcPr>
            <w:tcW w:w="2907" w:type="dxa"/>
          </w:tcPr>
          <w:p w14:paraId="3E207BA1" w14:textId="77777777" w:rsidR="00272176" w:rsidRPr="00487162" w:rsidRDefault="00272176" w:rsidP="00272176">
            <w:pPr>
              <w:spacing w:after="0"/>
              <w:rPr>
                <w:i/>
              </w:rPr>
            </w:pPr>
            <w:r w:rsidRPr="00487162">
              <w:rPr>
                <w:i/>
              </w:rPr>
              <w:t xml:space="preserve">Sponsor’s </w:t>
            </w:r>
            <w:r>
              <w:rPr>
                <w:i/>
              </w:rPr>
              <w:t>n</w:t>
            </w:r>
            <w:r w:rsidRPr="00487162">
              <w:rPr>
                <w:i/>
              </w:rPr>
              <w:t xml:space="preserve">ame and </w:t>
            </w:r>
            <w:r>
              <w:rPr>
                <w:i/>
              </w:rPr>
              <w:t>a</w:t>
            </w:r>
            <w:r w:rsidRPr="00487162">
              <w:rPr>
                <w:i/>
              </w:rPr>
              <w:t>ddress:</w:t>
            </w:r>
          </w:p>
        </w:tc>
        <w:tc>
          <w:tcPr>
            <w:tcW w:w="6199" w:type="dxa"/>
          </w:tcPr>
          <w:p w14:paraId="7F33A55A" w14:textId="77777777" w:rsidR="00272176" w:rsidRDefault="00272176" w:rsidP="00942DFC">
            <w:r>
              <w:t>Emerge Health Pty Ltd</w:t>
            </w:r>
          </w:p>
          <w:p w14:paraId="7B5B740A" w14:textId="77777777" w:rsidR="00272176" w:rsidRPr="00272176" w:rsidRDefault="00272176" w:rsidP="00942DFC">
            <w:r w:rsidRPr="00272176">
              <w:t>Suite 3, 22 Gillman Street,</w:t>
            </w:r>
          </w:p>
          <w:p w14:paraId="7E7F97B1" w14:textId="77777777" w:rsidR="00272176" w:rsidRPr="00487162" w:rsidRDefault="00272176" w:rsidP="00942DFC">
            <w:r w:rsidRPr="00272176">
              <w:t>Hawthorn East, VIC 3123</w:t>
            </w:r>
          </w:p>
        </w:tc>
      </w:tr>
      <w:tr w:rsidR="00272176" w:rsidRPr="00487162" w14:paraId="77017A98" w14:textId="77777777" w:rsidTr="00F03EFF">
        <w:tc>
          <w:tcPr>
            <w:tcW w:w="2907" w:type="dxa"/>
          </w:tcPr>
          <w:p w14:paraId="061F0B8F" w14:textId="77777777" w:rsidR="00272176" w:rsidRPr="00487162" w:rsidRDefault="00272176" w:rsidP="00272176">
            <w:pPr>
              <w:rPr>
                <w:i/>
              </w:rPr>
            </w:pPr>
            <w:r>
              <w:rPr>
                <w:i/>
              </w:rPr>
              <w:t>Dose form:</w:t>
            </w:r>
          </w:p>
        </w:tc>
        <w:tc>
          <w:tcPr>
            <w:tcW w:w="6199" w:type="dxa"/>
          </w:tcPr>
          <w:p w14:paraId="700B27C4" w14:textId="77777777" w:rsidR="00272176" w:rsidRPr="00487162" w:rsidRDefault="00272176" w:rsidP="00272176">
            <w:r>
              <w:t>Solution</w:t>
            </w:r>
          </w:p>
        </w:tc>
      </w:tr>
      <w:tr w:rsidR="00272176" w:rsidRPr="00487162" w14:paraId="192AF4B9" w14:textId="77777777" w:rsidTr="00F03EFF">
        <w:tc>
          <w:tcPr>
            <w:tcW w:w="2907" w:type="dxa"/>
          </w:tcPr>
          <w:p w14:paraId="0EC904BF" w14:textId="77777777" w:rsidR="00272176" w:rsidRPr="00487162" w:rsidRDefault="00467C97" w:rsidP="00272176">
            <w:pPr>
              <w:rPr>
                <w:i/>
              </w:rPr>
            </w:pPr>
            <w:r>
              <w:rPr>
                <w:i/>
              </w:rPr>
              <w:t>Strength</w:t>
            </w:r>
            <w:r w:rsidR="00272176" w:rsidRPr="00487162">
              <w:rPr>
                <w:i/>
              </w:rPr>
              <w:t xml:space="preserve">: </w:t>
            </w:r>
          </w:p>
        </w:tc>
        <w:tc>
          <w:tcPr>
            <w:tcW w:w="6199" w:type="dxa"/>
          </w:tcPr>
          <w:p w14:paraId="50C7B9AD" w14:textId="77777777" w:rsidR="00272176" w:rsidRPr="00487162" w:rsidRDefault="00077ECE" w:rsidP="00077ECE">
            <w:r>
              <w:t>4.5 mg/mL</w:t>
            </w:r>
          </w:p>
        </w:tc>
      </w:tr>
      <w:tr w:rsidR="00272176" w:rsidRPr="00487162" w14:paraId="67FC832E" w14:textId="77777777" w:rsidTr="00F03EFF">
        <w:tc>
          <w:tcPr>
            <w:tcW w:w="2907" w:type="dxa"/>
          </w:tcPr>
          <w:p w14:paraId="1FFB0CA4" w14:textId="77777777" w:rsidR="00272176" w:rsidRPr="00487162" w:rsidRDefault="00467C97" w:rsidP="00272176">
            <w:pPr>
              <w:rPr>
                <w:i/>
              </w:rPr>
            </w:pPr>
            <w:r>
              <w:rPr>
                <w:i/>
              </w:rPr>
              <w:t>Container</w:t>
            </w:r>
            <w:r w:rsidR="00272176" w:rsidRPr="00487162">
              <w:rPr>
                <w:i/>
              </w:rPr>
              <w:t>:</w:t>
            </w:r>
          </w:p>
        </w:tc>
        <w:tc>
          <w:tcPr>
            <w:tcW w:w="6199" w:type="dxa"/>
          </w:tcPr>
          <w:p w14:paraId="7D20A23A" w14:textId="3DDD80F9" w:rsidR="00272176" w:rsidRPr="00487162" w:rsidRDefault="00857B8C" w:rsidP="00857B8C">
            <w:r>
              <w:t>Vi</w:t>
            </w:r>
            <w:r w:rsidR="00942DFC">
              <w:t>al</w:t>
            </w:r>
          </w:p>
        </w:tc>
      </w:tr>
      <w:tr w:rsidR="00272176" w:rsidRPr="00487162" w14:paraId="47B137F6" w14:textId="77777777" w:rsidTr="00F03EFF">
        <w:tc>
          <w:tcPr>
            <w:tcW w:w="2907" w:type="dxa"/>
          </w:tcPr>
          <w:p w14:paraId="5D415C24" w14:textId="77777777" w:rsidR="00272176" w:rsidRPr="00487162" w:rsidRDefault="00467C97" w:rsidP="00272176">
            <w:pPr>
              <w:rPr>
                <w:i/>
              </w:rPr>
            </w:pPr>
            <w:r>
              <w:rPr>
                <w:i/>
              </w:rPr>
              <w:t>Pack size</w:t>
            </w:r>
            <w:r w:rsidR="00272176" w:rsidRPr="00487162">
              <w:rPr>
                <w:i/>
              </w:rPr>
              <w:t>:</w:t>
            </w:r>
          </w:p>
        </w:tc>
        <w:tc>
          <w:tcPr>
            <w:tcW w:w="6199" w:type="dxa"/>
          </w:tcPr>
          <w:p w14:paraId="2F78C884" w14:textId="77777777" w:rsidR="00272176" w:rsidRPr="00487162" w:rsidRDefault="00857B8C" w:rsidP="00942DFC">
            <w:r>
              <w:t>One</w:t>
            </w:r>
          </w:p>
        </w:tc>
      </w:tr>
      <w:tr w:rsidR="00272176" w:rsidRPr="00487162" w14:paraId="03A8B463" w14:textId="77777777" w:rsidTr="00F03EFF">
        <w:tc>
          <w:tcPr>
            <w:tcW w:w="2907" w:type="dxa"/>
          </w:tcPr>
          <w:p w14:paraId="74BCA132" w14:textId="77777777" w:rsidR="00272176" w:rsidRPr="00487162" w:rsidRDefault="00272176" w:rsidP="00272176">
            <w:pPr>
              <w:rPr>
                <w:i/>
              </w:rPr>
            </w:pPr>
            <w:r w:rsidRPr="00487162">
              <w:rPr>
                <w:i/>
              </w:rPr>
              <w:t xml:space="preserve">Approved </w:t>
            </w:r>
            <w:r>
              <w:rPr>
                <w:i/>
              </w:rPr>
              <w:t>t</w:t>
            </w:r>
            <w:r w:rsidRPr="00487162">
              <w:rPr>
                <w:i/>
              </w:rPr>
              <w:t>herapeutic use:</w:t>
            </w:r>
          </w:p>
        </w:tc>
        <w:tc>
          <w:tcPr>
            <w:tcW w:w="6199" w:type="dxa"/>
          </w:tcPr>
          <w:p w14:paraId="0380EA49" w14:textId="77777777" w:rsidR="00272176" w:rsidRPr="00E37010" w:rsidRDefault="00942DFC" w:rsidP="00942DFC">
            <w:pPr>
              <w:rPr>
                <w:i/>
              </w:rPr>
            </w:pPr>
            <w:proofErr w:type="spellStart"/>
            <w:r w:rsidRPr="00E37010">
              <w:rPr>
                <w:i/>
              </w:rPr>
              <w:t>Q</w:t>
            </w:r>
            <w:r w:rsidR="00857B8C" w:rsidRPr="00E37010">
              <w:rPr>
                <w:i/>
              </w:rPr>
              <w:t>arziba</w:t>
            </w:r>
            <w:proofErr w:type="spellEnd"/>
            <w:r w:rsidRPr="00E37010">
              <w:rPr>
                <w:i/>
              </w:rPr>
              <w:t xml:space="preserve"> is indicated</w:t>
            </w:r>
            <w:r w:rsidR="00416A76" w:rsidRPr="00E37010">
              <w:rPr>
                <w:i/>
              </w:rPr>
              <w:t xml:space="preserve"> for the treatment of high-risk </w:t>
            </w:r>
            <w:proofErr w:type="spellStart"/>
            <w:r w:rsidRPr="00E37010">
              <w:rPr>
                <w:i/>
              </w:rPr>
              <w:t>neuroblastoma</w:t>
            </w:r>
            <w:proofErr w:type="spellEnd"/>
            <w:r w:rsidRPr="00E37010">
              <w:rPr>
                <w:i/>
              </w:rPr>
              <w:t xml:space="preserve"> in patients who have </w:t>
            </w:r>
            <w:r w:rsidRPr="00E37010">
              <w:rPr>
                <w:rFonts w:eastAsiaTheme="minorHAnsi" w:cs="Cambria"/>
                <w:i/>
              </w:rPr>
              <w:t>previously received induction chemotherapy and achieved at least a partial response</w:t>
            </w:r>
            <w:r w:rsidR="00F25ACA" w:rsidRPr="00E37010">
              <w:rPr>
                <w:rFonts w:eastAsiaTheme="minorHAnsi" w:cs="Cambria"/>
                <w:i/>
              </w:rPr>
              <w:t>.</w:t>
            </w:r>
          </w:p>
        </w:tc>
      </w:tr>
      <w:tr w:rsidR="00272176" w:rsidRPr="00487162" w14:paraId="6890D896" w14:textId="77777777" w:rsidTr="00F03EFF">
        <w:tc>
          <w:tcPr>
            <w:tcW w:w="2907" w:type="dxa"/>
          </w:tcPr>
          <w:p w14:paraId="7A1CE07A" w14:textId="77777777" w:rsidR="00272176" w:rsidRPr="00487162" w:rsidRDefault="00467C97" w:rsidP="00272176">
            <w:pPr>
              <w:rPr>
                <w:i/>
              </w:rPr>
            </w:pPr>
            <w:r>
              <w:rPr>
                <w:i/>
              </w:rPr>
              <w:t>Route</w:t>
            </w:r>
            <w:r w:rsidR="00272176" w:rsidRPr="00487162">
              <w:rPr>
                <w:i/>
              </w:rPr>
              <w:t xml:space="preserve"> of administration:</w:t>
            </w:r>
          </w:p>
        </w:tc>
        <w:tc>
          <w:tcPr>
            <w:tcW w:w="6199" w:type="dxa"/>
          </w:tcPr>
          <w:p w14:paraId="40DC9019" w14:textId="77777777" w:rsidR="00272176" w:rsidRPr="00487162" w:rsidRDefault="00942DFC" w:rsidP="00272176">
            <w:r>
              <w:t>Intravenous infusion</w:t>
            </w:r>
          </w:p>
        </w:tc>
      </w:tr>
      <w:tr w:rsidR="00272176" w:rsidRPr="00487162" w14:paraId="53E2D631" w14:textId="77777777" w:rsidTr="00F03EFF">
        <w:tc>
          <w:tcPr>
            <w:tcW w:w="2907" w:type="dxa"/>
          </w:tcPr>
          <w:p w14:paraId="17D1D39A" w14:textId="77777777" w:rsidR="00272176" w:rsidRPr="00487162" w:rsidRDefault="00272176" w:rsidP="00272176">
            <w:pPr>
              <w:rPr>
                <w:i/>
              </w:rPr>
            </w:pPr>
            <w:r w:rsidRPr="00487162">
              <w:rPr>
                <w:i/>
              </w:rPr>
              <w:t>Dosage:</w:t>
            </w:r>
          </w:p>
        </w:tc>
        <w:tc>
          <w:tcPr>
            <w:tcW w:w="6199" w:type="dxa"/>
          </w:tcPr>
          <w:p w14:paraId="67AF7E01" w14:textId="77777777" w:rsidR="00857B8C" w:rsidRDefault="00857B8C" w:rsidP="00467C97">
            <w:r>
              <w:t xml:space="preserve">Treatment with </w:t>
            </w:r>
            <w:proofErr w:type="spellStart"/>
            <w:r>
              <w:t>Q</w:t>
            </w:r>
            <w:r w:rsidR="00416A76">
              <w:t>arziba</w:t>
            </w:r>
            <w:proofErr w:type="spellEnd"/>
            <w:r>
              <w:t xml:space="preserve"> consists of 5 consecutive courses, each course comprising</w:t>
            </w:r>
            <w:r w:rsidR="00467C97">
              <w:t xml:space="preserve"> </w:t>
            </w:r>
            <w:r>
              <w:t>35 days.</w:t>
            </w:r>
          </w:p>
          <w:p w14:paraId="5281DC01" w14:textId="13091077" w:rsidR="00857B8C" w:rsidRDefault="00857B8C" w:rsidP="00416A76">
            <w:pPr>
              <w:pStyle w:val="ListBullet"/>
            </w:pPr>
            <w:r>
              <w:t>For patients weighing &gt;</w:t>
            </w:r>
            <w:r w:rsidR="004500F0">
              <w:t xml:space="preserve"> </w:t>
            </w:r>
            <w:r>
              <w:t>12 kg, the individual dose is</w:t>
            </w:r>
            <w:r w:rsidR="00467C97">
              <w:t xml:space="preserve"> </w:t>
            </w:r>
            <w:r>
              <w:t>determined based on the body</w:t>
            </w:r>
            <w:r w:rsidR="00467C97">
              <w:t xml:space="preserve"> </w:t>
            </w:r>
            <w:r>
              <w:t>surface area and should be a total of 100 mg/m</w:t>
            </w:r>
            <w:r w:rsidRPr="00416A76">
              <w:rPr>
                <w:vertAlign w:val="superscript"/>
              </w:rPr>
              <w:t>2</w:t>
            </w:r>
            <w:r>
              <w:t xml:space="preserve"> per course.</w:t>
            </w:r>
          </w:p>
          <w:p w14:paraId="5AE204ED" w14:textId="187FC9E3" w:rsidR="00857B8C" w:rsidRDefault="00857B8C" w:rsidP="00416A76">
            <w:pPr>
              <w:pStyle w:val="ListBullet"/>
            </w:pPr>
            <w:r>
              <w:t>For patients weighing &gt;</w:t>
            </w:r>
            <w:r w:rsidR="004500F0">
              <w:t xml:space="preserve"> </w:t>
            </w:r>
            <w:r>
              <w:t>5 kg and</w:t>
            </w:r>
            <w:r w:rsidR="00467C97">
              <w:t xml:space="preserve"> ≤</w:t>
            </w:r>
            <w:r w:rsidR="004500F0">
              <w:t xml:space="preserve"> </w:t>
            </w:r>
            <w:r w:rsidR="00467C97">
              <w:t xml:space="preserve">12 kg, the individual dose is </w:t>
            </w:r>
            <w:r>
              <w:t>determined based on</w:t>
            </w:r>
            <w:r w:rsidR="00467C97">
              <w:t xml:space="preserve"> </w:t>
            </w:r>
            <w:r>
              <w:t>body weight and should be a total of 3.3 mg/kg per course.</w:t>
            </w:r>
          </w:p>
          <w:p w14:paraId="2BE3EDE3" w14:textId="77777777" w:rsidR="00857B8C" w:rsidRDefault="00857B8C" w:rsidP="00467C97">
            <w:r>
              <w:t>Two modes of administration are possible:</w:t>
            </w:r>
          </w:p>
          <w:p w14:paraId="6229E59E" w14:textId="5D2D99FB" w:rsidR="00857B8C" w:rsidRDefault="00857B8C" w:rsidP="00416A76">
            <w:pPr>
              <w:pStyle w:val="ListBullet"/>
            </w:pPr>
            <w:r>
              <w:t>a continuous infusion over the first 10 days of each course (a total of 240 hours) at the</w:t>
            </w:r>
            <w:r w:rsidR="00467C97">
              <w:t xml:space="preserve"> </w:t>
            </w:r>
            <w:r>
              <w:t>daily dose of 10 mg/m</w:t>
            </w:r>
            <w:r w:rsidRPr="00416A76">
              <w:rPr>
                <w:vertAlign w:val="superscript"/>
              </w:rPr>
              <w:t>2</w:t>
            </w:r>
            <w:r>
              <w:t xml:space="preserve"> (for </w:t>
            </w:r>
            <w:r>
              <w:lastRenderedPageBreak/>
              <w:t>patients weighing &gt;</w:t>
            </w:r>
            <w:r w:rsidR="004500F0">
              <w:t xml:space="preserve"> </w:t>
            </w:r>
            <w:r>
              <w:t>12 kg) or 0.33 mg/kg (for patients</w:t>
            </w:r>
            <w:r w:rsidR="00467C97">
              <w:t xml:space="preserve"> </w:t>
            </w:r>
            <w:r>
              <w:t>weighing &gt;</w:t>
            </w:r>
            <w:r w:rsidR="004500F0">
              <w:t xml:space="preserve"> </w:t>
            </w:r>
            <w:r>
              <w:t xml:space="preserve">5 kg and </w:t>
            </w:r>
            <w:r w:rsidR="00416A76">
              <w:t>≤</w:t>
            </w:r>
            <w:r w:rsidR="004500F0">
              <w:t xml:space="preserve"> </w:t>
            </w:r>
            <w:r>
              <w:t>12 kg)</w:t>
            </w:r>
          </w:p>
          <w:p w14:paraId="7C5ADB86" w14:textId="675F9E66" w:rsidR="00857B8C" w:rsidRDefault="00857B8C" w:rsidP="00416A76">
            <w:pPr>
              <w:pStyle w:val="ListBullet"/>
            </w:pPr>
            <w:r>
              <w:t>or five daily infusions of 20 mg/m</w:t>
            </w:r>
            <w:r w:rsidRPr="00416A76">
              <w:rPr>
                <w:vertAlign w:val="superscript"/>
              </w:rPr>
              <w:t>2</w:t>
            </w:r>
            <w:r>
              <w:t xml:space="preserve"> (for patients weighing &gt;</w:t>
            </w:r>
            <w:r w:rsidR="004500F0">
              <w:t> </w:t>
            </w:r>
            <w:r>
              <w:t>12 kg) or 0.66 mg/kg (for</w:t>
            </w:r>
            <w:r w:rsidR="00467C97">
              <w:t xml:space="preserve"> </w:t>
            </w:r>
            <w:r>
              <w:t>patients weighing &gt;</w:t>
            </w:r>
            <w:r w:rsidR="004500F0">
              <w:t xml:space="preserve"> </w:t>
            </w:r>
            <w:r>
              <w:t>5 kg and ≤</w:t>
            </w:r>
            <w:r w:rsidR="004500F0">
              <w:t> </w:t>
            </w:r>
            <w:r>
              <w:t>12 kg) administered over 8 hours, on the first 5 days of</w:t>
            </w:r>
            <w:r w:rsidR="00467C97">
              <w:t xml:space="preserve"> </w:t>
            </w:r>
            <w:r>
              <w:t>each course</w:t>
            </w:r>
            <w:r w:rsidR="00D55B7A">
              <w:t>.</w:t>
            </w:r>
          </w:p>
          <w:p w14:paraId="44A4B0EB" w14:textId="77777777" w:rsidR="00857B8C" w:rsidRDefault="00857B8C" w:rsidP="00467C97">
            <w:r>
              <w:t>Prior to starting each treatment course, the following clinical parameters should be evaluated</w:t>
            </w:r>
            <w:r w:rsidR="00467C97">
              <w:t xml:space="preserve"> </w:t>
            </w:r>
            <w:r>
              <w:t>and treatment should be delayed until these values are reached:</w:t>
            </w:r>
          </w:p>
          <w:p w14:paraId="7D241058" w14:textId="5BA5B639" w:rsidR="00857B8C" w:rsidRDefault="00D55B7A" w:rsidP="00311644">
            <w:pPr>
              <w:pStyle w:val="ListBullet"/>
            </w:pPr>
            <w:r>
              <w:t>pulse oximetry &gt;</w:t>
            </w:r>
            <w:r w:rsidR="004500F0">
              <w:t> </w:t>
            </w:r>
            <w:r w:rsidR="00857B8C">
              <w:t>94% on room air</w:t>
            </w:r>
            <w:r>
              <w:t>;</w:t>
            </w:r>
          </w:p>
          <w:p w14:paraId="6B93EC2A" w14:textId="5D41BA46" w:rsidR="00857B8C" w:rsidRDefault="00857B8C" w:rsidP="00311644">
            <w:pPr>
              <w:pStyle w:val="ListBullet"/>
            </w:pPr>
            <w:r>
              <w:t>adequate bone marrow functi</w:t>
            </w:r>
            <w:r w:rsidR="00D55B7A">
              <w:t xml:space="preserve">on: absolute neutrophil count </w:t>
            </w:r>
            <w:r w:rsidR="00F03EFF">
              <w:t xml:space="preserve">≥ </w:t>
            </w:r>
            <w:r>
              <w:t>500/</w:t>
            </w:r>
            <w:proofErr w:type="spellStart"/>
            <w:r>
              <w:t>μL</w:t>
            </w:r>
            <w:proofErr w:type="spellEnd"/>
            <w:r>
              <w:t>, platelet count</w:t>
            </w:r>
            <w:r w:rsidR="00467C97">
              <w:t xml:space="preserve"> </w:t>
            </w:r>
            <w:r w:rsidR="00F03EFF">
              <w:t>≥</w:t>
            </w:r>
            <w:r w:rsidR="004500F0">
              <w:t xml:space="preserve"> </w:t>
            </w:r>
            <w:r w:rsidR="00D55B7A">
              <w:t>20,000/</w:t>
            </w:r>
            <w:proofErr w:type="spellStart"/>
            <w:r w:rsidR="00D55B7A">
              <w:t>μL</w:t>
            </w:r>
            <w:proofErr w:type="spellEnd"/>
            <w:r w:rsidR="00D55B7A">
              <w:t>, haemoglobin</w:t>
            </w:r>
            <w:r w:rsidR="00F03EFF">
              <w:br/>
            </w:r>
            <w:r w:rsidR="00D55B7A">
              <w:t xml:space="preserve"> &gt;</w:t>
            </w:r>
            <w:r w:rsidR="00F03EFF">
              <w:t xml:space="preserve"> </w:t>
            </w:r>
            <w:r>
              <w:t>8.0</w:t>
            </w:r>
            <w:r w:rsidR="00E91AA9">
              <w:t> </w:t>
            </w:r>
            <w:r>
              <w:t>g/</w:t>
            </w:r>
            <w:proofErr w:type="spellStart"/>
            <w:r>
              <w:t>dL</w:t>
            </w:r>
            <w:proofErr w:type="spellEnd"/>
            <w:r w:rsidR="00D55B7A">
              <w:t>;</w:t>
            </w:r>
          </w:p>
          <w:p w14:paraId="24D7EC30" w14:textId="1669D5CA" w:rsidR="00857B8C" w:rsidRDefault="00857B8C" w:rsidP="00311644">
            <w:pPr>
              <w:pStyle w:val="ListBullet"/>
            </w:pPr>
            <w:r>
              <w:t>adequate liver function: alanine aminotransferase (ALT)/ aspartate aminotransferase</w:t>
            </w:r>
            <w:r w:rsidR="00467C97">
              <w:t xml:space="preserve"> </w:t>
            </w:r>
            <w:r w:rsidR="00D55B7A">
              <w:t>(AST) &lt;</w:t>
            </w:r>
            <w:r w:rsidR="004500F0">
              <w:t> </w:t>
            </w:r>
            <w:r>
              <w:t>5 t</w:t>
            </w:r>
            <w:r w:rsidR="00D55B7A">
              <w:t>imes upper limit of normal;</w:t>
            </w:r>
          </w:p>
          <w:p w14:paraId="784DD851" w14:textId="77777777" w:rsidR="00272176" w:rsidRDefault="00857B8C" w:rsidP="00311644">
            <w:pPr>
              <w:pStyle w:val="ListBullet"/>
            </w:pPr>
            <w:r>
              <w:t>adequate renal function: creatinine clearance o</w:t>
            </w:r>
            <w:r w:rsidR="00D55B7A">
              <w:t>r glomerular filtration rate (G</w:t>
            </w:r>
            <w:r>
              <w:t>F</w:t>
            </w:r>
            <w:r w:rsidR="00D55B7A">
              <w:t>R</w:t>
            </w:r>
            <w:r>
              <w:t>)</w:t>
            </w:r>
            <w:r w:rsidR="00467C97">
              <w:t xml:space="preserve"> </w:t>
            </w:r>
            <w:r w:rsidR="004322BD">
              <w:t>&gt;</w:t>
            </w:r>
            <w:r w:rsidR="004C066B">
              <w:t xml:space="preserve"> </w:t>
            </w:r>
            <w:r>
              <w:t>60 mL/min/1.73 m</w:t>
            </w:r>
            <w:r w:rsidRPr="00467C97">
              <w:rPr>
                <w:vertAlign w:val="superscript"/>
              </w:rPr>
              <w:t>2</w:t>
            </w:r>
            <w:r w:rsidR="002F46DC">
              <w:t>.</w:t>
            </w:r>
          </w:p>
          <w:p w14:paraId="0A8CBAB1" w14:textId="2903B80F" w:rsidR="002F46DC" w:rsidRPr="00487162" w:rsidRDefault="002F46DC" w:rsidP="002F46DC">
            <w:r>
              <w:t>For further information on dosage, refer to the Product Information.</w:t>
            </w:r>
          </w:p>
        </w:tc>
      </w:tr>
    </w:tbl>
    <w:p w14:paraId="403FF0FD" w14:textId="77777777" w:rsidR="008E7846" w:rsidRDefault="008E7846" w:rsidP="008E7846">
      <w:pPr>
        <w:pStyle w:val="Heading3"/>
      </w:pPr>
      <w:bookmarkStart w:id="13" w:name="_Toc247691503"/>
      <w:bookmarkStart w:id="14" w:name="_Toc314842484"/>
      <w:bookmarkStart w:id="15" w:name="_Toc44507092"/>
      <w:r>
        <w:lastRenderedPageBreak/>
        <w:t>Product background</w:t>
      </w:r>
      <w:bookmarkEnd w:id="13"/>
      <w:bookmarkEnd w:id="14"/>
      <w:bookmarkEnd w:id="15"/>
    </w:p>
    <w:p w14:paraId="700CF5EB" w14:textId="7F3EC194" w:rsidR="008E7846" w:rsidRDefault="005904BC" w:rsidP="005904BC">
      <w:r>
        <w:t>T</w:t>
      </w:r>
      <w:r w:rsidR="00940A89" w:rsidRPr="00940A89">
        <w:t>his AusPAR d</w:t>
      </w:r>
      <w:r>
        <w:t xml:space="preserve">escribes the application by Emerge Health Pty Ltd (the </w:t>
      </w:r>
      <w:r w:rsidR="00940A89" w:rsidRPr="00940A89">
        <w:t>sponsor</w:t>
      </w:r>
      <w:r>
        <w:t>)</w:t>
      </w:r>
      <w:r w:rsidR="00940A89" w:rsidRPr="00940A89">
        <w:t xml:space="preserve"> to register </w:t>
      </w:r>
      <w:proofErr w:type="spellStart"/>
      <w:r>
        <w:t>Q</w:t>
      </w:r>
      <w:r w:rsidR="00B66988">
        <w:t>arziba</w:t>
      </w:r>
      <w:proofErr w:type="spellEnd"/>
      <w:r>
        <w:t xml:space="preserve"> </w:t>
      </w:r>
      <w:r w:rsidR="00B66988">
        <w:t>(</w:t>
      </w:r>
      <w:proofErr w:type="spellStart"/>
      <w:r>
        <w:t>dinutuximab</w:t>
      </w:r>
      <w:proofErr w:type="spellEnd"/>
      <w:r>
        <w:t xml:space="preserve"> beta</w:t>
      </w:r>
      <w:r w:rsidR="00B66988">
        <w:t>)</w:t>
      </w:r>
      <w:r>
        <w:t xml:space="preserve"> 4.5 mg/mL concentrate for solution for infusion</w:t>
      </w:r>
      <w:r w:rsidR="00940A89" w:rsidRPr="00940A89">
        <w:t xml:space="preserve"> f</w:t>
      </w:r>
      <w:r>
        <w:t xml:space="preserve">or the following </w:t>
      </w:r>
      <w:r w:rsidR="004500F0">
        <w:t xml:space="preserve">proposed </w:t>
      </w:r>
      <w:r>
        <w:t>indication:</w:t>
      </w:r>
    </w:p>
    <w:p w14:paraId="3C433AAC" w14:textId="77777777" w:rsidR="005904BC" w:rsidRPr="00642280" w:rsidRDefault="005904BC" w:rsidP="00642280">
      <w:pPr>
        <w:ind w:left="720"/>
        <w:rPr>
          <w:i/>
        </w:rPr>
      </w:pPr>
      <w:proofErr w:type="spellStart"/>
      <w:r w:rsidRPr="00642280">
        <w:rPr>
          <w:i/>
        </w:rPr>
        <w:t>Qarziba</w:t>
      </w:r>
      <w:proofErr w:type="spellEnd"/>
      <w:r w:rsidRPr="00642280">
        <w:rPr>
          <w:i/>
        </w:rPr>
        <w:t xml:space="preserve"> is indicated for the treatment of high-risk </w:t>
      </w:r>
      <w:proofErr w:type="spellStart"/>
      <w:r w:rsidRPr="00642280">
        <w:rPr>
          <w:i/>
        </w:rPr>
        <w:t>neuroblastoma</w:t>
      </w:r>
      <w:proofErr w:type="spellEnd"/>
      <w:r w:rsidRPr="00642280">
        <w:rPr>
          <w:i/>
        </w:rPr>
        <w:t xml:space="preserve"> in patients aged 12 months and</w:t>
      </w:r>
      <w:r w:rsidR="00F25ACA" w:rsidRPr="00642280">
        <w:rPr>
          <w:i/>
        </w:rPr>
        <w:t xml:space="preserve"> </w:t>
      </w:r>
      <w:r w:rsidRPr="00642280">
        <w:rPr>
          <w:i/>
        </w:rPr>
        <w:t>above, who have previously received induction chemotherapy and achieved at least a partial</w:t>
      </w:r>
      <w:r w:rsidR="00F25ACA" w:rsidRPr="00642280">
        <w:rPr>
          <w:i/>
        </w:rPr>
        <w:t xml:space="preserve"> </w:t>
      </w:r>
      <w:r w:rsidRPr="00642280">
        <w:rPr>
          <w:i/>
        </w:rPr>
        <w:t xml:space="preserve">response, followed by </w:t>
      </w:r>
      <w:proofErr w:type="spellStart"/>
      <w:r w:rsidRPr="00642280">
        <w:rPr>
          <w:i/>
        </w:rPr>
        <w:t>myeloablative</w:t>
      </w:r>
      <w:proofErr w:type="spellEnd"/>
      <w:r w:rsidRPr="00642280">
        <w:rPr>
          <w:i/>
        </w:rPr>
        <w:t xml:space="preserve"> therapy and stem cell transplantation, as well as patients with</w:t>
      </w:r>
      <w:r w:rsidR="00F25ACA" w:rsidRPr="00642280">
        <w:rPr>
          <w:i/>
        </w:rPr>
        <w:t xml:space="preserve"> </w:t>
      </w:r>
      <w:r w:rsidRPr="00642280">
        <w:rPr>
          <w:i/>
        </w:rPr>
        <w:t xml:space="preserve">history of relapsed or refractory </w:t>
      </w:r>
      <w:proofErr w:type="spellStart"/>
      <w:r w:rsidRPr="00642280">
        <w:rPr>
          <w:i/>
        </w:rPr>
        <w:t>neuroblastoma</w:t>
      </w:r>
      <w:proofErr w:type="spellEnd"/>
      <w:r w:rsidRPr="00642280">
        <w:rPr>
          <w:i/>
        </w:rPr>
        <w:t>, with or without residual disease. Prior to the</w:t>
      </w:r>
      <w:r w:rsidR="003D61D6" w:rsidRPr="00642280">
        <w:rPr>
          <w:i/>
        </w:rPr>
        <w:t xml:space="preserve"> </w:t>
      </w:r>
      <w:r w:rsidRPr="00642280">
        <w:rPr>
          <w:i/>
        </w:rPr>
        <w:t xml:space="preserve">treatment of relapsed </w:t>
      </w:r>
      <w:proofErr w:type="spellStart"/>
      <w:r w:rsidRPr="00642280">
        <w:rPr>
          <w:i/>
        </w:rPr>
        <w:t>neuroblastoma</w:t>
      </w:r>
      <w:proofErr w:type="spellEnd"/>
      <w:r w:rsidRPr="00642280">
        <w:rPr>
          <w:i/>
        </w:rPr>
        <w:t>, any actively progressing disease should be stabilised by other</w:t>
      </w:r>
      <w:r w:rsidR="003D61D6" w:rsidRPr="00642280">
        <w:rPr>
          <w:i/>
        </w:rPr>
        <w:t xml:space="preserve"> </w:t>
      </w:r>
      <w:r w:rsidRPr="00642280">
        <w:rPr>
          <w:i/>
        </w:rPr>
        <w:t>suitable measures.</w:t>
      </w:r>
    </w:p>
    <w:p w14:paraId="7A2EAD86" w14:textId="405A01B0" w:rsidR="00ED2922" w:rsidRPr="00642280" w:rsidRDefault="005904BC" w:rsidP="00642280">
      <w:pPr>
        <w:ind w:left="720"/>
        <w:rPr>
          <w:rFonts w:cs="Cambria"/>
          <w:i/>
        </w:rPr>
      </w:pPr>
      <w:r w:rsidRPr="00642280">
        <w:rPr>
          <w:i/>
        </w:rPr>
        <w:t>In patients with a history of relapsed/refractory disease and in p</w:t>
      </w:r>
      <w:r w:rsidR="006023AC" w:rsidRPr="00642280">
        <w:rPr>
          <w:i/>
        </w:rPr>
        <w:t xml:space="preserve">atients who have not achieved a </w:t>
      </w:r>
      <w:r w:rsidRPr="00642280">
        <w:rPr>
          <w:i/>
        </w:rPr>
        <w:t xml:space="preserve">complete response after </w:t>
      </w:r>
      <w:r w:rsidR="007A7CEA">
        <w:rPr>
          <w:i/>
        </w:rPr>
        <w:t>first-line</w:t>
      </w:r>
      <w:r w:rsidRPr="00642280">
        <w:rPr>
          <w:i/>
        </w:rPr>
        <w:t xml:space="preserve"> therapy, </w:t>
      </w:r>
      <w:proofErr w:type="spellStart"/>
      <w:r w:rsidRPr="00642280">
        <w:rPr>
          <w:i/>
        </w:rPr>
        <w:t>Q</w:t>
      </w:r>
      <w:r w:rsidR="00416A76" w:rsidRPr="00642280">
        <w:rPr>
          <w:i/>
        </w:rPr>
        <w:t>arziba</w:t>
      </w:r>
      <w:proofErr w:type="spellEnd"/>
      <w:r w:rsidRPr="00642280">
        <w:rPr>
          <w:i/>
        </w:rPr>
        <w:t xml:space="preserve"> should be combined with interleukin 2 (IL-2).</w:t>
      </w:r>
    </w:p>
    <w:p w14:paraId="6BC3F419" w14:textId="071A0BDD" w:rsidR="00212904" w:rsidRDefault="00212904" w:rsidP="00212904">
      <w:proofErr w:type="spellStart"/>
      <w:r>
        <w:t>Neuroblastomas</w:t>
      </w:r>
      <w:proofErr w:type="spellEnd"/>
      <w:r>
        <w:t xml:space="preserve"> are embryonal tumours of the aut</w:t>
      </w:r>
      <w:r w:rsidR="00A20DA4">
        <w:t xml:space="preserve">onomic nervous system. </w:t>
      </w:r>
      <w:r>
        <w:t xml:space="preserve">They generally occur in very young children; the median </w:t>
      </w:r>
      <w:r w:rsidR="00927D87">
        <w:t>age at diagnosis is 17 months</w:t>
      </w:r>
      <w:r w:rsidR="003F117A">
        <w:t>.</w:t>
      </w:r>
      <w:bookmarkStart w:id="16" w:name="_Ref40174787"/>
      <w:r w:rsidR="00B67F83">
        <w:rPr>
          <w:rStyle w:val="FootnoteReference"/>
        </w:rPr>
        <w:footnoteReference w:id="1"/>
      </w:r>
      <w:bookmarkEnd w:id="16"/>
      <w:r w:rsidR="006C7B4E">
        <w:t xml:space="preserve"> </w:t>
      </w:r>
      <w:r>
        <w:t xml:space="preserve">They are the most common </w:t>
      </w:r>
      <w:proofErr w:type="spellStart"/>
      <w:r>
        <w:t>extracran</w:t>
      </w:r>
      <w:r w:rsidR="00A20DA4">
        <w:t>ial</w:t>
      </w:r>
      <w:proofErr w:type="spellEnd"/>
      <w:r w:rsidR="00A20DA4">
        <w:t xml:space="preserve"> solid tumour of childhood.</w:t>
      </w:r>
      <w:r w:rsidR="00A20DA4">
        <w:rPr>
          <w:rStyle w:val="FootnoteReference"/>
        </w:rPr>
        <w:footnoteReference w:id="2"/>
      </w:r>
      <w:r w:rsidR="00A20DA4">
        <w:t xml:space="preserve"> </w:t>
      </w:r>
      <w:r>
        <w:t>The incidence is 10.2 cases per million children under 15 years of age, accounting for approximately 7% of paediatric mali</w:t>
      </w:r>
      <w:r w:rsidR="00A20DA4">
        <w:t>gnancies in this age category.</w:t>
      </w:r>
      <w:r w:rsidR="00D76EBC">
        <w:fldChar w:fldCharType="begin"/>
      </w:r>
      <w:r w:rsidR="00D76EBC">
        <w:instrText xml:space="preserve"> NOTEREF _Ref40174787 \f \h </w:instrText>
      </w:r>
      <w:r w:rsidR="00D76EBC">
        <w:fldChar w:fldCharType="separate"/>
      </w:r>
      <w:r w:rsidR="004942AB" w:rsidRPr="004942AB">
        <w:rPr>
          <w:rStyle w:val="FootnoteReference"/>
        </w:rPr>
        <w:t>1</w:t>
      </w:r>
      <w:r w:rsidR="00D76EBC">
        <w:fldChar w:fldCharType="end"/>
      </w:r>
      <w:r w:rsidR="00A20DA4">
        <w:t xml:space="preserve"> </w:t>
      </w:r>
      <w:proofErr w:type="spellStart"/>
      <w:r>
        <w:t>Neuroblastomas</w:t>
      </w:r>
      <w:proofErr w:type="spellEnd"/>
      <w:r>
        <w:t xml:space="preserve"> arise in tissues of the sympathetic nervous system, typically in the adrenal medulla or </w:t>
      </w:r>
      <w:proofErr w:type="spellStart"/>
      <w:r>
        <w:t>paraspinal</w:t>
      </w:r>
      <w:proofErr w:type="spellEnd"/>
      <w:r>
        <w:t xml:space="preserve"> ganglia, and can present as mass lesions in the abdomen, chest, neck, or pelvis.</w:t>
      </w:r>
      <w:r w:rsidR="0074775C">
        <w:rPr>
          <w:rStyle w:val="FootnoteReference"/>
        </w:rPr>
        <w:footnoteReference w:id="3"/>
      </w:r>
    </w:p>
    <w:p w14:paraId="57785E30" w14:textId="12764EBE" w:rsidR="00212904" w:rsidRDefault="00F23DE3" w:rsidP="00F23DE3">
      <w:r>
        <w:lastRenderedPageBreak/>
        <w:t xml:space="preserve">Various risk classification systems have been developed to predict outcomes for </w:t>
      </w:r>
      <w:proofErr w:type="spellStart"/>
      <w:r>
        <w:t>neuroblastoma</w:t>
      </w:r>
      <w:proofErr w:type="spellEnd"/>
      <w:r>
        <w:t>.</w:t>
      </w:r>
      <w:r w:rsidR="009226F9">
        <w:rPr>
          <w:rStyle w:val="FootnoteReference"/>
        </w:rPr>
        <w:footnoteReference w:id="4"/>
      </w:r>
      <w:r>
        <w:t xml:space="preserve"> </w:t>
      </w:r>
      <w:r w:rsidR="00212904">
        <w:t xml:space="preserve">The International </w:t>
      </w:r>
      <w:proofErr w:type="spellStart"/>
      <w:r w:rsidR="00212904">
        <w:t>Neuroblastoma</w:t>
      </w:r>
      <w:proofErr w:type="spellEnd"/>
      <w:r w:rsidR="00212904">
        <w:t xml:space="preserve"> Risk Group (INRG) classification system</w:t>
      </w:r>
      <w:r>
        <w:t>;</w:t>
      </w:r>
      <w:r w:rsidR="0092396D">
        <w:rPr>
          <w:rStyle w:val="FootnoteReference"/>
        </w:rPr>
        <w:footnoteReference w:id="5"/>
      </w:r>
      <w:r w:rsidR="00212904">
        <w:t xml:space="preserve"> is used to classify tumours into four broad categories (very low risk, low risk, intermediate risk, and high risk) based on the following prognostic factors: age at diagnosis (2 cut-offs, 12 and 18 </w:t>
      </w:r>
      <w:r w:rsidR="004500F0">
        <w:t> </w:t>
      </w:r>
      <w:r w:rsidR="00212904">
        <w:t>months), INRG tumour stage (L1, L2, M, MS),</w:t>
      </w:r>
      <w:r w:rsidR="00CF1474">
        <w:rPr>
          <w:rStyle w:val="FootnoteReference"/>
        </w:rPr>
        <w:footnoteReference w:id="6"/>
      </w:r>
      <w:r w:rsidR="00212904">
        <w:t xml:space="preserve"> histologic category, grade of tumour differentiation, DNA ploidy (</w:t>
      </w:r>
      <w:proofErr w:type="spellStart"/>
      <w:r w:rsidR="00212904">
        <w:t>hyperploidy</w:t>
      </w:r>
      <w:proofErr w:type="spellEnd"/>
      <w:r w:rsidR="00212904">
        <w:t>/</w:t>
      </w:r>
      <w:proofErr w:type="spellStart"/>
      <w:r w:rsidR="00212904">
        <w:t>diploidy</w:t>
      </w:r>
      <w:proofErr w:type="spellEnd"/>
      <w:r w:rsidR="00212904">
        <w:t>), MYCN oncogene status (</w:t>
      </w:r>
      <w:r w:rsidR="000E7620">
        <w:rPr>
          <w:rFonts w:eastAsiaTheme="minorHAnsi" w:cs="Verdana"/>
        </w:rPr>
        <w:t>n-</w:t>
      </w:r>
      <w:proofErr w:type="spellStart"/>
      <w:r w:rsidR="000E7620">
        <w:rPr>
          <w:rFonts w:eastAsiaTheme="minorHAnsi" w:cs="Verdana"/>
        </w:rPr>
        <w:t>myc</w:t>
      </w:r>
      <w:proofErr w:type="spellEnd"/>
      <w:r w:rsidR="000E7620">
        <w:rPr>
          <w:rFonts w:eastAsiaTheme="minorHAnsi" w:cs="Verdana"/>
        </w:rPr>
        <w:t xml:space="preserve"> gene </w:t>
      </w:r>
      <w:r w:rsidR="000E7620">
        <w:t>amplified or not)</w:t>
      </w:r>
      <w:r w:rsidR="00212904">
        <w:t xml:space="preserve"> and aberrations at chromosome 11q (presence/absence). In general, younger age at diagnosis is associated with a more favourable prognosis (with the exception of neonates).</w:t>
      </w:r>
    </w:p>
    <w:p w14:paraId="3FC24210" w14:textId="7D36E14F" w:rsidR="00212904" w:rsidRDefault="00212904" w:rsidP="00212904">
      <w:r>
        <w:t>Low risk disease may be managed with surgery, with or without chemotherapy,</w:t>
      </w:r>
      <w:r w:rsidR="00927D87">
        <w:t xml:space="preserve"> or observation in some cases. </w:t>
      </w:r>
      <w:r>
        <w:t xml:space="preserve">Intermediate risk disease is generally managed with chemotherapy plus surgery where feasible. </w:t>
      </w:r>
      <w:r w:rsidR="004A4F5D">
        <w:t>High-risk</w:t>
      </w:r>
      <w:r>
        <w:t xml:space="preserve"> disease is typically managed with an aggressive multimodality approach</w:t>
      </w:r>
      <w:r w:rsidR="00333839">
        <w:t>, which comprise</w:t>
      </w:r>
      <w:r w:rsidR="004A2C87">
        <w:t>s</w:t>
      </w:r>
      <w:r w:rsidR="00333839">
        <w:t xml:space="preserve"> four main components:</w:t>
      </w:r>
      <w:r w:rsidR="00A77A66">
        <w:rPr>
          <w:rStyle w:val="FootnoteReference"/>
        </w:rPr>
        <w:footnoteReference w:id="7"/>
      </w:r>
    </w:p>
    <w:p w14:paraId="4B9FACE2" w14:textId="770EEC13" w:rsidR="004B7669" w:rsidRPr="00814BC2" w:rsidRDefault="004B7669" w:rsidP="00E37010">
      <w:pPr>
        <w:pStyle w:val="ListBullet"/>
        <w:numPr>
          <w:ilvl w:val="0"/>
          <w:numId w:val="3"/>
        </w:numPr>
      </w:pPr>
      <w:r w:rsidRPr="00E37010">
        <w:rPr>
          <w:i/>
        </w:rPr>
        <w:t>Induction</w:t>
      </w:r>
      <w:r w:rsidR="00F23DE3">
        <w:t>.</w:t>
      </w:r>
      <w:r w:rsidR="002F46DC">
        <w:t xml:space="preserve"> </w:t>
      </w:r>
      <w:r w:rsidR="00C51BA5">
        <w:t>Induction regimen involve</w:t>
      </w:r>
      <w:r w:rsidR="002F46DC">
        <w:t>s</w:t>
      </w:r>
      <w:r w:rsidR="00C51BA5">
        <w:t xml:space="preserve"> i</w:t>
      </w:r>
      <w:r w:rsidRPr="00814BC2">
        <w:t>ntensive chemotherapy wi</w:t>
      </w:r>
      <w:r w:rsidR="002F46DC">
        <w:t>th a combination of agents (for e</w:t>
      </w:r>
      <w:r w:rsidR="00045AAC">
        <w:t>xample,</w:t>
      </w:r>
      <w:r w:rsidR="00C51BA5">
        <w:t xml:space="preserve"> </w:t>
      </w:r>
      <w:r w:rsidRPr="00814BC2">
        <w:t>platinum agents, cyclophosphamide, doxorubicin, etoposide) to shrink primary and metastatic tumo</w:t>
      </w:r>
      <w:r w:rsidR="00F23DE3">
        <w:t>u</w:t>
      </w:r>
      <w:r w:rsidRPr="00814BC2">
        <w:t xml:space="preserve">rs; </w:t>
      </w:r>
      <w:proofErr w:type="spellStart"/>
      <w:r w:rsidRPr="00814BC2">
        <w:t>teniposide</w:t>
      </w:r>
      <w:proofErr w:type="spellEnd"/>
      <w:r w:rsidRPr="00814BC2">
        <w:t xml:space="preserve"> may be used outside of the United States</w:t>
      </w:r>
      <w:r w:rsidR="002F46DC">
        <w:t xml:space="preserve"> (US)</w:t>
      </w:r>
      <w:r w:rsidRPr="00814BC2">
        <w:t>.</w:t>
      </w:r>
    </w:p>
    <w:p w14:paraId="7B6EC896" w14:textId="7DFD723D" w:rsidR="004B7669" w:rsidRPr="00814BC2" w:rsidRDefault="004B7669" w:rsidP="00E37010">
      <w:pPr>
        <w:pStyle w:val="ListBullet"/>
        <w:numPr>
          <w:ilvl w:val="0"/>
          <w:numId w:val="3"/>
        </w:numPr>
      </w:pPr>
      <w:r w:rsidRPr="00E37010">
        <w:rPr>
          <w:i/>
        </w:rPr>
        <w:t>Local control</w:t>
      </w:r>
      <w:r w:rsidR="00F23DE3">
        <w:t xml:space="preserve">. </w:t>
      </w:r>
      <w:r w:rsidR="00C51BA5">
        <w:t>Local control treatment include</w:t>
      </w:r>
      <w:r w:rsidR="002F46DC">
        <w:t>s</w:t>
      </w:r>
      <w:r w:rsidR="00C51BA5">
        <w:t xml:space="preserve"> s</w:t>
      </w:r>
      <w:r w:rsidRPr="00814BC2">
        <w:t xml:space="preserve">urgical resection and </w:t>
      </w:r>
      <w:r w:rsidR="00C51BA5">
        <w:t xml:space="preserve">radiation therapy. </w:t>
      </w:r>
      <w:r w:rsidRPr="00814BC2">
        <w:t>Resection may be performed after several courses of induction chemotherapy, when the tumo</w:t>
      </w:r>
      <w:r w:rsidR="00F23DE3">
        <w:t>u</w:t>
      </w:r>
      <w:r w:rsidRPr="00814BC2">
        <w:t>r is smaller and less invasive.</w:t>
      </w:r>
    </w:p>
    <w:p w14:paraId="00828B0B" w14:textId="15BCB639" w:rsidR="004B7669" w:rsidRPr="00814BC2" w:rsidRDefault="004B7669" w:rsidP="00E37010">
      <w:pPr>
        <w:pStyle w:val="ListBullet"/>
        <w:numPr>
          <w:ilvl w:val="0"/>
          <w:numId w:val="3"/>
        </w:numPr>
      </w:pPr>
      <w:r w:rsidRPr="00E37010">
        <w:rPr>
          <w:i/>
        </w:rPr>
        <w:t>Consolidation</w:t>
      </w:r>
      <w:r w:rsidR="00F23DE3">
        <w:t xml:space="preserve">. </w:t>
      </w:r>
      <w:r w:rsidR="00C51BA5">
        <w:t>Consolidation therapy involve</w:t>
      </w:r>
      <w:r w:rsidR="002F46DC">
        <w:t>s</w:t>
      </w:r>
      <w:r w:rsidR="00C51BA5">
        <w:t xml:space="preserve"> h</w:t>
      </w:r>
      <w:r w:rsidRPr="00814BC2">
        <w:t>igher-dose chemotherapy followed by autologous hematopoietic stem cell rescue.</w:t>
      </w:r>
    </w:p>
    <w:p w14:paraId="2873F0B1" w14:textId="68BEA525" w:rsidR="007B07BB" w:rsidRDefault="00C51BA5" w:rsidP="00E37010">
      <w:pPr>
        <w:pStyle w:val="ListBullet"/>
        <w:numPr>
          <w:ilvl w:val="0"/>
          <w:numId w:val="3"/>
        </w:numPr>
      </w:pPr>
      <w:r w:rsidRPr="00E37010">
        <w:rPr>
          <w:i/>
        </w:rPr>
        <w:t>Maintenance</w:t>
      </w:r>
      <w:r w:rsidR="00F23DE3">
        <w:t xml:space="preserve">. </w:t>
      </w:r>
      <w:r w:rsidR="004B7669" w:rsidRPr="00814BC2">
        <w:t>Maintenance phase of therapy</w:t>
      </w:r>
      <w:r w:rsidR="0021666B" w:rsidRPr="00814BC2">
        <w:t xml:space="preserve"> a</w:t>
      </w:r>
      <w:r w:rsidR="004B7669" w:rsidRPr="00814BC2">
        <w:t>ims for eradication of minimal residual disease.</w:t>
      </w:r>
      <w:r w:rsidR="0021666B" w:rsidRPr="00814BC2">
        <w:t xml:space="preserve"> </w:t>
      </w:r>
      <w:r w:rsidR="004B7669" w:rsidRPr="00814BC2">
        <w:t>Biologic</w:t>
      </w:r>
      <w:r w:rsidR="0021666B" w:rsidRPr="00814BC2">
        <w:t>al</w:t>
      </w:r>
      <w:r w:rsidR="004B7669" w:rsidRPr="00814BC2">
        <w:t xml:space="preserve"> differentiation therapy with</w:t>
      </w:r>
      <w:r w:rsidR="00B15C22">
        <w:t xml:space="preserve"> 13-</w:t>
      </w:r>
      <w:r w:rsidR="004B7669" w:rsidRPr="00814BC2">
        <w:t>cis-retinoic acid</w:t>
      </w:r>
      <w:r w:rsidR="00FA6EB4">
        <w:t xml:space="preserve"> (</w:t>
      </w:r>
      <w:r w:rsidR="00FA6EB4" w:rsidRPr="00563A3D">
        <w:t>13-cis-RA</w:t>
      </w:r>
      <w:r w:rsidR="00FA6EB4">
        <w:t>)</w:t>
      </w:r>
      <w:r w:rsidR="004B7669" w:rsidRPr="00814BC2">
        <w:t xml:space="preserve"> has been the backbone </w:t>
      </w:r>
      <w:r w:rsidR="0021666B" w:rsidRPr="00814BC2">
        <w:t xml:space="preserve">of maintenance therapy regimen. </w:t>
      </w:r>
      <w:r w:rsidR="004B7669" w:rsidRPr="00814BC2">
        <w:t>Addit</w:t>
      </w:r>
      <w:r w:rsidR="002F46DC">
        <w:t>ion of anti</w:t>
      </w:r>
      <w:r w:rsidR="002F46DC">
        <w:noBreakHyphen/>
      </w:r>
      <w:proofErr w:type="spellStart"/>
      <w:r w:rsidR="00834E8B">
        <w:t>disialoganglioside</w:t>
      </w:r>
      <w:proofErr w:type="spellEnd"/>
      <w:r w:rsidR="00834E8B">
        <w:t xml:space="preserve"> 2 (</w:t>
      </w:r>
      <w:r w:rsidR="0021666B" w:rsidRPr="00814BC2">
        <w:t>GD2</w:t>
      </w:r>
      <w:r w:rsidR="00834E8B">
        <w:t>)</w:t>
      </w:r>
      <w:r w:rsidR="0021666B" w:rsidRPr="00814BC2">
        <w:t xml:space="preserve"> immun</w:t>
      </w:r>
      <w:r w:rsidR="007B07BB">
        <w:t xml:space="preserve">otherapy to </w:t>
      </w:r>
      <w:r w:rsidR="007D3DA5">
        <w:t>13-</w:t>
      </w:r>
      <w:r w:rsidR="007B07BB">
        <w:t>cis-</w:t>
      </w:r>
      <w:r w:rsidR="007D3DA5">
        <w:t>RA</w:t>
      </w:r>
      <w:r w:rsidR="007B07BB">
        <w:t xml:space="preserve"> in combination with</w:t>
      </w:r>
      <w:r w:rsidR="0021666B" w:rsidRPr="00814BC2">
        <w:t xml:space="preserve"> granulocyte macrophage colony stimulating factor (GM-CSF) and </w:t>
      </w:r>
      <w:r w:rsidR="00834E8B">
        <w:t>interleukin 2 (</w:t>
      </w:r>
      <w:r w:rsidR="0021666B" w:rsidRPr="00814BC2">
        <w:t>IL-2</w:t>
      </w:r>
      <w:r w:rsidR="00834E8B">
        <w:t>)</w:t>
      </w:r>
      <w:r w:rsidR="0021666B" w:rsidRPr="00814BC2">
        <w:t xml:space="preserve"> </w:t>
      </w:r>
      <w:r w:rsidR="004B7669" w:rsidRPr="00814BC2">
        <w:t>improved survival rates compared to</w:t>
      </w:r>
      <w:r w:rsidR="0021666B" w:rsidRPr="00814BC2">
        <w:t xml:space="preserve"> therapy with </w:t>
      </w:r>
      <w:r w:rsidR="00FA6EB4" w:rsidRPr="00563A3D">
        <w:t>13-cis-RA</w:t>
      </w:r>
      <w:r w:rsidR="00FA6EB4">
        <w:t>, GM-CSF and IL-2</w:t>
      </w:r>
      <w:r w:rsidR="0021666B" w:rsidRPr="00814BC2">
        <w:t>.</w:t>
      </w:r>
    </w:p>
    <w:p w14:paraId="4C446A4E" w14:textId="074B4057" w:rsidR="001E4C4A" w:rsidRDefault="009C1539" w:rsidP="00212904">
      <w:proofErr w:type="spellStart"/>
      <w:r>
        <w:t>Qarziba</w:t>
      </w:r>
      <w:proofErr w:type="spellEnd"/>
      <w:r>
        <w:t xml:space="preserve"> </w:t>
      </w:r>
      <w:r w:rsidR="00212904">
        <w:t>(</w:t>
      </w:r>
      <w:proofErr w:type="spellStart"/>
      <w:r w:rsidR="00212904">
        <w:t>dinutuximab</w:t>
      </w:r>
      <w:proofErr w:type="spellEnd"/>
      <w:r w:rsidR="00212904">
        <w:t xml:space="preserve"> beta) is a mouse-human chimeric monoclonal</w:t>
      </w:r>
      <w:r w:rsidR="0005392F">
        <w:t xml:space="preserve"> immunoglobulin G1</w:t>
      </w:r>
      <w:r w:rsidR="00212904">
        <w:t xml:space="preserve"> </w:t>
      </w:r>
      <w:r w:rsidR="0005392F">
        <w:t>(</w:t>
      </w:r>
      <w:r w:rsidR="00212904">
        <w:t>IgG1</w:t>
      </w:r>
      <w:r w:rsidR="0005392F">
        <w:t>)</w:t>
      </w:r>
      <w:r w:rsidR="00212904">
        <w:t xml:space="preserve"> antibody that is specifically directed against the carbohydrate moiety of</w:t>
      </w:r>
      <w:r w:rsidR="00A03959">
        <w:t xml:space="preserve"> </w:t>
      </w:r>
      <w:r w:rsidR="00212904">
        <w:t xml:space="preserve">GD2, which is overexpressed on </w:t>
      </w:r>
      <w:proofErr w:type="spellStart"/>
      <w:r w:rsidR="00212904">
        <w:t>neuroblastoma</w:t>
      </w:r>
      <w:proofErr w:type="spellEnd"/>
      <w:r w:rsidR="00212904">
        <w:t xml:space="preserve"> cells. GD2 is also expressed on the surface of normal tissues, including peripheral nerve fibres.</w:t>
      </w:r>
      <w:r>
        <w:t xml:space="preserve"> </w:t>
      </w:r>
      <w:proofErr w:type="spellStart"/>
      <w:r>
        <w:t>Dinutuximab</w:t>
      </w:r>
      <w:proofErr w:type="spellEnd"/>
      <w:r>
        <w:t xml:space="preserve"> beta binds to cell surface GD2 and induces cell lysis of GD2-expressing cells via complement-dependent cytotoxicity (CDC) and antibody-dependent cell-mediated cytotoxicity (ADCC).</w:t>
      </w:r>
      <w:r w:rsidR="004A2C87">
        <w:t xml:space="preserve"> </w:t>
      </w:r>
      <w:r w:rsidR="00212904">
        <w:t xml:space="preserve">The development of </w:t>
      </w:r>
      <w:proofErr w:type="spellStart"/>
      <w:r w:rsidR="00212904">
        <w:t>dinutuximab</w:t>
      </w:r>
      <w:proofErr w:type="spellEnd"/>
      <w:r w:rsidR="00212904">
        <w:t xml:space="preserve"> beta was coordinated by the International Society of Paediatric Oncology Europ</w:t>
      </w:r>
      <w:r w:rsidR="006C53A3">
        <w:t xml:space="preserve">ean </w:t>
      </w:r>
      <w:proofErr w:type="spellStart"/>
      <w:r w:rsidR="006C53A3">
        <w:t>Neuroblastoma</w:t>
      </w:r>
      <w:proofErr w:type="spellEnd"/>
      <w:r w:rsidR="004A2C87">
        <w:t xml:space="preserve"> (SIOPEN</w:t>
      </w:r>
      <w:r w:rsidR="00045AAC">
        <w:t>)</w:t>
      </w:r>
      <w:r w:rsidR="006C53A3">
        <w:t xml:space="preserve"> group</w:t>
      </w:r>
      <w:r w:rsidR="001E4C4A">
        <w:t>.</w:t>
      </w:r>
      <w:r w:rsidR="00CE1E47">
        <w:rPr>
          <w:rStyle w:val="FootnoteReference"/>
        </w:rPr>
        <w:footnoteReference w:id="8"/>
      </w:r>
    </w:p>
    <w:p w14:paraId="77AF1191" w14:textId="77777777" w:rsidR="008E7846" w:rsidRPr="003F31A2" w:rsidRDefault="00386150" w:rsidP="008E7846">
      <w:pPr>
        <w:pStyle w:val="Heading3"/>
      </w:pPr>
      <w:bookmarkStart w:id="17" w:name="_Toc314842485"/>
      <w:bookmarkStart w:id="18" w:name="_Toc247691504"/>
      <w:bookmarkStart w:id="19" w:name="_Toc44507093"/>
      <w:r>
        <w:lastRenderedPageBreak/>
        <w:t>Regulatory s</w:t>
      </w:r>
      <w:r w:rsidR="008E7846">
        <w:t>tatus</w:t>
      </w:r>
      <w:bookmarkEnd w:id="17"/>
      <w:bookmarkEnd w:id="18"/>
      <w:bookmarkEnd w:id="19"/>
    </w:p>
    <w:p w14:paraId="1241E2B6" w14:textId="77777777" w:rsidR="00B66988" w:rsidRDefault="00B66988" w:rsidP="00940A89">
      <w:bookmarkStart w:id="20" w:name="_Toc247691505"/>
      <w:bookmarkStart w:id="21" w:name="_Toc314842486"/>
      <w:proofErr w:type="spellStart"/>
      <w:r>
        <w:t>Qarziba</w:t>
      </w:r>
      <w:proofErr w:type="spellEnd"/>
      <w:r>
        <w:t xml:space="preserve"> (</w:t>
      </w:r>
      <w:proofErr w:type="spellStart"/>
      <w:r>
        <w:t>dinutuximab</w:t>
      </w:r>
      <w:proofErr w:type="spellEnd"/>
      <w:r>
        <w:t xml:space="preserve"> beta) is considered a new biological entity for Australian regulatory purposes.</w:t>
      </w:r>
    </w:p>
    <w:p w14:paraId="04A31D7D" w14:textId="6FF20838" w:rsidR="00940A89" w:rsidRDefault="00940A89" w:rsidP="00940A89">
      <w:r w:rsidRPr="00940A89">
        <w:t>At the time the TGA considered this application, a similar application had be</w:t>
      </w:r>
      <w:r w:rsidR="00F64FFF">
        <w:t>en approved</w:t>
      </w:r>
      <w:r w:rsidRPr="00940A89">
        <w:t xml:space="preserve"> </w:t>
      </w:r>
      <w:r w:rsidR="00F55CC1">
        <w:t xml:space="preserve">under centralised marketing authorisation application </w:t>
      </w:r>
      <w:r w:rsidR="00D709D4">
        <w:t>in</w:t>
      </w:r>
      <w:r w:rsidRPr="00940A89">
        <w:t xml:space="preserve"> </w:t>
      </w:r>
      <w:r w:rsidR="00F64FFF">
        <w:t>the European Union</w:t>
      </w:r>
      <w:r w:rsidR="00E86D46">
        <w:t xml:space="preserve"> (EU)</w:t>
      </w:r>
      <w:r w:rsidR="00F64FFF">
        <w:t xml:space="preserve"> (approved on 8 May 2017) </w:t>
      </w:r>
      <w:r w:rsidR="00BC0013">
        <w:t xml:space="preserve">under </w:t>
      </w:r>
      <w:r w:rsidR="000C7CFF" w:rsidRPr="00403393">
        <w:t>‘</w:t>
      </w:r>
      <w:r w:rsidR="00BC0013" w:rsidRPr="00403393">
        <w:t>exceptional circumstances</w:t>
      </w:r>
      <w:r w:rsidR="000C7CFF" w:rsidRPr="00403393">
        <w:t>’;</w:t>
      </w:r>
      <w:bookmarkStart w:id="22" w:name="_Ref40028592"/>
      <w:r w:rsidR="000C7CFF" w:rsidRPr="00403393">
        <w:rPr>
          <w:rStyle w:val="FootnoteReference"/>
        </w:rPr>
        <w:footnoteReference w:id="9"/>
      </w:r>
      <w:bookmarkEnd w:id="22"/>
      <w:r w:rsidR="00F64FFF">
        <w:t xml:space="preserve"> for the following indication:</w:t>
      </w:r>
    </w:p>
    <w:p w14:paraId="00AEEED3" w14:textId="47EC251F" w:rsidR="00F64FFF" w:rsidRPr="006D1EFF" w:rsidRDefault="00F64FFF" w:rsidP="006D1EFF">
      <w:pPr>
        <w:ind w:left="720"/>
        <w:rPr>
          <w:i/>
        </w:rPr>
      </w:pPr>
      <w:proofErr w:type="spellStart"/>
      <w:r w:rsidRPr="006D1EFF">
        <w:rPr>
          <w:i/>
        </w:rPr>
        <w:t>Qarziba</w:t>
      </w:r>
      <w:proofErr w:type="spellEnd"/>
      <w:r w:rsidRPr="006D1EFF">
        <w:rPr>
          <w:i/>
        </w:rPr>
        <w:t xml:space="preserve"> is indicated for the treatment of high-risk </w:t>
      </w:r>
      <w:proofErr w:type="spellStart"/>
      <w:r w:rsidRPr="006D1EFF">
        <w:rPr>
          <w:i/>
        </w:rPr>
        <w:t>neuroblastoma</w:t>
      </w:r>
      <w:proofErr w:type="spellEnd"/>
      <w:r w:rsidRPr="006D1EFF">
        <w:rPr>
          <w:i/>
        </w:rPr>
        <w:t xml:space="preserve"> in patients aged 12 months and abov</w:t>
      </w:r>
      <w:r w:rsidR="00344AB5" w:rsidRPr="006D1EFF">
        <w:rPr>
          <w:i/>
        </w:rPr>
        <w:t xml:space="preserve">e, who have previously received </w:t>
      </w:r>
      <w:r w:rsidRPr="006D1EFF">
        <w:rPr>
          <w:i/>
        </w:rPr>
        <w:t>induction chemotherapy and achiev</w:t>
      </w:r>
      <w:r w:rsidR="00344AB5" w:rsidRPr="006D1EFF">
        <w:rPr>
          <w:i/>
        </w:rPr>
        <w:t xml:space="preserve">ed at least a partial response, </w:t>
      </w:r>
      <w:r w:rsidRPr="006D1EFF">
        <w:rPr>
          <w:i/>
        </w:rPr>
        <w:t xml:space="preserve">followed by </w:t>
      </w:r>
      <w:proofErr w:type="spellStart"/>
      <w:r w:rsidRPr="006D1EFF">
        <w:rPr>
          <w:i/>
        </w:rPr>
        <w:t>myeloablative</w:t>
      </w:r>
      <w:proofErr w:type="spellEnd"/>
      <w:r w:rsidRPr="006D1EFF">
        <w:rPr>
          <w:i/>
        </w:rPr>
        <w:t xml:space="preserve"> therapy and stem </w:t>
      </w:r>
      <w:r w:rsidR="00344AB5" w:rsidRPr="006D1EFF">
        <w:rPr>
          <w:i/>
        </w:rPr>
        <w:t xml:space="preserve">cell transplantation, as </w:t>
      </w:r>
      <w:r w:rsidRPr="006D1EFF">
        <w:rPr>
          <w:i/>
        </w:rPr>
        <w:t>well as patients with history of relaps</w:t>
      </w:r>
      <w:r w:rsidR="00344AB5" w:rsidRPr="006D1EFF">
        <w:rPr>
          <w:i/>
        </w:rPr>
        <w:t xml:space="preserve">ed or refractory </w:t>
      </w:r>
      <w:proofErr w:type="spellStart"/>
      <w:r w:rsidR="00344AB5" w:rsidRPr="006D1EFF">
        <w:rPr>
          <w:i/>
        </w:rPr>
        <w:t>neuroblastoma</w:t>
      </w:r>
      <w:proofErr w:type="spellEnd"/>
      <w:r w:rsidR="00344AB5" w:rsidRPr="006D1EFF">
        <w:rPr>
          <w:i/>
        </w:rPr>
        <w:t xml:space="preserve">, </w:t>
      </w:r>
      <w:r w:rsidRPr="006D1EFF">
        <w:rPr>
          <w:i/>
        </w:rPr>
        <w:t>with or without residual disease. Pri</w:t>
      </w:r>
      <w:r w:rsidR="00344AB5" w:rsidRPr="006D1EFF">
        <w:rPr>
          <w:i/>
        </w:rPr>
        <w:t xml:space="preserve">or to the treatment of relapsed </w:t>
      </w:r>
      <w:proofErr w:type="spellStart"/>
      <w:r w:rsidRPr="006D1EFF">
        <w:rPr>
          <w:i/>
        </w:rPr>
        <w:t>neuroblastoma</w:t>
      </w:r>
      <w:proofErr w:type="spellEnd"/>
      <w:r w:rsidRPr="006D1EFF">
        <w:rPr>
          <w:i/>
        </w:rPr>
        <w:t>, any actively progressi</w:t>
      </w:r>
      <w:r w:rsidR="00344AB5" w:rsidRPr="006D1EFF">
        <w:rPr>
          <w:i/>
        </w:rPr>
        <w:t xml:space="preserve">ng disease should be stabilised </w:t>
      </w:r>
      <w:r w:rsidRPr="006D1EFF">
        <w:rPr>
          <w:i/>
        </w:rPr>
        <w:t>by other suitable measures.</w:t>
      </w:r>
    </w:p>
    <w:p w14:paraId="520CC0C9" w14:textId="6D11C1AA" w:rsidR="00F64FFF" w:rsidRPr="006D1EFF" w:rsidRDefault="00F64FFF" w:rsidP="006D1EFF">
      <w:pPr>
        <w:ind w:left="720"/>
        <w:rPr>
          <w:i/>
        </w:rPr>
      </w:pPr>
      <w:r w:rsidRPr="006D1EFF">
        <w:rPr>
          <w:i/>
        </w:rPr>
        <w:t>In patients with a history of rel</w:t>
      </w:r>
      <w:r w:rsidR="00344AB5" w:rsidRPr="006D1EFF">
        <w:rPr>
          <w:i/>
        </w:rPr>
        <w:t xml:space="preserve">apsed/refractory disease and in </w:t>
      </w:r>
      <w:r w:rsidRPr="006D1EFF">
        <w:rPr>
          <w:i/>
        </w:rPr>
        <w:t>patients who have not achieved a com</w:t>
      </w:r>
      <w:r w:rsidR="00344AB5" w:rsidRPr="006D1EFF">
        <w:rPr>
          <w:i/>
        </w:rPr>
        <w:t xml:space="preserve">plete response after </w:t>
      </w:r>
      <w:r w:rsidR="007A7CEA">
        <w:rPr>
          <w:i/>
        </w:rPr>
        <w:t>first-line</w:t>
      </w:r>
      <w:r w:rsidR="00344AB5" w:rsidRPr="006D1EFF">
        <w:rPr>
          <w:i/>
        </w:rPr>
        <w:t xml:space="preserve"> </w:t>
      </w:r>
      <w:r w:rsidRPr="006D1EFF">
        <w:rPr>
          <w:i/>
        </w:rPr>
        <w:t xml:space="preserve">therapy, </w:t>
      </w:r>
      <w:proofErr w:type="spellStart"/>
      <w:r w:rsidRPr="006D1EFF">
        <w:rPr>
          <w:i/>
        </w:rPr>
        <w:t>Qarziba</w:t>
      </w:r>
      <w:proofErr w:type="spellEnd"/>
      <w:r w:rsidRPr="006D1EFF">
        <w:rPr>
          <w:i/>
        </w:rPr>
        <w:t xml:space="preserve"> should be combined with interleukin-2 (IL-2).</w:t>
      </w:r>
    </w:p>
    <w:p w14:paraId="4E4CB856" w14:textId="77777777" w:rsidR="00344AB5" w:rsidRDefault="00344AB5" w:rsidP="00F64FFF">
      <w:r>
        <w:t>A similar application was under consideration in Israel (submitted 3 July 2017).</w:t>
      </w:r>
    </w:p>
    <w:p w14:paraId="70488DF6" w14:textId="77777777" w:rsidR="008E7846" w:rsidRDefault="008E7846" w:rsidP="00940A89">
      <w:pPr>
        <w:pStyle w:val="Heading3"/>
      </w:pPr>
      <w:bookmarkStart w:id="23" w:name="_Toc44507094"/>
      <w:r>
        <w:t>Product Information</w:t>
      </w:r>
      <w:bookmarkEnd w:id="20"/>
      <w:bookmarkEnd w:id="21"/>
      <w:bookmarkEnd w:id="23"/>
    </w:p>
    <w:p w14:paraId="2A7B0497" w14:textId="3E6B2282" w:rsidR="00940A89" w:rsidRDefault="006136D7" w:rsidP="00940A89">
      <w:bookmarkStart w:id="24" w:name="_Toc247691506"/>
      <w:bookmarkStart w:id="25"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4C6BCFD3" w14:textId="60B6F234" w:rsidR="00500337" w:rsidRDefault="00500337" w:rsidP="00500337">
      <w:pPr>
        <w:pStyle w:val="Heading2"/>
      </w:pPr>
      <w:bookmarkStart w:id="26" w:name="_Toc504480011"/>
      <w:bookmarkStart w:id="27" w:name="_Toc44507095"/>
      <w:r>
        <w:t>II. Registration timeline</w:t>
      </w:r>
      <w:bookmarkEnd w:id="26"/>
      <w:bookmarkEnd w:id="27"/>
    </w:p>
    <w:p w14:paraId="5F10A99E" w14:textId="77777777" w:rsidR="00500337" w:rsidRDefault="00500337" w:rsidP="00500337">
      <w:r>
        <w:t xml:space="preserve">The following table captures the key steps and dates for this application and which are detailed and discussed </w:t>
      </w:r>
      <w:r w:rsidR="00FD0F6E">
        <w:t>in this AusPAR.</w:t>
      </w:r>
    </w:p>
    <w:p w14:paraId="1D47F5AE" w14:textId="4F86FE53" w:rsidR="006A58A8" w:rsidRPr="006A58A8" w:rsidRDefault="00FD0F6E" w:rsidP="00FD0F6E">
      <w:pPr>
        <w:pStyle w:val="TableTitle"/>
      </w:pPr>
      <w:r>
        <w:t xml:space="preserve">Table </w:t>
      </w:r>
      <w:fldSimple w:instr=" SEQ Table \* ARABIC ">
        <w:r w:rsidR="004942AB">
          <w:rPr>
            <w:noProof/>
          </w:rPr>
          <w:t>1</w:t>
        </w:r>
      </w:fldSimple>
      <w:r w:rsidR="009C001C">
        <w:rPr>
          <w:noProof/>
        </w:rPr>
        <w:t>:</w:t>
      </w:r>
      <w:r>
        <w:t xml:space="preserve"> </w:t>
      </w:r>
      <w:r w:rsidR="006A58A8" w:rsidRPr="006A58A8">
        <w:t xml:space="preserve">Timeline </w:t>
      </w:r>
      <w:r w:rsidR="00B63667">
        <w:t>for Submission PM-2019-03174-1-4</w:t>
      </w:r>
    </w:p>
    <w:tbl>
      <w:tblPr>
        <w:tblStyle w:val="TableTGAblue"/>
        <w:tblW w:w="0" w:type="auto"/>
        <w:tblLook w:val="04A0" w:firstRow="1" w:lastRow="0" w:firstColumn="1" w:lastColumn="0" w:noHBand="0" w:noVBand="1"/>
      </w:tblPr>
      <w:tblGrid>
        <w:gridCol w:w="5377"/>
        <w:gridCol w:w="3107"/>
      </w:tblGrid>
      <w:tr w:rsidR="00500337" w14:paraId="4AFAFA6A" w14:textId="77777777" w:rsidTr="00F03EFF">
        <w:trPr>
          <w:cnfStyle w:val="100000000000" w:firstRow="1" w:lastRow="0" w:firstColumn="0" w:lastColumn="0" w:oddVBand="0" w:evenVBand="0" w:oddHBand="0" w:evenHBand="0" w:firstRowFirstColumn="0" w:firstRowLastColumn="0" w:lastRowFirstColumn="0" w:lastRowLastColumn="0"/>
          <w:cantSplit/>
        </w:trPr>
        <w:tc>
          <w:tcPr>
            <w:tcW w:w="5377" w:type="dxa"/>
          </w:tcPr>
          <w:p w14:paraId="6CA8E189" w14:textId="77777777" w:rsidR="00500337" w:rsidRDefault="00500337" w:rsidP="00500337">
            <w:pPr>
              <w:ind w:left="0" w:right="0"/>
            </w:pPr>
            <w:r>
              <w:t>Description</w:t>
            </w:r>
          </w:p>
        </w:tc>
        <w:tc>
          <w:tcPr>
            <w:tcW w:w="3107" w:type="dxa"/>
          </w:tcPr>
          <w:p w14:paraId="25E12FFE" w14:textId="77777777" w:rsidR="00500337" w:rsidRDefault="00500337" w:rsidP="00500337">
            <w:pPr>
              <w:ind w:left="0" w:right="0"/>
            </w:pPr>
            <w:r>
              <w:t>Date</w:t>
            </w:r>
          </w:p>
        </w:tc>
      </w:tr>
      <w:tr w:rsidR="00500337" w14:paraId="4E955517" w14:textId="77777777" w:rsidTr="00F03EFF">
        <w:tc>
          <w:tcPr>
            <w:tcW w:w="5377" w:type="dxa"/>
          </w:tcPr>
          <w:p w14:paraId="196597DE" w14:textId="39AE91DD" w:rsidR="00500337" w:rsidRDefault="00500337" w:rsidP="00500337">
            <w:pPr>
              <w:ind w:left="0" w:right="0"/>
            </w:pPr>
            <w:r>
              <w:t>Positive Designation</w:t>
            </w:r>
          </w:p>
        </w:tc>
        <w:tc>
          <w:tcPr>
            <w:tcW w:w="3107" w:type="dxa"/>
          </w:tcPr>
          <w:p w14:paraId="66FE8DDD" w14:textId="73DD68E4" w:rsidR="00026327" w:rsidRDefault="00026327" w:rsidP="00F03EFF">
            <w:pPr>
              <w:ind w:left="0" w:right="0"/>
            </w:pPr>
            <w:r>
              <w:t>Orphan</w:t>
            </w:r>
            <w:r w:rsidR="00B70804">
              <w:t>:</w:t>
            </w:r>
            <w:r>
              <w:t xml:space="preserve"> 24 June 2019</w:t>
            </w:r>
            <w:r w:rsidR="00F03EFF">
              <w:t xml:space="preserve"> </w:t>
            </w:r>
            <w:r>
              <w:t>Priority</w:t>
            </w:r>
            <w:r w:rsidR="00B70804">
              <w:t>:</w:t>
            </w:r>
            <w:r w:rsidR="001E4C4A">
              <w:t xml:space="preserve"> </w:t>
            </w:r>
            <w:r>
              <w:t>24 June 2019</w:t>
            </w:r>
          </w:p>
        </w:tc>
      </w:tr>
      <w:tr w:rsidR="00500337" w14:paraId="19EE928E" w14:textId="77777777" w:rsidTr="00F03EFF">
        <w:tc>
          <w:tcPr>
            <w:tcW w:w="5377" w:type="dxa"/>
          </w:tcPr>
          <w:p w14:paraId="51EE2C38" w14:textId="77777777" w:rsidR="00500337" w:rsidRDefault="00500337" w:rsidP="00500337">
            <w:pPr>
              <w:ind w:left="0" w:right="0"/>
            </w:pPr>
            <w:r>
              <w:t>Submission dossier accepted and first round evaluation commenced</w:t>
            </w:r>
          </w:p>
        </w:tc>
        <w:tc>
          <w:tcPr>
            <w:tcW w:w="3107" w:type="dxa"/>
          </w:tcPr>
          <w:p w14:paraId="39234A85" w14:textId="77777777" w:rsidR="00500337" w:rsidRDefault="00026327" w:rsidP="00500337">
            <w:pPr>
              <w:ind w:left="0" w:right="0"/>
            </w:pPr>
            <w:r>
              <w:t>28 August 2019</w:t>
            </w:r>
          </w:p>
        </w:tc>
      </w:tr>
      <w:tr w:rsidR="00500337" w14:paraId="5CD71EA9" w14:textId="77777777" w:rsidTr="00F03EFF">
        <w:tc>
          <w:tcPr>
            <w:tcW w:w="5377" w:type="dxa"/>
          </w:tcPr>
          <w:p w14:paraId="70791AF0" w14:textId="77777777" w:rsidR="00500337" w:rsidRDefault="00500337" w:rsidP="00500337">
            <w:pPr>
              <w:ind w:left="0" w:right="0"/>
            </w:pPr>
            <w:r>
              <w:t>Evaluation completed</w:t>
            </w:r>
          </w:p>
        </w:tc>
        <w:tc>
          <w:tcPr>
            <w:tcW w:w="3107" w:type="dxa"/>
          </w:tcPr>
          <w:p w14:paraId="710B62B8" w14:textId="77777777" w:rsidR="00500337" w:rsidRPr="00340539" w:rsidRDefault="00026327" w:rsidP="00500337">
            <w:pPr>
              <w:ind w:left="0" w:right="0"/>
              <w:rPr>
                <w:color w:val="auto"/>
              </w:rPr>
            </w:pPr>
            <w:r w:rsidRPr="00340539">
              <w:rPr>
                <w:color w:val="auto"/>
              </w:rPr>
              <w:t>6 January 2020</w:t>
            </w:r>
          </w:p>
        </w:tc>
      </w:tr>
      <w:tr w:rsidR="00500337" w14:paraId="6780BFCB" w14:textId="77777777" w:rsidTr="00F03EFF">
        <w:tc>
          <w:tcPr>
            <w:tcW w:w="5377" w:type="dxa"/>
          </w:tcPr>
          <w:p w14:paraId="43C00FF0" w14:textId="77777777" w:rsidR="00500337" w:rsidRDefault="00500337" w:rsidP="00500337">
            <w:pPr>
              <w:ind w:left="0" w:right="0"/>
            </w:pPr>
            <w:r>
              <w:t>Delegate’s Overall benefit-risk assessment and request for Advisory Committee advice</w:t>
            </w:r>
          </w:p>
        </w:tc>
        <w:tc>
          <w:tcPr>
            <w:tcW w:w="3107" w:type="dxa"/>
          </w:tcPr>
          <w:p w14:paraId="3A303C29" w14:textId="77777777" w:rsidR="00500337" w:rsidRPr="00340539" w:rsidRDefault="00026327" w:rsidP="00500337">
            <w:pPr>
              <w:ind w:left="0" w:right="0"/>
              <w:rPr>
                <w:color w:val="auto"/>
              </w:rPr>
            </w:pPr>
            <w:r w:rsidRPr="00340539">
              <w:rPr>
                <w:color w:val="auto"/>
              </w:rPr>
              <w:t>2 January 2020</w:t>
            </w:r>
          </w:p>
        </w:tc>
      </w:tr>
      <w:tr w:rsidR="00500337" w14:paraId="018253AC" w14:textId="77777777" w:rsidTr="00F03EFF">
        <w:tc>
          <w:tcPr>
            <w:tcW w:w="5377" w:type="dxa"/>
          </w:tcPr>
          <w:p w14:paraId="514AB2D9" w14:textId="77777777" w:rsidR="00500337" w:rsidRDefault="00500337" w:rsidP="00500337">
            <w:pPr>
              <w:ind w:left="0" w:right="0"/>
            </w:pPr>
            <w:r>
              <w:lastRenderedPageBreak/>
              <w:t>Sponsor’s pre-Advisory Committee response</w:t>
            </w:r>
          </w:p>
        </w:tc>
        <w:tc>
          <w:tcPr>
            <w:tcW w:w="3107" w:type="dxa"/>
          </w:tcPr>
          <w:p w14:paraId="39BC2272" w14:textId="77777777" w:rsidR="00500337" w:rsidRDefault="00026327" w:rsidP="00500337">
            <w:pPr>
              <w:ind w:left="0" w:right="0"/>
            </w:pPr>
            <w:r>
              <w:t>Not applicable</w:t>
            </w:r>
          </w:p>
        </w:tc>
      </w:tr>
      <w:tr w:rsidR="00500337" w14:paraId="5DF60997" w14:textId="77777777" w:rsidTr="00F03EFF">
        <w:tc>
          <w:tcPr>
            <w:tcW w:w="5377" w:type="dxa"/>
          </w:tcPr>
          <w:p w14:paraId="7FD0A24E" w14:textId="77777777" w:rsidR="00500337" w:rsidRDefault="00500337" w:rsidP="00500337">
            <w:pPr>
              <w:ind w:left="0" w:right="0"/>
            </w:pPr>
            <w:r>
              <w:t>Advisory Committee meeting</w:t>
            </w:r>
          </w:p>
        </w:tc>
        <w:tc>
          <w:tcPr>
            <w:tcW w:w="3107" w:type="dxa"/>
          </w:tcPr>
          <w:p w14:paraId="01EF8CB7" w14:textId="77777777" w:rsidR="00500337" w:rsidRDefault="00026327" w:rsidP="00500337">
            <w:pPr>
              <w:ind w:left="0" w:right="0"/>
            </w:pPr>
            <w:r>
              <w:t>7 February 2020</w:t>
            </w:r>
          </w:p>
        </w:tc>
      </w:tr>
      <w:tr w:rsidR="00500337" w14:paraId="5B750C96" w14:textId="77777777" w:rsidTr="00F03EFF">
        <w:tc>
          <w:tcPr>
            <w:tcW w:w="5377" w:type="dxa"/>
          </w:tcPr>
          <w:p w14:paraId="42DAE024" w14:textId="77777777" w:rsidR="00500337" w:rsidRDefault="00500337" w:rsidP="00500337">
            <w:pPr>
              <w:ind w:left="0" w:right="0"/>
            </w:pPr>
            <w:r>
              <w:t>Registration decision (Outcome)</w:t>
            </w:r>
          </w:p>
        </w:tc>
        <w:tc>
          <w:tcPr>
            <w:tcW w:w="3107" w:type="dxa"/>
          </w:tcPr>
          <w:p w14:paraId="61D5A057" w14:textId="77777777" w:rsidR="00500337" w:rsidRDefault="00FA181A" w:rsidP="00500337">
            <w:pPr>
              <w:ind w:left="0" w:right="0"/>
            </w:pPr>
            <w:r>
              <w:t>17 March 2020</w:t>
            </w:r>
          </w:p>
        </w:tc>
      </w:tr>
      <w:tr w:rsidR="00500337" w14:paraId="4B7B9590" w14:textId="77777777" w:rsidTr="00F03EFF">
        <w:tc>
          <w:tcPr>
            <w:tcW w:w="5377" w:type="dxa"/>
          </w:tcPr>
          <w:p w14:paraId="3470AE4F" w14:textId="00C2CB85" w:rsidR="00500337" w:rsidRDefault="00500337" w:rsidP="00500337">
            <w:pPr>
              <w:ind w:left="0" w:right="0"/>
            </w:pPr>
            <w:r>
              <w:t xml:space="preserve">Completion of administrative activities and registration on </w:t>
            </w:r>
            <w:r w:rsidR="00CE1E47">
              <w:t xml:space="preserve">the </w:t>
            </w:r>
            <w:r>
              <w:t>ARTG</w:t>
            </w:r>
          </w:p>
        </w:tc>
        <w:tc>
          <w:tcPr>
            <w:tcW w:w="3107" w:type="dxa"/>
          </w:tcPr>
          <w:p w14:paraId="61DBE20A" w14:textId="77777777" w:rsidR="00500337" w:rsidRDefault="00FA53BB" w:rsidP="00500337">
            <w:pPr>
              <w:ind w:left="0" w:right="0"/>
            </w:pPr>
            <w:r>
              <w:t>2 April 2020</w:t>
            </w:r>
          </w:p>
        </w:tc>
      </w:tr>
      <w:tr w:rsidR="00500337" w14:paraId="772A9138" w14:textId="77777777" w:rsidTr="00F03EFF">
        <w:tc>
          <w:tcPr>
            <w:tcW w:w="5377" w:type="dxa"/>
          </w:tcPr>
          <w:p w14:paraId="5F259FC9" w14:textId="77777777" w:rsidR="00500337" w:rsidRDefault="00500337" w:rsidP="00500337">
            <w:pPr>
              <w:ind w:left="0" w:right="0"/>
            </w:pPr>
            <w:r>
              <w:t>Number of working days from submission dossier acceptance to registration decision*</w:t>
            </w:r>
          </w:p>
        </w:tc>
        <w:tc>
          <w:tcPr>
            <w:tcW w:w="3107" w:type="dxa"/>
          </w:tcPr>
          <w:p w14:paraId="416FC021" w14:textId="77777777" w:rsidR="00500337" w:rsidRDefault="00FA53BB" w:rsidP="00500337">
            <w:pPr>
              <w:ind w:left="0" w:right="0"/>
            </w:pPr>
            <w:r>
              <w:t>137</w:t>
            </w:r>
          </w:p>
        </w:tc>
      </w:tr>
    </w:tbl>
    <w:p w14:paraId="37120C60" w14:textId="77777777" w:rsidR="00500337" w:rsidRDefault="00500337" w:rsidP="00500337">
      <w:pPr>
        <w:pStyle w:val="TableDescription"/>
      </w:pPr>
      <w:r>
        <w:t>*Target timeframe for priority applications is 150 working days from acceptance for evaluation to the decision.</w:t>
      </w:r>
    </w:p>
    <w:p w14:paraId="4A71A29B" w14:textId="77777777" w:rsidR="008E7846" w:rsidRPr="00792A32" w:rsidRDefault="00456765" w:rsidP="008E7846">
      <w:pPr>
        <w:pStyle w:val="Heading2"/>
      </w:pPr>
      <w:bookmarkStart w:id="28" w:name="_Toc196046504"/>
      <w:bookmarkStart w:id="29" w:name="_Toc247691527"/>
      <w:bookmarkStart w:id="30" w:name="_Toc314842510"/>
      <w:bookmarkStart w:id="31" w:name="_Toc163441390"/>
      <w:bookmarkStart w:id="32" w:name="_Toc44507096"/>
      <w:bookmarkEnd w:id="1"/>
      <w:bookmarkEnd w:id="24"/>
      <w:bookmarkEnd w:id="25"/>
      <w:r>
        <w:t>I</w:t>
      </w:r>
      <w:r w:rsidR="00DA64CB">
        <w:t>I</w:t>
      </w:r>
      <w:r w:rsidR="008E7846">
        <w:t xml:space="preserve">I. </w:t>
      </w:r>
      <w:r w:rsidR="008B7E07">
        <w:t>Submission overview</w:t>
      </w:r>
      <w:r w:rsidR="008E7846" w:rsidRPr="00792A32">
        <w:t xml:space="preserve"> and </w:t>
      </w:r>
      <w:r w:rsidR="008E7846">
        <w:t>r</w:t>
      </w:r>
      <w:r w:rsidR="008E7846" w:rsidRPr="00792A32">
        <w:t>isk/</w:t>
      </w:r>
      <w:r w:rsidR="008E7846">
        <w:t>b</w:t>
      </w:r>
      <w:r w:rsidR="008E7846" w:rsidRPr="00792A32">
        <w:t xml:space="preserve">enefit </w:t>
      </w:r>
      <w:r w:rsidR="008E7846">
        <w:t>a</w:t>
      </w:r>
      <w:r w:rsidR="008E7846" w:rsidRPr="00792A32">
        <w:t>ssessment</w:t>
      </w:r>
      <w:bookmarkEnd w:id="28"/>
      <w:bookmarkEnd w:id="29"/>
      <w:bookmarkEnd w:id="30"/>
      <w:bookmarkEnd w:id="32"/>
    </w:p>
    <w:p w14:paraId="0477E516" w14:textId="7C77103F" w:rsidR="008E7846" w:rsidRDefault="008E7846" w:rsidP="008E7846">
      <w:bookmarkStart w:id="33" w:name="_Toc247691528"/>
      <w:r>
        <w:t xml:space="preserve">The submission was summarised in the following </w:t>
      </w:r>
      <w:r w:rsidRPr="00EF5C48">
        <w:t xml:space="preserve">Delegate’s </w:t>
      </w:r>
      <w:r>
        <w:t>overview</w:t>
      </w:r>
      <w:r w:rsidRPr="00EF5C48">
        <w:t xml:space="preserve"> and recommendation</w:t>
      </w:r>
      <w:r>
        <w:t>s</w:t>
      </w:r>
      <w:r w:rsidR="00014881">
        <w:t>.</w:t>
      </w:r>
    </w:p>
    <w:p w14:paraId="069C2921" w14:textId="77777777" w:rsidR="008E7846" w:rsidRDefault="008E7846" w:rsidP="008E7846">
      <w:pPr>
        <w:pStyle w:val="Heading3"/>
      </w:pPr>
      <w:bookmarkStart w:id="34" w:name="_Toc314842511"/>
      <w:bookmarkStart w:id="35" w:name="_Toc44507097"/>
      <w:r>
        <w:t>Quality</w:t>
      </w:r>
      <w:bookmarkEnd w:id="33"/>
      <w:bookmarkEnd w:id="34"/>
      <w:bookmarkEnd w:id="35"/>
    </w:p>
    <w:p w14:paraId="2FE289F1" w14:textId="371A38BA" w:rsidR="00730F8A" w:rsidRDefault="008F1482" w:rsidP="008E7846">
      <w:proofErr w:type="spellStart"/>
      <w:r>
        <w:t>Dinutuximab</w:t>
      </w:r>
      <w:proofErr w:type="spellEnd"/>
      <w:r>
        <w:t xml:space="preserve"> beta is a mouse-human chimeric monoclonal IgG1 antibody generated using recombinant DNA technology in Chinese hamster ovary (CHO) cells (</w:t>
      </w:r>
      <w:r w:rsidR="006B3BFA">
        <w:t xml:space="preserve">alternative </w:t>
      </w:r>
      <w:r w:rsidR="00CE1E47">
        <w:t xml:space="preserve">(antibody) </w:t>
      </w:r>
      <w:r w:rsidR="006B3BFA">
        <w:t xml:space="preserve">name: </w:t>
      </w:r>
      <w:r w:rsidR="006B3BFA" w:rsidRPr="00403393">
        <w:t xml:space="preserve">ch14.18/CHO, </w:t>
      </w:r>
      <w:r w:rsidR="00CE1E47">
        <w:t>Anatomical Therapeutic Chemical Classification System (</w:t>
      </w:r>
      <w:r w:rsidRPr="00403393">
        <w:t>ATC</w:t>
      </w:r>
      <w:r w:rsidR="00CE1E47">
        <w:t>)</w:t>
      </w:r>
      <w:r>
        <w:t xml:space="preserve"> code: L01XC</w:t>
      </w:r>
      <w:r w:rsidR="006B3BFA">
        <w:t>16</w:t>
      </w:r>
      <w:r>
        <w:t>).</w:t>
      </w:r>
      <w:r w:rsidR="00A03959">
        <w:t xml:space="preserve"> </w:t>
      </w:r>
      <w:r>
        <w:t xml:space="preserve">This anti-neoplastic antibody has specificity for </w:t>
      </w:r>
      <w:proofErr w:type="spellStart"/>
      <w:r>
        <w:t>disialoganglioside</w:t>
      </w:r>
      <w:proofErr w:type="spellEnd"/>
      <w:r>
        <w:t xml:space="preserve"> GD2 antigen</w:t>
      </w:r>
      <w:r w:rsidR="00A03959">
        <w:t>,</w:t>
      </w:r>
      <w:r>
        <w:t xml:space="preserve"> which is overexpressed on </w:t>
      </w:r>
      <w:proofErr w:type="spellStart"/>
      <w:r>
        <w:t>neuroblastoma</w:t>
      </w:r>
      <w:proofErr w:type="spellEnd"/>
      <w:r>
        <w:t xml:space="preserve"> cells. </w:t>
      </w:r>
      <w:proofErr w:type="spellStart"/>
      <w:r>
        <w:t>Dinutuximab</w:t>
      </w:r>
      <w:proofErr w:type="spellEnd"/>
      <w:r>
        <w:t xml:space="preserve"> beta is presented as a 20 mg concentrate for solution for infusion in a volume of 4.5 mL in glass vial.</w:t>
      </w:r>
      <w:r w:rsidR="00117138">
        <w:t xml:space="preserve"> Figure 1, shown below, presents a schematic diagram of </w:t>
      </w:r>
      <w:proofErr w:type="spellStart"/>
      <w:r w:rsidR="00117138">
        <w:t>dinutuximab</w:t>
      </w:r>
      <w:proofErr w:type="spellEnd"/>
      <w:r w:rsidR="00117138">
        <w:t xml:space="preserve"> beta with disulphide bridge locations.</w:t>
      </w:r>
    </w:p>
    <w:p w14:paraId="20D2A9CF" w14:textId="6985123B" w:rsidR="002700B4" w:rsidRDefault="005671CB" w:rsidP="005671CB">
      <w:pPr>
        <w:pStyle w:val="FigureTitle"/>
      </w:pPr>
      <w:r>
        <w:t xml:space="preserve">Figure </w:t>
      </w:r>
      <w:fldSimple w:instr=" SEQ Figure \* ARABIC ">
        <w:r w:rsidR="004942AB">
          <w:rPr>
            <w:noProof/>
          </w:rPr>
          <w:t>1</w:t>
        </w:r>
      </w:fldSimple>
      <w:r w:rsidR="00834E8B">
        <w:rPr>
          <w:noProof/>
        </w:rPr>
        <w:t>:</w:t>
      </w:r>
      <w:r>
        <w:t xml:space="preserve"> </w:t>
      </w:r>
      <w:r w:rsidR="002700B4">
        <w:t xml:space="preserve">Schematic diagram of </w:t>
      </w:r>
      <w:proofErr w:type="spellStart"/>
      <w:r w:rsidR="00834E8B">
        <w:t>d</w:t>
      </w:r>
      <w:r w:rsidR="002700B4">
        <w:t>inutuximab</w:t>
      </w:r>
      <w:proofErr w:type="spellEnd"/>
      <w:r w:rsidR="002700B4">
        <w:t xml:space="preserve"> beta with disulphide bridge locations</w:t>
      </w:r>
    </w:p>
    <w:p w14:paraId="4CC93A13" w14:textId="77777777" w:rsidR="002700B4" w:rsidRDefault="002700B4" w:rsidP="008E7846">
      <w:r>
        <w:rPr>
          <w:noProof/>
          <w:lang w:eastAsia="en-AU"/>
        </w:rPr>
        <w:drawing>
          <wp:inline distT="0" distB="0" distL="0" distR="0" wp14:anchorId="757191B4" wp14:editId="20EFA446">
            <wp:extent cx="3010394" cy="2625599"/>
            <wp:effectExtent l="0" t="0" r="0" b="3810"/>
            <wp:docPr id="1" name="Picture 1" descr="Schematic diagram of Dinutuximab beta with disulphide bridg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7663" cy="2640661"/>
                    </a:xfrm>
                    <a:prstGeom prst="rect">
                      <a:avLst/>
                    </a:prstGeom>
                  </pic:spPr>
                </pic:pic>
              </a:graphicData>
            </a:graphic>
          </wp:inline>
        </w:drawing>
      </w:r>
    </w:p>
    <w:p w14:paraId="5EC5B681" w14:textId="77777777" w:rsidR="002700B4" w:rsidRDefault="002700B4" w:rsidP="008E7846">
      <w:r>
        <w:t xml:space="preserve">The quality evaluator concluded that </w:t>
      </w:r>
      <w:r w:rsidR="005671CB">
        <w:t>t</w:t>
      </w:r>
      <w:r>
        <w:t xml:space="preserve">here are no objections on quality grounds to the approval of </w:t>
      </w:r>
      <w:proofErr w:type="spellStart"/>
      <w:r>
        <w:t>Qarziba</w:t>
      </w:r>
      <w:proofErr w:type="spellEnd"/>
      <w:r>
        <w:t xml:space="preserve"> (</w:t>
      </w:r>
      <w:proofErr w:type="spellStart"/>
      <w:r>
        <w:t>dinutuximab</w:t>
      </w:r>
      <w:proofErr w:type="spellEnd"/>
      <w:r>
        <w:t xml:space="preserve"> beta)</w:t>
      </w:r>
      <w:r w:rsidR="00D56CDB">
        <w:t>.</w:t>
      </w:r>
    </w:p>
    <w:p w14:paraId="61F75744" w14:textId="77777777" w:rsidR="008E7846" w:rsidRDefault="008E7846" w:rsidP="008E7846">
      <w:pPr>
        <w:pStyle w:val="Heading3"/>
      </w:pPr>
      <w:bookmarkStart w:id="36" w:name="_Toc314842512"/>
      <w:bookmarkStart w:id="37" w:name="_Toc44507098"/>
      <w:r>
        <w:lastRenderedPageBreak/>
        <w:t>Nonclinical</w:t>
      </w:r>
      <w:bookmarkEnd w:id="36"/>
      <w:bookmarkEnd w:id="37"/>
    </w:p>
    <w:p w14:paraId="68DBB4D3" w14:textId="3F8B40FC" w:rsidR="00DC1948" w:rsidRDefault="002700B4" w:rsidP="00DC1948">
      <w:r>
        <w:t xml:space="preserve">The following points were summarised in the </w:t>
      </w:r>
      <w:r w:rsidR="00FA6EB4">
        <w:t>nonclinical</w:t>
      </w:r>
      <w:r>
        <w:t xml:space="preserve"> evaluation:</w:t>
      </w:r>
    </w:p>
    <w:p w14:paraId="4FB4FCC9" w14:textId="77777777" w:rsidR="002700B4" w:rsidRDefault="002700B4" w:rsidP="00986CB5">
      <w:pPr>
        <w:pStyle w:val="ListBullet"/>
      </w:pPr>
      <w:r>
        <w:t xml:space="preserve">The pharmacology studies support the proposed indication for </w:t>
      </w:r>
      <w:proofErr w:type="spellStart"/>
      <w:r>
        <w:t>dinutuximab</w:t>
      </w:r>
      <w:proofErr w:type="spellEnd"/>
      <w:r>
        <w:t xml:space="preserve"> beta to tre</w:t>
      </w:r>
      <w:r w:rsidR="00D56CDB">
        <w:t xml:space="preserve">at patients with </w:t>
      </w:r>
      <w:proofErr w:type="spellStart"/>
      <w:r w:rsidR="00D56CDB">
        <w:t>neuroblastoma</w:t>
      </w:r>
      <w:proofErr w:type="spellEnd"/>
      <w:r w:rsidR="00D56CDB">
        <w:t>.</w:t>
      </w:r>
    </w:p>
    <w:p w14:paraId="6D5287B4" w14:textId="1B42FA4A" w:rsidR="002700B4" w:rsidRDefault="002700B4" w:rsidP="00D56CDB">
      <w:pPr>
        <w:pStyle w:val="ListBullet"/>
      </w:pPr>
      <w:r>
        <w:t xml:space="preserve">No safety pharmacology studies were conducted with </w:t>
      </w:r>
      <w:proofErr w:type="spellStart"/>
      <w:r>
        <w:t>dinutuximab</w:t>
      </w:r>
      <w:proofErr w:type="spellEnd"/>
      <w:r>
        <w:t xml:space="preserve"> beta. Testing of neurological, cardiovascular and respiratory functions during repeat-dose toxicity stu</w:t>
      </w:r>
      <w:r w:rsidR="00D56CDB">
        <w:t xml:space="preserve">dies did not show any treatment </w:t>
      </w:r>
      <w:r>
        <w:t>related effects. However, behavioural ab</w:t>
      </w:r>
      <w:r w:rsidR="0092396D">
        <w:t xml:space="preserve">normalities were observed in </w:t>
      </w:r>
      <w:r w:rsidR="00493688">
        <w:t xml:space="preserve">ganglioside </w:t>
      </w:r>
      <w:proofErr w:type="spellStart"/>
      <w:r w:rsidR="00493688">
        <w:t>monosialic</w:t>
      </w:r>
      <w:proofErr w:type="spellEnd"/>
      <w:r w:rsidR="00493688">
        <w:t xml:space="preserve"> acid 2 (G</w:t>
      </w:r>
      <w:r>
        <w:t>M2</w:t>
      </w:r>
      <w:r w:rsidR="00493688">
        <w:t>)</w:t>
      </w:r>
      <w:r>
        <w:t>/</w:t>
      </w:r>
      <w:r w:rsidR="00CD2C30" w:rsidRPr="00CD2C30">
        <w:t xml:space="preserve"> </w:t>
      </w:r>
      <w:r w:rsidR="00CD2C30">
        <w:t xml:space="preserve">ganglioside </w:t>
      </w:r>
      <w:proofErr w:type="spellStart"/>
      <w:r w:rsidR="00CD2C30">
        <w:t>disialic</w:t>
      </w:r>
      <w:proofErr w:type="spellEnd"/>
      <w:r w:rsidR="00CD2C30">
        <w:t xml:space="preserve"> acid 2 (</w:t>
      </w:r>
      <w:r w:rsidR="00493688">
        <w:t>G</w:t>
      </w:r>
      <w:r>
        <w:t>D2</w:t>
      </w:r>
      <w:r w:rsidR="00CD2C30">
        <w:t>)</w:t>
      </w:r>
      <w:r>
        <w:t xml:space="preserve"> synthase knockout mice (</w:t>
      </w:r>
      <w:r w:rsidR="00493688">
        <w:t>G</w:t>
      </w:r>
      <w:r>
        <w:t>M2/</w:t>
      </w:r>
      <w:r w:rsidR="00493688">
        <w:t>G</w:t>
      </w:r>
      <w:r>
        <w:t>D2 synthase is a key enzyme in the synthesis of com</w:t>
      </w:r>
      <w:r w:rsidR="00D56CDB">
        <w:t>plex ganglioside</w:t>
      </w:r>
      <w:r w:rsidR="008F1365">
        <w:t>s</w:t>
      </w:r>
      <w:r w:rsidR="00D56CDB">
        <w:t xml:space="preserve"> including </w:t>
      </w:r>
      <w:r w:rsidR="00493688">
        <w:t>G</w:t>
      </w:r>
      <w:r w:rsidR="00D56CDB">
        <w:t>D2).</w:t>
      </w:r>
    </w:p>
    <w:p w14:paraId="122CF8AF" w14:textId="77777777" w:rsidR="002700B4" w:rsidRDefault="002700B4" w:rsidP="00D56CDB">
      <w:pPr>
        <w:pStyle w:val="ListBullet"/>
      </w:pPr>
      <w:r>
        <w:t xml:space="preserve">Notable findings of clinical relevance in the toxicity studies with </w:t>
      </w:r>
      <w:proofErr w:type="spellStart"/>
      <w:r>
        <w:t>dinutuximab</w:t>
      </w:r>
      <w:proofErr w:type="spellEnd"/>
      <w:r>
        <w:t xml:space="preserve"> beta include reduced motility, bodyweight and food consumption (possibly due to pain), bone marrow atrophy, and reduction in</w:t>
      </w:r>
      <w:r w:rsidR="00D56CDB">
        <w:t xml:space="preserve"> the size and weight of thymus.</w:t>
      </w:r>
    </w:p>
    <w:p w14:paraId="624D0174" w14:textId="6DDA66A8" w:rsidR="002700B4" w:rsidRDefault="002700B4" w:rsidP="00D56CDB">
      <w:pPr>
        <w:pStyle w:val="ListBullet"/>
      </w:pPr>
      <w:r>
        <w:t xml:space="preserve">Based on the mode of action (binding to </w:t>
      </w:r>
      <w:r w:rsidR="00493688">
        <w:t>G</w:t>
      </w:r>
      <w:r>
        <w:t xml:space="preserve">D2 and induction of CDC/ADCC after binding) and taking into account </w:t>
      </w:r>
      <w:r w:rsidR="00493688">
        <w:t>G</w:t>
      </w:r>
      <w:r>
        <w:t xml:space="preserve">D2 expression on neuronal tissues, bone marrow stem cells and other tissues of </w:t>
      </w:r>
      <w:proofErr w:type="spellStart"/>
      <w:r>
        <w:t>neuroectodermal</w:t>
      </w:r>
      <w:proofErr w:type="spellEnd"/>
      <w:r>
        <w:t xml:space="preserve"> origin, especially during embryo</w:t>
      </w:r>
      <w:r w:rsidR="008F1365">
        <w:noBreakHyphen/>
      </w:r>
      <w:proofErr w:type="spellStart"/>
      <w:r>
        <w:t>fetal</w:t>
      </w:r>
      <w:proofErr w:type="spellEnd"/>
      <w:r>
        <w:t xml:space="preserve"> development, and </w:t>
      </w:r>
      <w:r w:rsidR="00D56CDB">
        <w:t xml:space="preserve">when </w:t>
      </w:r>
      <w:r w:rsidR="002F46DC">
        <w:t>immunoglobulin (</w:t>
      </w:r>
      <w:r>
        <w:t>Ig</w:t>
      </w:r>
      <w:r w:rsidR="002F46DC">
        <w:t>)</w:t>
      </w:r>
      <w:r>
        <w:t xml:space="preserve"> crosses the placenta, it is considered likely that </w:t>
      </w:r>
      <w:proofErr w:type="spellStart"/>
      <w:r>
        <w:t>dinutuximab</w:t>
      </w:r>
      <w:proofErr w:type="spellEnd"/>
      <w:r>
        <w:t xml:space="preserve"> beta may cause </w:t>
      </w:r>
      <w:proofErr w:type="spellStart"/>
      <w:r>
        <w:t>fetal</w:t>
      </w:r>
      <w:proofErr w:type="spellEnd"/>
      <w:r>
        <w:t xml:space="preserve"> harm when administered to pregnant women and therefore, </w:t>
      </w:r>
      <w:proofErr w:type="spellStart"/>
      <w:r>
        <w:t>Q</w:t>
      </w:r>
      <w:r w:rsidR="00A775E9" w:rsidRPr="00D56CDB">
        <w:t>arziba</w:t>
      </w:r>
      <w:proofErr w:type="spellEnd"/>
      <w:r>
        <w:rPr>
          <w:sz w:val="14"/>
          <w:szCs w:val="14"/>
        </w:rPr>
        <w:t xml:space="preserve"> </w:t>
      </w:r>
      <w:r>
        <w:t>shoul</w:t>
      </w:r>
      <w:r w:rsidR="00D56CDB">
        <w:t>d not be used during pregnancy.</w:t>
      </w:r>
    </w:p>
    <w:p w14:paraId="3F3D9B9A" w14:textId="19893B13" w:rsidR="002700B4" w:rsidRDefault="002700B4" w:rsidP="00D56CDB">
      <w:pPr>
        <w:ind w:left="360"/>
      </w:pPr>
      <w:r>
        <w:t>Pregnancy Category C</w:t>
      </w:r>
      <w:r w:rsidR="00493688">
        <w:t>;</w:t>
      </w:r>
      <w:r w:rsidR="00D46986">
        <w:rPr>
          <w:rStyle w:val="FootnoteReference"/>
        </w:rPr>
        <w:footnoteReference w:id="10"/>
      </w:r>
      <w:r>
        <w:t xml:space="preserve"> is recommended for </w:t>
      </w:r>
      <w:proofErr w:type="spellStart"/>
      <w:r>
        <w:t>dinutuximab</w:t>
      </w:r>
      <w:proofErr w:type="spellEnd"/>
      <w:r>
        <w:t xml:space="preserve"> beta.</w:t>
      </w:r>
    </w:p>
    <w:p w14:paraId="39874254" w14:textId="77777777" w:rsidR="002700B4" w:rsidRDefault="002700B4" w:rsidP="00D56CDB">
      <w:pPr>
        <w:pStyle w:val="ListBullet"/>
      </w:pPr>
      <w:r>
        <w:t xml:space="preserve">There are no objections on nonclinical grounds to the registration of </w:t>
      </w:r>
      <w:proofErr w:type="spellStart"/>
      <w:r>
        <w:t>dinutuximab</w:t>
      </w:r>
      <w:proofErr w:type="spellEnd"/>
      <w:r>
        <w:t xml:space="preserve"> beta for the proposed indication provided safety and interactions with IL-2 have been adequat</w:t>
      </w:r>
      <w:r w:rsidR="00D56CDB">
        <w:t>ely addressed by clinical data.</w:t>
      </w:r>
    </w:p>
    <w:p w14:paraId="15087320" w14:textId="00FA56C6" w:rsidR="002700B4" w:rsidRDefault="00FA6EB4" w:rsidP="001E19EB">
      <w:pPr>
        <w:pStyle w:val="ListBullet"/>
      </w:pPr>
      <w:r>
        <w:t>The non</w:t>
      </w:r>
      <w:r w:rsidR="002700B4">
        <w:t xml:space="preserve">clinical evaluator recommended amendments to the draft </w:t>
      </w:r>
      <w:r w:rsidR="002F46DC">
        <w:t>PI</w:t>
      </w:r>
      <w:r w:rsidR="00711C51">
        <w:t>.</w:t>
      </w:r>
    </w:p>
    <w:p w14:paraId="0035479B" w14:textId="77777777" w:rsidR="008E7846" w:rsidRDefault="008E7846" w:rsidP="008E7846">
      <w:pPr>
        <w:pStyle w:val="Heading3"/>
      </w:pPr>
      <w:bookmarkStart w:id="38" w:name="_Toc247691530"/>
      <w:bookmarkStart w:id="39" w:name="_Toc314842513"/>
      <w:bookmarkStart w:id="40" w:name="_Toc44507099"/>
      <w:r>
        <w:t>Clinical</w:t>
      </w:r>
      <w:bookmarkEnd w:id="38"/>
      <w:bookmarkEnd w:id="39"/>
      <w:bookmarkEnd w:id="40"/>
    </w:p>
    <w:p w14:paraId="1708A289" w14:textId="4F784EFC" w:rsidR="00545A26" w:rsidRPr="00B40F1D" w:rsidRDefault="00545A26" w:rsidP="00545A26">
      <w:bookmarkStart w:id="41" w:name="_Toc314842514"/>
      <w:r>
        <w:t>Efficacy and safety were assessed in five clinical studies (</w:t>
      </w:r>
      <w:r w:rsidR="00117138">
        <w:t xml:space="preserve">see </w:t>
      </w:r>
      <w:r>
        <w:fldChar w:fldCharType="begin"/>
      </w:r>
      <w:r>
        <w:instrText xml:space="preserve"> REF _Ref21354554 \h </w:instrText>
      </w:r>
      <w:r>
        <w:fldChar w:fldCharType="separate"/>
      </w:r>
      <w:r w:rsidR="004942AB">
        <w:t xml:space="preserve">Table </w:t>
      </w:r>
      <w:r w:rsidR="004942AB">
        <w:rPr>
          <w:noProof/>
        </w:rPr>
        <w:t>2</w:t>
      </w:r>
      <w:r>
        <w:fldChar w:fldCharType="end"/>
      </w:r>
      <w:r w:rsidR="00D56CDB">
        <w:t xml:space="preserve">). </w:t>
      </w:r>
      <w:r>
        <w:t>The clinical data provide evidence across different disease settings (first-line, relapse, and refractory), different infusion regimens, and as a single agent or in combinati</w:t>
      </w:r>
      <w:r w:rsidR="00D56CDB">
        <w:t xml:space="preserve">on with IL-2 and/or </w:t>
      </w:r>
      <w:r w:rsidR="00D56CDB" w:rsidRPr="00FA6EB4">
        <w:t>13</w:t>
      </w:r>
      <w:r w:rsidR="004D7EA7">
        <w:noBreakHyphen/>
      </w:r>
      <w:r w:rsidR="00D56CDB" w:rsidRPr="00FA6EB4">
        <w:t>cis-RA</w:t>
      </w:r>
      <w:r w:rsidR="00D56CDB">
        <w:t xml:space="preserve">. </w:t>
      </w:r>
      <w:r>
        <w:t xml:space="preserve">The majority of the studies were investigator-initiated studies, conducted primarily for clinical research rather than for the purpose of marketing authorisation, so they did not follow </w:t>
      </w:r>
      <w:r w:rsidR="00D56CDB">
        <w:t>Good Clinical Practice (</w:t>
      </w:r>
      <w:r>
        <w:t>GCP</w:t>
      </w:r>
      <w:r w:rsidR="00D56CDB">
        <w:t>)</w:t>
      </w:r>
      <w:r>
        <w:t xml:space="preserve"> standards to the full extent.</w:t>
      </w:r>
    </w:p>
    <w:p w14:paraId="41500F1A" w14:textId="31248B0E" w:rsidR="00545A26" w:rsidRDefault="00545A26" w:rsidP="00D56CDB">
      <w:pPr>
        <w:pStyle w:val="TableTitle"/>
      </w:pPr>
      <w:bookmarkStart w:id="42" w:name="_Ref21354554"/>
      <w:r>
        <w:lastRenderedPageBreak/>
        <w:t xml:space="preserve">Table </w:t>
      </w:r>
      <w:fldSimple w:instr=" SEQ Table \* ARABIC ">
        <w:r w:rsidR="004942AB">
          <w:rPr>
            <w:noProof/>
          </w:rPr>
          <w:t>2</w:t>
        </w:r>
      </w:fldSimple>
      <w:bookmarkEnd w:id="42"/>
      <w:r w:rsidR="00834E8B">
        <w:rPr>
          <w:noProof/>
        </w:rPr>
        <w:t>:</w:t>
      </w:r>
      <w:r w:rsidR="001E4C4A">
        <w:t xml:space="preserve"> </w:t>
      </w:r>
      <w:r>
        <w:t xml:space="preserve">Overview of </w:t>
      </w:r>
      <w:r w:rsidR="008F1365">
        <w:t xml:space="preserve">the </w:t>
      </w:r>
      <w:r>
        <w:t>clinical studies</w:t>
      </w:r>
    </w:p>
    <w:p w14:paraId="33BB489D" w14:textId="77777777" w:rsidR="008F1365" w:rsidRDefault="00545A26" w:rsidP="00F03EFF">
      <w:r w:rsidRPr="00C73670">
        <w:rPr>
          <w:noProof/>
          <w:lang w:eastAsia="en-AU"/>
        </w:rPr>
        <w:drawing>
          <wp:inline distT="0" distB="0" distL="0" distR="0" wp14:anchorId="247DCAE7" wp14:editId="06010EE6">
            <wp:extent cx="5343525" cy="6162675"/>
            <wp:effectExtent l="0" t="0" r="9525" b="9525"/>
            <wp:docPr id="2" name="Picture 2" descr="Overview of the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6162675"/>
                    </a:xfrm>
                    <a:prstGeom prst="rect">
                      <a:avLst/>
                    </a:prstGeom>
                  </pic:spPr>
                </pic:pic>
              </a:graphicData>
            </a:graphic>
          </wp:inline>
        </w:drawing>
      </w:r>
    </w:p>
    <w:p w14:paraId="01FF0287" w14:textId="1D675B2F" w:rsidR="00545A26" w:rsidRDefault="00545A26" w:rsidP="008F1365">
      <w:r>
        <w:t xml:space="preserve">Study APN311-303 is an open-label, uncontrolled, retrospective data collection from the compassionate use of </w:t>
      </w:r>
      <w:proofErr w:type="spellStart"/>
      <w:r>
        <w:t>dinutu</w:t>
      </w:r>
      <w:r w:rsidR="00B56E6E">
        <w:t>ximab</w:t>
      </w:r>
      <w:proofErr w:type="spellEnd"/>
      <w:r w:rsidR="00B56E6E">
        <w:t xml:space="preserve"> beta in a single centre. </w:t>
      </w:r>
      <w:r>
        <w:t>Comparative analyses have been performe</w:t>
      </w:r>
      <w:r w:rsidR="00B56E6E">
        <w:t xml:space="preserve">d against historical controls. </w:t>
      </w:r>
      <w:r>
        <w:t xml:space="preserve">Supportive studies in the relapsed/refractory setting include investigator-sponsored </w:t>
      </w:r>
      <w:r w:rsidR="008F1365">
        <w:t>P</w:t>
      </w:r>
      <w:r>
        <w:t>hase I/II trials (</w:t>
      </w:r>
      <w:r w:rsidR="008F1365">
        <w:t xml:space="preserve">Studies </w:t>
      </w:r>
      <w:r>
        <w:t xml:space="preserve">APN311-101, -201, </w:t>
      </w:r>
      <w:r w:rsidR="00117138">
        <w:t xml:space="preserve">and </w:t>
      </w:r>
      <w:r w:rsidR="001E19EB">
        <w:noBreakHyphen/>
      </w:r>
      <w:r>
        <w:t xml:space="preserve">202) evaluating the safety, </w:t>
      </w:r>
      <w:r w:rsidR="00926055">
        <w:t>pharmacokinetics (PK)</w:t>
      </w:r>
      <w:r w:rsidRPr="00B56E6E">
        <w:t xml:space="preserve">, </w:t>
      </w:r>
      <w:r w:rsidR="00B56E6E" w:rsidRPr="00B56E6E">
        <w:t>pharmacodynamics</w:t>
      </w:r>
      <w:r w:rsidR="00926055">
        <w:t xml:space="preserve"> (PD)</w:t>
      </w:r>
      <w:r>
        <w:t xml:space="preserve"> and anti-tumour</w:t>
      </w:r>
      <w:r w:rsidR="00B56E6E">
        <w:t xml:space="preserve"> activity of </w:t>
      </w:r>
      <w:proofErr w:type="spellStart"/>
      <w:r w:rsidR="00B56E6E">
        <w:t>dinutuximab</w:t>
      </w:r>
      <w:proofErr w:type="spellEnd"/>
      <w:r w:rsidR="00B56E6E">
        <w:t xml:space="preserve"> beta.</w:t>
      </w:r>
    </w:p>
    <w:p w14:paraId="2F10B5B5" w14:textId="56D98CE8" w:rsidR="00545A26" w:rsidRPr="00E90669" w:rsidRDefault="00545A26" w:rsidP="00352749">
      <w:r>
        <w:t xml:space="preserve">The only randomised, controlled study is the </w:t>
      </w:r>
      <w:r w:rsidR="008F1365">
        <w:t>P</w:t>
      </w:r>
      <w:r>
        <w:t>hase III Study APN311-301/APN311</w:t>
      </w:r>
      <w:r w:rsidR="00FA6EB4">
        <w:t>-302 undertaken by the SIOPEN</w:t>
      </w:r>
      <w:r w:rsidR="00CC2F84">
        <w:t xml:space="preserve"> Association</w:t>
      </w:r>
      <w:r w:rsidR="006E55E2">
        <w:t>,</w:t>
      </w:r>
      <w:r>
        <w:t xml:space="preserve"> evaluating</w:t>
      </w:r>
      <w:r w:rsidRPr="00535EB0">
        <w:t xml:space="preserve"> </w:t>
      </w:r>
      <w:r>
        <w:t xml:space="preserve">the treatment of </w:t>
      </w:r>
      <w:r w:rsidR="004A4F5D">
        <w:t>high-risk</w:t>
      </w:r>
      <w:r>
        <w:t xml:space="preserve"> </w:t>
      </w:r>
      <w:proofErr w:type="spellStart"/>
      <w:r>
        <w:t>neuroblastoma</w:t>
      </w:r>
      <w:proofErr w:type="spellEnd"/>
      <w:r w:rsidRPr="00D73AC8">
        <w:t xml:space="preserve"> </w:t>
      </w:r>
      <w:r>
        <w:t xml:space="preserve">in the </w:t>
      </w:r>
      <w:r w:rsidR="007A7CEA">
        <w:t>first-line</w:t>
      </w:r>
      <w:r>
        <w:t xml:space="preserve"> setting. </w:t>
      </w:r>
      <w:r w:rsidR="008F1365">
        <w:t xml:space="preserve">Study </w:t>
      </w:r>
      <w:r>
        <w:t xml:space="preserve">APN311-301 was designed to compare maintenance treatment with 13-cis-RA with or without </w:t>
      </w:r>
      <w:proofErr w:type="spellStart"/>
      <w:r>
        <w:t>dinutuximab</w:t>
      </w:r>
      <w:proofErr w:type="spellEnd"/>
      <w:r>
        <w:t xml:space="preserve"> beta. This study commenced in 2006 but was stopped in 2009 following the publication of the Children’s Oncology Group</w:t>
      </w:r>
      <w:r w:rsidR="00A5108B">
        <w:t xml:space="preserve"> (COG)</w:t>
      </w:r>
      <w:r>
        <w:t xml:space="preserve"> trial which demonstrated a survival benefit when </w:t>
      </w:r>
      <w:proofErr w:type="spellStart"/>
      <w:r>
        <w:t>dinutuximab</w:t>
      </w:r>
      <w:proofErr w:type="spellEnd"/>
      <w:r>
        <w:t xml:space="preserve"> plus </w:t>
      </w:r>
      <w:r>
        <w:lastRenderedPageBreak/>
        <w:t>GM-CSF and IL-2 was added to ma</w:t>
      </w:r>
      <w:r w:rsidR="00926055">
        <w:t>intenance 13-cis-RA treatment.</w:t>
      </w:r>
      <w:bookmarkStart w:id="43" w:name="_Ref40258470"/>
      <w:r w:rsidR="007D6D73">
        <w:rPr>
          <w:rStyle w:val="FootnoteReference"/>
        </w:rPr>
        <w:footnoteReference w:id="11"/>
      </w:r>
      <w:bookmarkEnd w:id="43"/>
      <w:r w:rsidR="00926055">
        <w:t xml:space="preserve"> </w:t>
      </w:r>
      <w:r>
        <w:t xml:space="preserve">The COG study established </w:t>
      </w:r>
      <w:proofErr w:type="spellStart"/>
      <w:r>
        <w:t>dinutuximab</w:t>
      </w:r>
      <w:proofErr w:type="spellEnd"/>
      <w:r>
        <w:t xml:space="preserve"> as a standard of care for maintenance treatment of high-risk </w:t>
      </w:r>
      <w:proofErr w:type="spellStart"/>
      <w:r>
        <w:t>neuroblastoma</w:t>
      </w:r>
      <w:proofErr w:type="spellEnd"/>
      <w:r>
        <w:t xml:space="preserve">, so it was no longer feasible to continue with </w:t>
      </w:r>
      <w:r w:rsidR="009F63B4">
        <w:t xml:space="preserve">Study </w:t>
      </w:r>
      <w:r>
        <w:t>APN311-301 which was randomising patients to an arm which did not r</w:t>
      </w:r>
      <w:r w:rsidR="00926055">
        <w:t xml:space="preserve">eceive anti-GD2 immunotherapy. </w:t>
      </w:r>
      <w:r>
        <w:t xml:space="preserve">Protocol amendments were introduced and </w:t>
      </w:r>
      <w:r w:rsidR="009F63B4">
        <w:t xml:space="preserve">Study </w:t>
      </w:r>
      <w:r>
        <w:t xml:space="preserve">APN311-302 was initiated with the objective of evaluating the effects of adding IL-2 to </w:t>
      </w:r>
      <w:proofErr w:type="spellStart"/>
      <w:r>
        <w:t>dinutuximab</w:t>
      </w:r>
      <w:proofErr w:type="spellEnd"/>
      <w:r>
        <w:t xml:space="preserve"> </w:t>
      </w:r>
      <w:r w:rsidR="00926055">
        <w:t xml:space="preserve">beta and 13-cis RA in the </w:t>
      </w:r>
      <w:r w:rsidR="007A7CEA">
        <w:t>first-line</w:t>
      </w:r>
      <w:r>
        <w:t xml:space="preserve"> maintenance treatme</w:t>
      </w:r>
      <w:r w:rsidR="00926055">
        <w:t xml:space="preserve">nt of </w:t>
      </w:r>
      <w:r w:rsidR="004A4F5D">
        <w:t>high-risk</w:t>
      </w:r>
      <w:r w:rsidR="00926055">
        <w:t xml:space="preserve"> </w:t>
      </w:r>
      <w:proofErr w:type="spellStart"/>
      <w:r w:rsidR="00926055">
        <w:t>neuroblastoma</w:t>
      </w:r>
      <w:proofErr w:type="spellEnd"/>
      <w:r w:rsidR="00926055">
        <w:t>.</w:t>
      </w:r>
    </w:p>
    <w:p w14:paraId="2F17B13B" w14:textId="77777777" w:rsidR="00545A26" w:rsidRDefault="00545A26" w:rsidP="00545A26">
      <w:pPr>
        <w:pStyle w:val="Heading4"/>
      </w:pPr>
      <w:r w:rsidRPr="00AA53F4">
        <w:t>Pharmacology</w:t>
      </w:r>
    </w:p>
    <w:p w14:paraId="3AF6F20F" w14:textId="34CA75C0" w:rsidR="00545A26" w:rsidRDefault="00926055" w:rsidP="00545A26">
      <w:pPr>
        <w:pStyle w:val="Heading5"/>
      </w:pPr>
      <w:r>
        <w:t>Pharmacokinetics</w:t>
      </w:r>
    </w:p>
    <w:p w14:paraId="2EB10A2F" w14:textId="26A2B34C" w:rsidR="00545A26" w:rsidRDefault="00545A26" w:rsidP="00545A26">
      <w:r w:rsidRPr="000B0337">
        <w:t xml:space="preserve">PK data are available from 3 clinical studies in patients with refractory/relapsed </w:t>
      </w:r>
      <w:proofErr w:type="spellStart"/>
      <w:r w:rsidRPr="000B0337">
        <w:t>neuroblastoma</w:t>
      </w:r>
      <w:proofErr w:type="spellEnd"/>
      <w:r>
        <w:t xml:space="preserve">: </w:t>
      </w:r>
      <w:r w:rsidR="006B3BFA">
        <w:t xml:space="preserve">Studies </w:t>
      </w:r>
      <w:r w:rsidRPr="000B0337">
        <w:t>APN311-101, -202, and -303</w:t>
      </w:r>
      <w:r w:rsidR="008065AF">
        <w:t xml:space="preserve">. </w:t>
      </w:r>
      <w:r>
        <w:t xml:space="preserve">There is no study directly comparing the PK of </w:t>
      </w:r>
      <w:proofErr w:type="spellStart"/>
      <w:r>
        <w:t>dinutuximab</w:t>
      </w:r>
      <w:proofErr w:type="spellEnd"/>
      <w:r>
        <w:t xml:space="preserve"> beta </w:t>
      </w:r>
      <w:r w:rsidRPr="007D3DA5">
        <w:t>(</w:t>
      </w:r>
      <w:r w:rsidR="007D3DA5">
        <w:t>mouse-human chimeric monoclonal IgG1 antibody</w:t>
      </w:r>
      <w:r w:rsidR="007D3DA5" w:rsidRPr="007D3DA5">
        <w:t xml:space="preserve"> </w:t>
      </w:r>
      <w:r w:rsidR="007D3DA5">
        <w:t xml:space="preserve">ch14.18 manufactured on the basis of </w:t>
      </w:r>
      <w:r w:rsidRPr="007D3DA5">
        <w:t>CHO</w:t>
      </w:r>
      <w:r w:rsidR="007D3DA5">
        <w:t xml:space="preserve"> cell line</w:t>
      </w:r>
      <w:r w:rsidRPr="007D3DA5">
        <w:t>) t</w:t>
      </w:r>
      <w:r w:rsidR="008065AF" w:rsidRPr="007D3DA5">
        <w:t xml:space="preserve">o </w:t>
      </w:r>
      <w:proofErr w:type="spellStart"/>
      <w:r w:rsidR="008065AF" w:rsidRPr="007D3DA5">
        <w:t>dinutuximab</w:t>
      </w:r>
      <w:proofErr w:type="spellEnd"/>
      <w:r w:rsidR="008065AF" w:rsidRPr="007D3DA5">
        <w:t xml:space="preserve"> (</w:t>
      </w:r>
      <w:r w:rsidR="007D3DA5">
        <w:t>mouse-human chimeric monoclonal IgG1 antibody</w:t>
      </w:r>
      <w:r w:rsidR="007D3DA5" w:rsidRPr="007D3DA5">
        <w:t xml:space="preserve"> </w:t>
      </w:r>
      <w:r w:rsidR="007D3DA5">
        <w:t>ch14.18 manufactured on the basis of SP2/0 cell line</w:t>
      </w:r>
      <w:r w:rsidR="007D3DA5" w:rsidRPr="007D3DA5">
        <w:t>)</w:t>
      </w:r>
      <w:r w:rsidR="008065AF">
        <w:t>.</w:t>
      </w:r>
    </w:p>
    <w:p w14:paraId="58E073A8" w14:textId="03FD4865" w:rsidR="00545A26" w:rsidRDefault="006B3BFA" w:rsidP="00545A26">
      <w:r>
        <w:t xml:space="preserve">Study </w:t>
      </w:r>
      <w:r w:rsidR="00545A26">
        <w:t>APN311-101 was an investigator</w:t>
      </w:r>
      <w:r>
        <w:t xml:space="preserve"> </w:t>
      </w:r>
      <w:r w:rsidR="00545A26">
        <w:t xml:space="preserve">initiated </w:t>
      </w:r>
      <w:r>
        <w:t>P</w:t>
      </w:r>
      <w:r w:rsidR="00545A26">
        <w:t xml:space="preserve">hase I bridging study of </w:t>
      </w:r>
      <w:proofErr w:type="spellStart"/>
      <w:r w:rsidR="00545A26">
        <w:t>dinutuximab</w:t>
      </w:r>
      <w:proofErr w:type="spellEnd"/>
      <w:r w:rsidR="00545A26">
        <w:t xml:space="preserve"> beta as a single agent in 15 patients with rela</w:t>
      </w:r>
      <w:r w:rsidR="00385051">
        <w:t xml:space="preserve">psed/refractory </w:t>
      </w:r>
      <w:proofErr w:type="spellStart"/>
      <w:r w:rsidR="00385051">
        <w:t>neuroblastoma</w:t>
      </w:r>
      <w:proofErr w:type="spellEnd"/>
      <w:r w:rsidR="00385051">
        <w:t xml:space="preserve">. </w:t>
      </w:r>
      <w:r w:rsidR="00545A26">
        <w:t xml:space="preserve">The aim was to assess the safety, PK, immunogenicity and activity of </w:t>
      </w:r>
      <w:proofErr w:type="spellStart"/>
      <w:r w:rsidR="00545A26">
        <w:t>dinutuximab</w:t>
      </w:r>
      <w:proofErr w:type="spellEnd"/>
      <w:r w:rsidR="00545A26">
        <w:t xml:space="preserve"> beta</w:t>
      </w:r>
      <w:r w:rsidR="00545A26" w:rsidRPr="00440F3D">
        <w:t xml:space="preserve"> </w:t>
      </w:r>
      <w:r w:rsidR="00F6132E">
        <w:t xml:space="preserve">administered as 8 </w:t>
      </w:r>
      <w:r w:rsidR="00545A26">
        <w:t>hour infu</w:t>
      </w:r>
      <w:r w:rsidR="00385051">
        <w:t xml:space="preserve">sions over 5 consecutive days. </w:t>
      </w:r>
      <w:r w:rsidR="00545A26">
        <w:t>Three dose levels were evaluated (10, 20, and 30</w:t>
      </w:r>
      <w:r>
        <w:t> </w:t>
      </w:r>
      <w:r w:rsidR="00545A26">
        <w:t>mg/m</w:t>
      </w:r>
      <w:r w:rsidR="00545A26" w:rsidRPr="00B866EA">
        <w:rPr>
          <w:vertAlign w:val="superscript"/>
        </w:rPr>
        <w:t>2</w:t>
      </w:r>
      <w:r w:rsidR="00515F73">
        <w:t xml:space="preserve">/day). </w:t>
      </w:r>
      <w:r w:rsidR="00545A26">
        <w:t>The 20 mg/m</w:t>
      </w:r>
      <w:r w:rsidR="00545A26" w:rsidRPr="0053306C">
        <w:rPr>
          <w:vertAlign w:val="superscript"/>
        </w:rPr>
        <w:t>2</w:t>
      </w:r>
      <w:r w:rsidR="00545A26">
        <w:t xml:space="preserve">/day dose level </w:t>
      </w:r>
      <w:r w:rsidR="00545A26" w:rsidRPr="000B0337">
        <w:t>(cumulative dose of 100 mg/m</w:t>
      </w:r>
      <w:r w:rsidR="00545A26" w:rsidRPr="000B0337">
        <w:rPr>
          <w:vertAlign w:val="superscript"/>
        </w:rPr>
        <w:t>2</w:t>
      </w:r>
      <w:r w:rsidR="00545A26" w:rsidRPr="000B0337">
        <w:t xml:space="preserve"> per cycle)</w:t>
      </w:r>
      <w:r w:rsidR="00545A26">
        <w:t xml:space="preserve"> was selected for further study based on PK and safety findings.</w:t>
      </w:r>
    </w:p>
    <w:p w14:paraId="35C1D1EB" w14:textId="561B686F" w:rsidR="00545A26" w:rsidRDefault="006B3BFA" w:rsidP="00545A26">
      <w:r>
        <w:t xml:space="preserve">Study </w:t>
      </w:r>
      <w:r w:rsidR="00545A26">
        <w:t>APN311-202 was an investiga</w:t>
      </w:r>
      <w:r w:rsidR="001E4C4A">
        <w:t xml:space="preserve">tor </w:t>
      </w:r>
      <w:r w:rsidR="00545A26">
        <w:t xml:space="preserve">initiated, </w:t>
      </w:r>
      <w:r>
        <w:t>P</w:t>
      </w:r>
      <w:r w:rsidR="00545A26">
        <w:t>hase I/II, open-label, uncontrolled, dose</w:t>
      </w:r>
      <w:r>
        <w:t xml:space="preserve"> </w:t>
      </w:r>
      <w:r w:rsidR="00545A26">
        <w:t>escalation, dose</w:t>
      </w:r>
      <w:r>
        <w:t xml:space="preserve"> </w:t>
      </w:r>
      <w:r w:rsidR="00545A26">
        <w:t>schedule finding study in patients with primary refract</w:t>
      </w:r>
      <w:r w:rsidR="001E4C4A">
        <w:t xml:space="preserve">ory or relapsed </w:t>
      </w:r>
      <w:proofErr w:type="spellStart"/>
      <w:r w:rsidR="001E4C4A">
        <w:t>neuroblastoma</w:t>
      </w:r>
      <w:proofErr w:type="spellEnd"/>
      <w:r w:rsidR="001E4C4A">
        <w:t xml:space="preserve">. </w:t>
      </w:r>
      <w:r w:rsidR="00545A26">
        <w:t xml:space="preserve">The primary objective was to find a tolerable treatment schedule which reduces the pain-toxicity profile of </w:t>
      </w:r>
      <w:proofErr w:type="spellStart"/>
      <w:r w:rsidR="00545A26">
        <w:t>dinutuximab</w:t>
      </w:r>
      <w:proofErr w:type="spellEnd"/>
      <w:r w:rsidR="00545A26">
        <w:t xml:space="preserve"> beta whilst maintain</w:t>
      </w:r>
      <w:r w:rsidR="001E4C4A">
        <w:t xml:space="preserve">ing immunomodulatory efficacy. </w:t>
      </w:r>
      <w:proofErr w:type="spellStart"/>
      <w:r w:rsidR="00545A26">
        <w:t>D</w:t>
      </w:r>
      <w:r w:rsidR="00545A26" w:rsidRPr="000B0337">
        <w:t>in</w:t>
      </w:r>
      <w:r w:rsidR="009D57C8">
        <w:t>utuximab</w:t>
      </w:r>
      <w:proofErr w:type="spellEnd"/>
      <w:r w:rsidR="009D57C8">
        <w:t xml:space="preserve"> beta was given as a 10 </w:t>
      </w:r>
      <w:r w:rsidR="00545A26" w:rsidRPr="000B0337">
        <w:t>day continuous infusion</w:t>
      </w:r>
      <w:r w:rsidR="00545A26">
        <w:t xml:space="preserve"> in conjunction with </w:t>
      </w:r>
      <w:r w:rsidR="00545A26" w:rsidRPr="000B0337">
        <w:t xml:space="preserve">IL-2 and </w:t>
      </w:r>
      <w:r w:rsidR="007D3DA5">
        <w:t>13-</w:t>
      </w:r>
      <w:r w:rsidR="00545A26" w:rsidRPr="007D3DA5">
        <w:t>cis-RA</w:t>
      </w:r>
      <w:r w:rsidR="001E4C4A" w:rsidRPr="007D3DA5">
        <w:t>.</w:t>
      </w:r>
      <w:r w:rsidR="001E4C4A">
        <w:t xml:space="preserve"> </w:t>
      </w:r>
      <w:r w:rsidR="00545A26">
        <w:t>Doses of 100, 150, or 210 mg/m</w:t>
      </w:r>
      <w:r w:rsidR="00545A26" w:rsidRPr="00BB149F">
        <w:rPr>
          <w:vertAlign w:val="superscript"/>
        </w:rPr>
        <w:t>2</w:t>
      </w:r>
      <w:r w:rsidR="00545A26">
        <w:t>/cycle were planned, but the dose schedule part of the study was closed after evaluation of data from the first cohort and 100 mg/m</w:t>
      </w:r>
      <w:r w:rsidR="00545A26" w:rsidRPr="00BB149F">
        <w:rPr>
          <w:vertAlign w:val="superscript"/>
        </w:rPr>
        <w:t>2</w:t>
      </w:r>
      <w:r w:rsidR="00545A26">
        <w:t>/cycle was selected as the dose schedule for the confirmatory part of the study.</w:t>
      </w:r>
    </w:p>
    <w:p w14:paraId="679EEEB3" w14:textId="7FFCAFF6" w:rsidR="00545A26" w:rsidRDefault="006B3BFA" w:rsidP="00545A26">
      <w:r>
        <w:t xml:space="preserve">Study </w:t>
      </w:r>
      <w:r w:rsidR="00545A26">
        <w:t xml:space="preserve">APN311-303, a retrospective data collection from the compassionate use of </w:t>
      </w:r>
      <w:proofErr w:type="spellStart"/>
      <w:r w:rsidR="00545A26">
        <w:t>dinutuximab</w:t>
      </w:r>
      <w:proofErr w:type="spellEnd"/>
      <w:r w:rsidR="00545A26">
        <w:t xml:space="preserve"> beta in a single centre, involved continuous infusions of </w:t>
      </w:r>
      <w:proofErr w:type="spellStart"/>
      <w:r w:rsidR="00545A26">
        <w:t>dinutuximab</w:t>
      </w:r>
      <w:proofErr w:type="spellEnd"/>
      <w:r w:rsidR="00545A26">
        <w:t xml:space="preserve"> beta over 10 days (100 mg/m</w:t>
      </w:r>
      <w:r w:rsidR="00545A26" w:rsidRPr="00D42314">
        <w:rPr>
          <w:vertAlign w:val="superscript"/>
        </w:rPr>
        <w:t>2</w:t>
      </w:r>
      <w:r w:rsidR="00545A26">
        <w:t>/cycle) in conjunction with IL-2 and 13-cis-RA.</w:t>
      </w:r>
    </w:p>
    <w:p w14:paraId="57382A0F" w14:textId="435E5DDD" w:rsidR="001E4C4A" w:rsidRDefault="00545A26" w:rsidP="00545A26">
      <w:proofErr w:type="spellStart"/>
      <w:r w:rsidRPr="000B0337">
        <w:rPr>
          <w:rFonts w:eastAsiaTheme="minorHAnsi" w:cs="Verdana"/>
        </w:rPr>
        <w:t>Dinutuximab</w:t>
      </w:r>
      <w:proofErr w:type="spellEnd"/>
      <w:r w:rsidRPr="000B0337">
        <w:rPr>
          <w:rFonts w:eastAsiaTheme="minorHAnsi" w:cs="Verdana"/>
        </w:rPr>
        <w:t xml:space="preserve"> beta </w:t>
      </w:r>
      <w:r>
        <w:rPr>
          <w:rFonts w:eastAsiaTheme="minorHAnsi" w:cs="Verdana"/>
        </w:rPr>
        <w:t>is</w:t>
      </w:r>
      <w:r w:rsidRPr="000B0337">
        <w:rPr>
          <w:rFonts w:eastAsiaTheme="minorHAnsi" w:cs="Verdana"/>
        </w:rPr>
        <w:t xml:space="preserve"> </w:t>
      </w:r>
      <w:r>
        <w:rPr>
          <w:rFonts w:eastAsiaTheme="minorHAnsi" w:cs="Verdana"/>
        </w:rPr>
        <w:t>given</w:t>
      </w:r>
      <w:r w:rsidRPr="000B0337">
        <w:rPr>
          <w:rFonts w:eastAsiaTheme="minorHAnsi" w:cs="Verdana"/>
        </w:rPr>
        <w:t xml:space="preserve"> </w:t>
      </w:r>
      <w:r>
        <w:rPr>
          <w:rFonts w:eastAsiaTheme="minorHAnsi" w:cs="Verdana"/>
        </w:rPr>
        <w:t>as an</w:t>
      </w:r>
      <w:r w:rsidRPr="000B0337">
        <w:rPr>
          <w:rFonts w:eastAsiaTheme="minorHAnsi" w:cs="Verdana"/>
        </w:rPr>
        <w:t xml:space="preserve"> </w:t>
      </w:r>
      <w:r w:rsidR="00CC6E7A">
        <w:rPr>
          <w:rFonts w:eastAsiaTheme="minorHAnsi" w:cs="Verdana"/>
        </w:rPr>
        <w:t>intravenous</w:t>
      </w:r>
      <w:r w:rsidRPr="000B0337">
        <w:rPr>
          <w:rFonts w:eastAsiaTheme="minorHAnsi" w:cs="Verdana"/>
        </w:rPr>
        <w:t xml:space="preserve"> </w:t>
      </w:r>
      <w:r>
        <w:rPr>
          <w:rFonts w:eastAsiaTheme="minorHAnsi" w:cs="Verdana"/>
        </w:rPr>
        <w:t>infusion</w:t>
      </w:r>
      <w:r w:rsidRPr="000B0337">
        <w:rPr>
          <w:rFonts w:eastAsiaTheme="minorHAnsi" w:cs="Verdana"/>
        </w:rPr>
        <w:t>.</w:t>
      </w:r>
      <w:r w:rsidR="001E4C4A">
        <w:rPr>
          <w:rFonts w:eastAsiaTheme="minorHAnsi" w:cs="Verdana"/>
        </w:rPr>
        <w:t xml:space="preserve"> </w:t>
      </w:r>
      <w:r>
        <w:rPr>
          <w:rFonts w:eastAsiaTheme="minorHAnsi" w:cs="Verdana"/>
        </w:rPr>
        <w:t xml:space="preserve">In </w:t>
      </w:r>
      <w:r w:rsidR="006B3BFA">
        <w:rPr>
          <w:rFonts w:eastAsiaTheme="minorHAnsi" w:cs="Verdana"/>
        </w:rPr>
        <w:t>S</w:t>
      </w:r>
      <w:r>
        <w:rPr>
          <w:rFonts w:eastAsiaTheme="minorHAnsi" w:cs="Verdana"/>
        </w:rPr>
        <w:t xml:space="preserve">tudies </w:t>
      </w:r>
      <w:r w:rsidRPr="000B0337">
        <w:t>APN311-202 and -303</w:t>
      </w:r>
      <w:r>
        <w:t>, p</w:t>
      </w:r>
      <w:r w:rsidRPr="000B0337">
        <w:rPr>
          <w:rFonts w:eastAsiaTheme="minorHAnsi" w:cs="Verdana"/>
        </w:rPr>
        <w:t>eak levels were generally reached at the end of the 10</w:t>
      </w:r>
      <w:r w:rsidR="006B3BFA">
        <w:rPr>
          <w:rFonts w:eastAsiaTheme="minorHAnsi" w:cs="Verdana"/>
        </w:rPr>
        <w:t xml:space="preserve"> </w:t>
      </w:r>
      <w:r w:rsidRPr="000B0337">
        <w:rPr>
          <w:rFonts w:eastAsiaTheme="minorHAnsi" w:cs="Verdana"/>
        </w:rPr>
        <w:t>day infusion</w:t>
      </w:r>
      <w:r>
        <w:rPr>
          <w:rFonts w:eastAsiaTheme="minorHAnsi" w:cs="Verdana"/>
        </w:rPr>
        <w:t>.</w:t>
      </w:r>
      <w:r w:rsidR="001E4C4A">
        <w:rPr>
          <w:rFonts w:eastAsiaTheme="minorHAnsi" w:cs="Verdana"/>
        </w:rPr>
        <w:t xml:space="preserve"> </w:t>
      </w:r>
      <w:r w:rsidRPr="000B0337">
        <w:t>There are limited data to assess dose proportionality</w:t>
      </w:r>
      <w:r w:rsidR="001E4C4A">
        <w:t>.</w:t>
      </w:r>
    </w:p>
    <w:p w14:paraId="20B263E8" w14:textId="1643B6F0" w:rsidR="00545A26" w:rsidRDefault="00545A26" w:rsidP="00545A26">
      <w:r>
        <w:t>T</w:t>
      </w:r>
      <w:r w:rsidRPr="000B0337">
        <w:t xml:space="preserve">he expected metabolic pathway </w:t>
      </w:r>
      <w:r>
        <w:t xml:space="preserve">of a monoclonal antibody </w:t>
      </w:r>
      <w:r w:rsidRPr="000B0337">
        <w:t>is degradation to small peptides and individual amino acids by ubiquitous proteolytic enzymes.</w:t>
      </w:r>
      <w:r w:rsidR="001E4C4A">
        <w:t xml:space="preserve"> </w:t>
      </w:r>
      <w:r w:rsidRPr="000B0337">
        <w:rPr>
          <w:rFonts w:cs="Verdana"/>
        </w:rPr>
        <w:t>No excretion or metabolism studies have been submitted.</w:t>
      </w:r>
      <w:r w:rsidR="001E4C4A">
        <w:rPr>
          <w:rFonts w:cs="Verdana"/>
        </w:rPr>
        <w:t xml:space="preserve"> </w:t>
      </w:r>
      <w:r>
        <w:rPr>
          <w:rFonts w:eastAsiaTheme="minorHAnsi" w:cs="Verdana"/>
        </w:rPr>
        <w:t xml:space="preserve">In </w:t>
      </w:r>
      <w:r w:rsidR="006B3BFA">
        <w:rPr>
          <w:rFonts w:eastAsiaTheme="minorHAnsi" w:cs="Verdana"/>
        </w:rPr>
        <w:t>S</w:t>
      </w:r>
      <w:r>
        <w:rPr>
          <w:rFonts w:eastAsiaTheme="minorHAnsi" w:cs="Verdana"/>
        </w:rPr>
        <w:t xml:space="preserve">tudies </w:t>
      </w:r>
      <w:r w:rsidRPr="000B0337">
        <w:t>APN311-202 and -303,</w:t>
      </w:r>
      <w:r>
        <w:t xml:space="preserve"> the estimated </w:t>
      </w:r>
      <w:r w:rsidR="00014881" w:rsidRPr="00403393">
        <w:t>half-life (</w:t>
      </w:r>
      <w:r w:rsidRPr="00403393">
        <w:t>T</w:t>
      </w:r>
      <w:r w:rsidRPr="00403393">
        <w:rPr>
          <w:vertAlign w:val="subscript"/>
        </w:rPr>
        <w:t>1/2</w:t>
      </w:r>
      <w:r w:rsidR="00014881" w:rsidRPr="00403393">
        <w:t>)</w:t>
      </w:r>
      <w:r w:rsidRPr="00403393">
        <w:t xml:space="preserve"> was</w:t>
      </w:r>
      <w:r>
        <w:t xml:space="preserve"> around 190 hours.</w:t>
      </w:r>
    </w:p>
    <w:p w14:paraId="76AF88AE" w14:textId="77777777" w:rsidR="00545A26" w:rsidRDefault="00545A26" w:rsidP="00545A26">
      <w:r w:rsidRPr="00FA6BAA">
        <w:t>No PK interaction studies have been performed.</w:t>
      </w:r>
      <w:r w:rsidR="001E4C4A">
        <w:t xml:space="preserve"> </w:t>
      </w:r>
      <w:proofErr w:type="spellStart"/>
      <w:r>
        <w:t>Dinutuximab</w:t>
      </w:r>
      <w:proofErr w:type="spellEnd"/>
      <w:r>
        <w:t xml:space="preserve"> beta </w:t>
      </w:r>
      <w:r w:rsidRPr="00FA6BAA">
        <w:t>is considered to have a low potential for drug-drug interactions given its target and elimination profile.</w:t>
      </w:r>
    </w:p>
    <w:p w14:paraId="471B6D67" w14:textId="77777777" w:rsidR="001E4C4A" w:rsidRDefault="00545A26" w:rsidP="00545A26">
      <w:r w:rsidRPr="00FA6BAA">
        <w:t>There are no studies in patients with renal or hepatic impairment</w:t>
      </w:r>
      <w:r w:rsidR="001E4C4A">
        <w:t>.</w:t>
      </w:r>
    </w:p>
    <w:p w14:paraId="0240DB5E" w14:textId="1B7B94D1" w:rsidR="00545A26" w:rsidRPr="00FA6BAA" w:rsidRDefault="00545A26" w:rsidP="00545A26">
      <w:r>
        <w:t xml:space="preserve">The collection of further PK, PD and </w:t>
      </w:r>
      <w:r w:rsidRPr="00403393">
        <w:t>immunogenicity data is a Specific Obligation</w:t>
      </w:r>
      <w:r w:rsidR="001B5939" w:rsidRPr="00403393">
        <w:t xml:space="preserve"> following the </w:t>
      </w:r>
      <w:r w:rsidR="00E86D46" w:rsidRPr="00403393">
        <w:t>EU</w:t>
      </w:r>
      <w:r w:rsidRPr="00403393">
        <w:t xml:space="preserve"> Marketing Authorisation under </w:t>
      </w:r>
      <w:r w:rsidR="000C7CFF" w:rsidRPr="00403393">
        <w:t xml:space="preserve">‘exceptional </w:t>
      </w:r>
      <w:r w:rsidRPr="00403393">
        <w:t>circumstances</w:t>
      </w:r>
      <w:r w:rsidR="000C7CFF" w:rsidRPr="00403393">
        <w:t>’</w:t>
      </w:r>
      <w:r w:rsidRPr="00403393">
        <w:t>.</w:t>
      </w:r>
      <w:r w:rsidR="007D6D73">
        <w:fldChar w:fldCharType="begin"/>
      </w:r>
      <w:r w:rsidR="007D6D73">
        <w:instrText xml:space="preserve"> NOTEREF _Ref40028592 \f \h </w:instrText>
      </w:r>
      <w:r w:rsidR="007D6D73">
        <w:fldChar w:fldCharType="separate"/>
      </w:r>
      <w:r w:rsidR="004942AB" w:rsidRPr="004942AB">
        <w:rPr>
          <w:rStyle w:val="FootnoteReference"/>
        </w:rPr>
        <w:t>9</w:t>
      </w:r>
      <w:r w:rsidR="007D6D73">
        <w:fldChar w:fldCharType="end"/>
      </w:r>
    </w:p>
    <w:p w14:paraId="0D2C5B8D" w14:textId="7B17C280" w:rsidR="00545A26" w:rsidRPr="00AA53F4" w:rsidRDefault="00545A26" w:rsidP="00545A26">
      <w:pPr>
        <w:pStyle w:val="Heading5"/>
      </w:pPr>
      <w:r w:rsidRPr="00AA53F4">
        <w:lastRenderedPageBreak/>
        <w:t xml:space="preserve">Population </w:t>
      </w:r>
      <w:r w:rsidR="00E16DE7">
        <w:t>pharmacokinetics</w:t>
      </w:r>
      <w:r w:rsidRPr="00AA53F4">
        <w:t xml:space="preserve"> data</w:t>
      </w:r>
    </w:p>
    <w:p w14:paraId="79C0DEC1" w14:textId="6C15612E" w:rsidR="001E4C4A" w:rsidRDefault="00545A26" w:rsidP="00545A26">
      <w:pPr>
        <w:rPr>
          <w:rFonts w:cs="Arial"/>
        </w:rPr>
      </w:pPr>
      <w:r w:rsidRPr="007661D7">
        <w:t xml:space="preserve">A population PK analysis was conducted on data from </w:t>
      </w:r>
      <w:r w:rsidR="000E7B5F">
        <w:t>S</w:t>
      </w:r>
      <w:r w:rsidR="006E55E2">
        <w:t xml:space="preserve">tudies APN-311-101, -202, and </w:t>
      </w:r>
      <w:r w:rsidR="006E55E2">
        <w:noBreakHyphen/>
      </w:r>
      <w:r w:rsidRPr="007661D7">
        <w:t>303.</w:t>
      </w:r>
      <w:r w:rsidR="001E4C4A">
        <w:t xml:space="preserve"> </w:t>
      </w:r>
      <w:r w:rsidRPr="007661D7">
        <w:t xml:space="preserve">Covariates investigated </w:t>
      </w:r>
      <w:r w:rsidRPr="00FA0F93">
        <w:t xml:space="preserve">included </w:t>
      </w:r>
      <w:r w:rsidRPr="00FA0F93">
        <w:rPr>
          <w:rFonts w:eastAsiaTheme="minorHAnsi" w:cs="Verdana"/>
        </w:rPr>
        <w:t xml:space="preserve">markers of renal and liver function, gender, age, body weight, </w:t>
      </w:r>
      <w:r w:rsidR="00FA0F93" w:rsidRPr="005D6882">
        <w:rPr>
          <w:rFonts w:eastAsiaTheme="minorHAnsi" w:cs="Verdana"/>
        </w:rPr>
        <w:t>body surface area (</w:t>
      </w:r>
      <w:r w:rsidRPr="005D6882">
        <w:rPr>
          <w:rFonts w:eastAsiaTheme="minorHAnsi" w:cs="Verdana"/>
        </w:rPr>
        <w:t>BSA</w:t>
      </w:r>
      <w:r w:rsidR="00FA0F93" w:rsidRPr="005D6882">
        <w:rPr>
          <w:rFonts w:eastAsiaTheme="minorHAnsi" w:cs="Verdana"/>
        </w:rPr>
        <w:t>)</w:t>
      </w:r>
      <w:r w:rsidRPr="005D6882">
        <w:rPr>
          <w:rFonts w:eastAsiaTheme="minorHAnsi" w:cs="Verdana"/>
        </w:rPr>
        <w:t xml:space="preserve">, </w:t>
      </w:r>
      <w:r w:rsidR="00FA0F93" w:rsidRPr="005D6882">
        <w:rPr>
          <w:rFonts w:eastAsiaTheme="minorHAnsi" w:cs="Verdana"/>
        </w:rPr>
        <w:t>anti-drug antibody (</w:t>
      </w:r>
      <w:r w:rsidRPr="005D6882">
        <w:rPr>
          <w:rFonts w:eastAsiaTheme="minorHAnsi" w:cs="Verdana"/>
        </w:rPr>
        <w:t>ADA</w:t>
      </w:r>
      <w:r w:rsidR="00FA0F93" w:rsidRPr="005D6882">
        <w:rPr>
          <w:rFonts w:eastAsiaTheme="minorHAnsi" w:cs="Verdana"/>
        </w:rPr>
        <w:t>)</w:t>
      </w:r>
      <w:r w:rsidRPr="005D6882">
        <w:rPr>
          <w:rFonts w:eastAsiaTheme="minorHAnsi" w:cs="Verdana"/>
        </w:rPr>
        <w:t>,</w:t>
      </w:r>
      <w:r w:rsidRPr="00FA0F93">
        <w:rPr>
          <w:rFonts w:eastAsiaTheme="minorHAnsi" w:cs="Verdana"/>
        </w:rPr>
        <w:t xml:space="preserve"> infusion length and cycle number</w:t>
      </w:r>
      <w:r w:rsidRPr="00FA0F93">
        <w:t>.</w:t>
      </w:r>
      <w:r w:rsidR="001E4C4A" w:rsidRPr="00FA0F93">
        <w:t xml:space="preserve"> </w:t>
      </w:r>
      <w:r w:rsidRPr="00FA0F93">
        <w:rPr>
          <w:rFonts w:eastAsiaTheme="minorHAnsi" w:cs="Arial"/>
        </w:rPr>
        <w:t>Markers for renal (</w:t>
      </w:r>
      <w:r w:rsidR="00FA0F93" w:rsidRPr="00FA0F93">
        <w:rPr>
          <w:rFonts w:eastAsiaTheme="minorHAnsi" w:cs="Arial"/>
        </w:rPr>
        <w:t>esti</w:t>
      </w:r>
      <w:r w:rsidR="00D55B7A">
        <w:rPr>
          <w:rFonts w:eastAsiaTheme="minorHAnsi" w:cs="Arial"/>
        </w:rPr>
        <w:t xml:space="preserve">mated </w:t>
      </w:r>
      <w:r w:rsidR="00CC2F84">
        <w:rPr>
          <w:rFonts w:eastAsiaTheme="minorHAnsi" w:cs="Arial"/>
        </w:rPr>
        <w:t>glomerular filtration rate</w:t>
      </w:r>
      <w:r w:rsidRPr="00FA0F93">
        <w:rPr>
          <w:rFonts w:eastAsiaTheme="minorHAnsi" w:cs="Arial"/>
        </w:rPr>
        <w:t>) and hepatic (bilirubin) function did not show a relationship with exposure.</w:t>
      </w:r>
      <w:r w:rsidR="001E4C4A" w:rsidRPr="00FA0F93">
        <w:rPr>
          <w:rFonts w:eastAsiaTheme="minorHAnsi" w:cs="Arial"/>
        </w:rPr>
        <w:t xml:space="preserve"> </w:t>
      </w:r>
      <w:r w:rsidRPr="00FA0F93">
        <w:rPr>
          <w:rFonts w:asciiTheme="minorHAnsi" w:eastAsiaTheme="minorHAnsi" w:hAnsiTheme="minorHAnsi" w:cs="Verdana"/>
        </w:rPr>
        <w:t>The</w:t>
      </w:r>
      <w:r w:rsidRPr="00F67924">
        <w:rPr>
          <w:rFonts w:asciiTheme="minorHAnsi" w:eastAsiaTheme="minorHAnsi" w:hAnsiTheme="minorHAnsi" w:cs="Verdana"/>
        </w:rPr>
        <w:t xml:space="preserve"> relationship for weight </w:t>
      </w:r>
      <w:r>
        <w:rPr>
          <w:rFonts w:asciiTheme="minorHAnsi" w:eastAsiaTheme="minorHAnsi" w:hAnsiTheme="minorHAnsi" w:cs="Verdana"/>
        </w:rPr>
        <w:t>wa</w:t>
      </w:r>
      <w:r w:rsidRPr="00F67924">
        <w:rPr>
          <w:rFonts w:asciiTheme="minorHAnsi" w:eastAsiaTheme="minorHAnsi" w:hAnsiTheme="minorHAnsi" w:cs="Verdana"/>
        </w:rPr>
        <w:t>s consistent with dosing on a mg/m</w:t>
      </w:r>
      <w:r w:rsidRPr="00F67924">
        <w:rPr>
          <w:rFonts w:asciiTheme="minorHAnsi" w:eastAsiaTheme="minorHAnsi" w:hAnsiTheme="minorHAnsi" w:cs="Verdana"/>
          <w:vertAlign w:val="superscript"/>
        </w:rPr>
        <w:t>2</w:t>
      </w:r>
      <w:r w:rsidRPr="00F67924">
        <w:rPr>
          <w:rFonts w:asciiTheme="minorHAnsi" w:eastAsiaTheme="minorHAnsi" w:hAnsiTheme="minorHAnsi" w:cs="Verdana"/>
        </w:rPr>
        <w:t xml:space="preserve"> basis.</w:t>
      </w:r>
      <w:r w:rsidR="001E4C4A">
        <w:rPr>
          <w:rFonts w:asciiTheme="minorHAnsi" w:eastAsiaTheme="minorHAnsi" w:hAnsiTheme="minorHAnsi" w:cs="Verdana"/>
        </w:rPr>
        <w:t xml:space="preserve"> </w:t>
      </w:r>
      <w:r w:rsidRPr="007661D7">
        <w:rPr>
          <w:rFonts w:cs="Arial"/>
        </w:rPr>
        <w:t xml:space="preserve">Gender and age were not found to influence the PK of </w:t>
      </w:r>
      <w:proofErr w:type="spellStart"/>
      <w:r w:rsidRPr="007661D7">
        <w:rPr>
          <w:rFonts w:cs="Arial"/>
        </w:rPr>
        <w:t>dinutuximab</w:t>
      </w:r>
      <w:proofErr w:type="spellEnd"/>
      <w:r w:rsidRPr="007661D7">
        <w:rPr>
          <w:rFonts w:cs="Arial"/>
        </w:rPr>
        <w:t xml:space="preserve"> beta, but data in children less than 2 years of age are very limited</w:t>
      </w:r>
      <w:r w:rsidR="001E4C4A">
        <w:rPr>
          <w:rFonts w:cs="Arial"/>
        </w:rPr>
        <w:t>.</w:t>
      </w:r>
    </w:p>
    <w:p w14:paraId="772E7B3A" w14:textId="77777777" w:rsidR="00545A26" w:rsidRDefault="00FA0F93" w:rsidP="00545A26">
      <w:pPr>
        <w:pStyle w:val="Heading5"/>
      </w:pPr>
      <w:r>
        <w:t>Pharmacodynamics</w:t>
      </w:r>
    </w:p>
    <w:p w14:paraId="4D3A4AFE" w14:textId="77777777" w:rsidR="00545A26" w:rsidRDefault="00545A26" w:rsidP="00545A26">
      <w:pPr>
        <w:autoSpaceDE w:val="0"/>
        <w:autoSpaceDN w:val="0"/>
        <w:adjustRightInd w:val="0"/>
        <w:spacing w:before="0" w:after="0" w:line="240" w:lineRule="auto"/>
        <w:rPr>
          <w:rFonts w:asciiTheme="minorHAnsi" w:eastAsiaTheme="minorHAnsi" w:hAnsiTheme="minorHAnsi" w:cs="Verdana"/>
        </w:rPr>
      </w:pPr>
      <w:r w:rsidRPr="000E7D95">
        <w:rPr>
          <w:rFonts w:asciiTheme="minorHAnsi" w:hAnsiTheme="minorHAnsi"/>
        </w:rPr>
        <w:t>PD parameters</w:t>
      </w:r>
      <w:r>
        <w:rPr>
          <w:rFonts w:asciiTheme="minorHAnsi" w:hAnsiTheme="minorHAnsi"/>
        </w:rPr>
        <w:t xml:space="preserve"> assessing the proliferation and activation of immune cells and </w:t>
      </w:r>
      <w:proofErr w:type="spellStart"/>
      <w:r>
        <w:rPr>
          <w:rFonts w:asciiTheme="minorHAnsi" w:hAnsiTheme="minorHAnsi"/>
        </w:rPr>
        <w:t>cytolytic</w:t>
      </w:r>
      <w:proofErr w:type="spellEnd"/>
      <w:r>
        <w:rPr>
          <w:rFonts w:asciiTheme="minorHAnsi" w:hAnsiTheme="minorHAnsi"/>
        </w:rPr>
        <w:t xml:space="preserve"> effects on tumour cells were</w:t>
      </w:r>
      <w:r w:rsidRPr="000E7D95">
        <w:rPr>
          <w:rFonts w:asciiTheme="minorHAnsi" w:hAnsiTheme="minorHAnsi"/>
        </w:rPr>
        <w:t xml:space="preserve"> investigated as secondary endpoints in </w:t>
      </w:r>
      <w:r>
        <w:rPr>
          <w:rFonts w:asciiTheme="minorHAnsi" w:hAnsiTheme="minorHAnsi"/>
        </w:rPr>
        <w:t xml:space="preserve">the </w:t>
      </w:r>
      <w:r w:rsidRPr="000E7D95">
        <w:rPr>
          <w:rFonts w:asciiTheme="minorHAnsi" w:hAnsiTheme="minorHAnsi"/>
        </w:rPr>
        <w:t>clinical studies.</w:t>
      </w:r>
      <w:r w:rsidR="001E4C4A">
        <w:rPr>
          <w:rFonts w:asciiTheme="minorHAnsi" w:hAnsiTheme="minorHAnsi"/>
        </w:rPr>
        <w:t xml:space="preserve"> </w:t>
      </w:r>
      <w:proofErr w:type="spellStart"/>
      <w:r>
        <w:rPr>
          <w:rFonts w:asciiTheme="minorHAnsi" w:eastAsiaTheme="minorHAnsi" w:hAnsiTheme="minorHAnsi" w:cs="Verdana"/>
        </w:rPr>
        <w:t>C</w:t>
      </w:r>
      <w:r w:rsidRPr="000E7D95">
        <w:rPr>
          <w:rFonts w:asciiTheme="minorHAnsi" w:eastAsiaTheme="minorHAnsi" w:hAnsiTheme="minorHAnsi" w:cs="Verdana"/>
        </w:rPr>
        <w:t>ytolyti</w:t>
      </w:r>
      <w:r>
        <w:rPr>
          <w:rFonts w:asciiTheme="minorHAnsi" w:eastAsiaTheme="minorHAnsi" w:hAnsiTheme="minorHAnsi" w:cs="Verdana"/>
        </w:rPr>
        <w:t>c</w:t>
      </w:r>
      <w:proofErr w:type="spellEnd"/>
      <w:r>
        <w:rPr>
          <w:rFonts w:asciiTheme="minorHAnsi" w:eastAsiaTheme="minorHAnsi" w:hAnsiTheme="minorHAnsi" w:cs="Verdana"/>
        </w:rPr>
        <w:t xml:space="preserve"> activity was durably elevated following treatment with </w:t>
      </w:r>
      <w:proofErr w:type="spellStart"/>
      <w:r>
        <w:rPr>
          <w:rFonts w:asciiTheme="minorHAnsi" w:eastAsiaTheme="minorHAnsi" w:hAnsiTheme="minorHAnsi" w:cs="Verdana"/>
        </w:rPr>
        <w:t>dinutuximab</w:t>
      </w:r>
      <w:proofErr w:type="spellEnd"/>
      <w:r>
        <w:rPr>
          <w:rFonts w:asciiTheme="minorHAnsi" w:eastAsiaTheme="minorHAnsi" w:hAnsiTheme="minorHAnsi" w:cs="Verdana"/>
        </w:rPr>
        <w:t xml:space="preserve"> beta</w:t>
      </w:r>
      <w:r w:rsidRPr="000E7D95">
        <w:rPr>
          <w:rFonts w:asciiTheme="minorHAnsi" w:eastAsiaTheme="minorHAnsi" w:hAnsiTheme="minorHAnsi" w:cs="Verdana"/>
        </w:rPr>
        <w:t>.</w:t>
      </w:r>
      <w:r w:rsidR="001E4C4A">
        <w:rPr>
          <w:rFonts w:asciiTheme="minorHAnsi" w:eastAsiaTheme="minorHAnsi" w:hAnsiTheme="minorHAnsi" w:cs="Verdana"/>
        </w:rPr>
        <w:t xml:space="preserve"> </w:t>
      </w:r>
      <w:r>
        <w:rPr>
          <w:rFonts w:asciiTheme="minorHAnsi" w:eastAsiaTheme="minorHAnsi" w:hAnsiTheme="minorHAnsi" w:cs="Verdana"/>
        </w:rPr>
        <w:t xml:space="preserve">The studies are limited in their capacity to differentiate the PD effects of </w:t>
      </w:r>
      <w:proofErr w:type="spellStart"/>
      <w:r>
        <w:rPr>
          <w:rFonts w:asciiTheme="minorHAnsi" w:eastAsiaTheme="minorHAnsi" w:hAnsiTheme="minorHAnsi" w:cs="Verdana"/>
        </w:rPr>
        <w:t>dinutuximab</w:t>
      </w:r>
      <w:proofErr w:type="spellEnd"/>
      <w:r>
        <w:rPr>
          <w:rFonts w:asciiTheme="minorHAnsi" w:eastAsiaTheme="minorHAnsi" w:hAnsiTheme="minorHAnsi" w:cs="Verdana"/>
        </w:rPr>
        <w:t xml:space="preserve"> beta and IL-2.</w:t>
      </w:r>
      <w:r w:rsidR="001E4C4A">
        <w:rPr>
          <w:rFonts w:asciiTheme="minorHAnsi" w:eastAsiaTheme="minorHAnsi" w:hAnsiTheme="minorHAnsi" w:cs="Verdana"/>
        </w:rPr>
        <w:t xml:space="preserve"> </w:t>
      </w:r>
      <w:r>
        <w:rPr>
          <w:rFonts w:asciiTheme="minorHAnsi" w:eastAsiaTheme="minorHAnsi" w:hAnsiTheme="minorHAnsi" w:cs="Verdana"/>
        </w:rPr>
        <w:t>Exposure data were not sufficiently robust to evaluate the relationship between drug concentration and PD effects.</w:t>
      </w:r>
      <w:r w:rsidR="001E4C4A">
        <w:rPr>
          <w:rFonts w:asciiTheme="minorHAnsi" w:eastAsiaTheme="minorHAnsi" w:hAnsiTheme="minorHAnsi" w:cs="Verdana"/>
        </w:rPr>
        <w:t xml:space="preserve"> </w:t>
      </w:r>
      <w:r>
        <w:rPr>
          <w:rFonts w:asciiTheme="minorHAnsi" w:eastAsiaTheme="minorHAnsi" w:hAnsiTheme="minorHAnsi" w:cs="Verdana"/>
        </w:rPr>
        <w:t>Human anti</w:t>
      </w:r>
      <w:r w:rsidR="005E27EC">
        <w:rPr>
          <w:rFonts w:asciiTheme="minorHAnsi" w:eastAsiaTheme="minorHAnsi" w:hAnsiTheme="minorHAnsi" w:cs="Verdana"/>
        </w:rPr>
        <w:t>-</w:t>
      </w:r>
      <w:r>
        <w:rPr>
          <w:rFonts w:asciiTheme="minorHAnsi" w:eastAsiaTheme="minorHAnsi" w:hAnsiTheme="minorHAnsi" w:cs="Verdana"/>
        </w:rPr>
        <w:t>chimeric antibodies (</w:t>
      </w:r>
      <w:r w:rsidR="005E27EC" w:rsidRPr="005E27EC">
        <w:rPr>
          <w:rFonts w:asciiTheme="minorHAnsi" w:eastAsiaTheme="minorHAnsi" w:hAnsiTheme="minorHAnsi" w:cs="Verdana"/>
        </w:rPr>
        <w:t>HACAs) or ADAs</w:t>
      </w:r>
      <w:r w:rsidRPr="005E27EC">
        <w:rPr>
          <w:rFonts w:asciiTheme="minorHAnsi" w:eastAsiaTheme="minorHAnsi" w:hAnsiTheme="minorHAnsi" w:cs="Verdana"/>
        </w:rPr>
        <w:t xml:space="preserve"> were detected in 62% of patients, but their effect on PK and PD outcomes</w:t>
      </w:r>
      <w:r>
        <w:rPr>
          <w:rFonts w:asciiTheme="minorHAnsi" w:eastAsiaTheme="minorHAnsi" w:hAnsiTheme="minorHAnsi" w:cs="Verdana"/>
        </w:rPr>
        <w:t xml:space="preserve"> is uncertain.</w:t>
      </w:r>
    </w:p>
    <w:p w14:paraId="505BD3E8" w14:textId="77777777" w:rsidR="00545A26" w:rsidRDefault="00545A26" w:rsidP="00545A26">
      <w:pPr>
        <w:pStyle w:val="Heading4"/>
      </w:pPr>
      <w:r w:rsidRPr="00AA53F4">
        <w:t>Efficacy</w:t>
      </w:r>
    </w:p>
    <w:p w14:paraId="6DDD38C1" w14:textId="77777777" w:rsidR="00545A26" w:rsidRDefault="00545A26" w:rsidP="00545A26">
      <w:pPr>
        <w:pStyle w:val="Heading5"/>
      </w:pPr>
      <w:r w:rsidRPr="00AA53F4">
        <w:t xml:space="preserve">Study </w:t>
      </w:r>
      <w:r>
        <w:t>APN311-303</w:t>
      </w:r>
    </w:p>
    <w:p w14:paraId="5AD73D45" w14:textId="7369CE86" w:rsidR="00545A26" w:rsidRPr="00862AF6" w:rsidRDefault="006E55E2" w:rsidP="00545A26">
      <w:r>
        <w:t xml:space="preserve">Study </w:t>
      </w:r>
      <w:r w:rsidR="00545A26" w:rsidRPr="00862AF6">
        <w:t xml:space="preserve">APN311-303 </w:t>
      </w:r>
      <w:r w:rsidR="00545A26">
        <w:t xml:space="preserve">is </w:t>
      </w:r>
      <w:r w:rsidR="00545A26" w:rsidRPr="00862AF6">
        <w:t xml:space="preserve">an open-label, uncontrolled, retrospective data collection from the compassionate use of </w:t>
      </w:r>
      <w:proofErr w:type="spellStart"/>
      <w:r w:rsidR="00545A26" w:rsidRPr="00862AF6">
        <w:t>dinutuximab</w:t>
      </w:r>
      <w:proofErr w:type="spellEnd"/>
      <w:r w:rsidR="00545A26" w:rsidRPr="00862AF6">
        <w:t xml:space="preserve"> beta in a single centre</w:t>
      </w:r>
      <w:r w:rsidR="00545A26">
        <w:t xml:space="preserve"> in Germany</w:t>
      </w:r>
      <w:r w:rsidR="00545A26" w:rsidRPr="00862AF6">
        <w:t>.</w:t>
      </w:r>
      <w:r w:rsidR="001E4C4A">
        <w:t xml:space="preserve"> </w:t>
      </w:r>
      <w:r w:rsidR="00545A26">
        <w:t xml:space="preserve">Patients eligible for compassionate use treatment had to be aged </w:t>
      </w:r>
      <w:r w:rsidR="00F03EFF">
        <w:t>≥</w:t>
      </w:r>
      <w:r w:rsidR="00A67B96">
        <w:t xml:space="preserve"> </w:t>
      </w:r>
      <w:r w:rsidR="00545A26">
        <w:t>1 and ≤</w:t>
      </w:r>
      <w:r w:rsidR="00A67B96">
        <w:t xml:space="preserve"> </w:t>
      </w:r>
      <w:r w:rsidR="00545A26">
        <w:t xml:space="preserve">45 years, and be diagnosed with high-risk </w:t>
      </w:r>
      <w:proofErr w:type="spellStart"/>
      <w:r w:rsidR="00545A26">
        <w:t>neuroblastoma</w:t>
      </w:r>
      <w:proofErr w:type="spellEnd"/>
      <w:r w:rsidR="00545A26">
        <w:t xml:space="preserve"> according to </w:t>
      </w:r>
      <w:r w:rsidR="00773B38">
        <w:t xml:space="preserve">International </w:t>
      </w:r>
      <w:proofErr w:type="spellStart"/>
      <w:r w:rsidR="00773B38">
        <w:t>Neuroblastoma</w:t>
      </w:r>
      <w:proofErr w:type="spellEnd"/>
      <w:r w:rsidR="00773B38">
        <w:t xml:space="preserve"> Staging System (</w:t>
      </w:r>
      <w:r w:rsidR="00545A26">
        <w:t>INSS</w:t>
      </w:r>
      <w:r w:rsidR="00773B38">
        <w:t>)</w:t>
      </w:r>
      <w:r w:rsidR="00545A26">
        <w:t xml:space="preserve"> criteria, or relapsed or refractory </w:t>
      </w:r>
      <w:proofErr w:type="spellStart"/>
      <w:r w:rsidR="00545A26">
        <w:t>neuroblastoma</w:t>
      </w:r>
      <w:proofErr w:type="spellEnd"/>
      <w:r w:rsidR="00545A26">
        <w:t>.</w:t>
      </w:r>
      <w:r w:rsidR="00773B38">
        <w:t xml:space="preserve"> Fifty four</w:t>
      </w:r>
      <w:r w:rsidR="00545A26" w:rsidRPr="00862AF6">
        <w:rPr>
          <w:rFonts w:eastAsiaTheme="minorHAnsi" w:cs="Verdana"/>
        </w:rPr>
        <w:t xml:space="preserve"> patients were enrolled and treated between November 2009 and August 2013.</w:t>
      </w:r>
    </w:p>
    <w:p w14:paraId="0E567555" w14:textId="3BC4976C" w:rsidR="00545A26" w:rsidRPr="001331D7" w:rsidRDefault="00545A26" w:rsidP="00545A26">
      <w:pPr>
        <w:rPr>
          <w:rFonts w:asciiTheme="minorHAnsi" w:hAnsiTheme="minorHAnsi"/>
        </w:rPr>
      </w:pPr>
      <w:r w:rsidRPr="001331D7">
        <w:rPr>
          <w:rFonts w:asciiTheme="minorHAnsi" w:hAnsiTheme="minorHAnsi"/>
        </w:rPr>
        <w:t xml:space="preserve">The primary objective of </w:t>
      </w:r>
      <w:r w:rsidR="000E7B5F">
        <w:rPr>
          <w:rFonts w:asciiTheme="minorHAnsi" w:hAnsiTheme="minorHAnsi"/>
        </w:rPr>
        <w:t xml:space="preserve">Study </w:t>
      </w:r>
      <w:r w:rsidRPr="001331D7">
        <w:rPr>
          <w:rFonts w:asciiTheme="minorHAnsi" w:hAnsiTheme="minorHAnsi"/>
        </w:rPr>
        <w:t xml:space="preserve">APN311-303 was to evaluate retrospectively the safety and pain-toxicity profile of prolonged continuous infusion of </w:t>
      </w:r>
      <w:proofErr w:type="spellStart"/>
      <w:r>
        <w:rPr>
          <w:rFonts w:asciiTheme="minorHAnsi" w:hAnsiTheme="minorHAnsi"/>
        </w:rPr>
        <w:t>dinutuximab</w:t>
      </w:r>
      <w:proofErr w:type="spellEnd"/>
      <w:r>
        <w:rPr>
          <w:rFonts w:asciiTheme="minorHAnsi" w:hAnsiTheme="minorHAnsi"/>
        </w:rPr>
        <w:t xml:space="preserve"> beta </w:t>
      </w:r>
      <w:r w:rsidRPr="001331D7">
        <w:rPr>
          <w:rFonts w:asciiTheme="minorHAnsi" w:hAnsiTheme="minorHAnsi"/>
        </w:rPr>
        <w:t xml:space="preserve">in combination with </w:t>
      </w:r>
      <w:r w:rsidR="00F654F3">
        <w:rPr>
          <w:rFonts w:asciiTheme="minorHAnsi" w:hAnsiTheme="minorHAnsi"/>
        </w:rPr>
        <w:t>subcutaneous</w:t>
      </w:r>
      <w:r w:rsidRPr="001331D7">
        <w:rPr>
          <w:rFonts w:asciiTheme="minorHAnsi" w:hAnsiTheme="minorHAnsi"/>
        </w:rPr>
        <w:t xml:space="preserve"> </w:t>
      </w:r>
      <w:r w:rsidR="00D24431">
        <w:rPr>
          <w:rFonts w:asciiTheme="minorHAnsi" w:hAnsiTheme="minorHAnsi"/>
        </w:rPr>
        <w:t>IL-2 and oral 13-cis-RA</w:t>
      </w:r>
      <w:r w:rsidRPr="001331D7">
        <w:rPr>
          <w:rFonts w:asciiTheme="minorHAnsi" w:hAnsiTheme="minorHAnsi"/>
        </w:rPr>
        <w:t>.</w:t>
      </w:r>
      <w:r w:rsidR="001E4C4A">
        <w:rPr>
          <w:rFonts w:asciiTheme="minorHAnsi" w:hAnsiTheme="minorHAnsi"/>
        </w:rPr>
        <w:t xml:space="preserve"> </w:t>
      </w:r>
      <w:r w:rsidRPr="001331D7">
        <w:rPr>
          <w:rFonts w:asciiTheme="minorHAnsi" w:hAnsiTheme="minorHAnsi"/>
        </w:rPr>
        <w:t xml:space="preserve">Secondary objectives included the retrospective evaluation of tumour response through clinical </w:t>
      </w:r>
      <w:r w:rsidR="005D6882" w:rsidRPr="00041CFB">
        <w:rPr>
          <w:rFonts w:asciiTheme="minorHAnsi" w:hAnsiTheme="minorHAnsi"/>
        </w:rPr>
        <w:t>assessment (computed tomography/magnetic resonance imaging</w:t>
      </w:r>
      <w:r w:rsidR="00CC2F84">
        <w:rPr>
          <w:rFonts w:asciiTheme="minorHAnsi" w:hAnsiTheme="minorHAnsi"/>
        </w:rPr>
        <w:t xml:space="preserve">; </w:t>
      </w:r>
      <w:r w:rsidR="004C4BB1" w:rsidRPr="004C4BB1">
        <w:rPr>
          <w:rFonts w:asciiTheme="minorHAnsi" w:hAnsiTheme="minorHAnsi"/>
          <w:vertAlign w:val="superscript"/>
        </w:rPr>
        <w:t>123</w:t>
      </w:r>
      <w:r w:rsidR="005D6882" w:rsidRPr="00CC2F84">
        <w:rPr>
          <w:rFonts w:asciiTheme="minorHAnsi" w:hAnsiTheme="minorHAnsi"/>
        </w:rPr>
        <w:t>iodine</w:t>
      </w:r>
      <w:r w:rsidR="005D6882" w:rsidRPr="00041CFB">
        <w:rPr>
          <w:rFonts w:asciiTheme="minorHAnsi" w:hAnsiTheme="minorHAnsi"/>
        </w:rPr>
        <w:t>-meta-iodobenzylguanidine</w:t>
      </w:r>
      <w:r w:rsidRPr="00041CFB">
        <w:rPr>
          <w:rFonts w:asciiTheme="minorHAnsi" w:hAnsiTheme="minorHAnsi"/>
        </w:rPr>
        <w:t>, bone marrow examination) in pat</w:t>
      </w:r>
      <w:r w:rsidR="00D24431" w:rsidRPr="00041CFB">
        <w:rPr>
          <w:rFonts w:asciiTheme="minorHAnsi" w:hAnsiTheme="minorHAnsi"/>
        </w:rPr>
        <w:t>ients with measurable</w:t>
      </w:r>
      <w:r w:rsidR="00D24431">
        <w:rPr>
          <w:rFonts w:asciiTheme="minorHAnsi" w:hAnsiTheme="minorHAnsi"/>
        </w:rPr>
        <w:t xml:space="preserve"> disease, o</w:t>
      </w:r>
      <w:r>
        <w:rPr>
          <w:rFonts w:asciiTheme="minorHAnsi" w:hAnsiTheme="minorHAnsi"/>
        </w:rPr>
        <w:t xml:space="preserve">verall </w:t>
      </w:r>
      <w:r w:rsidR="00D24431">
        <w:rPr>
          <w:rFonts w:asciiTheme="minorHAnsi" w:hAnsiTheme="minorHAnsi"/>
        </w:rPr>
        <w:t>s</w:t>
      </w:r>
      <w:r>
        <w:rPr>
          <w:rFonts w:asciiTheme="minorHAnsi" w:hAnsiTheme="minorHAnsi"/>
        </w:rPr>
        <w:t>urvival</w:t>
      </w:r>
      <w:r w:rsidR="008D4A71">
        <w:rPr>
          <w:rFonts w:asciiTheme="minorHAnsi" w:hAnsiTheme="minorHAnsi"/>
        </w:rPr>
        <w:t xml:space="preserve"> (OS)</w:t>
      </w:r>
      <w:r w:rsidR="00D24431">
        <w:rPr>
          <w:rFonts w:asciiTheme="minorHAnsi" w:hAnsiTheme="minorHAnsi"/>
        </w:rPr>
        <w:t>, and event-free s</w:t>
      </w:r>
      <w:r w:rsidRPr="001331D7">
        <w:rPr>
          <w:rFonts w:asciiTheme="minorHAnsi" w:hAnsiTheme="minorHAnsi"/>
        </w:rPr>
        <w:t>urvival (EFS), as well as PD and PK endpoints.</w:t>
      </w:r>
    </w:p>
    <w:p w14:paraId="25DFFB9F" w14:textId="10F59360" w:rsidR="001E4C4A" w:rsidRDefault="00545A26" w:rsidP="00545A26">
      <w:pPr>
        <w:rPr>
          <w:rFonts w:asciiTheme="minorHAnsi" w:eastAsiaTheme="minorHAnsi" w:hAnsiTheme="minorHAnsi"/>
        </w:rPr>
      </w:pPr>
      <w:r w:rsidRPr="001331D7">
        <w:rPr>
          <w:rFonts w:asciiTheme="minorHAnsi" w:eastAsiaTheme="minorHAnsi" w:hAnsiTheme="minorHAnsi"/>
        </w:rPr>
        <w:t xml:space="preserve">The study included patients with relapsed </w:t>
      </w:r>
      <w:proofErr w:type="spellStart"/>
      <w:r w:rsidRPr="001331D7">
        <w:rPr>
          <w:rFonts w:asciiTheme="minorHAnsi" w:eastAsiaTheme="minorHAnsi" w:hAnsiTheme="minorHAnsi"/>
        </w:rPr>
        <w:t>neuroblastoma</w:t>
      </w:r>
      <w:proofErr w:type="spellEnd"/>
      <w:r>
        <w:rPr>
          <w:rFonts w:asciiTheme="minorHAnsi" w:eastAsiaTheme="minorHAnsi" w:hAnsiTheme="minorHAnsi"/>
        </w:rPr>
        <w:t xml:space="preserve"> (N</w:t>
      </w:r>
      <w:r w:rsidR="000E7B5F">
        <w:rPr>
          <w:rFonts w:asciiTheme="minorHAnsi" w:eastAsiaTheme="minorHAnsi" w:hAnsiTheme="minorHAnsi"/>
        </w:rPr>
        <w:t xml:space="preserve"> </w:t>
      </w:r>
      <w:r>
        <w:rPr>
          <w:rFonts w:asciiTheme="minorHAnsi" w:eastAsiaTheme="minorHAnsi" w:hAnsiTheme="minorHAnsi"/>
        </w:rPr>
        <w:t>=</w:t>
      </w:r>
      <w:r w:rsidR="000E7B5F">
        <w:rPr>
          <w:rFonts w:asciiTheme="minorHAnsi" w:eastAsiaTheme="minorHAnsi" w:hAnsiTheme="minorHAnsi"/>
        </w:rPr>
        <w:t xml:space="preserve"> </w:t>
      </w:r>
      <w:r>
        <w:rPr>
          <w:rFonts w:asciiTheme="minorHAnsi" w:eastAsiaTheme="minorHAnsi" w:hAnsiTheme="minorHAnsi"/>
        </w:rPr>
        <w:t xml:space="preserve">30), </w:t>
      </w:r>
      <w:r w:rsidRPr="001331D7">
        <w:rPr>
          <w:rFonts w:asciiTheme="minorHAnsi" w:eastAsiaTheme="minorHAnsi" w:hAnsiTheme="minorHAnsi"/>
        </w:rPr>
        <w:t xml:space="preserve">primary refractory </w:t>
      </w:r>
      <w:proofErr w:type="spellStart"/>
      <w:r w:rsidRPr="001331D7">
        <w:rPr>
          <w:rFonts w:asciiTheme="minorHAnsi" w:eastAsiaTheme="minorHAnsi" w:hAnsiTheme="minorHAnsi"/>
        </w:rPr>
        <w:t>neuroblasto</w:t>
      </w:r>
      <w:r w:rsidR="00D24431">
        <w:rPr>
          <w:rFonts w:asciiTheme="minorHAnsi" w:eastAsiaTheme="minorHAnsi" w:hAnsiTheme="minorHAnsi"/>
        </w:rPr>
        <w:t>ma</w:t>
      </w:r>
      <w:proofErr w:type="spellEnd"/>
      <w:r w:rsidR="00D24431">
        <w:rPr>
          <w:rFonts w:asciiTheme="minorHAnsi" w:eastAsiaTheme="minorHAnsi" w:hAnsiTheme="minorHAnsi"/>
        </w:rPr>
        <w:t xml:space="preserve"> having had two or more </w:t>
      </w:r>
      <w:r w:rsidR="007A7CEA">
        <w:rPr>
          <w:rFonts w:asciiTheme="minorHAnsi" w:eastAsiaTheme="minorHAnsi" w:hAnsiTheme="minorHAnsi"/>
        </w:rPr>
        <w:t>first-line</w:t>
      </w:r>
      <w:r w:rsidRPr="001331D7">
        <w:rPr>
          <w:rFonts w:asciiTheme="minorHAnsi" w:eastAsiaTheme="minorHAnsi" w:hAnsiTheme="minorHAnsi"/>
        </w:rPr>
        <w:t xml:space="preserve"> treatments</w:t>
      </w:r>
      <w:r>
        <w:rPr>
          <w:rFonts w:asciiTheme="minorHAnsi" w:eastAsiaTheme="minorHAnsi" w:hAnsiTheme="minorHAnsi"/>
        </w:rPr>
        <w:t xml:space="preserve"> (N</w:t>
      </w:r>
      <w:r w:rsidR="000E7B5F">
        <w:rPr>
          <w:rFonts w:asciiTheme="minorHAnsi" w:eastAsiaTheme="minorHAnsi" w:hAnsiTheme="minorHAnsi"/>
        </w:rPr>
        <w:t xml:space="preserve"> </w:t>
      </w:r>
      <w:r>
        <w:rPr>
          <w:rFonts w:asciiTheme="minorHAnsi" w:eastAsiaTheme="minorHAnsi" w:hAnsiTheme="minorHAnsi"/>
        </w:rPr>
        <w:t>=</w:t>
      </w:r>
      <w:r w:rsidR="000E7B5F">
        <w:rPr>
          <w:rFonts w:asciiTheme="minorHAnsi" w:eastAsiaTheme="minorHAnsi" w:hAnsiTheme="minorHAnsi"/>
        </w:rPr>
        <w:t xml:space="preserve"> </w:t>
      </w:r>
      <w:r>
        <w:rPr>
          <w:rFonts w:asciiTheme="minorHAnsi" w:eastAsiaTheme="minorHAnsi" w:hAnsiTheme="minorHAnsi"/>
        </w:rPr>
        <w:t>15)</w:t>
      </w:r>
      <w:r w:rsidRPr="001331D7">
        <w:rPr>
          <w:rFonts w:asciiTheme="minorHAnsi" w:eastAsiaTheme="minorHAnsi" w:hAnsiTheme="minorHAnsi"/>
        </w:rPr>
        <w:t xml:space="preserve">, </w:t>
      </w:r>
      <w:r>
        <w:rPr>
          <w:rFonts w:asciiTheme="minorHAnsi" w:eastAsiaTheme="minorHAnsi" w:hAnsiTheme="minorHAnsi"/>
        </w:rPr>
        <w:t xml:space="preserve">and </w:t>
      </w:r>
      <w:r w:rsidR="004A4F5D">
        <w:rPr>
          <w:rFonts w:asciiTheme="minorHAnsi" w:eastAsiaTheme="minorHAnsi" w:hAnsiTheme="minorHAnsi"/>
        </w:rPr>
        <w:t>high-risk</w:t>
      </w:r>
      <w:r w:rsidRPr="001331D7">
        <w:rPr>
          <w:rFonts w:asciiTheme="minorHAnsi" w:eastAsiaTheme="minorHAnsi" w:hAnsiTheme="minorHAnsi"/>
        </w:rPr>
        <w:t xml:space="preserve"> </w:t>
      </w:r>
      <w:proofErr w:type="spellStart"/>
      <w:r w:rsidRPr="001331D7">
        <w:rPr>
          <w:rFonts w:asciiTheme="minorHAnsi" w:eastAsiaTheme="minorHAnsi" w:hAnsiTheme="minorHAnsi"/>
        </w:rPr>
        <w:t>neuroblastoma</w:t>
      </w:r>
      <w:proofErr w:type="spellEnd"/>
      <w:r w:rsidRPr="001331D7">
        <w:rPr>
          <w:rFonts w:asciiTheme="minorHAnsi" w:eastAsiaTheme="minorHAnsi" w:hAnsiTheme="minorHAnsi"/>
        </w:rPr>
        <w:t xml:space="preserve"> </w:t>
      </w:r>
      <w:r w:rsidR="00D24431">
        <w:rPr>
          <w:rFonts w:asciiTheme="minorHAnsi" w:eastAsiaTheme="minorHAnsi" w:hAnsiTheme="minorHAnsi"/>
        </w:rPr>
        <w:t xml:space="preserve">who had received front </w:t>
      </w:r>
      <w:r>
        <w:rPr>
          <w:rFonts w:asciiTheme="minorHAnsi" w:eastAsiaTheme="minorHAnsi" w:hAnsiTheme="minorHAnsi"/>
        </w:rPr>
        <w:t>line therapy only (N</w:t>
      </w:r>
      <w:r w:rsidR="000E7B5F">
        <w:rPr>
          <w:rFonts w:asciiTheme="minorHAnsi" w:eastAsiaTheme="minorHAnsi" w:hAnsiTheme="minorHAnsi"/>
        </w:rPr>
        <w:t xml:space="preserve"> </w:t>
      </w:r>
      <w:r>
        <w:rPr>
          <w:rFonts w:asciiTheme="minorHAnsi" w:eastAsiaTheme="minorHAnsi" w:hAnsiTheme="minorHAnsi"/>
        </w:rPr>
        <w:t>=</w:t>
      </w:r>
      <w:r w:rsidR="000E7B5F">
        <w:rPr>
          <w:rFonts w:asciiTheme="minorHAnsi" w:eastAsiaTheme="minorHAnsi" w:hAnsiTheme="minorHAnsi"/>
        </w:rPr>
        <w:t xml:space="preserve"> </w:t>
      </w:r>
      <w:r>
        <w:rPr>
          <w:rFonts w:asciiTheme="minorHAnsi" w:eastAsiaTheme="minorHAnsi" w:hAnsiTheme="minorHAnsi"/>
        </w:rPr>
        <w:t>9)</w:t>
      </w:r>
      <w:r w:rsidRPr="001331D7">
        <w:rPr>
          <w:rFonts w:asciiTheme="minorHAnsi" w:eastAsiaTheme="minorHAnsi" w:hAnsiTheme="minorHAnsi"/>
        </w:rPr>
        <w:t>.</w:t>
      </w:r>
      <w:r w:rsidR="001E4C4A">
        <w:rPr>
          <w:rFonts w:asciiTheme="minorHAnsi" w:eastAsiaTheme="minorHAnsi" w:hAnsiTheme="minorHAnsi"/>
        </w:rPr>
        <w:t xml:space="preserve"> </w:t>
      </w:r>
      <w:r>
        <w:rPr>
          <w:rFonts w:asciiTheme="minorHAnsi" w:eastAsiaTheme="minorHAnsi" w:hAnsiTheme="minorHAnsi"/>
        </w:rPr>
        <w:t>P</w:t>
      </w:r>
      <w:r w:rsidRPr="001331D7">
        <w:rPr>
          <w:rFonts w:asciiTheme="minorHAnsi" w:eastAsiaTheme="minorHAnsi" w:hAnsiTheme="minorHAnsi"/>
        </w:rPr>
        <w:t>atients had to have received at least one previous high dose treatment followed by stem cell rescue after conventional therapy to reduce tumour burden</w:t>
      </w:r>
      <w:r w:rsidR="00D24431">
        <w:rPr>
          <w:rFonts w:asciiTheme="minorHAnsi" w:eastAsiaTheme="minorHAnsi" w:hAnsiTheme="minorHAnsi"/>
        </w:rPr>
        <w:t>.</w:t>
      </w:r>
    </w:p>
    <w:p w14:paraId="1CC4D004" w14:textId="311464BF" w:rsidR="001E4C4A" w:rsidRDefault="00545A26" w:rsidP="00545A26">
      <w:r w:rsidRPr="001331D7">
        <w:t xml:space="preserve">Patients received </w:t>
      </w:r>
      <w:proofErr w:type="spellStart"/>
      <w:r w:rsidRPr="001331D7">
        <w:t>dinutuximab</w:t>
      </w:r>
      <w:proofErr w:type="spellEnd"/>
      <w:r w:rsidRPr="001331D7">
        <w:t xml:space="preserve"> beta 10 mg/m</w:t>
      </w:r>
      <w:r w:rsidRPr="00AF0168">
        <w:rPr>
          <w:vertAlign w:val="superscript"/>
        </w:rPr>
        <w:t>2</w:t>
      </w:r>
      <w:r w:rsidRPr="001331D7">
        <w:t>/day given by continuous 10</w:t>
      </w:r>
      <w:r w:rsidR="000E7B5F">
        <w:t xml:space="preserve"> </w:t>
      </w:r>
      <w:r w:rsidRPr="001331D7">
        <w:t>day infusion in up to six 5</w:t>
      </w:r>
      <w:r w:rsidR="000E7B5F">
        <w:t xml:space="preserve"> </w:t>
      </w:r>
      <w:r w:rsidRPr="001331D7">
        <w:t>week treatment cycles.</w:t>
      </w:r>
      <w:r w:rsidR="001E4C4A">
        <w:t xml:space="preserve"> </w:t>
      </w:r>
      <w:r w:rsidRPr="001331D7">
        <w:t>Each cy</w:t>
      </w:r>
      <w:r w:rsidR="00F654F3">
        <w:t>cle started with subcutaneous</w:t>
      </w:r>
      <w:r w:rsidRPr="001331D7">
        <w:t xml:space="preserve"> IL-2, followed by </w:t>
      </w:r>
      <w:proofErr w:type="spellStart"/>
      <w:r w:rsidRPr="001331D7">
        <w:t>dinutuximab</w:t>
      </w:r>
      <w:proofErr w:type="spellEnd"/>
      <w:r w:rsidRPr="001331D7">
        <w:t xml:space="preserve"> beta infusion and oral 13-cis-RA</w:t>
      </w:r>
      <w:r w:rsidR="001E4C4A">
        <w:t>.</w:t>
      </w:r>
    </w:p>
    <w:p w14:paraId="456CE758" w14:textId="460164AB" w:rsidR="00545A26" w:rsidRDefault="00A67B96" w:rsidP="00545A26">
      <w:r w:rsidRPr="00A67B96">
        <w:rPr>
          <w:rStyle w:val="Heading6Char"/>
          <w:rFonts w:eastAsia="Cambria"/>
        </w:rPr>
        <w:t>Primary endpoint</w:t>
      </w:r>
      <w:r>
        <w:t>:</w:t>
      </w:r>
      <w:r w:rsidRPr="00A67B96">
        <w:t xml:space="preserve"> </w:t>
      </w:r>
      <w:r w:rsidR="00545A26">
        <w:t>Safety and tolerability were evaluated</w:t>
      </w:r>
      <w:r w:rsidR="008D4A71">
        <w:t xml:space="preserve"> by pain intensity/morphine use,</w:t>
      </w:r>
      <w:r w:rsidR="00545A26">
        <w:t xml:space="preserve"> and incidence, grade and type of </w:t>
      </w:r>
      <w:r w:rsidR="00555113">
        <w:t>adverse events (</w:t>
      </w:r>
      <w:r w:rsidR="00545A26" w:rsidRPr="009D6541">
        <w:t>AEs</w:t>
      </w:r>
      <w:r w:rsidR="00555113">
        <w:t>)</w:t>
      </w:r>
      <w:r w:rsidR="00545A26">
        <w:t>, vital signs and changes in clinical laboratory tests.</w:t>
      </w:r>
    </w:p>
    <w:p w14:paraId="2DF1B749" w14:textId="665A0A30" w:rsidR="0064082D" w:rsidRPr="000E7B5F" w:rsidRDefault="00545A26" w:rsidP="0064082D">
      <w:r w:rsidRPr="00A67B96">
        <w:rPr>
          <w:rStyle w:val="Heading6Char"/>
          <w:rFonts w:eastAsia="Cambria"/>
        </w:rPr>
        <w:t>Secondary endpoints:</w:t>
      </w:r>
      <w:r w:rsidR="008D4A71">
        <w:t xml:space="preserve"> </w:t>
      </w:r>
      <w:r w:rsidR="008D4A71" w:rsidRPr="00041CFB">
        <w:t>R</w:t>
      </w:r>
      <w:r w:rsidRPr="00041CFB">
        <w:t>esponse rate in patients with measurable disease,</w:t>
      </w:r>
      <w:r w:rsidR="008D4A71" w:rsidRPr="00041CFB">
        <w:t xml:space="preserve"> and durability of the response,</w:t>
      </w:r>
      <w:r w:rsidRPr="00041CFB">
        <w:t xml:space="preserve"> OS; EFS; PD parameters; correlation between activated </w:t>
      </w:r>
      <w:r w:rsidR="008D4A71" w:rsidRPr="00041CFB">
        <w:t>natural killer (</w:t>
      </w:r>
      <w:r w:rsidRPr="00041CFB">
        <w:t>NK</w:t>
      </w:r>
      <w:r w:rsidR="008D4A71" w:rsidRPr="00041CFB">
        <w:t>)</w:t>
      </w:r>
      <w:r w:rsidRPr="00041CFB">
        <w:t xml:space="preserve"> cells and ch14.18/CHO level with ADCC;</w:t>
      </w:r>
      <w:r w:rsidR="00CC2F84">
        <w:t xml:space="preserve"> and</w:t>
      </w:r>
      <w:r w:rsidRPr="00041CFB">
        <w:t xml:space="preserve"> PK parameters.</w:t>
      </w:r>
    </w:p>
    <w:p w14:paraId="1337388C" w14:textId="782583F2" w:rsidR="00545A26" w:rsidRDefault="00545A26" w:rsidP="00545A26">
      <w:r>
        <w:t xml:space="preserve">At the end of treatment, the </w:t>
      </w:r>
      <w:r w:rsidR="00FE4B1B">
        <w:t>overall response rate (</w:t>
      </w:r>
      <w:r w:rsidRPr="00041CFB">
        <w:t>ORR</w:t>
      </w:r>
      <w:r w:rsidR="00FE4B1B">
        <w:t>)</w:t>
      </w:r>
      <w:r>
        <w:t xml:space="preserve"> in evaluable patients was 32.4% (</w:t>
      </w:r>
      <w:r w:rsidR="00CC2F84">
        <w:t xml:space="preserve">see </w:t>
      </w:r>
      <w:r>
        <w:fldChar w:fldCharType="begin"/>
      </w:r>
      <w:r>
        <w:instrText xml:space="preserve"> REF _Ref21357392 \h </w:instrText>
      </w:r>
      <w:r w:rsidR="00041CFB">
        <w:instrText xml:space="preserve"> \* MERGEFORMAT </w:instrText>
      </w:r>
      <w:r>
        <w:fldChar w:fldCharType="separate"/>
      </w:r>
      <w:r w:rsidR="004942AB">
        <w:t xml:space="preserve">Table </w:t>
      </w:r>
      <w:r w:rsidR="004942AB">
        <w:rPr>
          <w:noProof/>
        </w:rPr>
        <w:t>3</w:t>
      </w:r>
      <w:r>
        <w:fldChar w:fldCharType="end"/>
      </w:r>
      <w:r>
        <w:t>), comprising 3 (8.1%)</w:t>
      </w:r>
      <w:r w:rsidRPr="0079785C">
        <w:t xml:space="preserve"> </w:t>
      </w:r>
      <w:r w:rsidR="00FE4B1B">
        <w:t>complete response (</w:t>
      </w:r>
      <w:r w:rsidRPr="00041CFB">
        <w:t>CR</w:t>
      </w:r>
      <w:r w:rsidR="00FE4B1B">
        <w:t>)</w:t>
      </w:r>
      <w:r>
        <w:t xml:space="preserve"> and 9 (24.3%)</w:t>
      </w:r>
      <w:r w:rsidRPr="0079785C">
        <w:t xml:space="preserve"> </w:t>
      </w:r>
      <w:r w:rsidR="00FE4B1B">
        <w:t xml:space="preserve">partial </w:t>
      </w:r>
      <w:r w:rsidR="00FE4B1B">
        <w:lastRenderedPageBreak/>
        <w:t>response (</w:t>
      </w:r>
      <w:r w:rsidRPr="00041CFB">
        <w:t>PR</w:t>
      </w:r>
      <w:r w:rsidR="00FE4B1B" w:rsidRPr="00041CFB">
        <w:t>)</w:t>
      </w:r>
      <w:r w:rsidRPr="00041CFB">
        <w:t>.</w:t>
      </w:r>
      <w:r w:rsidR="001E4C4A" w:rsidRPr="00041CFB">
        <w:t xml:space="preserve"> </w:t>
      </w:r>
      <w:r w:rsidRPr="00041CFB">
        <w:t>Median duration of r</w:t>
      </w:r>
      <w:r w:rsidR="00D60377">
        <w:t>esponse was 313 days (range 71 to</w:t>
      </w:r>
      <w:r w:rsidRPr="00041CFB">
        <w:t xml:space="preserve"> 847).</w:t>
      </w:r>
      <w:r w:rsidR="001E4C4A" w:rsidRPr="00041CFB">
        <w:t xml:space="preserve"> </w:t>
      </w:r>
      <w:r w:rsidRPr="00041CFB">
        <w:t>In patients with rela</w:t>
      </w:r>
      <w:r>
        <w:t>psed/refractory disease, the response rate was 28% (10/36).</w:t>
      </w:r>
    </w:p>
    <w:p w14:paraId="192D5F4C" w14:textId="32C42BF7" w:rsidR="00545A26" w:rsidRPr="00B2182B" w:rsidRDefault="00545A26" w:rsidP="002A0341">
      <w:pPr>
        <w:pStyle w:val="TableTitle"/>
      </w:pPr>
      <w:bookmarkStart w:id="44" w:name="_Ref21357392"/>
      <w:r>
        <w:t xml:space="preserve">Table </w:t>
      </w:r>
      <w:fldSimple w:instr=" SEQ Table \* ARABIC ">
        <w:r w:rsidR="004942AB">
          <w:rPr>
            <w:noProof/>
          </w:rPr>
          <w:t>3</w:t>
        </w:r>
      </w:fldSimple>
      <w:bookmarkEnd w:id="44"/>
      <w:r w:rsidR="00834E8B">
        <w:rPr>
          <w:noProof/>
        </w:rPr>
        <w:t>:</w:t>
      </w:r>
      <w:r w:rsidR="001E4C4A">
        <w:t xml:space="preserve"> </w:t>
      </w:r>
      <w:r w:rsidR="00CC2F84">
        <w:t xml:space="preserve">Study APN311-303; </w:t>
      </w:r>
      <w:r w:rsidRPr="00B2182B">
        <w:t xml:space="preserve">Overall response in patients with evidence of disease at </w:t>
      </w:r>
      <w:r w:rsidR="000E7B5F">
        <w:t>B</w:t>
      </w:r>
      <w:r w:rsidRPr="00B2182B">
        <w:t>aseline</w:t>
      </w:r>
    </w:p>
    <w:p w14:paraId="0F4B8EDB" w14:textId="77777777" w:rsidR="00F03EFF" w:rsidRDefault="00545A26" w:rsidP="00F03EFF">
      <w:r>
        <w:rPr>
          <w:noProof/>
          <w:lang w:eastAsia="en-AU"/>
        </w:rPr>
        <w:drawing>
          <wp:inline distT="0" distB="0" distL="0" distR="0" wp14:anchorId="3E0C8649" wp14:editId="236186B1">
            <wp:extent cx="5400040" cy="1332230"/>
            <wp:effectExtent l="0" t="0" r="0" b="1270"/>
            <wp:docPr id="3" name="Picture 3" descr="Study APN311-303; Overall response in patients with evidence of disease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1332230"/>
                    </a:xfrm>
                    <a:prstGeom prst="rect">
                      <a:avLst/>
                    </a:prstGeom>
                  </pic:spPr>
                </pic:pic>
              </a:graphicData>
            </a:graphic>
          </wp:inline>
        </w:drawing>
      </w:r>
    </w:p>
    <w:p w14:paraId="35F92954" w14:textId="70046842" w:rsidR="00834E8B" w:rsidRDefault="002A0341" w:rsidP="00F03EFF">
      <w:pPr>
        <w:pStyle w:val="TableDescription"/>
      </w:pPr>
      <w:r w:rsidRPr="000E7B5F">
        <w:t>S</w:t>
      </w:r>
      <w:r w:rsidR="00545A26" w:rsidRPr="000E7B5F">
        <w:t xml:space="preserve">ource: </w:t>
      </w:r>
      <w:r w:rsidR="000E7B5F">
        <w:t>European Public Assessment Report (</w:t>
      </w:r>
      <w:r w:rsidR="00545A26" w:rsidRPr="000E7B5F">
        <w:t>EPAR</w:t>
      </w:r>
      <w:r w:rsidR="000E7B5F">
        <w:t>) for</w:t>
      </w:r>
      <w:r w:rsidR="00545A26" w:rsidRPr="000E7B5F">
        <w:t xml:space="preserve"> </w:t>
      </w:r>
      <w:proofErr w:type="spellStart"/>
      <w:r w:rsidR="00545A26" w:rsidRPr="000E7B5F">
        <w:t>dinutuximab</w:t>
      </w:r>
      <w:proofErr w:type="spellEnd"/>
      <w:r w:rsidR="00545A26" w:rsidRPr="000E7B5F">
        <w:t xml:space="preserve"> beta</w:t>
      </w:r>
      <w:r w:rsidR="00AA6E23">
        <w:t>.</w:t>
      </w:r>
      <w:bookmarkStart w:id="45" w:name="_Ref40030081"/>
      <w:r w:rsidR="00AA6E23">
        <w:rPr>
          <w:rStyle w:val="FootnoteReference"/>
        </w:rPr>
        <w:footnoteReference w:id="12"/>
      </w:r>
      <w:bookmarkEnd w:id="45"/>
    </w:p>
    <w:p w14:paraId="2CDE3CAE" w14:textId="51FD7268" w:rsidR="00F654F3" w:rsidRDefault="00545A26" w:rsidP="00E16DE7">
      <w:r>
        <w:t xml:space="preserve">Survival outcomes are presented in </w:t>
      </w:r>
      <w:r>
        <w:fldChar w:fldCharType="begin"/>
      </w:r>
      <w:r>
        <w:instrText xml:space="preserve"> REF _Ref21357472 \h  \* MERGEFORMAT </w:instrText>
      </w:r>
      <w:r>
        <w:fldChar w:fldCharType="separate"/>
      </w:r>
      <w:r w:rsidR="004942AB">
        <w:t xml:space="preserve">Table </w:t>
      </w:r>
      <w:r w:rsidR="004942AB">
        <w:rPr>
          <w:noProof/>
        </w:rPr>
        <w:t>4</w:t>
      </w:r>
      <w:r>
        <w:fldChar w:fldCharType="end"/>
      </w:r>
      <w:r>
        <w:t>.</w:t>
      </w:r>
      <w:r w:rsidR="001E4C4A">
        <w:t xml:space="preserve"> </w:t>
      </w:r>
      <w:r>
        <w:rPr>
          <w:rFonts w:eastAsiaTheme="minorHAnsi" w:cs="Verdana"/>
        </w:rPr>
        <w:t xml:space="preserve">OS outcomes in </w:t>
      </w:r>
      <w:r w:rsidR="00AA6E23">
        <w:rPr>
          <w:rFonts w:eastAsiaTheme="minorHAnsi" w:cs="Verdana"/>
        </w:rPr>
        <w:t xml:space="preserve">Study </w:t>
      </w:r>
      <w:r>
        <w:rPr>
          <w:rFonts w:eastAsiaTheme="minorHAnsi" w:cs="Verdana"/>
        </w:rPr>
        <w:t>APN311-303 appear favourable</w:t>
      </w:r>
      <w:r>
        <w:t xml:space="preserve"> when compared against</w:t>
      </w:r>
      <w:r w:rsidRPr="00143705">
        <w:t xml:space="preserve"> historical controls</w:t>
      </w:r>
      <w:r>
        <w:t xml:space="preserve"> </w:t>
      </w:r>
      <w:r>
        <w:rPr>
          <w:rFonts w:eastAsiaTheme="minorHAnsi" w:cs="Verdana"/>
        </w:rPr>
        <w:t>(</w:t>
      </w:r>
      <w:r w:rsidR="00CC2F84">
        <w:rPr>
          <w:rFonts w:eastAsiaTheme="minorHAnsi" w:cs="Verdana"/>
        </w:rPr>
        <w:t xml:space="preserve">see </w:t>
      </w:r>
      <w:r>
        <w:rPr>
          <w:rFonts w:eastAsiaTheme="minorHAnsi" w:cs="Verdana"/>
        </w:rPr>
        <w:fldChar w:fldCharType="begin"/>
      </w:r>
      <w:r>
        <w:rPr>
          <w:rFonts w:eastAsiaTheme="minorHAnsi" w:cs="Verdana"/>
        </w:rPr>
        <w:instrText xml:space="preserve"> REF _Ref24612769 \h  \* MERGEFORMAT </w:instrText>
      </w:r>
      <w:r>
        <w:rPr>
          <w:rFonts w:eastAsiaTheme="minorHAnsi" w:cs="Verdana"/>
        </w:rPr>
      </w:r>
      <w:r>
        <w:rPr>
          <w:rFonts w:eastAsiaTheme="minorHAnsi" w:cs="Verdana"/>
        </w:rPr>
        <w:fldChar w:fldCharType="separate"/>
      </w:r>
      <w:r w:rsidR="004942AB">
        <w:t xml:space="preserve">Table </w:t>
      </w:r>
      <w:r w:rsidR="004942AB">
        <w:rPr>
          <w:noProof/>
        </w:rPr>
        <w:t>5</w:t>
      </w:r>
      <w:r>
        <w:rPr>
          <w:rFonts w:eastAsiaTheme="minorHAnsi" w:cs="Verdana"/>
        </w:rPr>
        <w:fldChar w:fldCharType="end"/>
      </w:r>
      <w:r>
        <w:rPr>
          <w:rFonts w:eastAsiaTheme="minorHAnsi" w:cs="Verdana"/>
        </w:rPr>
        <w:t xml:space="preserve"> and</w:t>
      </w:r>
      <w:r w:rsidR="002A0341">
        <w:rPr>
          <w:rFonts w:eastAsiaTheme="minorHAnsi" w:cs="Verdana"/>
        </w:rPr>
        <w:t xml:space="preserve"> </w:t>
      </w:r>
      <w:r w:rsidR="002A0341">
        <w:rPr>
          <w:rFonts w:eastAsiaTheme="minorHAnsi" w:cs="Verdana"/>
        </w:rPr>
        <w:fldChar w:fldCharType="begin"/>
      </w:r>
      <w:r w:rsidR="002A0341">
        <w:rPr>
          <w:rFonts w:eastAsiaTheme="minorHAnsi" w:cs="Verdana"/>
        </w:rPr>
        <w:instrText xml:space="preserve"> REF _Ref24629418 \h </w:instrText>
      </w:r>
      <w:r w:rsidR="002A0341">
        <w:rPr>
          <w:rFonts w:eastAsiaTheme="minorHAnsi" w:cs="Verdana"/>
        </w:rPr>
      </w:r>
      <w:r w:rsidR="002A0341">
        <w:rPr>
          <w:rFonts w:eastAsiaTheme="minorHAnsi" w:cs="Verdana"/>
        </w:rPr>
        <w:fldChar w:fldCharType="separate"/>
      </w:r>
      <w:r w:rsidR="004942AB">
        <w:t xml:space="preserve">Figure </w:t>
      </w:r>
      <w:r w:rsidR="004942AB">
        <w:rPr>
          <w:noProof/>
        </w:rPr>
        <w:t>2</w:t>
      </w:r>
      <w:r w:rsidR="002A0341">
        <w:rPr>
          <w:rFonts w:eastAsiaTheme="minorHAnsi" w:cs="Verdana"/>
        </w:rPr>
        <w:fldChar w:fldCharType="end"/>
      </w:r>
      <w:r>
        <w:rPr>
          <w:rFonts w:eastAsiaTheme="minorHAnsi" w:cs="Verdana"/>
        </w:rPr>
        <w:t xml:space="preserve">) </w:t>
      </w:r>
      <w:r w:rsidRPr="00143705">
        <w:t>from a retrospective study</w:t>
      </w:r>
      <w:r>
        <w:t xml:space="preserve"> </w:t>
      </w:r>
      <w:r w:rsidRPr="00143705">
        <w:t>of children with relapse</w:t>
      </w:r>
      <w:r>
        <w:t>d</w:t>
      </w:r>
      <w:r w:rsidRPr="00143705">
        <w:t xml:space="preserve"> </w:t>
      </w:r>
      <w:proofErr w:type="spellStart"/>
      <w:r w:rsidRPr="00143705">
        <w:t>neuroblastoma</w:t>
      </w:r>
      <w:proofErr w:type="spellEnd"/>
      <w:r w:rsidRPr="00143705">
        <w:t xml:space="preserve"> </w:t>
      </w:r>
      <w:r>
        <w:t>who were not treated with ch.14.18 antibodies (</w:t>
      </w:r>
      <w:proofErr w:type="spellStart"/>
      <w:r>
        <w:t>Garaventa</w:t>
      </w:r>
      <w:proofErr w:type="spellEnd"/>
      <w:r>
        <w:t xml:space="preserve"> et al, 2009;</w:t>
      </w:r>
      <w:bookmarkStart w:id="46" w:name="_Ref40252281"/>
      <w:r w:rsidR="00DA6D17">
        <w:rPr>
          <w:rStyle w:val="FootnoteReference"/>
        </w:rPr>
        <w:footnoteReference w:id="13"/>
      </w:r>
      <w:bookmarkEnd w:id="46"/>
      <w:r>
        <w:t xml:space="preserve"> Italian</w:t>
      </w:r>
      <w:r w:rsidR="00D60377">
        <w:t xml:space="preserve"> </w:t>
      </w:r>
      <w:proofErr w:type="spellStart"/>
      <w:r w:rsidR="00D60377">
        <w:t>Neuroblastoma</w:t>
      </w:r>
      <w:proofErr w:type="spellEnd"/>
      <w:r w:rsidR="00D60377">
        <w:t xml:space="preserve"> Registry 1979 to</w:t>
      </w:r>
      <w:r>
        <w:t xml:space="preserve"> 2006)</w:t>
      </w:r>
      <w:r w:rsidRPr="00143705">
        <w:t>.</w:t>
      </w:r>
      <w:r w:rsidR="001E4C4A">
        <w:t xml:space="preserve"> </w:t>
      </w:r>
      <w:r w:rsidRPr="00143705">
        <w:rPr>
          <w:rFonts w:eastAsiaTheme="minorHAnsi" w:cs="Verdana"/>
        </w:rPr>
        <w:t xml:space="preserve">The historical cohort included more patients with </w:t>
      </w:r>
      <w:r w:rsidR="00AA6E23">
        <w:rPr>
          <w:rFonts w:eastAsiaTheme="minorHAnsi" w:cs="Verdana"/>
        </w:rPr>
        <w:t>S</w:t>
      </w:r>
      <w:r w:rsidRPr="00143705">
        <w:rPr>
          <w:rFonts w:eastAsiaTheme="minorHAnsi" w:cs="Verdana"/>
        </w:rPr>
        <w:t>tage 4 disease and MYCN</w:t>
      </w:r>
      <w:r w:rsidR="002A0341">
        <w:rPr>
          <w:rFonts w:eastAsiaTheme="minorHAnsi" w:cs="Verdana"/>
        </w:rPr>
        <w:t xml:space="preserve"> (n-</w:t>
      </w:r>
      <w:proofErr w:type="spellStart"/>
      <w:r w:rsidR="002A0341">
        <w:rPr>
          <w:rFonts w:eastAsiaTheme="minorHAnsi" w:cs="Verdana"/>
        </w:rPr>
        <w:t>myc</w:t>
      </w:r>
      <w:proofErr w:type="spellEnd"/>
      <w:r w:rsidR="002A0341">
        <w:rPr>
          <w:rFonts w:eastAsiaTheme="minorHAnsi" w:cs="Verdana"/>
        </w:rPr>
        <w:t xml:space="preserve"> gene) amplification </w:t>
      </w:r>
      <w:r w:rsidR="00F654F3">
        <w:rPr>
          <w:rFonts w:eastAsiaTheme="minorHAnsi" w:cs="Verdana"/>
        </w:rPr>
        <w:t>resulting in</w:t>
      </w:r>
      <w:r w:rsidR="002A0341">
        <w:rPr>
          <w:rFonts w:eastAsiaTheme="minorHAnsi" w:cs="Verdana"/>
        </w:rPr>
        <w:t xml:space="preserve"> less favourable prognosis</w:t>
      </w:r>
      <w:r w:rsidRPr="00143705">
        <w:rPr>
          <w:rFonts w:eastAsiaTheme="minorHAnsi" w:cs="Verdana"/>
        </w:rPr>
        <w:t xml:space="preserve"> than the immunotherapy cohort</w:t>
      </w:r>
      <w:r>
        <w:rPr>
          <w:rFonts w:eastAsiaTheme="minorHAnsi" w:cs="Verdana"/>
        </w:rPr>
        <w:t>, but analyses of OS</w:t>
      </w:r>
      <w:r w:rsidRPr="00AF0168">
        <w:rPr>
          <w:rFonts w:eastAsiaTheme="minorHAnsi" w:cs="Verdana"/>
        </w:rPr>
        <w:t xml:space="preserve"> </w:t>
      </w:r>
      <w:r>
        <w:rPr>
          <w:rFonts w:eastAsiaTheme="minorHAnsi" w:cs="Verdana"/>
        </w:rPr>
        <w:t>after adjusting for prognostic factors (age at diagnosis, gender, MYCN amplification, and INSS stage) still favoured the immunotherapy cohort</w:t>
      </w:r>
      <w:r w:rsidRPr="00143705">
        <w:rPr>
          <w:rFonts w:eastAsiaTheme="minorHAnsi" w:cs="Verdana"/>
        </w:rPr>
        <w:t>.</w:t>
      </w:r>
    </w:p>
    <w:p w14:paraId="2AE050F5" w14:textId="6B4E6107" w:rsidR="00545A26" w:rsidRPr="00E101BB" w:rsidRDefault="00545A26" w:rsidP="002A0341">
      <w:pPr>
        <w:pStyle w:val="TableTitle"/>
      </w:pPr>
      <w:bookmarkStart w:id="47" w:name="_Ref21357472"/>
      <w:r>
        <w:t xml:space="preserve">Table </w:t>
      </w:r>
      <w:fldSimple w:instr=" SEQ Table \* ARABIC ">
        <w:r w:rsidR="004942AB">
          <w:rPr>
            <w:noProof/>
          </w:rPr>
          <w:t>4</w:t>
        </w:r>
      </w:fldSimple>
      <w:bookmarkEnd w:id="47"/>
      <w:r w:rsidR="00D60377">
        <w:rPr>
          <w:noProof/>
        </w:rPr>
        <w:t>:</w:t>
      </w:r>
      <w:r w:rsidR="001E4C4A">
        <w:t xml:space="preserve"> </w:t>
      </w:r>
      <w:r w:rsidR="00CC2F84" w:rsidRPr="00B2182B">
        <w:t>Stud</w:t>
      </w:r>
      <w:r w:rsidR="00CC2F84">
        <w:t>ies</w:t>
      </w:r>
      <w:r w:rsidR="00CC2F84" w:rsidRPr="00B2182B">
        <w:t xml:space="preserve"> APN311-303</w:t>
      </w:r>
      <w:r w:rsidR="00CC2F84">
        <w:t xml:space="preserve"> and APN311-202; </w:t>
      </w:r>
      <w:r>
        <w:t>Survival</w:t>
      </w:r>
      <w:r w:rsidRPr="00E101BB">
        <w:t xml:space="preserve"> rates in relapsed and refractory patients</w:t>
      </w:r>
    </w:p>
    <w:p w14:paraId="519CC5E1" w14:textId="77777777" w:rsidR="006E55E2" w:rsidRDefault="00545A26" w:rsidP="006E55E2">
      <w:r>
        <w:rPr>
          <w:noProof/>
          <w:lang w:eastAsia="en-AU"/>
        </w:rPr>
        <w:drawing>
          <wp:inline distT="0" distB="0" distL="0" distR="0" wp14:anchorId="687EB59F" wp14:editId="74FE55D5">
            <wp:extent cx="5400040" cy="1836420"/>
            <wp:effectExtent l="0" t="0" r="0" b="0"/>
            <wp:docPr id="9" name="Picture 9" descr="Studies APN311-303 and APN311-202; Survival rates in relapsed and refractory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1836420"/>
                    </a:xfrm>
                    <a:prstGeom prst="rect">
                      <a:avLst/>
                    </a:prstGeom>
                  </pic:spPr>
                </pic:pic>
              </a:graphicData>
            </a:graphic>
          </wp:inline>
        </w:drawing>
      </w:r>
    </w:p>
    <w:p w14:paraId="7A8EA33D" w14:textId="0B71D1D2" w:rsidR="00545A26" w:rsidRDefault="002A0341" w:rsidP="00E16DE7">
      <w:pPr>
        <w:pStyle w:val="TableDescription"/>
      </w:pPr>
      <w:r>
        <w:t>S</w:t>
      </w:r>
      <w:r w:rsidR="00545A26" w:rsidRPr="00022C4B">
        <w:t>ource: EPAR</w:t>
      </w:r>
      <w:r w:rsidR="00E16DE7">
        <w:t xml:space="preserve"> for</w:t>
      </w:r>
      <w:r w:rsidR="00F654F3">
        <w:t xml:space="preserve"> </w:t>
      </w:r>
      <w:proofErr w:type="spellStart"/>
      <w:r w:rsidR="00F654F3">
        <w:t>dinutuximab</w:t>
      </w:r>
      <w:proofErr w:type="spellEnd"/>
      <w:r w:rsidR="00F654F3">
        <w:t xml:space="preserve"> beta</w:t>
      </w:r>
      <w:r w:rsidR="00954CF1">
        <w:t>.</w:t>
      </w:r>
      <w:r w:rsidR="00954CF1">
        <w:fldChar w:fldCharType="begin"/>
      </w:r>
      <w:r w:rsidR="00954CF1">
        <w:instrText xml:space="preserve"> NOTEREF _Ref40030081 \f \h </w:instrText>
      </w:r>
      <w:r w:rsidR="00954CF1">
        <w:fldChar w:fldCharType="separate"/>
      </w:r>
      <w:r w:rsidR="004942AB" w:rsidRPr="004942AB">
        <w:rPr>
          <w:rStyle w:val="FootnoteReference"/>
        </w:rPr>
        <w:t>12</w:t>
      </w:r>
      <w:r w:rsidR="00954CF1">
        <w:fldChar w:fldCharType="end"/>
      </w:r>
    </w:p>
    <w:p w14:paraId="5E858B1E" w14:textId="73F1677E" w:rsidR="00545A26" w:rsidRDefault="00545A26" w:rsidP="002A0341">
      <w:pPr>
        <w:pStyle w:val="TableTitle"/>
      </w:pPr>
      <w:bookmarkStart w:id="48" w:name="_Ref24612769"/>
      <w:bookmarkStart w:id="49" w:name="_Ref24612575"/>
      <w:r>
        <w:lastRenderedPageBreak/>
        <w:t xml:space="preserve">Table </w:t>
      </w:r>
      <w:fldSimple w:instr=" SEQ Table \* ARABIC ">
        <w:r w:rsidR="004942AB">
          <w:rPr>
            <w:noProof/>
          </w:rPr>
          <w:t>5</w:t>
        </w:r>
      </w:fldSimple>
      <w:bookmarkEnd w:id="48"/>
      <w:r w:rsidR="00D60377">
        <w:rPr>
          <w:noProof/>
        </w:rPr>
        <w:t>:</w:t>
      </w:r>
      <w:r w:rsidR="001E4C4A">
        <w:t xml:space="preserve"> </w:t>
      </w:r>
      <w:r w:rsidR="00CC2F84" w:rsidRPr="00B2182B">
        <w:t>Stud</w:t>
      </w:r>
      <w:r w:rsidR="00CC2F84">
        <w:t>ies</w:t>
      </w:r>
      <w:r w:rsidR="00CC2F84" w:rsidRPr="00B2182B">
        <w:t xml:space="preserve"> APN311-303</w:t>
      </w:r>
      <w:r w:rsidR="00CC2F84">
        <w:t xml:space="preserve">; </w:t>
      </w:r>
      <w:r>
        <w:t xml:space="preserve">Overall </w:t>
      </w:r>
      <w:r w:rsidR="00954CF1">
        <w:t>s</w:t>
      </w:r>
      <w:r>
        <w:t>urvival, r</w:t>
      </w:r>
      <w:r w:rsidR="001E19EB">
        <w:t>elapsed patients,</w:t>
      </w:r>
      <w:r w:rsidR="00D60377">
        <w:t xml:space="preserve"> </w:t>
      </w:r>
      <w:proofErr w:type="spellStart"/>
      <w:r w:rsidR="00446A90">
        <w:t>dinutuximab</w:t>
      </w:r>
      <w:proofErr w:type="spellEnd"/>
      <w:r w:rsidR="00446A90">
        <w:t xml:space="preserve"> beta </w:t>
      </w:r>
      <w:r w:rsidR="00D60377">
        <w:t>versus</w:t>
      </w:r>
      <w:r>
        <w:t xml:space="preserve"> historical controls (</w:t>
      </w:r>
      <w:proofErr w:type="spellStart"/>
      <w:r>
        <w:t>Garaventa</w:t>
      </w:r>
      <w:proofErr w:type="spellEnd"/>
      <w:r w:rsidR="00CC2F84">
        <w:t xml:space="preserve"> et al.</w:t>
      </w:r>
      <w:r>
        <w:t>)</w:t>
      </w:r>
    </w:p>
    <w:p w14:paraId="092446A2" w14:textId="59F94054" w:rsidR="00545A26" w:rsidRDefault="00545A26" w:rsidP="006E55E2">
      <w:r>
        <w:rPr>
          <w:noProof/>
          <w:lang w:eastAsia="en-AU"/>
        </w:rPr>
        <w:drawing>
          <wp:inline distT="0" distB="0" distL="0" distR="0" wp14:anchorId="0F1BDABA" wp14:editId="049489EA">
            <wp:extent cx="5400040" cy="2638425"/>
            <wp:effectExtent l="0" t="0" r="0" b="9525"/>
            <wp:docPr id="13" name="Picture 13" descr="Studies APN311-303; Overall survival, relapsed patients, dinutuximab beta versus historical controls (Garaventa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2638425"/>
                    </a:xfrm>
                    <a:prstGeom prst="rect">
                      <a:avLst/>
                    </a:prstGeom>
                  </pic:spPr>
                </pic:pic>
              </a:graphicData>
            </a:graphic>
          </wp:inline>
        </w:drawing>
      </w:r>
    </w:p>
    <w:p w14:paraId="4FB67A62" w14:textId="1055D5F9" w:rsidR="00545A26" w:rsidRDefault="00545A26" w:rsidP="002A0341">
      <w:pPr>
        <w:pStyle w:val="FigureTitle"/>
        <w:rPr>
          <w:rFonts w:eastAsiaTheme="minorHAnsi" w:cs="Verdana"/>
        </w:rPr>
      </w:pPr>
      <w:bookmarkStart w:id="50" w:name="_Ref24629418"/>
      <w:r>
        <w:t xml:space="preserve">Figure </w:t>
      </w:r>
      <w:fldSimple w:instr=" SEQ Figure \* ARABIC ">
        <w:r w:rsidR="004942AB">
          <w:rPr>
            <w:noProof/>
          </w:rPr>
          <w:t>2</w:t>
        </w:r>
      </w:fldSimple>
      <w:bookmarkEnd w:id="49"/>
      <w:bookmarkEnd w:id="50"/>
      <w:r w:rsidR="00D60377">
        <w:rPr>
          <w:noProof/>
        </w:rPr>
        <w:t>:</w:t>
      </w:r>
      <w:r w:rsidR="00D2749F">
        <w:t xml:space="preserve"> </w:t>
      </w:r>
      <w:r w:rsidR="00446A90">
        <w:t xml:space="preserve">Study APN311-303; </w:t>
      </w:r>
      <w:r w:rsidR="00D2749F">
        <w:t>Kaplan-</w:t>
      </w:r>
      <w:r>
        <w:t>Meie</w:t>
      </w:r>
      <w:r w:rsidR="00D60377">
        <w:t>r estimates of overall survival</w:t>
      </w:r>
      <w:r w:rsidR="00954CF1">
        <w:t>,</w:t>
      </w:r>
      <w:r w:rsidR="00600325">
        <w:t xml:space="preserve"> </w:t>
      </w:r>
      <w:proofErr w:type="spellStart"/>
      <w:r w:rsidR="00446A90">
        <w:t>dinutuximab</w:t>
      </w:r>
      <w:proofErr w:type="spellEnd"/>
      <w:r w:rsidR="00446A90">
        <w:t xml:space="preserve"> beta </w:t>
      </w:r>
      <w:r w:rsidR="00D60377">
        <w:t>versus</w:t>
      </w:r>
      <w:r>
        <w:t xml:space="preserve"> historical controls</w:t>
      </w:r>
    </w:p>
    <w:p w14:paraId="62082A7A" w14:textId="718AA1A0" w:rsidR="00545A26" w:rsidRDefault="00545A26" w:rsidP="00F03EFF">
      <w:r>
        <w:rPr>
          <w:noProof/>
          <w:lang w:eastAsia="en-AU"/>
        </w:rPr>
        <w:drawing>
          <wp:inline distT="0" distB="0" distL="0" distR="0" wp14:anchorId="110C736E" wp14:editId="175C5E3E">
            <wp:extent cx="5114925" cy="2397471"/>
            <wp:effectExtent l="0" t="0" r="0" b="3175"/>
            <wp:docPr id="11" name="Picture 11" descr="Study APN311-303; Kaplan-Meier estimates of overall survival, dinutuximab beta versus historical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28575" cy="2403869"/>
                    </a:xfrm>
                    <a:prstGeom prst="rect">
                      <a:avLst/>
                    </a:prstGeom>
                  </pic:spPr>
                </pic:pic>
              </a:graphicData>
            </a:graphic>
          </wp:inline>
        </w:drawing>
      </w:r>
    </w:p>
    <w:p w14:paraId="6E52661B" w14:textId="77777777" w:rsidR="00545A26" w:rsidRDefault="00545A26" w:rsidP="00545A26">
      <w:pPr>
        <w:pStyle w:val="Heading5"/>
      </w:pPr>
      <w:r w:rsidRPr="00AA53F4">
        <w:t>S</w:t>
      </w:r>
      <w:r>
        <w:t>tudy APN311-202</w:t>
      </w:r>
    </w:p>
    <w:p w14:paraId="6A240734" w14:textId="57341AB3" w:rsidR="00545A26" w:rsidRDefault="00545A26" w:rsidP="00545A26">
      <w:r>
        <w:t xml:space="preserve">Study APN311-202 was a </w:t>
      </w:r>
      <w:r w:rsidR="00954CF1">
        <w:t>P</w:t>
      </w:r>
      <w:r>
        <w:t>hase I/II, open-label, unco</w:t>
      </w:r>
      <w:r w:rsidR="006E55E2">
        <w:t>ntrolled, dose escalation, dose </w:t>
      </w:r>
      <w:r>
        <w:t xml:space="preserve">schedule finding study in patients aged 1 to 21 years with primary refractory or relapsed </w:t>
      </w:r>
      <w:proofErr w:type="spellStart"/>
      <w:r>
        <w:t>neuroblastoma</w:t>
      </w:r>
      <w:proofErr w:type="spellEnd"/>
      <w:r>
        <w:t>.</w:t>
      </w:r>
      <w:r w:rsidR="001E4C4A">
        <w:t xml:space="preserve"> </w:t>
      </w:r>
      <w:r>
        <w:t xml:space="preserve">The primary objective was to find a tolerable treatment schedule which reduces the pain-toxicity profile of </w:t>
      </w:r>
      <w:proofErr w:type="spellStart"/>
      <w:r>
        <w:t>dinutuximab</w:t>
      </w:r>
      <w:proofErr w:type="spellEnd"/>
      <w:r>
        <w:t xml:space="preserve"> beta whilst maintaining immunomodulatory efficacy by using a prolonged continuous infusion in combination with subcutaneous IL-2.</w:t>
      </w:r>
      <w:r w:rsidR="001E4C4A">
        <w:t xml:space="preserve"> </w:t>
      </w:r>
      <w:r>
        <w:t>Secondary objectives included assessment of pain intensity and relief, pharmacokinetics, pharmacodynamics, immunogenicity, and anti-tumour response in patients with measurable disease.</w:t>
      </w:r>
      <w:r w:rsidR="001E4C4A">
        <w:t xml:space="preserve"> </w:t>
      </w:r>
      <w:r>
        <w:t>EFS and OS were also assessed, but these were not pre-specified endpoints.</w:t>
      </w:r>
    </w:p>
    <w:p w14:paraId="0335373A" w14:textId="3B853B7A" w:rsidR="001E4C4A" w:rsidRDefault="006E55E2" w:rsidP="00545A26">
      <w:r>
        <w:t>Forty-four</w:t>
      </w:r>
      <w:r w:rsidR="00545A26">
        <w:t xml:space="preserve"> patients with refractory or relapsed </w:t>
      </w:r>
      <w:proofErr w:type="spellStart"/>
      <w:r w:rsidR="00545A26">
        <w:t>neuroblastoma</w:t>
      </w:r>
      <w:proofErr w:type="spellEnd"/>
      <w:r w:rsidR="00545A26">
        <w:t xml:space="preserve"> were enrolled between January 2012 and February 2015.</w:t>
      </w:r>
      <w:r w:rsidR="001E4C4A">
        <w:t xml:space="preserve"> </w:t>
      </w:r>
      <w:proofErr w:type="spellStart"/>
      <w:r w:rsidR="00545A26">
        <w:t>Dinutuximab</w:t>
      </w:r>
      <w:proofErr w:type="spellEnd"/>
      <w:r w:rsidR="00545A26">
        <w:t xml:space="preserve"> beta was given by continuous 10</w:t>
      </w:r>
      <w:r w:rsidR="00F2336E">
        <w:t xml:space="preserve"> </w:t>
      </w:r>
      <w:r w:rsidR="00545A26">
        <w:t>day infusion at 10 mg/m</w:t>
      </w:r>
      <w:r w:rsidR="00545A26" w:rsidRPr="0069742E">
        <w:rPr>
          <w:vertAlign w:val="superscript"/>
        </w:rPr>
        <w:t>2</w:t>
      </w:r>
      <w:r w:rsidR="00545A26">
        <w:t>/day, in conjunction with IL-2 and 13-cis-RA</w:t>
      </w:r>
      <w:r w:rsidR="001E4C4A">
        <w:t>.</w:t>
      </w:r>
    </w:p>
    <w:p w14:paraId="2B945DAD" w14:textId="38BD13DA" w:rsidR="001E4C4A" w:rsidRDefault="00545A26" w:rsidP="00545A26">
      <w:r>
        <w:t>There were two primary endpoints: a pain-toxicity endpoint and an efficacy endpoint relating to</w:t>
      </w:r>
      <w:r w:rsidR="00C81092">
        <w:t xml:space="preserve"> cluster of differentiation (CD) </w:t>
      </w:r>
      <w:r w:rsidRPr="009D6541">
        <w:t>16</w:t>
      </w:r>
      <w:r w:rsidR="009D6541">
        <w:t>/</w:t>
      </w:r>
      <w:r w:rsidRPr="009D6541">
        <w:t>CD56</w:t>
      </w:r>
      <w:r w:rsidR="009D6541">
        <w:t xml:space="preserve"> positive </w:t>
      </w:r>
      <w:r>
        <w:t>activated NK cells.</w:t>
      </w:r>
      <w:r w:rsidR="001E4C4A">
        <w:t xml:space="preserve"> </w:t>
      </w:r>
      <w:r>
        <w:t xml:space="preserve">The primary </w:t>
      </w:r>
      <w:r>
        <w:lastRenderedPageBreak/>
        <w:t>efficacy endpoint is not suitable as a regulatory endpoint due to uncertain correlation with clinical benefit.</w:t>
      </w:r>
      <w:r w:rsidR="00A05232">
        <w:t xml:space="preserve"> </w:t>
      </w:r>
      <w:r>
        <w:t>Tumour response rates were assessed as a secondary endpoint</w:t>
      </w:r>
      <w:r w:rsidR="001E4C4A">
        <w:t>.</w:t>
      </w:r>
    </w:p>
    <w:p w14:paraId="0BEA9145" w14:textId="0EA789B2" w:rsidR="00F654F3" w:rsidRDefault="00545A26" w:rsidP="00545A26">
      <w:r>
        <w:t>At the end of treatment, ORR in patients with measurable disease was 42.4% (6 (18.2%) CR and 8 (24.2%) PR)</w:t>
      </w:r>
      <w:r w:rsidR="00BC147B">
        <w:t xml:space="preserve"> (</w:t>
      </w:r>
      <w:r w:rsidR="00BC147B">
        <w:fldChar w:fldCharType="begin"/>
      </w:r>
      <w:r w:rsidR="00BC147B">
        <w:instrText xml:space="preserve"> REF _Ref21421283 \h </w:instrText>
      </w:r>
      <w:r w:rsidR="00BC147B">
        <w:fldChar w:fldCharType="separate"/>
      </w:r>
      <w:r w:rsidR="004942AB">
        <w:t xml:space="preserve">Table </w:t>
      </w:r>
      <w:r w:rsidR="004942AB">
        <w:rPr>
          <w:noProof/>
        </w:rPr>
        <w:t>6</w:t>
      </w:r>
      <w:r w:rsidR="00BC147B">
        <w:fldChar w:fldCharType="end"/>
      </w:r>
      <w:r w:rsidR="00BC147B">
        <w:t>)</w:t>
      </w:r>
      <w:r>
        <w:t>.</w:t>
      </w:r>
      <w:r w:rsidR="001E4C4A">
        <w:t xml:space="preserve"> </w:t>
      </w:r>
      <w:r>
        <w:t>The median duration of response was approximately 2.3</w:t>
      </w:r>
      <w:r w:rsidR="00F2336E">
        <w:t> </w:t>
      </w:r>
      <w:r>
        <w:t>years (range 5 weeks to 3 years).</w:t>
      </w:r>
      <w:r w:rsidR="001E4C4A">
        <w:t xml:space="preserve"> </w:t>
      </w:r>
      <w:r>
        <w:t>In a pooled analysis of relapsed/refractory patients with measu</w:t>
      </w:r>
      <w:r w:rsidR="00F654F3">
        <w:t xml:space="preserve">rable disease in </w:t>
      </w:r>
      <w:r w:rsidR="00F2336E">
        <w:t>S</w:t>
      </w:r>
      <w:r>
        <w:t>tudies APN311-202 and -303, ORR at the end of treatment was 36.1% (9 (12.5%) CR, 17 (23.6%) PR).</w:t>
      </w:r>
    </w:p>
    <w:p w14:paraId="5871AD88" w14:textId="2C1A486A" w:rsidR="00545A26" w:rsidRDefault="00545A26" w:rsidP="00BC330E">
      <w:pPr>
        <w:pStyle w:val="TableTitle"/>
      </w:pPr>
      <w:bookmarkStart w:id="51" w:name="_Ref21421283"/>
      <w:r>
        <w:t xml:space="preserve">Table </w:t>
      </w:r>
      <w:fldSimple w:instr=" SEQ Table \* ARABIC ">
        <w:r w:rsidR="004942AB">
          <w:rPr>
            <w:noProof/>
          </w:rPr>
          <w:t>6</w:t>
        </w:r>
      </w:fldSimple>
      <w:bookmarkEnd w:id="51"/>
      <w:r w:rsidR="00031D2A">
        <w:rPr>
          <w:noProof/>
        </w:rPr>
        <w:t>:</w:t>
      </w:r>
      <w:r w:rsidR="001E4C4A">
        <w:t xml:space="preserve"> </w:t>
      </w:r>
      <w:r w:rsidR="00446A90" w:rsidRPr="00B2182B">
        <w:t>Stud</w:t>
      </w:r>
      <w:r w:rsidR="00446A90">
        <w:t>ies</w:t>
      </w:r>
      <w:r w:rsidR="00446A90" w:rsidRPr="00B2182B">
        <w:t xml:space="preserve"> APN311-303</w:t>
      </w:r>
      <w:r w:rsidR="00446A90">
        <w:t xml:space="preserve"> and APN311-202; </w:t>
      </w:r>
      <w:r w:rsidRPr="00BC330E">
        <w:t>Tumour</w:t>
      </w:r>
      <w:r>
        <w:t xml:space="preserve"> response rates at end of treatment</w:t>
      </w:r>
    </w:p>
    <w:p w14:paraId="424B6538" w14:textId="77777777" w:rsidR="006E55E2" w:rsidRDefault="00545A26" w:rsidP="006E55E2">
      <w:r w:rsidRPr="00BC330E">
        <w:rPr>
          <w:noProof/>
          <w:lang w:eastAsia="en-AU"/>
        </w:rPr>
        <w:drawing>
          <wp:inline distT="0" distB="0" distL="0" distR="0" wp14:anchorId="2E0DCDF1" wp14:editId="40A1C349">
            <wp:extent cx="3067050" cy="1228725"/>
            <wp:effectExtent l="0" t="0" r="0" b="9525"/>
            <wp:docPr id="5" name="Picture 5" descr="Studies APN311-303 and APN311-202; Tumour response rates at end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050" cy="1228725"/>
                    </a:xfrm>
                    <a:prstGeom prst="rect">
                      <a:avLst/>
                    </a:prstGeom>
                  </pic:spPr>
                </pic:pic>
              </a:graphicData>
            </a:graphic>
          </wp:inline>
        </w:drawing>
      </w:r>
    </w:p>
    <w:p w14:paraId="1C1B1CA4" w14:textId="7518FF8E" w:rsidR="00545A26" w:rsidRPr="00022C4B" w:rsidRDefault="00F654F3" w:rsidP="00BC330E">
      <w:pPr>
        <w:pStyle w:val="TableDescription"/>
      </w:pPr>
      <w:r>
        <w:t>S</w:t>
      </w:r>
      <w:r w:rsidR="00545A26" w:rsidRPr="00022C4B">
        <w:t>ource: EPAR</w:t>
      </w:r>
      <w:r w:rsidR="00545A26">
        <w:t xml:space="preserve"> </w:t>
      </w:r>
      <w:proofErr w:type="spellStart"/>
      <w:r w:rsidR="00545A26">
        <w:t>dinutuximab</w:t>
      </w:r>
      <w:proofErr w:type="spellEnd"/>
      <w:r w:rsidR="00545A26">
        <w:t xml:space="preserve"> beta</w:t>
      </w:r>
      <w:r w:rsidR="00DA6D17">
        <w:fldChar w:fldCharType="begin"/>
      </w:r>
      <w:r w:rsidR="00DA6D17">
        <w:instrText xml:space="preserve"> NOTEREF _Ref40030081 \f \h </w:instrText>
      </w:r>
      <w:r w:rsidR="00DA6D17">
        <w:fldChar w:fldCharType="separate"/>
      </w:r>
      <w:r w:rsidR="004942AB" w:rsidRPr="004942AB">
        <w:rPr>
          <w:rStyle w:val="FootnoteReference"/>
        </w:rPr>
        <w:t>12</w:t>
      </w:r>
      <w:r w:rsidR="00DA6D17">
        <w:fldChar w:fldCharType="end"/>
      </w:r>
    </w:p>
    <w:p w14:paraId="57267813" w14:textId="6F03DBC1" w:rsidR="00545A26" w:rsidRDefault="00545A26" w:rsidP="00545A26">
      <w:r>
        <w:t xml:space="preserve">Survival outcomes are shown in </w:t>
      </w:r>
      <w:r>
        <w:fldChar w:fldCharType="begin"/>
      </w:r>
      <w:r>
        <w:instrText xml:space="preserve"> REF _Ref21357472 \h </w:instrText>
      </w:r>
      <w:r>
        <w:fldChar w:fldCharType="separate"/>
      </w:r>
      <w:r w:rsidR="004942AB">
        <w:t xml:space="preserve">Table </w:t>
      </w:r>
      <w:r w:rsidR="004942AB">
        <w:rPr>
          <w:noProof/>
        </w:rPr>
        <w:t>4</w:t>
      </w:r>
      <w:r>
        <w:fldChar w:fldCharType="end"/>
      </w:r>
      <w:r>
        <w:t>.</w:t>
      </w:r>
      <w:r w:rsidR="001E4C4A">
        <w:t xml:space="preserve"> </w:t>
      </w:r>
      <w:r>
        <w:t>A pooled analyses of OS of relapsed patients in Studies APN311-202 and -303 appeared favourable when compared against two cohorts of historical controls (</w:t>
      </w:r>
      <w:r w:rsidRPr="00143705">
        <w:t xml:space="preserve">Italian </w:t>
      </w:r>
      <w:proofErr w:type="spellStart"/>
      <w:r w:rsidRPr="00143705">
        <w:t>Neuroblastoma</w:t>
      </w:r>
      <w:proofErr w:type="spellEnd"/>
      <w:r w:rsidRPr="00143705">
        <w:t xml:space="preserve"> Registry</w:t>
      </w:r>
      <w:r>
        <w:t xml:space="preserve"> cohort, </w:t>
      </w:r>
      <w:proofErr w:type="spellStart"/>
      <w:r>
        <w:t>Garaventa</w:t>
      </w:r>
      <w:proofErr w:type="spellEnd"/>
      <w:r>
        <w:t xml:space="preserve"> et al,</w:t>
      </w:r>
      <w:r w:rsidR="00B964A2">
        <w:fldChar w:fldCharType="begin"/>
      </w:r>
      <w:r w:rsidR="00B964A2">
        <w:instrText xml:space="preserve"> NOTEREF _Ref40252281 \f \h </w:instrText>
      </w:r>
      <w:r w:rsidR="00B964A2">
        <w:fldChar w:fldCharType="separate"/>
      </w:r>
      <w:r w:rsidR="004942AB" w:rsidRPr="004942AB">
        <w:rPr>
          <w:rStyle w:val="FootnoteReference"/>
        </w:rPr>
        <w:t>13</w:t>
      </w:r>
      <w:r w:rsidR="00B964A2">
        <w:fldChar w:fldCharType="end"/>
      </w:r>
      <w:r>
        <w:t xml:space="preserve"> </w:t>
      </w:r>
      <w:r>
        <w:fldChar w:fldCharType="begin"/>
      </w:r>
      <w:r>
        <w:instrText xml:space="preserve"> REF _Ref24618912 \h </w:instrText>
      </w:r>
      <w:r>
        <w:fldChar w:fldCharType="separate"/>
      </w:r>
      <w:r w:rsidR="004942AB">
        <w:t xml:space="preserve">Table </w:t>
      </w:r>
      <w:r w:rsidR="004942AB">
        <w:rPr>
          <w:noProof/>
        </w:rPr>
        <w:t>7</w:t>
      </w:r>
      <w:r>
        <w:fldChar w:fldCharType="end"/>
      </w:r>
      <w:r>
        <w:t xml:space="preserve">; SIOPEN HR-NBL1 </w:t>
      </w:r>
      <w:r w:rsidR="003E39BE">
        <w:t>first randomisation (</w:t>
      </w:r>
      <w:r>
        <w:t>R1</w:t>
      </w:r>
      <w:r w:rsidR="003E39BE">
        <w:t>)</w:t>
      </w:r>
      <w:r>
        <w:t xml:space="preserve"> cohort, </w:t>
      </w:r>
      <w:r>
        <w:fldChar w:fldCharType="begin"/>
      </w:r>
      <w:r>
        <w:instrText xml:space="preserve"> REF _Ref24618923 \h </w:instrText>
      </w:r>
      <w:r>
        <w:fldChar w:fldCharType="separate"/>
      </w:r>
      <w:r w:rsidR="004942AB">
        <w:t xml:space="preserve">Table </w:t>
      </w:r>
      <w:r w:rsidR="004942AB">
        <w:rPr>
          <w:noProof/>
        </w:rPr>
        <w:t>8</w:t>
      </w:r>
      <w:r>
        <w:fldChar w:fldCharType="end"/>
      </w:r>
      <w:r>
        <w:t>).</w:t>
      </w:r>
    </w:p>
    <w:p w14:paraId="79D94917" w14:textId="70F6F298" w:rsidR="00545A26" w:rsidRDefault="00545A26" w:rsidP="003E582E">
      <w:pPr>
        <w:pStyle w:val="TableTitle"/>
      </w:pPr>
      <w:bookmarkStart w:id="52" w:name="_Ref24618912"/>
      <w:r>
        <w:t xml:space="preserve">Table </w:t>
      </w:r>
      <w:fldSimple w:instr=" SEQ Table \* ARABIC ">
        <w:r w:rsidR="004942AB">
          <w:rPr>
            <w:noProof/>
          </w:rPr>
          <w:t>7</w:t>
        </w:r>
      </w:fldSimple>
      <w:bookmarkEnd w:id="52"/>
      <w:r w:rsidR="00031D2A">
        <w:rPr>
          <w:noProof/>
        </w:rPr>
        <w:t>:</w:t>
      </w:r>
      <w:r>
        <w:t xml:space="preserve"> Overall survival, relaps</w:t>
      </w:r>
      <w:r w:rsidR="00031D2A">
        <w:t xml:space="preserve">ed patients, </w:t>
      </w:r>
      <w:r w:rsidR="00F2336E">
        <w:t xml:space="preserve">Studies </w:t>
      </w:r>
      <w:r w:rsidR="00031D2A">
        <w:t>APN311-202/-303 versus</w:t>
      </w:r>
      <w:r>
        <w:t xml:space="preserve"> historic controls (</w:t>
      </w:r>
      <w:proofErr w:type="spellStart"/>
      <w:r>
        <w:t>Garaventa</w:t>
      </w:r>
      <w:proofErr w:type="spellEnd"/>
      <w:r w:rsidR="00600325">
        <w:t xml:space="preserve"> et al.</w:t>
      </w:r>
      <w:r>
        <w:t>)</w:t>
      </w:r>
    </w:p>
    <w:p w14:paraId="1FD5EF8B" w14:textId="77777777" w:rsidR="00545A26" w:rsidRDefault="00545A26" w:rsidP="006E55E2">
      <w:r>
        <w:rPr>
          <w:noProof/>
          <w:lang w:eastAsia="en-AU"/>
        </w:rPr>
        <w:drawing>
          <wp:inline distT="0" distB="0" distL="0" distR="0" wp14:anchorId="0B544E4C" wp14:editId="3C28BC6E">
            <wp:extent cx="5400040" cy="2660015"/>
            <wp:effectExtent l="0" t="0" r="0" b="6985"/>
            <wp:docPr id="17" name="Picture 17" descr="Overall survival, relapsed patients, Studies APN311-202/-303 versus historic controls (Garaventa el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2660015"/>
                    </a:xfrm>
                    <a:prstGeom prst="rect">
                      <a:avLst/>
                    </a:prstGeom>
                  </pic:spPr>
                </pic:pic>
              </a:graphicData>
            </a:graphic>
          </wp:inline>
        </w:drawing>
      </w:r>
    </w:p>
    <w:p w14:paraId="6D536875" w14:textId="297D6AB1" w:rsidR="00545A26" w:rsidRDefault="00545A26" w:rsidP="003E582E">
      <w:pPr>
        <w:pStyle w:val="TableTitle"/>
      </w:pPr>
      <w:bookmarkStart w:id="53" w:name="_Ref24618923"/>
      <w:r>
        <w:lastRenderedPageBreak/>
        <w:t xml:space="preserve">Table </w:t>
      </w:r>
      <w:fldSimple w:instr=" SEQ Table \* ARABIC ">
        <w:r w:rsidR="004942AB">
          <w:rPr>
            <w:noProof/>
          </w:rPr>
          <w:t>8</w:t>
        </w:r>
      </w:fldSimple>
      <w:bookmarkEnd w:id="53"/>
      <w:r w:rsidR="00031D2A">
        <w:rPr>
          <w:noProof/>
        </w:rPr>
        <w:t>:</w:t>
      </w:r>
      <w:r w:rsidR="001E4C4A">
        <w:t xml:space="preserve"> </w:t>
      </w:r>
      <w:r w:rsidR="00446A90" w:rsidRPr="00B2182B">
        <w:t>Stud</w:t>
      </w:r>
      <w:r w:rsidR="00446A90">
        <w:t>ies</w:t>
      </w:r>
      <w:r w:rsidR="00446A90" w:rsidRPr="00B2182B">
        <w:t xml:space="preserve"> APN311-303</w:t>
      </w:r>
      <w:r w:rsidR="00446A90">
        <w:t xml:space="preserve"> and APN311-202; </w:t>
      </w:r>
      <w:r>
        <w:t>Overall survival, relaps</w:t>
      </w:r>
      <w:r w:rsidR="00031D2A">
        <w:t xml:space="preserve">ed patients, </w:t>
      </w:r>
      <w:proofErr w:type="spellStart"/>
      <w:r w:rsidR="00446A90">
        <w:t>dinutuximab</w:t>
      </w:r>
      <w:proofErr w:type="spellEnd"/>
      <w:r w:rsidR="00446A90">
        <w:t xml:space="preserve"> beta</w:t>
      </w:r>
      <w:r w:rsidR="00031D2A">
        <w:t xml:space="preserve"> versus</w:t>
      </w:r>
      <w:r>
        <w:t xml:space="preserve"> historic controls (R1 cohort)</w:t>
      </w:r>
    </w:p>
    <w:p w14:paraId="33DB3CDA" w14:textId="77777777" w:rsidR="00545A26" w:rsidRDefault="00545A26" w:rsidP="00F03EFF">
      <w:r>
        <w:rPr>
          <w:noProof/>
          <w:lang w:eastAsia="en-AU"/>
        </w:rPr>
        <w:drawing>
          <wp:inline distT="0" distB="0" distL="0" distR="0" wp14:anchorId="5E041401" wp14:editId="299AA303">
            <wp:extent cx="5400040" cy="2768600"/>
            <wp:effectExtent l="0" t="0" r="0" b="0"/>
            <wp:docPr id="19" name="Picture 19" descr="Studies APN311-303 and APN311-202; Overall survival, relapsed patients, dinutuximab beta versus historic controls (R1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2768600"/>
                    </a:xfrm>
                    <a:prstGeom prst="rect">
                      <a:avLst/>
                    </a:prstGeom>
                  </pic:spPr>
                </pic:pic>
              </a:graphicData>
            </a:graphic>
          </wp:inline>
        </w:drawing>
      </w:r>
    </w:p>
    <w:p w14:paraId="7CBA43D8" w14:textId="77777777" w:rsidR="00545A26" w:rsidRDefault="00545A26" w:rsidP="00545A26">
      <w:pPr>
        <w:pStyle w:val="Heading5"/>
      </w:pPr>
      <w:r w:rsidRPr="00AA53F4">
        <w:t>S</w:t>
      </w:r>
      <w:r>
        <w:t>tudy APN311-201</w:t>
      </w:r>
    </w:p>
    <w:p w14:paraId="10C9AEB5" w14:textId="766A07C6" w:rsidR="00545A26" w:rsidRDefault="00E7369C" w:rsidP="00545A26">
      <w:r>
        <w:t xml:space="preserve">Study </w:t>
      </w:r>
      <w:r w:rsidR="00545A26">
        <w:t xml:space="preserve">APN311-201 was an investigator-initiated, </w:t>
      </w:r>
      <w:r>
        <w:t>P</w:t>
      </w:r>
      <w:r w:rsidR="00545A26">
        <w:t xml:space="preserve">hase II feasibility study evaluating the use of </w:t>
      </w:r>
      <w:proofErr w:type="spellStart"/>
      <w:r w:rsidR="00545A26">
        <w:t>dinutuximab</w:t>
      </w:r>
      <w:proofErr w:type="spellEnd"/>
      <w:r w:rsidR="00545A26">
        <w:t xml:space="preserve"> beta </w:t>
      </w:r>
      <w:r w:rsidR="00545A26">
        <w:rPr>
          <w:rFonts w:asciiTheme="minorHAnsi" w:hAnsiTheme="minorHAnsi"/>
        </w:rPr>
        <w:t>(100 mg/m</w:t>
      </w:r>
      <w:r w:rsidR="00545A26" w:rsidRPr="003E18E2">
        <w:rPr>
          <w:rFonts w:asciiTheme="minorHAnsi" w:hAnsiTheme="minorHAnsi"/>
          <w:vertAlign w:val="superscript"/>
        </w:rPr>
        <w:t>2</w:t>
      </w:r>
      <w:r w:rsidR="00545A26">
        <w:rPr>
          <w:rFonts w:asciiTheme="minorHAnsi" w:hAnsiTheme="minorHAnsi"/>
        </w:rPr>
        <w:t xml:space="preserve"> per cycle, given as 8</w:t>
      </w:r>
      <w:r>
        <w:rPr>
          <w:rFonts w:asciiTheme="minorHAnsi" w:hAnsiTheme="minorHAnsi"/>
        </w:rPr>
        <w:t xml:space="preserve"> </w:t>
      </w:r>
      <w:r w:rsidR="00545A26">
        <w:rPr>
          <w:rFonts w:asciiTheme="minorHAnsi" w:hAnsiTheme="minorHAnsi"/>
        </w:rPr>
        <w:t>hour infusions over 5</w:t>
      </w:r>
      <w:r>
        <w:rPr>
          <w:rFonts w:asciiTheme="minorHAnsi" w:hAnsiTheme="minorHAnsi"/>
        </w:rPr>
        <w:t> </w:t>
      </w:r>
      <w:r w:rsidR="00545A26">
        <w:rPr>
          <w:rFonts w:asciiTheme="minorHAnsi" w:hAnsiTheme="minorHAnsi"/>
        </w:rPr>
        <w:t xml:space="preserve">consecutive days) </w:t>
      </w:r>
      <w:r w:rsidR="00545A26">
        <w:t xml:space="preserve">following </w:t>
      </w:r>
      <w:proofErr w:type="spellStart"/>
      <w:r w:rsidR="00545A26">
        <w:t>haploidentical</w:t>
      </w:r>
      <w:proofErr w:type="spellEnd"/>
      <w:r w:rsidR="003E582E">
        <w:t xml:space="preserve"> stem cell transplant</w:t>
      </w:r>
      <w:r w:rsidR="00545A26">
        <w:t xml:space="preserve"> </w:t>
      </w:r>
      <w:r w:rsidR="003E582E">
        <w:t>(</w:t>
      </w:r>
      <w:proofErr w:type="spellStart"/>
      <w:r w:rsidR="00031D2A">
        <w:t>haplo</w:t>
      </w:r>
      <w:proofErr w:type="spellEnd"/>
      <w:r w:rsidR="00031D2A">
        <w:t>-</w:t>
      </w:r>
      <w:r w:rsidR="00545A26">
        <w:t>SCT</w:t>
      </w:r>
      <w:r w:rsidR="003E582E">
        <w:t>)</w:t>
      </w:r>
      <w:r w:rsidR="00545A26">
        <w:t xml:space="preserve"> in patients aged up to 21 years with relapsed </w:t>
      </w:r>
      <w:proofErr w:type="spellStart"/>
      <w:r w:rsidR="00545A26">
        <w:t>neuroblastoma</w:t>
      </w:r>
      <w:proofErr w:type="spellEnd"/>
      <w:r w:rsidR="00545A26">
        <w:t xml:space="preserve"> (N</w:t>
      </w:r>
      <w:r>
        <w:t xml:space="preserve"> </w:t>
      </w:r>
      <w:r w:rsidR="00545A26">
        <w:t>=</w:t>
      </w:r>
      <w:r>
        <w:t xml:space="preserve"> </w:t>
      </w:r>
      <w:r w:rsidR="00545A26">
        <w:t>35).</w:t>
      </w:r>
      <w:r w:rsidR="001E4C4A">
        <w:t xml:space="preserve"> </w:t>
      </w:r>
      <w:r w:rsidR="00545A26">
        <w:t xml:space="preserve">The primary objective was to assess the safety and feasibility of </w:t>
      </w:r>
      <w:proofErr w:type="spellStart"/>
      <w:r w:rsidR="00545A26">
        <w:t>dinutuximab</w:t>
      </w:r>
      <w:proofErr w:type="spellEnd"/>
      <w:r w:rsidR="00545A26">
        <w:t xml:space="preserve"> beta and IL-2 after </w:t>
      </w:r>
      <w:proofErr w:type="spellStart"/>
      <w:r w:rsidR="00545A26">
        <w:t>haplo</w:t>
      </w:r>
      <w:proofErr w:type="spellEnd"/>
      <w:r w:rsidR="00545A26">
        <w:t>-SCT.</w:t>
      </w:r>
      <w:r w:rsidR="001E4C4A">
        <w:t xml:space="preserve"> </w:t>
      </w:r>
      <w:r w:rsidR="00545A26">
        <w:t>Secondary objectives included evaluation of anti-tumour responses, PK, and immunological monitoring (NK cells).</w:t>
      </w:r>
      <w:r w:rsidR="001E4C4A">
        <w:t xml:space="preserve"> </w:t>
      </w:r>
      <w:proofErr w:type="spellStart"/>
      <w:r w:rsidR="00545A26">
        <w:t>Dinutuximab</w:t>
      </w:r>
      <w:proofErr w:type="spellEnd"/>
      <w:r w:rsidR="00545A26">
        <w:t xml:space="preserve"> beta was given as a single agent for the fi</w:t>
      </w:r>
      <w:r w:rsidR="006E55E2">
        <w:t>rst 3 cycles, and with IL-2 in C</w:t>
      </w:r>
      <w:r w:rsidR="00545A26">
        <w:t>ycles 4 to 9.</w:t>
      </w:r>
    </w:p>
    <w:p w14:paraId="24400556" w14:textId="477631DF" w:rsidR="001E4C4A" w:rsidRDefault="00545A26" w:rsidP="00545A26">
      <w:r>
        <w:t xml:space="preserve">Treatment responses are shown in </w:t>
      </w:r>
      <w:r>
        <w:fldChar w:fldCharType="begin"/>
      </w:r>
      <w:r>
        <w:instrText xml:space="preserve"> REF _Ref24630953 \h </w:instrText>
      </w:r>
      <w:r>
        <w:fldChar w:fldCharType="separate"/>
      </w:r>
      <w:r w:rsidR="004942AB">
        <w:t xml:space="preserve">Table </w:t>
      </w:r>
      <w:r w:rsidR="004942AB">
        <w:rPr>
          <w:noProof/>
        </w:rPr>
        <w:t>9</w:t>
      </w:r>
      <w:r>
        <w:fldChar w:fldCharType="end"/>
      </w:r>
      <w:r>
        <w:t>.</w:t>
      </w:r>
      <w:r w:rsidR="001E4C4A">
        <w:t xml:space="preserve"> </w:t>
      </w:r>
      <w:r>
        <w:t xml:space="preserve">Comparative analyses of survival outcomes compared to historic controls with relapsed </w:t>
      </w:r>
      <w:proofErr w:type="spellStart"/>
      <w:r>
        <w:t>neuroblastoma</w:t>
      </w:r>
      <w:proofErr w:type="spellEnd"/>
      <w:r>
        <w:t xml:space="preserve"> treated with </w:t>
      </w:r>
      <w:proofErr w:type="spellStart"/>
      <w:r>
        <w:t>haplo</w:t>
      </w:r>
      <w:proofErr w:type="spellEnd"/>
      <w:r>
        <w:t xml:space="preserve">-SCT favoured the </w:t>
      </w:r>
      <w:proofErr w:type="spellStart"/>
      <w:r>
        <w:t>dinutuximab</w:t>
      </w:r>
      <w:proofErr w:type="spellEnd"/>
      <w:r>
        <w:t xml:space="preserve"> beta group (</w:t>
      </w:r>
      <w:r>
        <w:fldChar w:fldCharType="begin"/>
      </w:r>
      <w:r>
        <w:instrText xml:space="preserve"> REF _Ref24630898 \h </w:instrText>
      </w:r>
      <w:r>
        <w:fldChar w:fldCharType="separate"/>
      </w:r>
      <w:r w:rsidR="004942AB">
        <w:t xml:space="preserve">Table </w:t>
      </w:r>
      <w:r w:rsidR="004942AB">
        <w:rPr>
          <w:noProof/>
        </w:rPr>
        <w:t>10</w:t>
      </w:r>
      <w:r>
        <w:fldChar w:fldCharType="end"/>
      </w:r>
      <w:r>
        <w:t>)</w:t>
      </w:r>
      <w:r w:rsidR="001E4C4A">
        <w:t>.</w:t>
      </w:r>
    </w:p>
    <w:p w14:paraId="471974D5" w14:textId="27B54D12" w:rsidR="00545A26" w:rsidRDefault="00545A26" w:rsidP="00BB21B6">
      <w:pPr>
        <w:pStyle w:val="TableTitle"/>
      </w:pPr>
      <w:bookmarkStart w:id="54" w:name="_Ref24630953"/>
      <w:r>
        <w:t xml:space="preserve">Table </w:t>
      </w:r>
      <w:fldSimple w:instr=" SEQ Table \* ARABIC ">
        <w:r w:rsidR="004942AB">
          <w:rPr>
            <w:noProof/>
          </w:rPr>
          <w:t>9</w:t>
        </w:r>
      </w:fldSimple>
      <w:bookmarkEnd w:id="54"/>
      <w:r w:rsidR="007A7CEA">
        <w:rPr>
          <w:noProof/>
        </w:rPr>
        <w:t>:</w:t>
      </w:r>
      <w:r>
        <w:t xml:space="preserve"> </w:t>
      </w:r>
      <w:r w:rsidR="00446A90" w:rsidRPr="00B2182B">
        <w:t>Stud</w:t>
      </w:r>
      <w:r w:rsidR="00446A90">
        <w:t xml:space="preserve">yAPN311-201; </w:t>
      </w:r>
      <w:r>
        <w:t xml:space="preserve">Treatment response in patients with evidence of disease after </w:t>
      </w:r>
      <w:proofErr w:type="spellStart"/>
      <w:r w:rsidR="007A7CEA">
        <w:t>haploidentical</w:t>
      </w:r>
      <w:proofErr w:type="spellEnd"/>
      <w:r w:rsidR="007A7CEA">
        <w:t xml:space="preserve"> stem cell transplant</w:t>
      </w:r>
    </w:p>
    <w:p w14:paraId="46C43735" w14:textId="77E2FA49" w:rsidR="00545A26" w:rsidRDefault="00545A26" w:rsidP="00BE0492">
      <w:r>
        <w:rPr>
          <w:noProof/>
          <w:lang w:eastAsia="en-AU"/>
        </w:rPr>
        <w:drawing>
          <wp:inline distT="0" distB="0" distL="0" distR="0" wp14:anchorId="1DEA8360" wp14:editId="47500709">
            <wp:extent cx="5400040" cy="2245995"/>
            <wp:effectExtent l="0" t="0" r="0" b="1905"/>
            <wp:docPr id="26" name="Picture 26" descr="StudyAPN311-201; Treatment response in patients with evidence of disease after haploidentical stem cell trans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2245995"/>
                    </a:xfrm>
                    <a:prstGeom prst="rect">
                      <a:avLst/>
                    </a:prstGeom>
                  </pic:spPr>
                </pic:pic>
              </a:graphicData>
            </a:graphic>
          </wp:inline>
        </w:drawing>
      </w:r>
    </w:p>
    <w:p w14:paraId="7086D5AD" w14:textId="48DDE65E" w:rsidR="001E4C4A" w:rsidRDefault="00545A26" w:rsidP="00BB21B6">
      <w:pPr>
        <w:pStyle w:val="TableTitle"/>
      </w:pPr>
      <w:bookmarkStart w:id="55" w:name="_Ref24630898"/>
      <w:r>
        <w:lastRenderedPageBreak/>
        <w:t xml:space="preserve">Table </w:t>
      </w:r>
      <w:fldSimple w:instr=" SEQ Table \* ARABIC ">
        <w:r w:rsidR="004942AB">
          <w:rPr>
            <w:noProof/>
          </w:rPr>
          <w:t>10</w:t>
        </w:r>
      </w:fldSimple>
      <w:bookmarkEnd w:id="55"/>
      <w:r w:rsidR="007A7CEA">
        <w:rPr>
          <w:noProof/>
        </w:rPr>
        <w:t>:</w:t>
      </w:r>
      <w:r w:rsidR="001E4C4A">
        <w:t xml:space="preserve"> </w:t>
      </w:r>
      <w:r w:rsidR="00446A90" w:rsidRPr="00B2182B">
        <w:t>Stud</w:t>
      </w:r>
      <w:r w:rsidR="00446A90">
        <w:t>y APN311-201; o</w:t>
      </w:r>
      <w:r w:rsidR="007A7CEA">
        <w:t>verall survival, versus</w:t>
      </w:r>
      <w:r>
        <w:t xml:space="preserve"> historic controls</w:t>
      </w:r>
    </w:p>
    <w:p w14:paraId="0D03D721" w14:textId="51806675" w:rsidR="00545A26" w:rsidRDefault="00545A26" w:rsidP="00BE0492">
      <w:r>
        <w:rPr>
          <w:noProof/>
          <w:lang w:eastAsia="en-AU"/>
        </w:rPr>
        <w:drawing>
          <wp:inline distT="0" distB="0" distL="0" distR="0" wp14:anchorId="563B254C" wp14:editId="3A34C8B3">
            <wp:extent cx="5400040" cy="3065145"/>
            <wp:effectExtent l="0" t="0" r="0" b="1905"/>
            <wp:docPr id="15" name="Picture 15" descr="Study APN311-201; overall survival, versus historic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3065145"/>
                    </a:xfrm>
                    <a:prstGeom prst="rect">
                      <a:avLst/>
                    </a:prstGeom>
                  </pic:spPr>
                </pic:pic>
              </a:graphicData>
            </a:graphic>
          </wp:inline>
        </w:drawing>
      </w:r>
    </w:p>
    <w:p w14:paraId="45E77417" w14:textId="678D591F" w:rsidR="00E7369C" w:rsidRDefault="00E7369C" w:rsidP="00F63AED">
      <w:pPr>
        <w:pStyle w:val="TableDescription"/>
      </w:pPr>
      <w:r>
        <w:t xml:space="preserve">Subgroup analysis (SUB): Some patients underwent a ch14.18 antibody treatment before </w:t>
      </w:r>
      <w:proofErr w:type="spellStart"/>
      <w:r>
        <w:t>haploidentical</w:t>
      </w:r>
      <w:proofErr w:type="spellEnd"/>
      <w:r>
        <w:t xml:space="preserve"> stem cell transplantation. These patients were excluded from analysis set SUB.</w:t>
      </w:r>
    </w:p>
    <w:p w14:paraId="6760C40F" w14:textId="2EFB73FD" w:rsidR="00545A26" w:rsidRDefault="00545A26" w:rsidP="00545A26">
      <w:pPr>
        <w:pStyle w:val="Heading5"/>
      </w:pPr>
      <w:r w:rsidRPr="00AA53F4">
        <w:t>S</w:t>
      </w:r>
      <w:r>
        <w:t>tudy APN311-302 (HR-NBL-1.5/SIOPEN</w:t>
      </w:r>
      <w:r w:rsidR="0064082D">
        <w:t xml:space="preserve"> trial</w:t>
      </w:r>
      <w:r>
        <w:t>)</w:t>
      </w:r>
    </w:p>
    <w:p w14:paraId="064E60B3" w14:textId="68194E45" w:rsidR="001E4C4A" w:rsidRDefault="0064082D" w:rsidP="00545A26">
      <w:r>
        <w:t xml:space="preserve">Study </w:t>
      </w:r>
      <w:r w:rsidR="00545A26">
        <w:t xml:space="preserve">APN311-302 is a </w:t>
      </w:r>
      <w:r>
        <w:t>P</w:t>
      </w:r>
      <w:r w:rsidR="00545A26">
        <w:t>hase III, investigator</w:t>
      </w:r>
      <w:r>
        <w:t xml:space="preserve"> </w:t>
      </w:r>
      <w:r w:rsidR="00545A26">
        <w:t>initiated, multinational, open-label, randomised, controlled trial in patients with</w:t>
      </w:r>
      <w:r w:rsidR="003E582E">
        <w:t xml:space="preserve"> high-risk </w:t>
      </w:r>
      <w:proofErr w:type="spellStart"/>
      <w:r w:rsidR="003E582E">
        <w:t>neuroblastoma</w:t>
      </w:r>
      <w:proofErr w:type="spellEnd"/>
      <w:r w:rsidR="003E582E">
        <w:t xml:space="preserve"> (</w:t>
      </w:r>
      <w:r w:rsidR="007A7CEA">
        <w:t>first-line</w:t>
      </w:r>
      <w:r w:rsidR="00545A26">
        <w:t xml:space="preserve"> setting).</w:t>
      </w:r>
      <w:r w:rsidR="001E4C4A">
        <w:t xml:space="preserve"> </w:t>
      </w:r>
      <w:r w:rsidR="00545A26">
        <w:t>The stu</w:t>
      </w:r>
      <w:r w:rsidR="00BC147B">
        <w:t>dy is being conducted by the SIOPEN</w:t>
      </w:r>
      <w:r w:rsidR="00AE0985">
        <w:t xml:space="preserve"> Association</w:t>
      </w:r>
      <w:r w:rsidR="001E4C4A">
        <w:t>.</w:t>
      </w:r>
    </w:p>
    <w:p w14:paraId="07E06010" w14:textId="2EF07949" w:rsidR="00545A26" w:rsidRPr="00877E01" w:rsidRDefault="00545A26" w:rsidP="00545A26">
      <w:r>
        <w:t>The primary objective is to ass</w:t>
      </w:r>
      <w:r w:rsidR="00240555">
        <w:t>ess whether the addition of subcutaneous</w:t>
      </w:r>
      <w:r>
        <w:t xml:space="preserve"> IL-2 to </w:t>
      </w:r>
      <w:proofErr w:type="spellStart"/>
      <w:r>
        <w:t>dinutuxumab</w:t>
      </w:r>
      <w:proofErr w:type="spellEnd"/>
      <w:r>
        <w:t xml:space="preserve"> beta and 13-cis-RA will improve 3</w:t>
      </w:r>
      <w:r w:rsidR="0064082D">
        <w:t xml:space="preserve"> </w:t>
      </w:r>
      <w:r>
        <w:t>year</w:t>
      </w:r>
      <w:r w:rsidR="00240555">
        <w:t xml:space="preserve"> survival </w:t>
      </w:r>
      <w:r w:rsidR="0064082D">
        <w:t>(</w:t>
      </w:r>
      <w:r>
        <w:t>EFS</w:t>
      </w:r>
      <w:r w:rsidR="0064082D">
        <w:t>)</w:t>
      </w:r>
      <w:r>
        <w:t>.</w:t>
      </w:r>
      <w:r w:rsidR="001E4C4A">
        <w:t xml:space="preserve"> </w:t>
      </w:r>
      <w:r>
        <w:t xml:space="preserve">Secondary objectives are to determine the tolerance of the maintenance treatment following </w:t>
      </w:r>
      <w:proofErr w:type="spellStart"/>
      <w:r>
        <w:t>myeloablative</w:t>
      </w:r>
      <w:proofErr w:type="spellEnd"/>
      <w:r>
        <w:t xml:space="preserve"> therapy, and to collect data on validated biological features and determine the effect of these on EFS and OS.</w:t>
      </w:r>
    </w:p>
    <w:p w14:paraId="45D1FFA8" w14:textId="094A83BF" w:rsidR="00545A26" w:rsidRDefault="00545A26" w:rsidP="00545A26">
      <w:pPr>
        <w:rPr>
          <w:rFonts w:asciiTheme="minorHAnsi" w:hAnsiTheme="minorHAnsi"/>
        </w:rPr>
      </w:pPr>
      <w:r>
        <w:rPr>
          <w:rFonts w:asciiTheme="minorHAnsi" w:hAnsiTheme="minorHAnsi"/>
        </w:rPr>
        <w:t>Between November 2009 and August 2013, 406 patients aged &lt;</w:t>
      </w:r>
      <w:r w:rsidR="00C252DA">
        <w:rPr>
          <w:rFonts w:asciiTheme="minorHAnsi" w:hAnsiTheme="minorHAnsi"/>
        </w:rPr>
        <w:t xml:space="preserve"> </w:t>
      </w:r>
      <w:r>
        <w:rPr>
          <w:rFonts w:asciiTheme="minorHAnsi" w:hAnsiTheme="minorHAnsi"/>
        </w:rPr>
        <w:t>21 years were enrolled in 10 European countries, Australia and Israel.</w:t>
      </w:r>
      <w:r w:rsidR="001E4C4A">
        <w:rPr>
          <w:rFonts w:asciiTheme="minorHAnsi" w:hAnsiTheme="minorHAnsi"/>
        </w:rPr>
        <w:t xml:space="preserve"> </w:t>
      </w:r>
      <w:r>
        <w:rPr>
          <w:rFonts w:asciiTheme="minorHAnsi" w:hAnsiTheme="minorHAnsi"/>
        </w:rPr>
        <w:t>As at the data cut-off date 5 September 2016, 385 patients were randomised and 370 p</w:t>
      </w:r>
      <w:r w:rsidR="00C252DA">
        <w:rPr>
          <w:rFonts w:asciiTheme="minorHAnsi" w:hAnsiTheme="minorHAnsi"/>
        </w:rPr>
        <w:t>atients were included in the full analysis set</w:t>
      </w:r>
      <w:r w:rsidR="0064082D">
        <w:rPr>
          <w:rFonts w:asciiTheme="minorHAnsi" w:hAnsiTheme="minorHAnsi"/>
        </w:rPr>
        <w:t xml:space="preserve"> (FAS)</w:t>
      </w:r>
      <w:r>
        <w:rPr>
          <w:rFonts w:asciiTheme="minorHAnsi" w:hAnsiTheme="minorHAnsi"/>
        </w:rPr>
        <w:t>.</w:t>
      </w:r>
      <w:r w:rsidR="001E4C4A">
        <w:rPr>
          <w:rFonts w:asciiTheme="minorHAnsi" w:hAnsiTheme="minorHAnsi"/>
        </w:rPr>
        <w:t xml:space="preserve"> </w:t>
      </w:r>
      <w:r>
        <w:rPr>
          <w:rFonts w:asciiTheme="minorHAnsi" w:hAnsiTheme="minorHAnsi"/>
        </w:rPr>
        <w:t>The median age of the patients was 3 years (range 0.6 to 20 years).</w:t>
      </w:r>
      <w:r w:rsidR="001E4C4A">
        <w:rPr>
          <w:rFonts w:asciiTheme="minorHAnsi" w:hAnsiTheme="minorHAnsi"/>
        </w:rPr>
        <w:t xml:space="preserve"> </w:t>
      </w:r>
      <w:r w:rsidR="00AB15E5">
        <w:t>Ten</w:t>
      </w:r>
      <w:r>
        <w:t xml:space="preserve"> (2.7%) patients were aged &lt;</w:t>
      </w:r>
      <w:r w:rsidR="00C252DA">
        <w:t xml:space="preserve"> </w:t>
      </w:r>
      <w:r>
        <w:t>1 year.</w:t>
      </w:r>
    </w:p>
    <w:p w14:paraId="2449B290" w14:textId="72F989E6" w:rsidR="00545A26" w:rsidRDefault="00545A26" w:rsidP="00545A26">
      <w:pPr>
        <w:rPr>
          <w:rFonts w:asciiTheme="minorHAnsi" w:hAnsiTheme="minorHAnsi"/>
        </w:rPr>
      </w:pPr>
      <w:r>
        <w:rPr>
          <w:rFonts w:asciiTheme="minorHAnsi" w:hAnsiTheme="minorHAnsi"/>
        </w:rPr>
        <w:t xml:space="preserve">Patients were randomised to receive </w:t>
      </w:r>
      <w:proofErr w:type="spellStart"/>
      <w:r>
        <w:rPr>
          <w:rFonts w:asciiTheme="minorHAnsi" w:hAnsiTheme="minorHAnsi"/>
        </w:rPr>
        <w:t>dinutuximab</w:t>
      </w:r>
      <w:proofErr w:type="spellEnd"/>
      <w:r>
        <w:rPr>
          <w:rFonts w:asciiTheme="minorHAnsi" w:hAnsiTheme="minorHAnsi"/>
        </w:rPr>
        <w:t xml:space="preserve"> beta (100 mg/m</w:t>
      </w:r>
      <w:r w:rsidRPr="003E18E2">
        <w:rPr>
          <w:rFonts w:asciiTheme="minorHAnsi" w:hAnsiTheme="minorHAnsi"/>
          <w:vertAlign w:val="superscript"/>
        </w:rPr>
        <w:t>2</w:t>
      </w:r>
      <w:r w:rsidR="00C252DA">
        <w:rPr>
          <w:rFonts w:asciiTheme="minorHAnsi" w:hAnsiTheme="minorHAnsi"/>
        </w:rPr>
        <w:t xml:space="preserve"> per cycle, given as 8</w:t>
      </w:r>
      <w:r w:rsidR="0064082D">
        <w:rPr>
          <w:rFonts w:asciiTheme="minorHAnsi" w:hAnsiTheme="minorHAnsi"/>
        </w:rPr>
        <w:t> </w:t>
      </w:r>
      <w:r>
        <w:rPr>
          <w:rFonts w:asciiTheme="minorHAnsi" w:hAnsiTheme="minorHAnsi"/>
        </w:rPr>
        <w:t>hour infusions over 5 consecutive days) and 13-cis-RA, with or without IL-2.</w:t>
      </w:r>
      <w:r w:rsidR="001E4C4A">
        <w:rPr>
          <w:rFonts w:asciiTheme="minorHAnsi" w:hAnsiTheme="minorHAnsi"/>
        </w:rPr>
        <w:t xml:space="preserve"> </w:t>
      </w:r>
      <w:r>
        <w:t>Weight</w:t>
      </w:r>
      <w:r w:rsidR="0064082D">
        <w:t> </w:t>
      </w:r>
      <w:r>
        <w:t>based dosing (</w:t>
      </w:r>
      <w:proofErr w:type="spellStart"/>
      <w:r>
        <w:t>dinutuximab</w:t>
      </w:r>
      <w:proofErr w:type="spellEnd"/>
      <w:r>
        <w:t xml:space="preserve"> beta 0.67 mg/kg/day)</w:t>
      </w:r>
      <w:r w:rsidRPr="00DC61A7">
        <w:t xml:space="preserve"> </w:t>
      </w:r>
      <w:r>
        <w:t>was used for children weighing &lt;</w:t>
      </w:r>
      <w:r w:rsidR="00C252DA">
        <w:t xml:space="preserve"> </w:t>
      </w:r>
      <w:r>
        <w:t xml:space="preserve">12 </w:t>
      </w:r>
      <w:r w:rsidR="00AB15E5">
        <w:t>kg instead of dosing based on BSA</w:t>
      </w:r>
      <w:r>
        <w:t>.</w:t>
      </w:r>
      <w:r w:rsidR="001E4C4A">
        <w:t xml:space="preserve"> </w:t>
      </w:r>
      <w:r>
        <w:rPr>
          <w:rFonts w:asciiTheme="minorHAnsi" w:hAnsiTheme="minorHAnsi"/>
        </w:rPr>
        <w:t xml:space="preserve">The study is ongoing and a protocol amendment has led to the study recruiting additional patients to be treated with continuous infusions of </w:t>
      </w:r>
      <w:proofErr w:type="spellStart"/>
      <w:r>
        <w:rPr>
          <w:rFonts w:asciiTheme="minorHAnsi" w:hAnsiTheme="minorHAnsi"/>
        </w:rPr>
        <w:t>dinutuxumab</w:t>
      </w:r>
      <w:proofErr w:type="spellEnd"/>
      <w:r>
        <w:rPr>
          <w:rFonts w:asciiTheme="minorHAnsi" w:hAnsiTheme="minorHAnsi"/>
        </w:rPr>
        <w:t xml:space="preserve"> beta over 10 days instead of 8</w:t>
      </w:r>
      <w:r w:rsidR="007039FD">
        <w:rPr>
          <w:rFonts w:asciiTheme="minorHAnsi" w:hAnsiTheme="minorHAnsi"/>
        </w:rPr>
        <w:t xml:space="preserve"> </w:t>
      </w:r>
      <w:r>
        <w:rPr>
          <w:rFonts w:asciiTheme="minorHAnsi" w:hAnsiTheme="minorHAnsi"/>
        </w:rPr>
        <w:t>hour infusions over 5 consecutive days.</w:t>
      </w:r>
    </w:p>
    <w:p w14:paraId="3A5412AF" w14:textId="7B20348E" w:rsidR="001E4C4A" w:rsidRDefault="00545A26" w:rsidP="00545A26">
      <w:pPr>
        <w:rPr>
          <w:rFonts w:asciiTheme="minorHAnsi" w:hAnsiTheme="minorHAnsi"/>
        </w:rPr>
      </w:pPr>
      <w:r>
        <w:rPr>
          <w:rFonts w:asciiTheme="minorHAnsi" w:hAnsiTheme="minorHAnsi"/>
        </w:rPr>
        <w:t>The primary endpoint was 3</w:t>
      </w:r>
      <w:r w:rsidR="0064082D">
        <w:rPr>
          <w:rFonts w:asciiTheme="minorHAnsi" w:hAnsiTheme="minorHAnsi"/>
        </w:rPr>
        <w:t xml:space="preserve"> </w:t>
      </w:r>
      <w:r>
        <w:rPr>
          <w:rFonts w:asciiTheme="minorHAnsi" w:hAnsiTheme="minorHAnsi"/>
        </w:rPr>
        <w:t>year EFS (events included disease progression, relapse, death from any cause, and second neoplasm).</w:t>
      </w:r>
      <w:r w:rsidR="001E4C4A">
        <w:rPr>
          <w:rFonts w:asciiTheme="minorHAnsi" w:hAnsiTheme="minorHAnsi"/>
        </w:rPr>
        <w:t xml:space="preserve"> </w:t>
      </w:r>
      <w:r w:rsidR="007039FD">
        <w:rPr>
          <w:rFonts w:asciiTheme="minorHAnsi" w:hAnsiTheme="minorHAnsi"/>
        </w:rPr>
        <w:t>OS</w:t>
      </w:r>
      <w:r>
        <w:rPr>
          <w:rFonts w:asciiTheme="minorHAnsi" w:hAnsiTheme="minorHAnsi"/>
        </w:rPr>
        <w:t xml:space="preserve"> was a secondary endpoint</w:t>
      </w:r>
      <w:r w:rsidR="001E4C4A">
        <w:rPr>
          <w:rFonts w:asciiTheme="minorHAnsi" w:hAnsiTheme="minorHAnsi"/>
        </w:rPr>
        <w:t>.</w:t>
      </w:r>
    </w:p>
    <w:p w14:paraId="465D8B48" w14:textId="0280CC6D" w:rsidR="001E4C4A" w:rsidRDefault="00C252DA" w:rsidP="00545A26">
      <w:pPr>
        <w:rPr>
          <w:rFonts w:asciiTheme="minorHAnsi" w:hAnsiTheme="minorHAnsi"/>
        </w:rPr>
      </w:pPr>
      <w:r>
        <w:rPr>
          <w:rFonts w:asciiTheme="minorHAnsi" w:hAnsiTheme="minorHAnsi"/>
        </w:rPr>
        <w:t>The Kaplan-Me</w:t>
      </w:r>
      <w:r w:rsidR="00BC147B">
        <w:rPr>
          <w:rFonts w:asciiTheme="minorHAnsi" w:hAnsiTheme="minorHAnsi"/>
        </w:rPr>
        <w:t>ier</w:t>
      </w:r>
      <w:r w:rsidR="00545A26">
        <w:rPr>
          <w:rFonts w:asciiTheme="minorHAnsi" w:hAnsiTheme="minorHAnsi"/>
        </w:rPr>
        <w:t xml:space="preserve"> estimate of 3</w:t>
      </w:r>
      <w:r w:rsidR="0064082D">
        <w:rPr>
          <w:rFonts w:asciiTheme="minorHAnsi" w:hAnsiTheme="minorHAnsi"/>
        </w:rPr>
        <w:t xml:space="preserve"> </w:t>
      </w:r>
      <w:r w:rsidR="00545A26">
        <w:rPr>
          <w:rFonts w:asciiTheme="minorHAnsi" w:hAnsiTheme="minorHAnsi"/>
        </w:rPr>
        <w:t xml:space="preserve">year EFS was 55.4% in those treated with </w:t>
      </w:r>
      <w:proofErr w:type="spellStart"/>
      <w:r w:rsidR="00545A26">
        <w:rPr>
          <w:rFonts w:asciiTheme="minorHAnsi" w:hAnsiTheme="minorHAnsi"/>
        </w:rPr>
        <w:t>dinutuximab</w:t>
      </w:r>
      <w:proofErr w:type="spellEnd"/>
      <w:r w:rsidR="00545A26">
        <w:rPr>
          <w:rFonts w:asciiTheme="minorHAnsi" w:hAnsiTheme="minorHAnsi"/>
        </w:rPr>
        <w:t xml:space="preserve"> beta and 13-cis-RA, and 61.2% in those treated with IL-2 in addition to </w:t>
      </w:r>
      <w:proofErr w:type="spellStart"/>
      <w:r w:rsidR="00545A26">
        <w:rPr>
          <w:rFonts w:asciiTheme="minorHAnsi" w:hAnsiTheme="minorHAnsi"/>
        </w:rPr>
        <w:t>dinutuximab</w:t>
      </w:r>
      <w:proofErr w:type="spellEnd"/>
      <w:r w:rsidR="00545A26">
        <w:rPr>
          <w:rFonts w:asciiTheme="minorHAnsi" w:hAnsiTheme="minorHAnsi"/>
        </w:rPr>
        <w:t xml:space="preserve"> beta and 13-cis-RA (</w:t>
      </w:r>
      <w:r w:rsidR="00545A26">
        <w:rPr>
          <w:rFonts w:asciiTheme="minorHAnsi" w:hAnsiTheme="minorHAnsi"/>
        </w:rPr>
        <w:fldChar w:fldCharType="begin"/>
      </w:r>
      <w:r w:rsidR="00545A26">
        <w:rPr>
          <w:rFonts w:asciiTheme="minorHAnsi" w:hAnsiTheme="minorHAnsi"/>
        </w:rPr>
        <w:instrText xml:space="preserve"> REF _Ref21428012 \h </w:instrText>
      </w:r>
      <w:r w:rsidR="00545A26">
        <w:rPr>
          <w:rFonts w:asciiTheme="minorHAnsi" w:hAnsiTheme="minorHAnsi"/>
        </w:rPr>
      </w:r>
      <w:r w:rsidR="00545A26">
        <w:rPr>
          <w:rFonts w:asciiTheme="minorHAnsi" w:hAnsiTheme="minorHAnsi"/>
        </w:rPr>
        <w:fldChar w:fldCharType="separate"/>
      </w:r>
      <w:r w:rsidR="004942AB">
        <w:t xml:space="preserve">Table </w:t>
      </w:r>
      <w:r w:rsidR="004942AB">
        <w:rPr>
          <w:noProof/>
        </w:rPr>
        <w:t>11</w:t>
      </w:r>
      <w:r w:rsidR="00545A26">
        <w:rPr>
          <w:rFonts w:asciiTheme="minorHAnsi" w:hAnsiTheme="minorHAnsi"/>
        </w:rPr>
        <w:fldChar w:fldCharType="end"/>
      </w:r>
      <w:r w:rsidR="00545A26">
        <w:rPr>
          <w:rFonts w:asciiTheme="minorHAnsi" w:hAnsiTheme="minorHAnsi"/>
        </w:rPr>
        <w:t>).</w:t>
      </w:r>
      <w:r w:rsidR="001E4C4A">
        <w:rPr>
          <w:rFonts w:asciiTheme="minorHAnsi" w:hAnsiTheme="minorHAnsi"/>
        </w:rPr>
        <w:t xml:space="preserve"> </w:t>
      </w:r>
      <w:r w:rsidR="00545A26">
        <w:rPr>
          <w:rFonts w:asciiTheme="minorHAnsi" w:hAnsiTheme="minorHAnsi"/>
        </w:rPr>
        <w:t>The difference in EFS between the two arms was not statistically significant.</w:t>
      </w:r>
      <w:r w:rsidR="001E4C4A">
        <w:rPr>
          <w:rFonts w:asciiTheme="minorHAnsi" w:hAnsiTheme="minorHAnsi"/>
        </w:rPr>
        <w:t xml:space="preserve"> </w:t>
      </w:r>
      <w:r w:rsidR="00545A26">
        <w:rPr>
          <w:rFonts w:asciiTheme="minorHAnsi" w:hAnsiTheme="minorHAnsi"/>
        </w:rPr>
        <w:t>1</w:t>
      </w:r>
      <w:r w:rsidR="007039FD">
        <w:rPr>
          <w:rFonts w:asciiTheme="minorHAnsi" w:hAnsiTheme="minorHAnsi"/>
        </w:rPr>
        <w:t xml:space="preserve"> </w:t>
      </w:r>
      <w:r w:rsidR="00545A26">
        <w:rPr>
          <w:rFonts w:asciiTheme="minorHAnsi" w:hAnsiTheme="minorHAnsi"/>
        </w:rPr>
        <w:t>year and 2</w:t>
      </w:r>
      <w:r w:rsidR="007039FD">
        <w:rPr>
          <w:rFonts w:asciiTheme="minorHAnsi" w:hAnsiTheme="minorHAnsi"/>
        </w:rPr>
        <w:t xml:space="preserve"> </w:t>
      </w:r>
      <w:r w:rsidR="00545A26">
        <w:rPr>
          <w:rFonts w:asciiTheme="minorHAnsi" w:hAnsiTheme="minorHAnsi"/>
        </w:rPr>
        <w:t>year estimates of EFS were similar across the arms (72.3</w:t>
      </w:r>
      <w:r w:rsidR="00555113">
        <w:rPr>
          <w:rFonts w:asciiTheme="minorHAnsi" w:hAnsiTheme="minorHAnsi"/>
        </w:rPr>
        <w:t>% versus 72.3%, and 63.2 versus</w:t>
      </w:r>
      <w:r w:rsidR="00545A26">
        <w:rPr>
          <w:rFonts w:asciiTheme="minorHAnsi" w:hAnsiTheme="minorHAnsi"/>
        </w:rPr>
        <w:t xml:space="preserve"> 66.3%, respectively).</w:t>
      </w:r>
      <w:r w:rsidR="001E4C4A">
        <w:rPr>
          <w:rFonts w:asciiTheme="minorHAnsi" w:hAnsiTheme="minorHAnsi"/>
        </w:rPr>
        <w:t xml:space="preserve"> </w:t>
      </w:r>
      <w:r w:rsidR="00545A26">
        <w:rPr>
          <w:rFonts w:asciiTheme="minorHAnsi" w:hAnsiTheme="minorHAnsi"/>
        </w:rPr>
        <w:t xml:space="preserve">EFS was generally lower for patients with evidence of disease at </w:t>
      </w:r>
      <w:r w:rsidR="007039FD">
        <w:rPr>
          <w:rFonts w:asciiTheme="minorHAnsi" w:hAnsiTheme="minorHAnsi"/>
        </w:rPr>
        <w:t>B</w:t>
      </w:r>
      <w:r w:rsidR="00545A26">
        <w:rPr>
          <w:rFonts w:asciiTheme="minorHAnsi" w:hAnsiTheme="minorHAnsi"/>
        </w:rPr>
        <w:t>aseline</w:t>
      </w:r>
      <w:r w:rsidR="001E4C4A">
        <w:rPr>
          <w:rFonts w:asciiTheme="minorHAnsi" w:hAnsiTheme="minorHAnsi"/>
        </w:rPr>
        <w:t>.</w:t>
      </w:r>
    </w:p>
    <w:p w14:paraId="0DB51C7B" w14:textId="61857BB9" w:rsidR="001E4C4A" w:rsidRDefault="00545A26" w:rsidP="00545A26">
      <w:pPr>
        <w:rPr>
          <w:rFonts w:asciiTheme="minorHAnsi" w:hAnsiTheme="minorHAnsi"/>
        </w:rPr>
      </w:pPr>
      <w:r>
        <w:rPr>
          <w:rFonts w:asciiTheme="minorHAnsi" w:hAnsiTheme="minorHAnsi"/>
        </w:rPr>
        <w:lastRenderedPageBreak/>
        <w:t>There was no significant difference in OS outcomes between the two arms (</w:t>
      </w:r>
      <w:r w:rsidR="00446A90">
        <w:rPr>
          <w:rFonts w:asciiTheme="minorHAnsi" w:hAnsiTheme="minorHAnsi"/>
        </w:rPr>
        <w:t xml:space="preserve">see </w:t>
      </w:r>
      <w:r>
        <w:rPr>
          <w:rFonts w:asciiTheme="minorHAnsi" w:hAnsiTheme="minorHAnsi"/>
        </w:rPr>
        <w:fldChar w:fldCharType="begin"/>
      </w:r>
      <w:r>
        <w:rPr>
          <w:rFonts w:asciiTheme="minorHAnsi" w:hAnsiTheme="minorHAnsi"/>
        </w:rPr>
        <w:instrText xml:space="preserve"> REF _Ref24628391 \h </w:instrText>
      </w:r>
      <w:r>
        <w:rPr>
          <w:rFonts w:asciiTheme="minorHAnsi" w:hAnsiTheme="minorHAnsi"/>
        </w:rPr>
      </w:r>
      <w:r>
        <w:rPr>
          <w:rFonts w:asciiTheme="minorHAnsi" w:hAnsiTheme="minorHAnsi"/>
        </w:rPr>
        <w:fldChar w:fldCharType="separate"/>
      </w:r>
      <w:r w:rsidR="004942AB">
        <w:t xml:space="preserve">Table </w:t>
      </w:r>
      <w:r w:rsidR="004942AB">
        <w:rPr>
          <w:noProof/>
        </w:rPr>
        <w:t>12</w:t>
      </w:r>
      <w:r>
        <w:rPr>
          <w:rFonts w:asciiTheme="minorHAnsi" w:hAnsiTheme="minorHAnsi"/>
        </w:rPr>
        <w:fldChar w:fldCharType="end"/>
      </w:r>
      <w:r>
        <w:rPr>
          <w:rFonts w:asciiTheme="minorHAnsi" w:hAnsiTheme="minorHAnsi"/>
        </w:rPr>
        <w:t>).</w:t>
      </w:r>
      <w:r w:rsidR="001E4C4A">
        <w:rPr>
          <w:rFonts w:asciiTheme="minorHAnsi" w:hAnsiTheme="minorHAnsi"/>
        </w:rPr>
        <w:t xml:space="preserve"> </w:t>
      </w:r>
      <w:r>
        <w:rPr>
          <w:rFonts w:asciiTheme="minorHAnsi" w:hAnsiTheme="minorHAnsi"/>
        </w:rPr>
        <w:t xml:space="preserve">The submission included a comparison of OS in APN311-302 against historical controls from the R1 randomisation phase of the SIOPEN HR-NBL1 </w:t>
      </w:r>
      <w:r w:rsidR="007039FD">
        <w:rPr>
          <w:rFonts w:asciiTheme="minorHAnsi" w:hAnsiTheme="minorHAnsi"/>
        </w:rPr>
        <w:t>trial</w:t>
      </w:r>
      <w:r w:rsidR="00F63AED">
        <w:rPr>
          <w:rFonts w:asciiTheme="minorHAnsi" w:hAnsiTheme="minorHAnsi"/>
        </w:rPr>
        <w:t xml:space="preserve"> </w:t>
      </w:r>
      <w:r>
        <w:rPr>
          <w:rFonts w:asciiTheme="minorHAnsi" w:hAnsiTheme="minorHAnsi"/>
        </w:rPr>
        <w:t>(N</w:t>
      </w:r>
      <w:r w:rsidR="007039FD">
        <w:rPr>
          <w:rFonts w:asciiTheme="minorHAnsi" w:hAnsiTheme="minorHAnsi"/>
        </w:rPr>
        <w:t xml:space="preserve"> </w:t>
      </w:r>
      <w:r>
        <w:rPr>
          <w:rFonts w:asciiTheme="minorHAnsi" w:hAnsiTheme="minorHAnsi"/>
        </w:rPr>
        <w:t>=</w:t>
      </w:r>
      <w:r w:rsidR="007039FD">
        <w:rPr>
          <w:rFonts w:asciiTheme="minorHAnsi" w:hAnsiTheme="minorHAnsi"/>
        </w:rPr>
        <w:t xml:space="preserve"> </w:t>
      </w:r>
      <w:r>
        <w:rPr>
          <w:rFonts w:asciiTheme="minorHAnsi" w:hAnsiTheme="minorHAnsi"/>
        </w:rPr>
        <w:t xml:space="preserve">450) who received </w:t>
      </w:r>
      <w:proofErr w:type="spellStart"/>
      <w:r>
        <w:rPr>
          <w:rFonts w:asciiTheme="minorHAnsi" w:hAnsiTheme="minorHAnsi"/>
        </w:rPr>
        <w:t>myeloablative</w:t>
      </w:r>
      <w:proofErr w:type="spellEnd"/>
      <w:r>
        <w:rPr>
          <w:rFonts w:asciiTheme="minorHAnsi" w:hAnsiTheme="minorHAnsi"/>
        </w:rPr>
        <w:t xml:space="preserve"> therapy and 13-cis-RA, but no immunotherapy.</w:t>
      </w:r>
      <w:r w:rsidR="001E4C4A">
        <w:rPr>
          <w:rFonts w:asciiTheme="minorHAnsi" w:hAnsiTheme="minorHAnsi"/>
        </w:rPr>
        <w:t xml:space="preserve"> </w:t>
      </w:r>
      <w:r>
        <w:rPr>
          <w:rFonts w:asciiTheme="minorHAnsi" w:hAnsiTheme="minorHAnsi"/>
        </w:rPr>
        <w:t xml:space="preserve">OS in </w:t>
      </w:r>
      <w:r w:rsidR="007039FD">
        <w:rPr>
          <w:rFonts w:asciiTheme="minorHAnsi" w:hAnsiTheme="minorHAnsi"/>
        </w:rPr>
        <w:t xml:space="preserve">Study </w:t>
      </w:r>
      <w:r>
        <w:rPr>
          <w:rFonts w:asciiTheme="minorHAnsi" w:hAnsiTheme="minorHAnsi"/>
        </w:rPr>
        <w:t>APN311-302 appeared favourable compared to the</w:t>
      </w:r>
      <w:r w:rsidR="001E4C4A">
        <w:rPr>
          <w:rFonts w:asciiTheme="minorHAnsi" w:hAnsiTheme="minorHAnsi"/>
        </w:rPr>
        <w:t xml:space="preserve"> </w:t>
      </w:r>
      <w:r>
        <w:rPr>
          <w:rFonts w:asciiTheme="minorHAnsi" w:hAnsiTheme="minorHAnsi"/>
        </w:rPr>
        <w:t>R1 historical control group (</w:t>
      </w:r>
      <w:r w:rsidR="00AE0985">
        <w:rPr>
          <w:rFonts w:asciiTheme="minorHAnsi" w:hAnsiTheme="minorHAnsi"/>
        </w:rPr>
        <w:t xml:space="preserve">see </w:t>
      </w:r>
      <w:r>
        <w:rPr>
          <w:rFonts w:asciiTheme="minorHAnsi" w:hAnsiTheme="minorHAnsi"/>
        </w:rPr>
        <w:fldChar w:fldCharType="begin"/>
      </w:r>
      <w:r>
        <w:rPr>
          <w:rFonts w:asciiTheme="minorHAnsi" w:hAnsiTheme="minorHAnsi"/>
        </w:rPr>
        <w:instrText xml:space="preserve"> REF _Ref24620662 \h </w:instrText>
      </w:r>
      <w:r>
        <w:rPr>
          <w:rFonts w:asciiTheme="minorHAnsi" w:hAnsiTheme="minorHAnsi"/>
        </w:rPr>
      </w:r>
      <w:r>
        <w:rPr>
          <w:rFonts w:asciiTheme="minorHAnsi" w:hAnsiTheme="minorHAnsi"/>
        </w:rPr>
        <w:fldChar w:fldCharType="separate"/>
      </w:r>
      <w:r w:rsidR="004942AB">
        <w:t xml:space="preserve">Table </w:t>
      </w:r>
      <w:r w:rsidR="004942AB">
        <w:rPr>
          <w:noProof/>
        </w:rPr>
        <w:t>13</w:t>
      </w:r>
      <w:r>
        <w:rPr>
          <w:rFonts w:asciiTheme="minorHAnsi" w:hAnsiTheme="minorHAnsi"/>
        </w:rPr>
        <w:fldChar w:fldCharType="end"/>
      </w:r>
      <w:r>
        <w:rPr>
          <w:rFonts w:asciiTheme="minorHAnsi" w:hAnsiTheme="minorHAnsi"/>
        </w:rPr>
        <w:t>)</w:t>
      </w:r>
      <w:r w:rsidR="001E4C4A">
        <w:rPr>
          <w:rFonts w:asciiTheme="minorHAnsi" w:hAnsiTheme="minorHAnsi"/>
        </w:rPr>
        <w:t>.</w:t>
      </w:r>
    </w:p>
    <w:p w14:paraId="71364D99" w14:textId="58A7BAE7" w:rsidR="00545A26" w:rsidRDefault="00545A26" w:rsidP="00BB21B6">
      <w:pPr>
        <w:pStyle w:val="TableTitle"/>
      </w:pPr>
      <w:bookmarkStart w:id="56" w:name="_Ref21428012"/>
      <w:r>
        <w:t xml:space="preserve">Table </w:t>
      </w:r>
      <w:fldSimple w:instr=" SEQ Table \* ARABIC ">
        <w:r w:rsidR="004942AB">
          <w:rPr>
            <w:noProof/>
          </w:rPr>
          <w:t>11</w:t>
        </w:r>
      </w:fldSimple>
      <w:bookmarkEnd w:id="56"/>
      <w:r w:rsidR="00555113">
        <w:rPr>
          <w:noProof/>
        </w:rPr>
        <w:t>:</w:t>
      </w:r>
      <w:r w:rsidR="001E4C4A">
        <w:t xml:space="preserve"> </w:t>
      </w:r>
      <w:r w:rsidR="00AE0985">
        <w:t xml:space="preserve">Study APN311-302; </w:t>
      </w:r>
      <w:r w:rsidR="00F57AD7">
        <w:t>Three</w:t>
      </w:r>
      <w:r w:rsidR="007039FD">
        <w:t xml:space="preserve"> </w:t>
      </w:r>
      <w:r w:rsidR="00555113">
        <w:t>year event-free survival</w:t>
      </w:r>
      <w:r>
        <w:t xml:space="preserve"> (primary endpoint)</w:t>
      </w:r>
    </w:p>
    <w:p w14:paraId="4B4BE117" w14:textId="580BB195" w:rsidR="00545A26" w:rsidRDefault="00C72EF1" w:rsidP="00BE0492">
      <w:r w:rsidRPr="00C72EF1">
        <w:rPr>
          <w:noProof/>
          <w:lang w:eastAsia="en-AU"/>
        </w:rPr>
        <w:drawing>
          <wp:inline distT="0" distB="0" distL="0" distR="0" wp14:anchorId="511090D8" wp14:editId="1A5254B6">
            <wp:extent cx="5280409" cy="3829232"/>
            <wp:effectExtent l="0" t="0" r="0" b="0"/>
            <wp:docPr id="16" name="Picture 16" descr="Study APN311-302; Three year event-free survival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70" t="2420" r="1427"/>
                    <a:stretch/>
                  </pic:blipFill>
                  <pic:spPr bwMode="auto">
                    <a:xfrm>
                      <a:off x="0" y="0"/>
                      <a:ext cx="5281375" cy="3829932"/>
                    </a:xfrm>
                    <a:prstGeom prst="rect">
                      <a:avLst/>
                    </a:prstGeom>
                    <a:ln>
                      <a:noFill/>
                    </a:ln>
                    <a:extLst>
                      <a:ext uri="{53640926-AAD7-44D8-BBD7-CCE9431645EC}">
                        <a14:shadowObscured xmlns:a14="http://schemas.microsoft.com/office/drawing/2010/main"/>
                      </a:ext>
                    </a:extLst>
                  </pic:spPr>
                </pic:pic>
              </a:graphicData>
            </a:graphic>
          </wp:inline>
        </w:drawing>
      </w:r>
    </w:p>
    <w:p w14:paraId="323F6002" w14:textId="28FD3434" w:rsidR="00545A26" w:rsidRDefault="00545A26" w:rsidP="00F57AD7">
      <w:pPr>
        <w:pStyle w:val="TableTitle"/>
      </w:pPr>
      <w:bookmarkStart w:id="57" w:name="_Ref24628391"/>
      <w:r>
        <w:lastRenderedPageBreak/>
        <w:t xml:space="preserve">Table </w:t>
      </w:r>
      <w:fldSimple w:instr=" SEQ Table \* ARABIC ">
        <w:r w:rsidR="004942AB">
          <w:rPr>
            <w:noProof/>
          </w:rPr>
          <w:t>12</w:t>
        </w:r>
      </w:fldSimple>
      <w:bookmarkEnd w:id="57"/>
      <w:r w:rsidR="00555113">
        <w:rPr>
          <w:noProof/>
        </w:rPr>
        <w:t>:</w:t>
      </w:r>
      <w:r w:rsidR="001E4C4A">
        <w:t xml:space="preserve"> </w:t>
      </w:r>
      <w:r w:rsidR="00AE0985">
        <w:t xml:space="preserve">Study APN311-302; </w:t>
      </w:r>
      <w:r>
        <w:t xml:space="preserve">Overall </w:t>
      </w:r>
      <w:r w:rsidR="007039FD">
        <w:t>s</w:t>
      </w:r>
      <w:r>
        <w:t>urvival</w:t>
      </w:r>
    </w:p>
    <w:p w14:paraId="691B8386" w14:textId="3C0363FA" w:rsidR="00D406BB" w:rsidRPr="00D406BB" w:rsidRDefault="00C72EF1" w:rsidP="00D406BB">
      <w:pPr>
        <w:rPr>
          <w:rFonts w:asciiTheme="minorHAnsi" w:hAnsiTheme="minorHAnsi"/>
        </w:rPr>
      </w:pPr>
      <w:r>
        <w:rPr>
          <w:noProof/>
          <w:lang w:eastAsia="en-AU"/>
        </w:rPr>
        <mc:AlternateContent>
          <mc:Choice Requires="wps">
            <w:drawing>
              <wp:anchor distT="0" distB="0" distL="114300" distR="114300" simplePos="0" relativeHeight="251660288" behindDoc="0" locked="0" layoutInCell="1" allowOverlap="1" wp14:anchorId="66029C84" wp14:editId="4B17C14F">
                <wp:simplePos x="0" y="0"/>
                <wp:positionH relativeFrom="column">
                  <wp:posOffset>582295</wp:posOffset>
                </wp:positionH>
                <wp:positionV relativeFrom="paragraph">
                  <wp:posOffset>3984848</wp:posOffset>
                </wp:positionV>
                <wp:extent cx="1003465" cy="108000"/>
                <wp:effectExtent l="0" t="0" r="25400" b="25400"/>
                <wp:wrapNone/>
                <wp:docPr id="21" name="Rounded Rectangle 21"/>
                <wp:cNvGraphicFramePr/>
                <a:graphic xmlns:a="http://schemas.openxmlformats.org/drawingml/2006/main">
                  <a:graphicData uri="http://schemas.microsoft.com/office/word/2010/wordprocessingShape">
                    <wps:wsp>
                      <wps:cNvSpPr/>
                      <wps:spPr>
                        <a:xfrm>
                          <a:off x="0" y="0"/>
                          <a:ext cx="1003465" cy="1080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887C726" id="Rounded Rectangle 21" o:spid="_x0000_s1026" style="position:absolute;margin-left:45.85pt;margin-top:313.75pt;width:79pt;height: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" fillcolor="white [3212]" strokecolor="white [3212]" strokeweight="2pt"/>
            </w:pict>
          </mc:Fallback>
        </mc:AlternateContent>
      </w:r>
      <w:r>
        <w:rPr>
          <w:noProof/>
          <w:lang w:eastAsia="en-AU"/>
        </w:rPr>
        <mc:AlternateContent>
          <mc:Choice Requires="wps">
            <w:drawing>
              <wp:anchor distT="0" distB="0" distL="114300" distR="114300" simplePos="0" relativeHeight="251659264" behindDoc="0" locked="0" layoutInCell="1" allowOverlap="1" wp14:anchorId="0ECE943B" wp14:editId="1FF28005">
                <wp:simplePos x="0" y="0"/>
                <wp:positionH relativeFrom="column">
                  <wp:posOffset>552227</wp:posOffset>
                </wp:positionH>
                <wp:positionV relativeFrom="paragraph">
                  <wp:posOffset>3878580</wp:posOffset>
                </wp:positionV>
                <wp:extent cx="403761" cy="95003"/>
                <wp:effectExtent l="0" t="0" r="15875" b="19685"/>
                <wp:wrapNone/>
                <wp:docPr id="18" name="Rounded Rectangle 18"/>
                <wp:cNvGraphicFramePr/>
                <a:graphic xmlns:a="http://schemas.openxmlformats.org/drawingml/2006/main">
                  <a:graphicData uri="http://schemas.microsoft.com/office/word/2010/wordprocessingShape">
                    <wps:wsp>
                      <wps:cNvSpPr/>
                      <wps:spPr>
                        <a:xfrm>
                          <a:off x="0" y="0"/>
                          <a:ext cx="403761" cy="95003"/>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9572E29" id="Rounded Rectangle 18" o:spid="_x0000_s1026" style="position:absolute;margin-left:43.5pt;margin-top:305.4pt;width:31.8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" fillcolor="white [3212]" strokecolor="white [3212]" strokeweight="2pt"/>
            </w:pict>
          </mc:Fallback>
        </mc:AlternateContent>
      </w:r>
      <w:r>
        <w:rPr>
          <w:noProof/>
          <w:lang w:eastAsia="en-AU"/>
        </w:rPr>
        <w:drawing>
          <wp:inline distT="0" distB="0" distL="0" distR="0" wp14:anchorId="35913978" wp14:editId="111855B5">
            <wp:extent cx="5370844" cy="4321175"/>
            <wp:effectExtent l="0" t="0" r="1270" b="3175"/>
            <wp:docPr id="22" name="Picture 22" descr="Study APN311-302;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541"/>
                    <a:stretch/>
                  </pic:blipFill>
                  <pic:spPr bwMode="auto">
                    <a:xfrm>
                      <a:off x="0" y="0"/>
                      <a:ext cx="5370844" cy="4321175"/>
                    </a:xfrm>
                    <a:prstGeom prst="rect">
                      <a:avLst/>
                    </a:prstGeom>
                    <a:ln>
                      <a:noFill/>
                    </a:ln>
                    <a:extLst>
                      <a:ext uri="{53640926-AAD7-44D8-BBD7-CCE9431645EC}">
                        <a14:shadowObscured xmlns:a14="http://schemas.microsoft.com/office/drawing/2010/main"/>
                      </a:ext>
                    </a:extLst>
                  </pic:spPr>
                </pic:pic>
              </a:graphicData>
            </a:graphic>
          </wp:inline>
        </w:drawing>
      </w:r>
    </w:p>
    <w:p w14:paraId="3B4F8CE5" w14:textId="140081AC" w:rsidR="00545A26" w:rsidRDefault="00545A26" w:rsidP="00F57AD7">
      <w:pPr>
        <w:pStyle w:val="TableTitle"/>
        <w:rPr>
          <w:rFonts w:asciiTheme="minorHAnsi" w:hAnsiTheme="minorHAnsi"/>
          <w:sz w:val="18"/>
        </w:rPr>
      </w:pPr>
      <w:bookmarkStart w:id="58" w:name="_Ref24620662"/>
      <w:r>
        <w:t xml:space="preserve">Table </w:t>
      </w:r>
      <w:fldSimple w:instr=" SEQ Table \* ARABIC ">
        <w:r w:rsidR="004942AB">
          <w:rPr>
            <w:noProof/>
          </w:rPr>
          <w:t>13</w:t>
        </w:r>
      </w:fldSimple>
      <w:bookmarkEnd w:id="58"/>
      <w:r w:rsidR="00555113">
        <w:rPr>
          <w:noProof/>
        </w:rPr>
        <w:t>:</w:t>
      </w:r>
      <w:r w:rsidR="001E4C4A">
        <w:t xml:space="preserve"> </w:t>
      </w:r>
      <w:r w:rsidR="00AE0985">
        <w:t xml:space="preserve">Study APN311-302; </w:t>
      </w:r>
      <w:r w:rsidR="00555113">
        <w:t xml:space="preserve">Overall survival, </w:t>
      </w:r>
      <w:r w:rsidR="00801B01">
        <w:t>in study (R2 cohort</w:t>
      </w:r>
      <w:r w:rsidR="0082380C">
        <w:t>)</w:t>
      </w:r>
      <w:r w:rsidR="00801B01">
        <w:t xml:space="preserve"> </w:t>
      </w:r>
      <w:r w:rsidR="00555113">
        <w:t>versus</w:t>
      </w:r>
      <w:r>
        <w:t xml:space="preserve"> historic controls (R1 cohort)</w:t>
      </w:r>
    </w:p>
    <w:p w14:paraId="38B4A57E" w14:textId="0BDC93E7" w:rsidR="00545A26" w:rsidRDefault="00545A26" w:rsidP="00135040">
      <w:pPr>
        <w:pStyle w:val="TableDescription"/>
      </w:pPr>
      <w:r>
        <w:rPr>
          <w:noProof/>
          <w:lang w:eastAsia="en-AU"/>
        </w:rPr>
        <w:drawing>
          <wp:inline distT="0" distB="0" distL="0" distR="0" wp14:anchorId="7113BA5F" wp14:editId="0232B1F1">
            <wp:extent cx="5400040" cy="2996565"/>
            <wp:effectExtent l="0" t="0" r="0" b="0"/>
            <wp:docPr id="20" name="Picture 20" descr="Study APN311-302; Overall survival, in study (R2 cohort) versus historic controls (R1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2996565"/>
                    </a:xfrm>
                    <a:prstGeom prst="rect">
                      <a:avLst/>
                    </a:prstGeom>
                  </pic:spPr>
                </pic:pic>
              </a:graphicData>
            </a:graphic>
          </wp:inline>
        </w:drawing>
      </w:r>
    </w:p>
    <w:p w14:paraId="59EAE9F7" w14:textId="38F0C872" w:rsidR="000473AF" w:rsidRDefault="00545A26" w:rsidP="00545A26">
      <w:r>
        <w:lastRenderedPageBreak/>
        <w:t>Findings from this study were published in The Lancet Oncology on 12 November 2018</w:t>
      </w:r>
      <w:r w:rsidR="000473AF">
        <w:t>,</w:t>
      </w:r>
      <w:r>
        <w:rPr>
          <w:rStyle w:val="FootnoteReference"/>
        </w:rPr>
        <w:footnoteReference w:id="14"/>
      </w:r>
      <w:r>
        <w:t xml:space="preserve"> wit</w:t>
      </w:r>
      <w:r w:rsidR="004D1109">
        <w:t>h the authors concluding that:</w:t>
      </w:r>
    </w:p>
    <w:p w14:paraId="053D96BD" w14:textId="661083D9" w:rsidR="00545A26" w:rsidRPr="000473AF" w:rsidRDefault="004D1109" w:rsidP="00F63AED">
      <w:pPr>
        <w:ind w:left="720"/>
      </w:pPr>
      <w:r w:rsidRPr="000473AF">
        <w:t>‘</w:t>
      </w:r>
      <w:r w:rsidR="00545A26" w:rsidRPr="00F63AED">
        <w:rPr>
          <w:shd w:val="clear" w:color="auto" w:fill="FFFFFF"/>
        </w:rPr>
        <w:t xml:space="preserve">There is no evidence that addition of subcutaneous IL-2 to immunotherapy with </w:t>
      </w:r>
      <w:proofErr w:type="spellStart"/>
      <w:r w:rsidR="00545A26" w:rsidRPr="00F63AED">
        <w:rPr>
          <w:shd w:val="clear" w:color="auto" w:fill="FFFFFF"/>
        </w:rPr>
        <w:t>dinutuximab</w:t>
      </w:r>
      <w:proofErr w:type="spellEnd"/>
      <w:r w:rsidR="00545A26" w:rsidRPr="00F63AED">
        <w:rPr>
          <w:shd w:val="clear" w:color="auto" w:fill="FFFFFF"/>
        </w:rPr>
        <w:t xml:space="preserve"> beta, given as an 8 h infusion, improved outcomes in patients with high-risk </w:t>
      </w:r>
      <w:proofErr w:type="spellStart"/>
      <w:r w:rsidR="00545A26" w:rsidRPr="00F63AED">
        <w:rPr>
          <w:shd w:val="clear" w:color="auto" w:fill="FFFFFF"/>
        </w:rPr>
        <w:t>neuroblastoma</w:t>
      </w:r>
      <w:proofErr w:type="spellEnd"/>
      <w:r w:rsidR="00545A26" w:rsidRPr="00F63AED">
        <w:rPr>
          <w:shd w:val="clear" w:color="auto" w:fill="FFFFFF"/>
        </w:rPr>
        <w:t xml:space="preserve"> who had responded to standard induction and consolidation treatment. Subcutaneous IL-2 with </w:t>
      </w:r>
      <w:proofErr w:type="spellStart"/>
      <w:r w:rsidR="00545A26" w:rsidRPr="00F63AED">
        <w:rPr>
          <w:shd w:val="clear" w:color="auto" w:fill="FFFFFF"/>
        </w:rPr>
        <w:t>dinutuximab</w:t>
      </w:r>
      <w:proofErr w:type="spellEnd"/>
      <w:r w:rsidR="00545A26" w:rsidRPr="00F63AED">
        <w:rPr>
          <w:shd w:val="clear" w:color="auto" w:fill="FFFFFF"/>
        </w:rPr>
        <w:t xml:space="preserve"> beta was associated with greater toxicity than </w:t>
      </w:r>
      <w:proofErr w:type="spellStart"/>
      <w:r w:rsidR="00545A26" w:rsidRPr="00F63AED">
        <w:rPr>
          <w:shd w:val="clear" w:color="auto" w:fill="FFFFFF"/>
        </w:rPr>
        <w:t>dinutuximab</w:t>
      </w:r>
      <w:proofErr w:type="spellEnd"/>
      <w:r w:rsidR="00545A26" w:rsidRPr="00F63AED">
        <w:rPr>
          <w:shd w:val="clear" w:color="auto" w:fill="FFFFFF"/>
        </w:rPr>
        <w:t xml:space="preserve"> beta alone. </w:t>
      </w:r>
      <w:proofErr w:type="spellStart"/>
      <w:r w:rsidR="00545A26" w:rsidRPr="00F63AED">
        <w:rPr>
          <w:shd w:val="clear" w:color="auto" w:fill="FFFFFF"/>
        </w:rPr>
        <w:t>Dinutuximab</w:t>
      </w:r>
      <w:proofErr w:type="spellEnd"/>
      <w:r w:rsidR="00545A26" w:rsidRPr="00F63AED">
        <w:rPr>
          <w:shd w:val="clear" w:color="auto" w:fill="FFFFFF"/>
        </w:rPr>
        <w:t xml:space="preserve"> beta and </w:t>
      </w:r>
      <w:proofErr w:type="spellStart"/>
      <w:r w:rsidR="00545A26" w:rsidRPr="00F63AED">
        <w:rPr>
          <w:shd w:val="clear" w:color="auto" w:fill="FFFFFF"/>
        </w:rPr>
        <w:t>isotretinoin</w:t>
      </w:r>
      <w:proofErr w:type="spellEnd"/>
      <w:r w:rsidR="00545A26" w:rsidRPr="00F63AED">
        <w:rPr>
          <w:shd w:val="clear" w:color="auto" w:fill="FFFFFF"/>
        </w:rPr>
        <w:t xml:space="preserve"> without subcutaneous IL-2 should thus be considered the standard of care until results of ongoing randomised trials using a modified schedule of </w:t>
      </w:r>
      <w:proofErr w:type="spellStart"/>
      <w:r w:rsidR="00545A26" w:rsidRPr="00F63AED">
        <w:rPr>
          <w:shd w:val="clear" w:color="auto" w:fill="FFFFFF"/>
        </w:rPr>
        <w:t>dinutuximab</w:t>
      </w:r>
      <w:proofErr w:type="spellEnd"/>
      <w:r w:rsidR="00545A26" w:rsidRPr="00F63AED">
        <w:rPr>
          <w:shd w:val="clear" w:color="auto" w:fill="FFFFFF"/>
        </w:rPr>
        <w:t xml:space="preserve"> beta and subcutaneous IL-2 are available.</w:t>
      </w:r>
      <w:r w:rsidRPr="000473AF">
        <w:rPr>
          <w:shd w:val="clear" w:color="auto" w:fill="FFFFFF"/>
        </w:rPr>
        <w:t>’</w:t>
      </w:r>
    </w:p>
    <w:p w14:paraId="26CC7A79" w14:textId="77777777" w:rsidR="00545A26" w:rsidRDefault="00545A26" w:rsidP="00545A26">
      <w:pPr>
        <w:pStyle w:val="Heading4"/>
      </w:pPr>
      <w:r w:rsidRPr="00AA53F4">
        <w:t>Safety</w:t>
      </w:r>
    </w:p>
    <w:p w14:paraId="0D833513" w14:textId="1BD75A28" w:rsidR="001E4C4A" w:rsidRDefault="00545A26" w:rsidP="00545A26">
      <w:r>
        <w:t xml:space="preserve">The overall safety database includes 514 patients in 5 studies who received </w:t>
      </w:r>
      <w:proofErr w:type="spellStart"/>
      <w:r>
        <w:t>dinutuximab</w:t>
      </w:r>
      <w:proofErr w:type="spellEnd"/>
      <w:r>
        <w:t xml:space="preserve"> beta.</w:t>
      </w:r>
      <w:r w:rsidR="001E4C4A">
        <w:t xml:space="preserve"> </w:t>
      </w:r>
      <w:r w:rsidR="00621BD7">
        <w:t>The dosage was largely 100 mg</w:t>
      </w:r>
      <w:r>
        <w:t>/m</w:t>
      </w:r>
      <w:r w:rsidRPr="00023E64">
        <w:rPr>
          <w:vertAlign w:val="superscript"/>
        </w:rPr>
        <w:t>2</w:t>
      </w:r>
      <w:r>
        <w:t>/cycle.</w:t>
      </w:r>
      <w:r w:rsidR="001E4C4A">
        <w:t xml:space="preserve"> </w:t>
      </w:r>
      <w:r w:rsidR="005339F0">
        <w:t>Ninety-eight</w:t>
      </w:r>
      <w:r>
        <w:t xml:space="preserve"> patients received </w:t>
      </w:r>
      <w:proofErr w:type="spellStart"/>
      <w:r>
        <w:t>dinutuximab</w:t>
      </w:r>
      <w:proofErr w:type="spellEnd"/>
      <w:r>
        <w:t xml:space="preserve"> beta as a continuous infusion over 10 days and 416 patients as 8</w:t>
      </w:r>
      <w:r w:rsidR="000473AF">
        <w:t xml:space="preserve"> </w:t>
      </w:r>
      <w:r>
        <w:t>hour infusions over 5 consecutive days.</w:t>
      </w:r>
      <w:r w:rsidR="001E4C4A">
        <w:t xml:space="preserve"> </w:t>
      </w:r>
      <w:r>
        <w:t>No studies directly compared the two dosage regimens.</w:t>
      </w:r>
      <w:r w:rsidR="001E4C4A">
        <w:t xml:space="preserve"> </w:t>
      </w:r>
      <w:r w:rsidRPr="00403E50">
        <w:t xml:space="preserve">There are no randomised data comparing treatment with and without </w:t>
      </w:r>
      <w:proofErr w:type="spellStart"/>
      <w:r w:rsidRPr="00403E50">
        <w:t>dinutuximab</w:t>
      </w:r>
      <w:proofErr w:type="spellEnd"/>
      <w:r w:rsidRPr="00403E50">
        <w:t xml:space="preserve"> beta.</w:t>
      </w:r>
      <w:r w:rsidR="001E4C4A">
        <w:t xml:space="preserve"> </w:t>
      </w:r>
      <w:r w:rsidR="00621BD7">
        <w:t>Three hundred and six</w:t>
      </w:r>
      <w:r>
        <w:t xml:space="preserve"> patients received </w:t>
      </w:r>
      <w:proofErr w:type="spellStart"/>
      <w:r>
        <w:t>dinutuximab</w:t>
      </w:r>
      <w:proofErr w:type="spellEnd"/>
      <w:r>
        <w:t xml:space="preserve"> </w:t>
      </w:r>
      <w:r w:rsidR="00621BD7">
        <w:t>beta in conjunction with subcutaneous</w:t>
      </w:r>
      <w:r>
        <w:t xml:space="preserve"> IL-2.</w:t>
      </w:r>
      <w:r w:rsidR="001E4C4A">
        <w:t xml:space="preserve"> </w:t>
      </w:r>
      <w:r>
        <w:t xml:space="preserve">Patients did not receive IL-2 in </w:t>
      </w:r>
      <w:r w:rsidR="000473AF">
        <w:t xml:space="preserve">Study </w:t>
      </w:r>
      <w:r>
        <w:t xml:space="preserve">APN311-101, the first 3 cycles of </w:t>
      </w:r>
      <w:r w:rsidR="000473AF">
        <w:t xml:space="preserve">Study </w:t>
      </w:r>
      <w:r>
        <w:t xml:space="preserve">APN311-201, and one treatment arm of </w:t>
      </w:r>
      <w:r w:rsidR="000473AF">
        <w:t xml:space="preserve">Study </w:t>
      </w:r>
      <w:r>
        <w:t>APN311-302.</w:t>
      </w:r>
      <w:r w:rsidR="001E4C4A">
        <w:t xml:space="preserve"> </w:t>
      </w:r>
      <w:r>
        <w:t xml:space="preserve">Most patients also received oral 13-cis-RA (other than patients in </w:t>
      </w:r>
      <w:r w:rsidR="000473AF">
        <w:t xml:space="preserve">Studies </w:t>
      </w:r>
      <w:r>
        <w:t>APN311-101 and -201).</w:t>
      </w:r>
      <w:r w:rsidR="001E4C4A">
        <w:t xml:space="preserve"> </w:t>
      </w:r>
      <w:r>
        <w:t>In the continuous infusion studies (</w:t>
      </w:r>
      <w:r w:rsidR="000473AF">
        <w:t xml:space="preserve">Studies </w:t>
      </w:r>
      <w:r>
        <w:t>APN311-303 and -202), 68 of 98 (69%) completed 5 or 6 cycles</w:t>
      </w:r>
      <w:r w:rsidR="001E4C4A">
        <w:t>.</w:t>
      </w:r>
    </w:p>
    <w:p w14:paraId="7D97C775" w14:textId="5E18BDFF" w:rsidR="001E4C4A" w:rsidRDefault="00545A26" w:rsidP="00545A26">
      <w:r>
        <w:t>The method of</w:t>
      </w:r>
      <w:r w:rsidR="00555113">
        <w:t xml:space="preserve"> </w:t>
      </w:r>
      <w:r>
        <w:t>AE collection varied substantially across studies.</w:t>
      </w:r>
      <w:r w:rsidR="001E4C4A">
        <w:t xml:space="preserve"> </w:t>
      </w:r>
      <w:r>
        <w:t xml:space="preserve">The main study, </w:t>
      </w:r>
      <w:r w:rsidR="005339F0">
        <w:t>Study </w:t>
      </w:r>
      <w:r>
        <w:t>APN311-303, was a retrospective data collection, so safety was assessed retrospectively from AEs recorded from the time of enrolment until 30 days after last study treatment.</w:t>
      </w:r>
      <w:r w:rsidR="001E4C4A">
        <w:t xml:space="preserve"> </w:t>
      </w:r>
      <w:r>
        <w:t xml:space="preserve">In </w:t>
      </w:r>
      <w:r w:rsidR="000473AF">
        <w:t xml:space="preserve">Study </w:t>
      </w:r>
      <w:r>
        <w:t xml:space="preserve">APN 311-302, only </w:t>
      </w:r>
      <w:r w:rsidR="00913318">
        <w:t>serious adverse events (</w:t>
      </w:r>
      <w:r>
        <w:t>SAEs</w:t>
      </w:r>
      <w:r w:rsidR="00913318">
        <w:t>)</w:t>
      </w:r>
      <w:r>
        <w:t xml:space="preserve"> and a pre-defined list of 31 </w:t>
      </w:r>
      <w:r w:rsidR="00555113">
        <w:t>National Cancer Institute</w:t>
      </w:r>
      <w:r w:rsidR="0075340F">
        <w:t xml:space="preserve"> common toxicity criteria (</w:t>
      </w:r>
      <w:r w:rsidR="00555113">
        <w:t xml:space="preserve">NCI </w:t>
      </w:r>
      <w:r>
        <w:t>CTC</w:t>
      </w:r>
      <w:r w:rsidR="0075340F">
        <w:t>)</w:t>
      </w:r>
      <w:r>
        <w:t xml:space="preserve"> toxicities were reported.</w:t>
      </w:r>
      <w:r w:rsidR="001E4C4A">
        <w:t xml:space="preserve"> </w:t>
      </w:r>
      <w:r>
        <w:t xml:space="preserve">AEs, pain and morphine use, acute </w:t>
      </w:r>
      <w:r w:rsidR="008D62EB">
        <w:t>graft versus host disease (</w:t>
      </w:r>
      <w:proofErr w:type="spellStart"/>
      <w:r>
        <w:t>GvHD</w:t>
      </w:r>
      <w:proofErr w:type="spellEnd"/>
      <w:r w:rsidR="008D62EB">
        <w:t>)</w:t>
      </w:r>
      <w:r>
        <w:t>, and NCI CTC toxicities</w:t>
      </w:r>
      <w:r w:rsidRPr="002F54C6">
        <w:t xml:space="preserve"> </w:t>
      </w:r>
      <w:r>
        <w:t>were reported in</w:t>
      </w:r>
      <w:r w:rsidRPr="002F54C6">
        <w:t xml:space="preserve"> </w:t>
      </w:r>
      <w:r w:rsidR="00FD7EAE">
        <w:t xml:space="preserve">Study </w:t>
      </w:r>
      <w:r>
        <w:t>APN311-201</w:t>
      </w:r>
      <w:r w:rsidR="001E4C4A">
        <w:t>.</w:t>
      </w:r>
    </w:p>
    <w:p w14:paraId="1D49BDC0" w14:textId="27BC442A" w:rsidR="00545A26" w:rsidRDefault="00545A26" w:rsidP="00545A26">
      <w:r>
        <w:t>Safety data hav</w:t>
      </w:r>
      <w:r w:rsidR="0075340F">
        <w:t>e been presented for each study</w:t>
      </w:r>
      <w:r w:rsidR="00D263AE">
        <w:t xml:space="preserve"> (see </w:t>
      </w:r>
      <w:r w:rsidR="00A92091">
        <w:fldChar w:fldCharType="begin"/>
      </w:r>
      <w:r w:rsidR="00A92091">
        <w:instrText xml:space="preserve"> REF _Ref22034257 \h </w:instrText>
      </w:r>
      <w:r w:rsidR="00A92091">
        <w:fldChar w:fldCharType="separate"/>
      </w:r>
      <w:r w:rsidR="004942AB">
        <w:t xml:space="preserve">Table </w:t>
      </w:r>
      <w:r w:rsidR="004942AB">
        <w:rPr>
          <w:noProof/>
        </w:rPr>
        <w:t>16</w:t>
      </w:r>
      <w:r w:rsidR="00A92091">
        <w:fldChar w:fldCharType="end"/>
      </w:r>
      <w:r w:rsidR="00D263AE">
        <w:t>)</w:t>
      </w:r>
      <w:r w:rsidR="0075340F">
        <w:t>. P</w:t>
      </w:r>
      <w:r>
        <w:t>ooled analyses based on dosing regimen and concomitant IL-2 treatment have also been presented</w:t>
      </w:r>
      <w:r w:rsidR="00D263AE">
        <w:t xml:space="preserve"> (see Tables 14 and 15)</w:t>
      </w:r>
      <w:r w:rsidR="001E19EB">
        <w:t>.</w:t>
      </w:r>
    </w:p>
    <w:p w14:paraId="31012659" w14:textId="1EB6FF6E" w:rsidR="00545A26" w:rsidRPr="00E1410F" w:rsidRDefault="00545A26" w:rsidP="0075340F">
      <w:pPr>
        <w:pStyle w:val="TableTitle"/>
      </w:pPr>
      <w:bookmarkStart w:id="59" w:name="_Ref22034108"/>
      <w:r w:rsidRPr="00E1410F">
        <w:t xml:space="preserve">Table </w:t>
      </w:r>
      <w:fldSimple w:instr=" SEQ Table \* ARABIC ">
        <w:r w:rsidR="004942AB">
          <w:rPr>
            <w:noProof/>
          </w:rPr>
          <w:t>14</w:t>
        </w:r>
      </w:fldSimple>
      <w:bookmarkEnd w:id="59"/>
      <w:r w:rsidR="008773A7">
        <w:rPr>
          <w:noProof/>
        </w:rPr>
        <w:t>:</w:t>
      </w:r>
      <w:r w:rsidR="001E4C4A">
        <w:t xml:space="preserve"> </w:t>
      </w:r>
      <w:r w:rsidRPr="00E1410F">
        <w:t>Overview of patient numbers by infusion and co-treatment regimens</w:t>
      </w:r>
    </w:p>
    <w:p w14:paraId="0263FE67" w14:textId="0FA8AF8C" w:rsidR="00545A26" w:rsidRDefault="00545A26" w:rsidP="00BE0492">
      <w:r>
        <w:rPr>
          <w:noProof/>
          <w:lang w:eastAsia="en-AU"/>
        </w:rPr>
        <w:drawing>
          <wp:inline distT="0" distB="0" distL="0" distR="0" wp14:anchorId="1D203BAD" wp14:editId="5B94DFA2">
            <wp:extent cx="5400040" cy="1922145"/>
            <wp:effectExtent l="0" t="0" r="0" b="1905"/>
            <wp:docPr id="8" name="Picture 8" descr="Overview of patient numbers by infusion and co-treatment reg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1922145"/>
                    </a:xfrm>
                    <a:prstGeom prst="rect">
                      <a:avLst/>
                    </a:prstGeom>
                  </pic:spPr>
                </pic:pic>
              </a:graphicData>
            </a:graphic>
          </wp:inline>
        </w:drawing>
      </w:r>
      <w:bookmarkStart w:id="60" w:name="_Ref21956272"/>
    </w:p>
    <w:p w14:paraId="1BEFB38F" w14:textId="57119238" w:rsidR="00545A26" w:rsidRDefault="00545A26" w:rsidP="0075340F">
      <w:pPr>
        <w:pStyle w:val="TableTitle"/>
      </w:pPr>
      <w:r>
        <w:lastRenderedPageBreak/>
        <w:t xml:space="preserve">Table </w:t>
      </w:r>
      <w:fldSimple w:instr=" SEQ Table \* ARABIC ">
        <w:r w:rsidR="004942AB">
          <w:rPr>
            <w:noProof/>
          </w:rPr>
          <w:t>15</w:t>
        </w:r>
      </w:fldSimple>
      <w:bookmarkEnd w:id="60"/>
      <w:r w:rsidR="008773A7">
        <w:rPr>
          <w:noProof/>
        </w:rPr>
        <w:t>:</w:t>
      </w:r>
      <w:r w:rsidR="001E4C4A">
        <w:t xml:space="preserve"> </w:t>
      </w:r>
      <w:r w:rsidR="00D263AE">
        <w:t xml:space="preserve">Studies APN311 -101, -201, -202, -302 and -303; </w:t>
      </w:r>
      <w:r>
        <w:t xml:space="preserve">Summary of </w:t>
      </w:r>
      <w:proofErr w:type="spellStart"/>
      <w:r>
        <w:t>dinutuximab</w:t>
      </w:r>
      <w:proofErr w:type="spellEnd"/>
      <w:r>
        <w:t xml:space="preserve"> beta, IL-2 and 13-cis-RA administration</w:t>
      </w:r>
    </w:p>
    <w:p w14:paraId="7E67055D" w14:textId="4E328A9B" w:rsidR="00545A26" w:rsidRDefault="00545A26" w:rsidP="00BE0492">
      <w:r>
        <w:rPr>
          <w:noProof/>
          <w:lang w:eastAsia="en-AU"/>
        </w:rPr>
        <w:drawing>
          <wp:inline distT="0" distB="0" distL="0" distR="0" wp14:anchorId="65793565" wp14:editId="0CDB4DB5">
            <wp:extent cx="5905500" cy="2893028"/>
            <wp:effectExtent l="0" t="0" r="0" b="3175"/>
            <wp:docPr id="4" name="Picture 4" descr="Studies APN311 -101, -201, -202, -302 and -303; Summary of dinutuximab beta, IL-2 and 13-cis-RA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0788" cy="2900518"/>
                    </a:xfrm>
                    <a:prstGeom prst="rect">
                      <a:avLst/>
                    </a:prstGeom>
                  </pic:spPr>
                </pic:pic>
              </a:graphicData>
            </a:graphic>
          </wp:inline>
        </w:drawing>
      </w:r>
    </w:p>
    <w:p w14:paraId="5145C808" w14:textId="7546B449" w:rsidR="00545A26" w:rsidRDefault="00545A26" w:rsidP="0075340F">
      <w:pPr>
        <w:pStyle w:val="TableTitle"/>
      </w:pPr>
      <w:bookmarkStart w:id="61" w:name="_Ref22034257"/>
      <w:r>
        <w:t xml:space="preserve">Table </w:t>
      </w:r>
      <w:fldSimple w:instr=" SEQ Table \* ARABIC ">
        <w:r w:rsidR="004942AB">
          <w:rPr>
            <w:noProof/>
          </w:rPr>
          <w:t>16</w:t>
        </w:r>
      </w:fldSimple>
      <w:bookmarkEnd w:id="61"/>
      <w:r w:rsidR="008773A7">
        <w:rPr>
          <w:noProof/>
        </w:rPr>
        <w:t>:</w:t>
      </w:r>
      <w:r w:rsidR="001E4C4A">
        <w:t xml:space="preserve"> </w:t>
      </w:r>
      <w:r w:rsidR="00D263AE">
        <w:t xml:space="preserve">Studies APN311 -101, -201, -202, -302 and -303; </w:t>
      </w:r>
      <w:r>
        <w:t xml:space="preserve">Overall summary of </w:t>
      </w:r>
      <w:r w:rsidR="0075340F">
        <w:t>tre</w:t>
      </w:r>
      <w:r w:rsidR="008773A7">
        <w:t>atment emergent adverse events</w:t>
      </w:r>
    </w:p>
    <w:p w14:paraId="7D17AF7F" w14:textId="7AEE4A04" w:rsidR="00545A26" w:rsidRDefault="00545A26" w:rsidP="00BE0492">
      <w:r>
        <w:rPr>
          <w:noProof/>
          <w:lang w:eastAsia="en-AU"/>
        </w:rPr>
        <w:drawing>
          <wp:inline distT="0" distB="0" distL="0" distR="0" wp14:anchorId="5418615D" wp14:editId="76DF1B55">
            <wp:extent cx="5400040" cy="5118735"/>
            <wp:effectExtent l="0" t="0" r="0" b="5715"/>
            <wp:docPr id="12" name="Picture 12" descr="Studies APN311 -101, -201, -202, -302 and -303; Overall summary of treatment emergent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5118735"/>
                    </a:xfrm>
                    <a:prstGeom prst="rect">
                      <a:avLst/>
                    </a:prstGeom>
                  </pic:spPr>
                </pic:pic>
              </a:graphicData>
            </a:graphic>
          </wp:inline>
        </w:drawing>
      </w:r>
    </w:p>
    <w:p w14:paraId="10B49E1D" w14:textId="529284BC" w:rsidR="001E4C4A" w:rsidRDefault="00545A26" w:rsidP="00545A26">
      <w:r>
        <w:lastRenderedPageBreak/>
        <w:t xml:space="preserve">The most frequent </w:t>
      </w:r>
      <w:r w:rsidR="008773A7">
        <w:t>treatment emergent adverse events (</w:t>
      </w:r>
      <w:r>
        <w:t>TEAE</w:t>
      </w:r>
      <w:r w:rsidR="008773A7">
        <w:t>)</w:t>
      </w:r>
      <w:r>
        <w:t xml:space="preserve"> reported in </w:t>
      </w:r>
      <w:r w:rsidR="00FD7EAE">
        <w:t>Study</w:t>
      </w:r>
      <w:r w:rsidR="00D263AE">
        <w:t> </w:t>
      </w:r>
      <w:r>
        <w:t>APN311-303 were pyrexia (98.1%), pruritus (92.6%), pain in extremity (85.2%), constipation (83.3%), capillary leak syndrome (83.3%),</w:t>
      </w:r>
      <w:r w:rsidRPr="00C24C4B">
        <w:t xml:space="preserve"> </w:t>
      </w:r>
      <w:r>
        <w:t>cough (79.6%), dry skin (75.9%), vomiting (74.1%), pain (74.1%), and tachycardia (74.1%).</w:t>
      </w:r>
      <w:r w:rsidR="001E4C4A">
        <w:t xml:space="preserve"> </w:t>
      </w:r>
      <w:r>
        <w:t xml:space="preserve">The most frequent Grade 3 TEAEs were </w:t>
      </w:r>
      <w:proofErr w:type="spellStart"/>
      <w:r>
        <w:t>neutropaenia</w:t>
      </w:r>
      <w:proofErr w:type="spellEnd"/>
      <w:r>
        <w:t xml:space="preserve"> (37.0%), anaemia (33.3%), pain (25.9%), pain in extremity (20.4%), </w:t>
      </w:r>
      <w:proofErr w:type="spellStart"/>
      <w:r>
        <w:t>thrombocytopaenia</w:t>
      </w:r>
      <w:proofErr w:type="spellEnd"/>
      <w:r>
        <w:t xml:space="preserve"> (16.7%) and cough (16.7%).</w:t>
      </w:r>
      <w:r w:rsidR="001E4C4A">
        <w:t xml:space="preserve"> </w:t>
      </w:r>
      <w:r>
        <w:t xml:space="preserve">The most frequent Grade 4 TEAEs were </w:t>
      </w:r>
      <w:proofErr w:type="spellStart"/>
      <w:r>
        <w:t>thrombocytopaenia</w:t>
      </w:r>
      <w:proofErr w:type="spellEnd"/>
      <w:r>
        <w:t xml:space="preserve"> (13.0%), </w:t>
      </w:r>
      <w:proofErr w:type="spellStart"/>
      <w:r>
        <w:t>neutropaenia</w:t>
      </w:r>
      <w:proofErr w:type="spellEnd"/>
      <w:r>
        <w:t xml:space="preserve"> (11.1%), pain in extremity (7.4%), and abdominal pain upper (5.6%)</w:t>
      </w:r>
      <w:r w:rsidR="001E4C4A">
        <w:t>.</w:t>
      </w:r>
    </w:p>
    <w:p w14:paraId="7C22857D" w14:textId="337E04A6" w:rsidR="00545A26" w:rsidRDefault="00545A26" w:rsidP="00545A26">
      <w:r>
        <w:t xml:space="preserve">In </w:t>
      </w:r>
      <w:r w:rsidR="00FD7EAE">
        <w:t xml:space="preserve">Study </w:t>
      </w:r>
      <w:r>
        <w:t>APN311-303, SAEs were reported in 22% of patients.</w:t>
      </w:r>
      <w:r w:rsidR="001E4C4A">
        <w:t xml:space="preserve"> </w:t>
      </w:r>
      <w:r>
        <w:t>The incidence of SAEs decreased over the treatment cycles.</w:t>
      </w:r>
      <w:r w:rsidR="001E4C4A">
        <w:t xml:space="preserve"> </w:t>
      </w:r>
      <w:r>
        <w:t>Across the studies, 7 patients died for a reason other than disease progression.</w:t>
      </w:r>
      <w:r w:rsidR="001E4C4A">
        <w:t xml:space="preserve"> </w:t>
      </w:r>
      <w:r>
        <w:t>Four deaths could be considered possibly treatment-related:</w:t>
      </w:r>
      <w:r w:rsidR="001E4C4A">
        <w:t xml:space="preserve"> </w:t>
      </w:r>
      <w:r>
        <w:t>2</w:t>
      </w:r>
      <w:r w:rsidR="00D263AE">
        <w:t> </w:t>
      </w:r>
      <w:r>
        <w:t xml:space="preserve">deaths in </w:t>
      </w:r>
      <w:r w:rsidR="00FD7EAE">
        <w:t xml:space="preserve">Study </w:t>
      </w:r>
      <w:r>
        <w:t xml:space="preserve">APN311-302 were due to </w:t>
      </w:r>
      <w:r w:rsidR="00196F11">
        <w:t>capillary leak syndrome and acute respiratory distress syndrome</w:t>
      </w:r>
      <w:r>
        <w:t xml:space="preserve">, 1 death in </w:t>
      </w:r>
      <w:r w:rsidR="00FD7EAE">
        <w:t xml:space="preserve">Study </w:t>
      </w:r>
      <w:r>
        <w:t>APN311-201 was due to herpes encep</w:t>
      </w:r>
      <w:r w:rsidR="00196F11">
        <w:t>halitis (possibly related to stem cell transplantation</w:t>
      </w:r>
      <w:r>
        <w:t xml:space="preserve">) and pneumonia, and 1 death in </w:t>
      </w:r>
      <w:r w:rsidR="00FD7EAE">
        <w:t xml:space="preserve">Study </w:t>
      </w:r>
      <w:r>
        <w:t>APN311-202 was due to septic shock.</w:t>
      </w:r>
    </w:p>
    <w:p w14:paraId="53680D23" w14:textId="2599E14E" w:rsidR="00545A26" w:rsidRDefault="00545A26" w:rsidP="00545A26">
      <w:r>
        <w:t xml:space="preserve">Study APN311-302 compared the safety profile of </w:t>
      </w:r>
      <w:proofErr w:type="spellStart"/>
      <w:r>
        <w:t>dinutu</w:t>
      </w:r>
      <w:r w:rsidR="00106BC5">
        <w:t>ximab</w:t>
      </w:r>
      <w:proofErr w:type="spellEnd"/>
      <w:r w:rsidR="00106BC5">
        <w:t xml:space="preserve"> beta with and without subcutaneous</w:t>
      </w:r>
      <w:r>
        <w:t xml:space="preserve"> IL-2.</w:t>
      </w:r>
      <w:r w:rsidR="001E4C4A">
        <w:t xml:space="preserve"> </w:t>
      </w:r>
      <w:r>
        <w:t>SAEs were reported more frequently in patients receiving IL-2 compared to pat</w:t>
      </w:r>
      <w:r w:rsidR="00196F11">
        <w:t>ients not receiving IL-2: 46% versus</w:t>
      </w:r>
      <w:r>
        <w:t xml:space="preserve"> 27%.</w:t>
      </w:r>
      <w:r w:rsidR="001E4C4A">
        <w:t xml:space="preserve"> </w:t>
      </w:r>
      <w:r>
        <w:t>More patients who rece</w:t>
      </w:r>
      <w:r w:rsidR="00196F11">
        <w:t>ived IL</w:t>
      </w:r>
      <w:r w:rsidR="00FD7EAE">
        <w:noBreakHyphen/>
      </w:r>
      <w:r w:rsidR="00196F11">
        <w:t>2 experienced at least one</w:t>
      </w:r>
      <w:r>
        <w:t xml:space="preserve"> SAE leading to the discontinuation of </w:t>
      </w:r>
      <w:proofErr w:type="spellStart"/>
      <w:r>
        <w:t>dinutuximab</w:t>
      </w:r>
      <w:proofErr w:type="spellEnd"/>
      <w:r>
        <w:t xml:space="preserve"> beta, 13</w:t>
      </w:r>
      <w:r w:rsidR="00FD7EAE">
        <w:noBreakHyphen/>
      </w:r>
      <w:r>
        <w:t>cis</w:t>
      </w:r>
      <w:r w:rsidR="00FD7EAE">
        <w:noBreakHyphen/>
      </w:r>
      <w:r>
        <w:t xml:space="preserve">RA, and/or IL-2, if applicable: </w:t>
      </w:r>
      <w:r w:rsidR="00196F11">
        <w:t>17.5% versus 6.0% of patients (47 versus</w:t>
      </w:r>
      <w:r>
        <w:t xml:space="preserve"> 16 SAEs).</w:t>
      </w:r>
    </w:p>
    <w:p w14:paraId="59CCD3F3" w14:textId="096F83ED" w:rsidR="00545A26" w:rsidRDefault="00545A26" w:rsidP="00545A26">
      <w:r w:rsidRPr="00F66831">
        <w:rPr>
          <w:rStyle w:val="Heading6Char"/>
          <w:rFonts w:eastAsia="Cambria"/>
        </w:rPr>
        <w:t>Pain:</w:t>
      </w:r>
      <w:r>
        <w:t xml:space="preserve"> Pain was expected based on the known safety profile of anti-GD2 immunotherapy and was treated with morphine.</w:t>
      </w:r>
      <w:r w:rsidR="001E4C4A">
        <w:t xml:space="preserve"> </w:t>
      </w:r>
      <w:r>
        <w:t>Other treatments were permitted, including gabapentin, acetaminophen,</w:t>
      </w:r>
      <w:r w:rsidR="00106BC5">
        <w:t xml:space="preserve"> n</w:t>
      </w:r>
      <w:r w:rsidR="00106BC5" w:rsidRPr="00106BC5">
        <w:t>onsteroidal anti-inflammatory drugs</w:t>
      </w:r>
      <w:r>
        <w:t>, ketamine and fentanyl patches.</w:t>
      </w:r>
      <w:r w:rsidR="001E4C4A">
        <w:t xml:space="preserve"> </w:t>
      </w:r>
      <w:r>
        <w:t>Differences in pain treatment protocols limit comparisons of pain outcomes across studies.</w:t>
      </w:r>
      <w:r w:rsidR="001E4C4A">
        <w:t xml:space="preserve"> </w:t>
      </w:r>
      <w:r>
        <w:t>In the continuous infusion studies, approximately 90% o</w:t>
      </w:r>
      <w:r w:rsidR="005339F0">
        <w:t>f patients experienced pain in C</w:t>
      </w:r>
      <w:r>
        <w:t>ycle 1.</w:t>
      </w:r>
      <w:r w:rsidR="001E4C4A">
        <w:t xml:space="preserve"> </w:t>
      </w:r>
      <w:r>
        <w:t xml:space="preserve">The percentage of patients with pain decreased in subsequent cycles to approximately 60% in </w:t>
      </w:r>
      <w:r w:rsidR="00FD7EAE">
        <w:t>C</w:t>
      </w:r>
      <w:r>
        <w:t>ycle 5.</w:t>
      </w:r>
      <w:r w:rsidR="001E4C4A">
        <w:t xml:space="preserve"> </w:t>
      </w:r>
      <w:r>
        <w:t>Morphine use also declined over subsequent cycles.</w:t>
      </w:r>
    </w:p>
    <w:p w14:paraId="21EC021F" w14:textId="25961A77" w:rsidR="00545A26" w:rsidRDefault="00545A26" w:rsidP="00545A26">
      <w:r w:rsidRPr="00F66831">
        <w:rPr>
          <w:rStyle w:val="Heading6Char"/>
          <w:rFonts w:eastAsia="Cambria"/>
        </w:rPr>
        <w:t>Hypersensitivity reactions:</w:t>
      </w:r>
      <w:r>
        <w:t xml:space="preserve"> In the continuous infusion studies, allergic and infusion-related reactions were reported in 72.7% </w:t>
      </w:r>
      <w:r w:rsidR="00FD7EAE">
        <w:t xml:space="preserve">of patients </w:t>
      </w:r>
      <w:r>
        <w:t xml:space="preserve">in </w:t>
      </w:r>
      <w:r w:rsidR="00FD7EAE">
        <w:t xml:space="preserve">Study </w:t>
      </w:r>
      <w:r>
        <w:t>APN311-202</w:t>
      </w:r>
      <w:r w:rsidRPr="00FC6D9F">
        <w:t xml:space="preserve"> </w:t>
      </w:r>
      <w:r>
        <w:t xml:space="preserve">and 88.9% in </w:t>
      </w:r>
      <w:r w:rsidR="005339F0">
        <w:t>Study </w:t>
      </w:r>
      <w:r>
        <w:t>APN311-303.</w:t>
      </w:r>
      <w:r w:rsidR="001E4C4A">
        <w:t xml:space="preserve"> </w:t>
      </w:r>
      <w:r>
        <w:t>Most were of mild or moderate severity.</w:t>
      </w:r>
      <w:r w:rsidR="001E4C4A">
        <w:t xml:space="preserve"> </w:t>
      </w:r>
      <w:r>
        <w:t>Grade 3 reactions were reported in 18.2% and 16.7%, respectively.</w:t>
      </w:r>
      <w:r w:rsidR="001E4C4A">
        <w:t xml:space="preserve"> </w:t>
      </w:r>
      <w:r>
        <w:t xml:space="preserve">No </w:t>
      </w:r>
      <w:r w:rsidR="00FD7EAE">
        <w:t>G</w:t>
      </w:r>
      <w:r>
        <w:t>rade 4 reaction was reported.</w:t>
      </w:r>
      <w:r w:rsidR="001E4C4A">
        <w:t xml:space="preserve"> </w:t>
      </w:r>
      <w:r>
        <w:t xml:space="preserve">Their incidence decreased from </w:t>
      </w:r>
      <w:r w:rsidR="00FD7EAE">
        <w:t>C</w:t>
      </w:r>
      <w:r>
        <w:t xml:space="preserve">ycle 1 (52% and 74%, respectively) to </w:t>
      </w:r>
      <w:r w:rsidR="00FD7EAE">
        <w:t>C</w:t>
      </w:r>
      <w:r>
        <w:t>ycle 5 (29% and 41%, respectively).</w:t>
      </w:r>
      <w:r w:rsidR="001E4C4A">
        <w:t xml:space="preserve"> </w:t>
      </w:r>
      <w:r>
        <w:t xml:space="preserve">Six patients (4.1%) across </w:t>
      </w:r>
      <w:r w:rsidR="00FD7EAE">
        <w:t>S</w:t>
      </w:r>
      <w:r>
        <w:t>tudies APN311-101, -201, -202, and -303 had at least 1 serious episode consistent with anaphylaxis.</w:t>
      </w:r>
    </w:p>
    <w:p w14:paraId="761A27DD" w14:textId="4C3A553A" w:rsidR="00545A26" w:rsidRDefault="00545A26" w:rsidP="00545A26">
      <w:r w:rsidRPr="00196F11">
        <w:rPr>
          <w:rStyle w:val="Heading6Char"/>
          <w:rFonts w:eastAsia="Cambria"/>
        </w:rPr>
        <w:t>Cytokine release syndrome</w:t>
      </w:r>
      <w:r w:rsidR="006B3A84" w:rsidRPr="00196F11">
        <w:rPr>
          <w:rStyle w:val="Heading6Char"/>
          <w:rFonts w:eastAsia="Cambria"/>
        </w:rPr>
        <w:t xml:space="preserve"> (CRS)</w:t>
      </w:r>
      <w:r w:rsidRPr="00196F11">
        <w:rPr>
          <w:rStyle w:val="Heading6Char"/>
          <w:rFonts w:eastAsia="Cambria"/>
        </w:rPr>
        <w:t>:</w:t>
      </w:r>
      <w:r>
        <w:t xml:space="preserve"> CRS was reported in 36.4% and 55.6% of patients in studies APN311-202 and -303, respectively.</w:t>
      </w:r>
      <w:r w:rsidR="001E4C4A">
        <w:t xml:space="preserve"> </w:t>
      </w:r>
      <w:r>
        <w:t>Most case</w:t>
      </w:r>
      <w:r w:rsidR="00196F11">
        <w:t xml:space="preserve">s were mild to </w:t>
      </w:r>
      <w:r>
        <w:t>moderate severity.</w:t>
      </w:r>
    </w:p>
    <w:p w14:paraId="647849DC" w14:textId="569547BF" w:rsidR="00545A26" w:rsidRDefault="00545A26" w:rsidP="00545A26">
      <w:r w:rsidRPr="00196F11">
        <w:rPr>
          <w:rStyle w:val="Heading6Char"/>
          <w:rFonts w:eastAsia="Cambria"/>
        </w:rPr>
        <w:t>Capillary leak syndrome</w:t>
      </w:r>
      <w:r w:rsidR="006C6C3E" w:rsidRPr="00196F11">
        <w:rPr>
          <w:rStyle w:val="Heading6Char"/>
          <w:rFonts w:eastAsia="Cambria"/>
        </w:rPr>
        <w:t xml:space="preserve"> (CLS)</w:t>
      </w:r>
      <w:r w:rsidRPr="00196F11">
        <w:rPr>
          <w:rStyle w:val="Heading6Char"/>
          <w:rFonts w:eastAsia="Cambria"/>
        </w:rPr>
        <w:t>:</w:t>
      </w:r>
      <w:r>
        <w:t xml:space="preserve"> CLS was reported in 36.4% and 83.3% of patients in </w:t>
      </w:r>
      <w:r w:rsidR="00FD7EAE">
        <w:t>S</w:t>
      </w:r>
      <w:r>
        <w:t>tudies APN311-202 and -303, res</w:t>
      </w:r>
      <w:r w:rsidR="00196F11">
        <w:t xml:space="preserve">pectively. Most cases were mild to </w:t>
      </w:r>
      <w:r>
        <w:t>moderate severity.</w:t>
      </w:r>
      <w:r w:rsidR="001E4C4A">
        <w:t xml:space="preserve"> </w:t>
      </w:r>
      <w:r>
        <w:t xml:space="preserve">In </w:t>
      </w:r>
      <w:r w:rsidR="00FD7EAE">
        <w:t xml:space="preserve">Study </w:t>
      </w:r>
      <w:r>
        <w:t>APN311-302, the frequency of CLS was about twice as high in patients who w</w:t>
      </w:r>
      <w:r w:rsidR="00196F11">
        <w:t>ere treated with IL-2 (49.7% versus</w:t>
      </w:r>
      <w:r>
        <w:t xml:space="preserve"> 24.6%).</w:t>
      </w:r>
    </w:p>
    <w:p w14:paraId="75B6716F" w14:textId="4EF2263F" w:rsidR="00545A26" w:rsidRDefault="00545A26" w:rsidP="00545A26">
      <w:r w:rsidRPr="00196F11">
        <w:rPr>
          <w:rStyle w:val="Heading6Char"/>
          <w:rFonts w:eastAsia="Cambria"/>
        </w:rPr>
        <w:t>Neurological disorders:</w:t>
      </w:r>
      <w:r>
        <w:t xml:space="preserve"> Neurological eye disorders were reported in 22.7% and 27.8% of patients in </w:t>
      </w:r>
      <w:r w:rsidR="00FD7EAE">
        <w:t>S</w:t>
      </w:r>
      <w:r>
        <w:t>tudies APN311-202 and -303, respectively.</w:t>
      </w:r>
      <w:r w:rsidR="001E4C4A">
        <w:t xml:space="preserve"> </w:t>
      </w:r>
      <w:proofErr w:type="spellStart"/>
      <w:r>
        <w:t>Mydriasis</w:t>
      </w:r>
      <w:proofErr w:type="spellEnd"/>
      <w:r>
        <w:t xml:space="preserve"> and accommodation defects with blurred vision were the most common events.</w:t>
      </w:r>
      <w:r w:rsidR="001E4C4A">
        <w:t xml:space="preserve"> </w:t>
      </w:r>
      <w:r>
        <w:t>SAEs were reported in 2.7% across all studies.</w:t>
      </w:r>
      <w:r w:rsidR="001E4C4A">
        <w:t xml:space="preserve"> </w:t>
      </w:r>
      <w:r>
        <w:t xml:space="preserve">Neuropathies (motor and sensory) were reported in 9% and 5% of patients in </w:t>
      </w:r>
      <w:r w:rsidR="00FD7EAE">
        <w:t>S</w:t>
      </w:r>
      <w:r>
        <w:t>tudies APN311-202 and -303, respectively.</w:t>
      </w:r>
      <w:r w:rsidR="001E4C4A">
        <w:t xml:space="preserve"> </w:t>
      </w:r>
      <w:r>
        <w:t>Most events were non-serious.</w:t>
      </w:r>
    </w:p>
    <w:p w14:paraId="2D34CBEA" w14:textId="789F422C" w:rsidR="00456765" w:rsidRPr="00456765" w:rsidRDefault="00545A26" w:rsidP="00B35041">
      <w:r w:rsidRPr="00196F11">
        <w:rPr>
          <w:rStyle w:val="Heading6Char"/>
          <w:rFonts w:eastAsia="Cambria"/>
        </w:rPr>
        <w:t>Infection:</w:t>
      </w:r>
      <w:r>
        <w:t xml:space="preserve"> Infection-related events were reported in 61.4% and 75.9% of patients in </w:t>
      </w:r>
      <w:r w:rsidR="00FD7EAE">
        <w:t>S</w:t>
      </w:r>
      <w:r>
        <w:t>tudies APN311-202 and -303, respectively.</w:t>
      </w:r>
      <w:r w:rsidR="001E4C4A">
        <w:t xml:space="preserve"> </w:t>
      </w:r>
      <w:r>
        <w:t>63 patients (12%) reported serious infection-related events.</w:t>
      </w:r>
    </w:p>
    <w:p w14:paraId="5D7F9085" w14:textId="77777777" w:rsidR="008E7846" w:rsidRDefault="00386150" w:rsidP="007B6132">
      <w:pPr>
        <w:pStyle w:val="Heading3"/>
        <w:rPr>
          <w:lang w:eastAsia="en-AU"/>
        </w:rPr>
      </w:pPr>
      <w:bookmarkStart w:id="62" w:name="_Toc44507100"/>
      <w:r>
        <w:rPr>
          <w:lang w:eastAsia="en-AU"/>
        </w:rPr>
        <w:lastRenderedPageBreak/>
        <w:t>Risk m</w:t>
      </w:r>
      <w:r w:rsidR="008E7846">
        <w:rPr>
          <w:lang w:eastAsia="en-AU"/>
        </w:rPr>
        <w:t xml:space="preserve">anagement </w:t>
      </w:r>
      <w:r>
        <w:rPr>
          <w:lang w:eastAsia="en-AU"/>
        </w:rPr>
        <w:t>p</w:t>
      </w:r>
      <w:r w:rsidR="008E7846">
        <w:rPr>
          <w:lang w:eastAsia="en-AU"/>
        </w:rPr>
        <w:t>lan</w:t>
      </w:r>
      <w:bookmarkEnd w:id="41"/>
      <w:bookmarkEnd w:id="62"/>
    </w:p>
    <w:p w14:paraId="0E6B769D" w14:textId="5352A4B0" w:rsidR="00B70804" w:rsidRPr="00B70804" w:rsidRDefault="00545A26" w:rsidP="00FD7EAE">
      <w:r>
        <w:t xml:space="preserve">The </w:t>
      </w:r>
      <w:r w:rsidR="00FD7EAE">
        <w:t>s</w:t>
      </w:r>
      <w:r>
        <w:t>ponsor</w:t>
      </w:r>
      <w:r w:rsidRPr="00542740">
        <w:t xml:space="preserve"> submitted </w:t>
      </w:r>
      <w:r w:rsidR="00BF0300">
        <w:t>European Union-risk management plan (</w:t>
      </w:r>
      <w:r w:rsidRPr="00542740">
        <w:t>EU-RMP</w:t>
      </w:r>
      <w:r w:rsidR="00BF0300">
        <w:t>)</w:t>
      </w:r>
      <w:r w:rsidRPr="00542740">
        <w:t xml:space="preserve"> version 8.0 (dated 29 March 2017; </w:t>
      </w:r>
      <w:r w:rsidR="003266B8">
        <w:t>data lock point (</w:t>
      </w:r>
      <w:r w:rsidRPr="00542740">
        <w:t>DLP</w:t>
      </w:r>
      <w:r w:rsidR="003266B8">
        <w:t>)</w:t>
      </w:r>
      <w:r w:rsidRPr="00542740">
        <w:t xml:space="preserve"> 11 November 2015) and </w:t>
      </w:r>
      <w:r w:rsidR="00BF0300">
        <w:t xml:space="preserve">Australian specific Annex (ASA) </w:t>
      </w:r>
      <w:r w:rsidRPr="00542740">
        <w:t>version 1.0 (dated 10 July 2019) in support of this application.</w:t>
      </w:r>
      <w:r w:rsidR="001E4C4A">
        <w:t xml:space="preserve"> </w:t>
      </w:r>
      <w:r>
        <w:t xml:space="preserve">The proposed pharmacovigilance and risk minimisation activities in the </w:t>
      </w:r>
      <w:r w:rsidR="00FD7EAE">
        <w:t>s</w:t>
      </w:r>
      <w:r>
        <w:t xml:space="preserve">ummary of </w:t>
      </w:r>
      <w:r w:rsidR="00FD7EAE">
        <w:t>s</w:t>
      </w:r>
      <w:r>
        <w:t xml:space="preserve">afety </w:t>
      </w:r>
      <w:r w:rsidR="00FD7EAE">
        <w:t>c</w:t>
      </w:r>
      <w:r>
        <w:t xml:space="preserve">oncerns are shown in </w:t>
      </w:r>
      <w:r>
        <w:fldChar w:fldCharType="begin"/>
      </w:r>
      <w:r>
        <w:instrText xml:space="preserve"> REF _Ref24610596 \h </w:instrText>
      </w:r>
      <w:r w:rsidR="00BF0300">
        <w:instrText xml:space="preserve"> \* MERGEFORMAT </w:instrText>
      </w:r>
      <w:r>
        <w:fldChar w:fldCharType="separate"/>
      </w:r>
      <w:r>
        <w:t xml:space="preserve">Table </w:t>
      </w:r>
      <w:r>
        <w:rPr>
          <w:noProof/>
        </w:rPr>
        <w:t>17</w:t>
      </w:r>
      <w:r>
        <w:fldChar w:fldCharType="end"/>
      </w:r>
      <w:r>
        <w:t>.</w:t>
      </w:r>
      <w:r w:rsidR="00C110F2">
        <w:rPr>
          <w:rStyle w:val="FootnoteReference"/>
        </w:rPr>
        <w:footnoteReference w:id="15"/>
      </w:r>
    </w:p>
    <w:p w14:paraId="12280425" w14:textId="2529C633" w:rsidR="00545A26" w:rsidRPr="009248A3" w:rsidRDefault="00545A26" w:rsidP="00BF0300">
      <w:pPr>
        <w:pStyle w:val="TableTitle"/>
      </w:pPr>
      <w:bookmarkStart w:id="63" w:name="_Ref24610596"/>
      <w:r>
        <w:t xml:space="preserve">Table </w:t>
      </w:r>
      <w:fldSimple w:instr=" SEQ Table \* ARABIC ">
        <w:r w:rsidR="00FD0F6E">
          <w:rPr>
            <w:noProof/>
          </w:rPr>
          <w:t>17</w:t>
        </w:r>
      </w:fldSimple>
      <w:bookmarkEnd w:id="63"/>
      <w:r w:rsidR="009C001C">
        <w:rPr>
          <w:noProof/>
        </w:rPr>
        <w:t>:</w:t>
      </w:r>
      <w:r w:rsidR="001E4C4A">
        <w:t xml:space="preserve"> </w:t>
      </w:r>
      <w:r>
        <w:t xml:space="preserve">Proposed </w:t>
      </w:r>
      <w:r w:rsidR="00FD7EAE">
        <w:t>summary of safety concerns</w:t>
      </w:r>
    </w:p>
    <w:tbl>
      <w:tblPr>
        <w:tblStyle w:val="TableTGAblue"/>
        <w:tblW w:w="8636" w:type="dxa"/>
        <w:tblLayout w:type="fixed"/>
        <w:tblLook w:val="04A0" w:firstRow="1" w:lastRow="0" w:firstColumn="1" w:lastColumn="0" w:noHBand="0" w:noVBand="1"/>
      </w:tblPr>
      <w:tblGrid>
        <w:gridCol w:w="1560"/>
        <w:gridCol w:w="2258"/>
        <w:gridCol w:w="1134"/>
        <w:gridCol w:w="1275"/>
        <w:gridCol w:w="1134"/>
        <w:gridCol w:w="1275"/>
      </w:tblGrid>
      <w:tr w:rsidR="00545A26" w:rsidRPr="000D6ABA" w14:paraId="0E4F8C97" w14:textId="77777777" w:rsidTr="001D4084">
        <w:trPr>
          <w:cnfStyle w:val="100000000000" w:firstRow="1" w:lastRow="0" w:firstColumn="0" w:lastColumn="0" w:oddVBand="0" w:evenVBand="0" w:oddHBand="0" w:evenHBand="0" w:firstRowFirstColumn="0" w:firstRowLastColumn="0" w:lastRowFirstColumn="0" w:lastRowLastColumn="0"/>
          <w:trHeight w:val="131"/>
        </w:trPr>
        <w:tc>
          <w:tcPr>
            <w:tcW w:w="3818" w:type="dxa"/>
            <w:gridSpan w:val="2"/>
            <w:vMerge w:val="restart"/>
          </w:tcPr>
          <w:p w14:paraId="2433B0D2" w14:textId="77777777" w:rsidR="00545A26" w:rsidRPr="000D6ABA" w:rsidRDefault="00545A26" w:rsidP="00C753A1">
            <w:pPr>
              <w:ind w:left="0" w:right="0"/>
              <w:rPr>
                <w:rFonts w:asciiTheme="minorHAnsi" w:hAnsiTheme="minorHAnsi"/>
                <w:b w:val="0"/>
                <w:sz w:val="19"/>
                <w:szCs w:val="19"/>
                <w:lang w:eastAsia="en-US"/>
              </w:rPr>
            </w:pPr>
            <w:r w:rsidRPr="000D6ABA">
              <w:rPr>
                <w:rFonts w:asciiTheme="minorHAnsi" w:hAnsiTheme="minorHAnsi"/>
                <w:b w:val="0"/>
                <w:sz w:val="19"/>
                <w:szCs w:val="19"/>
                <w:lang w:eastAsia="en-US"/>
              </w:rPr>
              <w:t>Summary of safety concerns</w:t>
            </w:r>
          </w:p>
        </w:tc>
        <w:tc>
          <w:tcPr>
            <w:tcW w:w="2409" w:type="dxa"/>
            <w:gridSpan w:val="2"/>
          </w:tcPr>
          <w:p w14:paraId="6E1336A9" w14:textId="77777777" w:rsidR="00545A26" w:rsidRPr="000D6ABA" w:rsidRDefault="00545A26" w:rsidP="00C753A1">
            <w:pPr>
              <w:ind w:left="0" w:right="0"/>
              <w:rPr>
                <w:rFonts w:asciiTheme="minorHAnsi" w:hAnsiTheme="minorHAnsi"/>
                <w:b w:val="0"/>
                <w:sz w:val="19"/>
                <w:szCs w:val="19"/>
                <w:lang w:eastAsia="en-US"/>
              </w:rPr>
            </w:pPr>
            <w:r w:rsidRPr="000D6ABA">
              <w:rPr>
                <w:rFonts w:asciiTheme="minorHAnsi" w:hAnsiTheme="minorHAnsi"/>
                <w:b w:val="0"/>
                <w:sz w:val="19"/>
                <w:szCs w:val="19"/>
                <w:lang w:eastAsia="en-US"/>
              </w:rPr>
              <w:t>Pharmacovigilance</w:t>
            </w:r>
          </w:p>
        </w:tc>
        <w:tc>
          <w:tcPr>
            <w:tcW w:w="2409" w:type="dxa"/>
            <w:gridSpan w:val="2"/>
          </w:tcPr>
          <w:p w14:paraId="7224F172" w14:textId="77777777" w:rsidR="00545A26" w:rsidRPr="000D6ABA" w:rsidRDefault="00545A26" w:rsidP="00C753A1">
            <w:pPr>
              <w:ind w:left="0" w:right="0"/>
              <w:rPr>
                <w:rFonts w:asciiTheme="minorHAnsi" w:hAnsiTheme="minorHAnsi"/>
                <w:b w:val="0"/>
                <w:sz w:val="19"/>
                <w:szCs w:val="19"/>
                <w:lang w:eastAsia="en-US"/>
              </w:rPr>
            </w:pPr>
            <w:r w:rsidRPr="000D6ABA">
              <w:rPr>
                <w:rFonts w:asciiTheme="minorHAnsi" w:hAnsiTheme="minorHAnsi"/>
                <w:b w:val="0"/>
                <w:sz w:val="19"/>
                <w:szCs w:val="19"/>
                <w:lang w:eastAsia="en-US"/>
              </w:rPr>
              <w:t>Risk Minimisation</w:t>
            </w:r>
          </w:p>
        </w:tc>
      </w:tr>
      <w:tr w:rsidR="001D4084" w:rsidRPr="000D6ABA" w14:paraId="1861DF2D" w14:textId="77777777" w:rsidTr="001D4084">
        <w:trPr>
          <w:trHeight w:val="150"/>
        </w:trPr>
        <w:tc>
          <w:tcPr>
            <w:tcW w:w="3818" w:type="dxa"/>
            <w:gridSpan w:val="2"/>
            <w:vMerge/>
          </w:tcPr>
          <w:p w14:paraId="1CD13F2B" w14:textId="77777777" w:rsidR="00545A26" w:rsidRPr="000D6ABA" w:rsidRDefault="00545A26" w:rsidP="00C753A1">
            <w:pPr>
              <w:ind w:left="0" w:right="0"/>
              <w:rPr>
                <w:rFonts w:asciiTheme="minorHAnsi" w:hAnsiTheme="minorHAnsi"/>
                <w:sz w:val="19"/>
                <w:szCs w:val="19"/>
                <w:lang w:eastAsia="en-US"/>
              </w:rPr>
            </w:pPr>
          </w:p>
        </w:tc>
        <w:tc>
          <w:tcPr>
            <w:tcW w:w="1134" w:type="dxa"/>
          </w:tcPr>
          <w:p w14:paraId="227124F2"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Routine</w:t>
            </w:r>
          </w:p>
        </w:tc>
        <w:tc>
          <w:tcPr>
            <w:tcW w:w="1275" w:type="dxa"/>
          </w:tcPr>
          <w:p w14:paraId="69A326F6"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Additional</w:t>
            </w:r>
          </w:p>
        </w:tc>
        <w:tc>
          <w:tcPr>
            <w:tcW w:w="1134" w:type="dxa"/>
          </w:tcPr>
          <w:p w14:paraId="331A9D69"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Routine</w:t>
            </w:r>
          </w:p>
        </w:tc>
        <w:tc>
          <w:tcPr>
            <w:tcW w:w="1275" w:type="dxa"/>
          </w:tcPr>
          <w:p w14:paraId="1F158A28"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Additional</w:t>
            </w:r>
          </w:p>
        </w:tc>
      </w:tr>
      <w:tr w:rsidR="000D6ABA" w:rsidRPr="000D6ABA" w14:paraId="77543780" w14:textId="77777777" w:rsidTr="001D4084">
        <w:trPr>
          <w:trHeight w:val="137"/>
        </w:trPr>
        <w:tc>
          <w:tcPr>
            <w:tcW w:w="1560" w:type="dxa"/>
            <w:vMerge w:val="restart"/>
          </w:tcPr>
          <w:p w14:paraId="7DBB6F20"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Important identified risks</w:t>
            </w:r>
          </w:p>
        </w:tc>
        <w:tc>
          <w:tcPr>
            <w:tcW w:w="2258" w:type="dxa"/>
          </w:tcPr>
          <w:p w14:paraId="1AA31E28"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Pain</w:t>
            </w:r>
          </w:p>
        </w:tc>
        <w:tc>
          <w:tcPr>
            <w:tcW w:w="1134" w:type="dxa"/>
          </w:tcPr>
          <w:p w14:paraId="7EC89DFF"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71624C0D"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r w:rsidRPr="000D6ABA">
              <w:rPr>
                <w:rFonts w:asciiTheme="minorHAnsi" w:hAnsiTheme="minorHAnsi"/>
                <w:sz w:val="19"/>
                <w:szCs w:val="19"/>
                <w:lang w:eastAsia="en-US"/>
              </w:rPr>
              <w:t>*</w:t>
            </w:r>
          </w:p>
        </w:tc>
        <w:tc>
          <w:tcPr>
            <w:tcW w:w="1134" w:type="dxa"/>
          </w:tcPr>
          <w:p w14:paraId="630C77D8"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705E93AD"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w:t>
            </w:r>
          </w:p>
        </w:tc>
      </w:tr>
      <w:tr w:rsidR="000D6ABA" w:rsidRPr="000D6ABA" w14:paraId="03DBF48A" w14:textId="77777777" w:rsidTr="001D4084">
        <w:trPr>
          <w:trHeight w:val="94"/>
        </w:trPr>
        <w:tc>
          <w:tcPr>
            <w:tcW w:w="1560" w:type="dxa"/>
            <w:vMerge/>
          </w:tcPr>
          <w:p w14:paraId="74E219D1" w14:textId="77777777" w:rsidR="00545A26" w:rsidRPr="000D6ABA" w:rsidRDefault="00545A26" w:rsidP="00C753A1">
            <w:pPr>
              <w:ind w:left="0" w:right="0"/>
              <w:rPr>
                <w:rFonts w:asciiTheme="minorHAnsi" w:hAnsiTheme="minorHAnsi"/>
                <w:sz w:val="19"/>
                <w:szCs w:val="19"/>
                <w:lang w:eastAsia="en-US"/>
              </w:rPr>
            </w:pPr>
          </w:p>
        </w:tc>
        <w:tc>
          <w:tcPr>
            <w:tcW w:w="2258" w:type="dxa"/>
          </w:tcPr>
          <w:p w14:paraId="63305E53" w14:textId="2BF20380"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Serious infusion reactions includi</w:t>
            </w:r>
            <w:r w:rsidR="000D6ABA" w:rsidRPr="000D6ABA">
              <w:rPr>
                <w:rFonts w:asciiTheme="minorHAnsi" w:hAnsiTheme="minorHAnsi"/>
                <w:sz w:val="19"/>
                <w:szCs w:val="19"/>
                <w:lang w:eastAsia="en-US"/>
              </w:rPr>
              <w:t>ng hypersensitivity</w:t>
            </w:r>
            <w:r w:rsidR="000D6ABA">
              <w:rPr>
                <w:rFonts w:asciiTheme="minorHAnsi" w:hAnsiTheme="minorHAnsi"/>
                <w:sz w:val="19"/>
                <w:szCs w:val="19"/>
                <w:lang w:eastAsia="en-US"/>
              </w:rPr>
              <w:t xml:space="preserve">, hypotension, and cytokine </w:t>
            </w:r>
            <w:r w:rsidRPr="000D6ABA">
              <w:rPr>
                <w:rFonts w:asciiTheme="minorHAnsi" w:hAnsiTheme="minorHAnsi"/>
                <w:sz w:val="19"/>
                <w:szCs w:val="19"/>
                <w:lang w:eastAsia="en-US"/>
              </w:rPr>
              <w:t>release syndrome</w:t>
            </w:r>
          </w:p>
        </w:tc>
        <w:tc>
          <w:tcPr>
            <w:tcW w:w="1134" w:type="dxa"/>
          </w:tcPr>
          <w:p w14:paraId="519F8AE4"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70A02684"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134" w:type="dxa"/>
          </w:tcPr>
          <w:p w14:paraId="4AF2800D"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5427545A"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w:t>
            </w:r>
          </w:p>
        </w:tc>
      </w:tr>
      <w:tr w:rsidR="000D6ABA" w:rsidRPr="000D6ABA" w14:paraId="7728C5F5" w14:textId="77777777" w:rsidTr="001D4084">
        <w:trPr>
          <w:trHeight w:val="94"/>
        </w:trPr>
        <w:tc>
          <w:tcPr>
            <w:tcW w:w="1560" w:type="dxa"/>
            <w:vMerge/>
          </w:tcPr>
          <w:p w14:paraId="2840FE91" w14:textId="77777777" w:rsidR="00545A26" w:rsidRPr="000D6ABA" w:rsidRDefault="00545A26" w:rsidP="00C753A1">
            <w:pPr>
              <w:ind w:left="0" w:right="0"/>
              <w:rPr>
                <w:rFonts w:asciiTheme="minorHAnsi" w:hAnsiTheme="minorHAnsi"/>
                <w:sz w:val="19"/>
                <w:szCs w:val="19"/>
                <w:lang w:eastAsia="en-US"/>
              </w:rPr>
            </w:pPr>
          </w:p>
        </w:tc>
        <w:tc>
          <w:tcPr>
            <w:tcW w:w="2258" w:type="dxa"/>
          </w:tcPr>
          <w:p w14:paraId="6072CF80"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Neurological eye disorders</w:t>
            </w:r>
          </w:p>
        </w:tc>
        <w:tc>
          <w:tcPr>
            <w:tcW w:w="1134" w:type="dxa"/>
          </w:tcPr>
          <w:p w14:paraId="2F8F3EA3"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2562C497"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r w:rsidRPr="000D6ABA">
              <w:rPr>
                <w:rFonts w:asciiTheme="minorHAnsi" w:hAnsiTheme="minorHAnsi"/>
                <w:sz w:val="19"/>
                <w:szCs w:val="19"/>
                <w:lang w:eastAsia="en-US"/>
              </w:rPr>
              <w:t>*</w:t>
            </w:r>
          </w:p>
        </w:tc>
        <w:tc>
          <w:tcPr>
            <w:tcW w:w="1134" w:type="dxa"/>
          </w:tcPr>
          <w:p w14:paraId="591C925F"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38282539"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w:t>
            </w:r>
          </w:p>
        </w:tc>
      </w:tr>
      <w:tr w:rsidR="000D6ABA" w:rsidRPr="000D6ABA" w14:paraId="5D3C7661" w14:textId="77777777" w:rsidTr="001D4084">
        <w:trPr>
          <w:trHeight w:val="94"/>
        </w:trPr>
        <w:tc>
          <w:tcPr>
            <w:tcW w:w="1560" w:type="dxa"/>
            <w:vMerge/>
          </w:tcPr>
          <w:p w14:paraId="723F486E" w14:textId="77777777" w:rsidR="00545A26" w:rsidRPr="000D6ABA" w:rsidRDefault="00545A26" w:rsidP="00C753A1">
            <w:pPr>
              <w:ind w:left="0" w:right="0"/>
              <w:rPr>
                <w:rFonts w:asciiTheme="minorHAnsi" w:hAnsiTheme="minorHAnsi"/>
                <w:sz w:val="19"/>
                <w:szCs w:val="19"/>
                <w:lang w:eastAsia="en-US"/>
              </w:rPr>
            </w:pPr>
          </w:p>
        </w:tc>
        <w:tc>
          <w:tcPr>
            <w:tcW w:w="2258" w:type="dxa"/>
          </w:tcPr>
          <w:p w14:paraId="00CA8AB1"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Peripheral neuropathy</w:t>
            </w:r>
          </w:p>
        </w:tc>
        <w:tc>
          <w:tcPr>
            <w:tcW w:w="1134" w:type="dxa"/>
          </w:tcPr>
          <w:p w14:paraId="75375CF9"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67F6B0E5"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r w:rsidRPr="000D6ABA">
              <w:rPr>
                <w:rFonts w:asciiTheme="minorHAnsi" w:hAnsiTheme="minorHAnsi"/>
                <w:sz w:val="19"/>
                <w:szCs w:val="19"/>
                <w:lang w:eastAsia="en-US"/>
              </w:rPr>
              <w:t>*</w:t>
            </w:r>
          </w:p>
        </w:tc>
        <w:tc>
          <w:tcPr>
            <w:tcW w:w="1134" w:type="dxa"/>
          </w:tcPr>
          <w:p w14:paraId="7DED30E8"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0F7A2DD1"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w:t>
            </w:r>
          </w:p>
        </w:tc>
      </w:tr>
      <w:tr w:rsidR="000D6ABA" w:rsidRPr="000D6ABA" w14:paraId="2DC1937D" w14:textId="77777777" w:rsidTr="001D4084">
        <w:trPr>
          <w:trHeight w:val="94"/>
        </w:trPr>
        <w:tc>
          <w:tcPr>
            <w:tcW w:w="1560" w:type="dxa"/>
            <w:vMerge/>
          </w:tcPr>
          <w:p w14:paraId="73963DB4" w14:textId="77777777" w:rsidR="00545A26" w:rsidRPr="000D6ABA" w:rsidRDefault="00545A26" w:rsidP="00C753A1">
            <w:pPr>
              <w:ind w:left="0" w:right="0"/>
              <w:rPr>
                <w:rFonts w:asciiTheme="minorHAnsi" w:hAnsiTheme="minorHAnsi"/>
                <w:sz w:val="19"/>
                <w:szCs w:val="19"/>
                <w:lang w:eastAsia="en-US"/>
              </w:rPr>
            </w:pPr>
          </w:p>
        </w:tc>
        <w:tc>
          <w:tcPr>
            <w:tcW w:w="2258" w:type="dxa"/>
          </w:tcPr>
          <w:p w14:paraId="65CA13C1"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Capillary leak syndrome</w:t>
            </w:r>
          </w:p>
        </w:tc>
        <w:tc>
          <w:tcPr>
            <w:tcW w:w="1134" w:type="dxa"/>
          </w:tcPr>
          <w:p w14:paraId="1464CC93"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7A08E7BC"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134" w:type="dxa"/>
          </w:tcPr>
          <w:p w14:paraId="42AF0A50"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502B7202"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w:t>
            </w:r>
          </w:p>
        </w:tc>
      </w:tr>
      <w:tr w:rsidR="000D6ABA" w:rsidRPr="000D6ABA" w14:paraId="4751204D" w14:textId="77777777" w:rsidTr="001D4084">
        <w:trPr>
          <w:trHeight w:val="94"/>
        </w:trPr>
        <w:tc>
          <w:tcPr>
            <w:tcW w:w="1560" w:type="dxa"/>
            <w:vMerge/>
          </w:tcPr>
          <w:p w14:paraId="7643F74D" w14:textId="77777777" w:rsidR="00545A26" w:rsidRPr="000D6ABA" w:rsidRDefault="00545A26" w:rsidP="00C753A1">
            <w:pPr>
              <w:ind w:left="0" w:right="0"/>
              <w:rPr>
                <w:rFonts w:asciiTheme="minorHAnsi" w:hAnsiTheme="minorHAnsi"/>
                <w:sz w:val="19"/>
                <w:szCs w:val="19"/>
                <w:lang w:eastAsia="en-US"/>
              </w:rPr>
            </w:pPr>
          </w:p>
        </w:tc>
        <w:tc>
          <w:tcPr>
            <w:tcW w:w="2258" w:type="dxa"/>
          </w:tcPr>
          <w:p w14:paraId="28733D76"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Hypoxia, respiratory distress and respiratory failure</w:t>
            </w:r>
          </w:p>
        </w:tc>
        <w:tc>
          <w:tcPr>
            <w:tcW w:w="1134" w:type="dxa"/>
          </w:tcPr>
          <w:p w14:paraId="68098E57"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51A67B78"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134" w:type="dxa"/>
          </w:tcPr>
          <w:p w14:paraId="7ADB7897"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50AE3C6E"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w:t>
            </w:r>
          </w:p>
        </w:tc>
      </w:tr>
      <w:tr w:rsidR="000D6ABA" w:rsidRPr="000D6ABA" w14:paraId="1B4CB3C3" w14:textId="77777777" w:rsidTr="001D4084">
        <w:trPr>
          <w:trHeight w:val="187"/>
        </w:trPr>
        <w:tc>
          <w:tcPr>
            <w:tcW w:w="1560" w:type="dxa"/>
            <w:vMerge/>
          </w:tcPr>
          <w:p w14:paraId="0E5109BC" w14:textId="77777777" w:rsidR="00545A26" w:rsidRPr="000D6ABA" w:rsidRDefault="00545A26" w:rsidP="00C753A1">
            <w:pPr>
              <w:ind w:left="0" w:right="0"/>
              <w:rPr>
                <w:rFonts w:asciiTheme="minorHAnsi" w:hAnsiTheme="minorHAnsi"/>
                <w:sz w:val="19"/>
                <w:szCs w:val="19"/>
                <w:lang w:eastAsia="en-US"/>
              </w:rPr>
            </w:pPr>
          </w:p>
        </w:tc>
        <w:tc>
          <w:tcPr>
            <w:tcW w:w="2258" w:type="dxa"/>
          </w:tcPr>
          <w:p w14:paraId="55EF2A04"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Haematological toxicities</w:t>
            </w:r>
          </w:p>
        </w:tc>
        <w:tc>
          <w:tcPr>
            <w:tcW w:w="1134" w:type="dxa"/>
          </w:tcPr>
          <w:p w14:paraId="532BC88C"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51B98EAE"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134" w:type="dxa"/>
          </w:tcPr>
          <w:p w14:paraId="56A391A9"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5C17E22D"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w:t>
            </w:r>
          </w:p>
        </w:tc>
      </w:tr>
      <w:tr w:rsidR="000D6ABA" w:rsidRPr="000D6ABA" w14:paraId="3280CABB" w14:textId="77777777" w:rsidTr="001D4084">
        <w:trPr>
          <w:trHeight w:val="159"/>
        </w:trPr>
        <w:tc>
          <w:tcPr>
            <w:tcW w:w="1560" w:type="dxa"/>
            <w:vMerge w:val="restart"/>
          </w:tcPr>
          <w:p w14:paraId="68990A64"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Important potential risks</w:t>
            </w:r>
          </w:p>
        </w:tc>
        <w:tc>
          <w:tcPr>
            <w:tcW w:w="2258" w:type="dxa"/>
          </w:tcPr>
          <w:p w14:paraId="52309444"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Cardiotoxicity</w:t>
            </w:r>
          </w:p>
        </w:tc>
        <w:tc>
          <w:tcPr>
            <w:tcW w:w="1134" w:type="dxa"/>
          </w:tcPr>
          <w:p w14:paraId="2CB4CACC"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2ED4C2A3"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134" w:type="dxa"/>
          </w:tcPr>
          <w:p w14:paraId="333BA87A"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12BB322E"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w:t>
            </w:r>
          </w:p>
        </w:tc>
      </w:tr>
      <w:tr w:rsidR="000D6ABA" w:rsidRPr="000D6ABA" w14:paraId="76064CB9" w14:textId="77777777" w:rsidTr="001D4084">
        <w:trPr>
          <w:trHeight w:val="122"/>
        </w:trPr>
        <w:tc>
          <w:tcPr>
            <w:tcW w:w="1560" w:type="dxa"/>
            <w:vMerge/>
          </w:tcPr>
          <w:p w14:paraId="11EE2E5F" w14:textId="77777777" w:rsidR="00545A26" w:rsidRPr="000D6ABA" w:rsidRDefault="00545A26" w:rsidP="00C753A1">
            <w:pPr>
              <w:ind w:left="0" w:right="0"/>
              <w:rPr>
                <w:rFonts w:asciiTheme="minorHAnsi" w:hAnsiTheme="minorHAnsi"/>
                <w:sz w:val="19"/>
                <w:szCs w:val="19"/>
                <w:lang w:eastAsia="en-US"/>
              </w:rPr>
            </w:pPr>
          </w:p>
        </w:tc>
        <w:tc>
          <w:tcPr>
            <w:tcW w:w="2258" w:type="dxa"/>
          </w:tcPr>
          <w:p w14:paraId="79759C18"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Immunogenicity</w:t>
            </w:r>
          </w:p>
        </w:tc>
        <w:tc>
          <w:tcPr>
            <w:tcW w:w="1134" w:type="dxa"/>
          </w:tcPr>
          <w:p w14:paraId="2FF23DA8"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7B341019"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134" w:type="dxa"/>
          </w:tcPr>
          <w:p w14:paraId="175A8685"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06E7647A"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w:t>
            </w:r>
          </w:p>
        </w:tc>
      </w:tr>
      <w:tr w:rsidR="000D6ABA" w:rsidRPr="000D6ABA" w14:paraId="4FF83E33" w14:textId="77777777" w:rsidTr="001D4084">
        <w:trPr>
          <w:trHeight w:val="112"/>
        </w:trPr>
        <w:tc>
          <w:tcPr>
            <w:tcW w:w="1560" w:type="dxa"/>
            <w:vMerge/>
          </w:tcPr>
          <w:p w14:paraId="6ABA3C15" w14:textId="77777777" w:rsidR="00545A26" w:rsidRPr="000D6ABA" w:rsidRDefault="00545A26" w:rsidP="00C753A1">
            <w:pPr>
              <w:ind w:left="0" w:right="0"/>
              <w:rPr>
                <w:rFonts w:asciiTheme="minorHAnsi" w:hAnsiTheme="minorHAnsi"/>
                <w:sz w:val="19"/>
                <w:szCs w:val="19"/>
                <w:lang w:eastAsia="en-US"/>
              </w:rPr>
            </w:pPr>
          </w:p>
        </w:tc>
        <w:tc>
          <w:tcPr>
            <w:tcW w:w="2258" w:type="dxa"/>
          </w:tcPr>
          <w:p w14:paraId="059FDA9B"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Medication errors</w:t>
            </w:r>
          </w:p>
        </w:tc>
        <w:tc>
          <w:tcPr>
            <w:tcW w:w="1134" w:type="dxa"/>
          </w:tcPr>
          <w:p w14:paraId="60923224"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639A7401"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134" w:type="dxa"/>
          </w:tcPr>
          <w:p w14:paraId="37613DE7"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2890A435"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w:t>
            </w:r>
          </w:p>
        </w:tc>
      </w:tr>
      <w:tr w:rsidR="000D6ABA" w:rsidRPr="000D6ABA" w14:paraId="3362C828" w14:textId="77777777" w:rsidTr="001D4084">
        <w:trPr>
          <w:trHeight w:val="178"/>
        </w:trPr>
        <w:tc>
          <w:tcPr>
            <w:tcW w:w="1560" w:type="dxa"/>
            <w:vMerge w:val="restart"/>
          </w:tcPr>
          <w:p w14:paraId="0177062B"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Missing information</w:t>
            </w:r>
          </w:p>
        </w:tc>
        <w:tc>
          <w:tcPr>
            <w:tcW w:w="2258" w:type="dxa"/>
          </w:tcPr>
          <w:p w14:paraId="4E3458B7"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Drug-drug interactions</w:t>
            </w:r>
          </w:p>
        </w:tc>
        <w:tc>
          <w:tcPr>
            <w:tcW w:w="1134" w:type="dxa"/>
          </w:tcPr>
          <w:p w14:paraId="493C4E0E"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298B51C5"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134" w:type="dxa"/>
          </w:tcPr>
          <w:p w14:paraId="60CCAE82"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274F970E"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w:t>
            </w:r>
          </w:p>
        </w:tc>
      </w:tr>
      <w:tr w:rsidR="000D6ABA" w:rsidRPr="000D6ABA" w14:paraId="666031C4" w14:textId="77777777" w:rsidTr="001D4084">
        <w:trPr>
          <w:trHeight w:val="103"/>
        </w:trPr>
        <w:tc>
          <w:tcPr>
            <w:tcW w:w="1560" w:type="dxa"/>
            <w:vMerge/>
          </w:tcPr>
          <w:p w14:paraId="6FA578BA" w14:textId="77777777" w:rsidR="00545A26" w:rsidRPr="000D6ABA" w:rsidRDefault="00545A26" w:rsidP="00C753A1">
            <w:pPr>
              <w:ind w:left="0" w:right="0"/>
              <w:rPr>
                <w:rFonts w:asciiTheme="minorHAnsi" w:hAnsiTheme="minorHAnsi"/>
                <w:sz w:val="19"/>
                <w:szCs w:val="19"/>
                <w:lang w:eastAsia="en-US"/>
              </w:rPr>
            </w:pPr>
          </w:p>
        </w:tc>
        <w:tc>
          <w:tcPr>
            <w:tcW w:w="2258" w:type="dxa"/>
          </w:tcPr>
          <w:p w14:paraId="3A155B60"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Use in adolescents, adults, and elderly</w:t>
            </w:r>
          </w:p>
        </w:tc>
        <w:tc>
          <w:tcPr>
            <w:tcW w:w="1134" w:type="dxa"/>
          </w:tcPr>
          <w:p w14:paraId="605F499D"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429800C6"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134" w:type="dxa"/>
          </w:tcPr>
          <w:p w14:paraId="5C62859E"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4AACE87F"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w:t>
            </w:r>
          </w:p>
        </w:tc>
      </w:tr>
      <w:tr w:rsidR="000D6ABA" w:rsidRPr="000D6ABA" w14:paraId="722604EA" w14:textId="77777777" w:rsidTr="001D4084">
        <w:trPr>
          <w:trHeight w:val="103"/>
        </w:trPr>
        <w:tc>
          <w:tcPr>
            <w:tcW w:w="1560" w:type="dxa"/>
            <w:vMerge/>
          </w:tcPr>
          <w:p w14:paraId="1362200C" w14:textId="77777777" w:rsidR="00545A26" w:rsidRPr="000D6ABA" w:rsidRDefault="00545A26" w:rsidP="00C753A1">
            <w:pPr>
              <w:ind w:left="0" w:right="0"/>
              <w:rPr>
                <w:rFonts w:asciiTheme="minorHAnsi" w:hAnsiTheme="minorHAnsi"/>
                <w:sz w:val="19"/>
                <w:szCs w:val="19"/>
                <w:lang w:eastAsia="en-US"/>
              </w:rPr>
            </w:pPr>
          </w:p>
        </w:tc>
        <w:tc>
          <w:tcPr>
            <w:tcW w:w="2258" w:type="dxa"/>
          </w:tcPr>
          <w:p w14:paraId="367418CB"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Use in patients with an ethnic origin other than Caucasian</w:t>
            </w:r>
          </w:p>
        </w:tc>
        <w:tc>
          <w:tcPr>
            <w:tcW w:w="1134" w:type="dxa"/>
          </w:tcPr>
          <w:p w14:paraId="1EE7F293"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4351A82D"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134" w:type="dxa"/>
          </w:tcPr>
          <w:p w14:paraId="2EAD97B9"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54A251B9"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w:t>
            </w:r>
          </w:p>
        </w:tc>
      </w:tr>
      <w:tr w:rsidR="000D6ABA" w:rsidRPr="000D6ABA" w14:paraId="3A730D60" w14:textId="77777777" w:rsidTr="001D4084">
        <w:trPr>
          <w:trHeight w:val="103"/>
        </w:trPr>
        <w:tc>
          <w:tcPr>
            <w:tcW w:w="1560" w:type="dxa"/>
            <w:vMerge/>
          </w:tcPr>
          <w:p w14:paraId="379775A0" w14:textId="77777777" w:rsidR="00545A26" w:rsidRPr="000D6ABA" w:rsidRDefault="00545A26" w:rsidP="00C753A1">
            <w:pPr>
              <w:ind w:left="0" w:right="0"/>
              <w:rPr>
                <w:rFonts w:asciiTheme="minorHAnsi" w:hAnsiTheme="minorHAnsi"/>
                <w:sz w:val="19"/>
                <w:szCs w:val="19"/>
                <w:lang w:eastAsia="en-US"/>
              </w:rPr>
            </w:pPr>
          </w:p>
        </w:tc>
        <w:tc>
          <w:tcPr>
            <w:tcW w:w="2258" w:type="dxa"/>
          </w:tcPr>
          <w:p w14:paraId="48885543"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Use in patients with hepatic and renal impairment</w:t>
            </w:r>
          </w:p>
        </w:tc>
        <w:tc>
          <w:tcPr>
            <w:tcW w:w="1134" w:type="dxa"/>
          </w:tcPr>
          <w:p w14:paraId="313BD8E3"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5FFC455E"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134" w:type="dxa"/>
          </w:tcPr>
          <w:p w14:paraId="6BFE1D3C"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0EB46AD4"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w:t>
            </w:r>
          </w:p>
        </w:tc>
      </w:tr>
      <w:tr w:rsidR="000D6ABA" w:rsidRPr="000D6ABA" w14:paraId="77BAB95E" w14:textId="77777777" w:rsidTr="001D4084">
        <w:trPr>
          <w:trHeight w:val="103"/>
        </w:trPr>
        <w:tc>
          <w:tcPr>
            <w:tcW w:w="1560" w:type="dxa"/>
            <w:vMerge/>
          </w:tcPr>
          <w:p w14:paraId="6AD4E4DA" w14:textId="77777777" w:rsidR="00545A26" w:rsidRPr="000D6ABA" w:rsidRDefault="00545A26" w:rsidP="00C753A1">
            <w:pPr>
              <w:ind w:left="0" w:right="0"/>
              <w:rPr>
                <w:rFonts w:asciiTheme="minorHAnsi" w:hAnsiTheme="minorHAnsi"/>
                <w:sz w:val="19"/>
                <w:szCs w:val="19"/>
                <w:lang w:eastAsia="en-US"/>
              </w:rPr>
            </w:pPr>
          </w:p>
        </w:tc>
        <w:tc>
          <w:tcPr>
            <w:tcW w:w="2258" w:type="dxa"/>
          </w:tcPr>
          <w:p w14:paraId="045C7C41"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Potential harm from overdose</w:t>
            </w:r>
          </w:p>
        </w:tc>
        <w:tc>
          <w:tcPr>
            <w:tcW w:w="1134" w:type="dxa"/>
          </w:tcPr>
          <w:p w14:paraId="6B17833B"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0012626D"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134" w:type="dxa"/>
          </w:tcPr>
          <w:p w14:paraId="5C56A9F7"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03C355AE"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w:t>
            </w:r>
          </w:p>
        </w:tc>
      </w:tr>
      <w:tr w:rsidR="000D6ABA" w:rsidRPr="000D6ABA" w14:paraId="136715AE" w14:textId="77777777" w:rsidTr="001D4084">
        <w:trPr>
          <w:trHeight w:val="140"/>
        </w:trPr>
        <w:tc>
          <w:tcPr>
            <w:tcW w:w="1560" w:type="dxa"/>
            <w:vMerge/>
          </w:tcPr>
          <w:p w14:paraId="51663E16" w14:textId="77777777" w:rsidR="00545A26" w:rsidRPr="000D6ABA" w:rsidRDefault="00545A26" w:rsidP="00C753A1">
            <w:pPr>
              <w:ind w:left="0" w:right="0"/>
              <w:rPr>
                <w:rFonts w:asciiTheme="minorHAnsi" w:hAnsiTheme="minorHAnsi"/>
                <w:sz w:val="19"/>
                <w:szCs w:val="19"/>
                <w:lang w:eastAsia="en-US"/>
              </w:rPr>
            </w:pPr>
          </w:p>
        </w:tc>
        <w:tc>
          <w:tcPr>
            <w:tcW w:w="2258" w:type="dxa"/>
          </w:tcPr>
          <w:p w14:paraId="5A68C468"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Long-term effects of treatment in childhood</w:t>
            </w:r>
          </w:p>
        </w:tc>
        <w:tc>
          <w:tcPr>
            <w:tcW w:w="1134" w:type="dxa"/>
          </w:tcPr>
          <w:p w14:paraId="0043B1A3"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40026440"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134" w:type="dxa"/>
          </w:tcPr>
          <w:p w14:paraId="36CCC145"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sym w:font="Wingdings" w:char="F0FC"/>
            </w:r>
          </w:p>
        </w:tc>
        <w:tc>
          <w:tcPr>
            <w:tcW w:w="1275" w:type="dxa"/>
          </w:tcPr>
          <w:p w14:paraId="681F4A02" w14:textId="77777777" w:rsidR="00545A26" w:rsidRPr="000D6ABA" w:rsidRDefault="00545A26" w:rsidP="00C753A1">
            <w:pPr>
              <w:ind w:left="0" w:right="0"/>
              <w:rPr>
                <w:rFonts w:asciiTheme="minorHAnsi" w:hAnsiTheme="minorHAnsi"/>
                <w:sz w:val="19"/>
                <w:szCs w:val="19"/>
                <w:lang w:eastAsia="en-US"/>
              </w:rPr>
            </w:pPr>
            <w:r w:rsidRPr="000D6ABA">
              <w:rPr>
                <w:rFonts w:asciiTheme="minorHAnsi" w:hAnsiTheme="minorHAnsi"/>
                <w:sz w:val="19"/>
                <w:szCs w:val="19"/>
                <w:lang w:eastAsia="en-US"/>
              </w:rPr>
              <w:t>–</w:t>
            </w:r>
          </w:p>
        </w:tc>
      </w:tr>
    </w:tbl>
    <w:p w14:paraId="74B77DB6" w14:textId="7897A956" w:rsidR="00545A26" w:rsidRDefault="00545A26" w:rsidP="00C753A1">
      <w:pPr>
        <w:pStyle w:val="TableDescription"/>
      </w:pPr>
      <w:r w:rsidRPr="00BF0300">
        <w:t>Additional pharmacovigilance activities include clinical studies</w:t>
      </w:r>
      <w:r w:rsidR="00FD7EAE">
        <w:t xml:space="preserve">. </w:t>
      </w:r>
      <w:r w:rsidRPr="00BF0300">
        <w:t>* Patient registry – not proposed for Australia</w:t>
      </w:r>
      <w:r w:rsidR="00C753A1">
        <w:t>.</w:t>
      </w:r>
    </w:p>
    <w:p w14:paraId="6ABE8A2F" w14:textId="77777777" w:rsidR="00FD7EAE" w:rsidRPr="00BF0300" w:rsidRDefault="00FD7EAE" w:rsidP="00FD7EAE">
      <w:pPr>
        <w:rPr>
          <w:sz w:val="24"/>
          <w:szCs w:val="24"/>
        </w:rPr>
      </w:pPr>
      <w:r>
        <w:t>The sponsor will maintain a patient registry in Europe as part of additional pharmacovigilance but does not propose an Australian patient registry.</w:t>
      </w:r>
    </w:p>
    <w:p w14:paraId="2AC81C6B" w14:textId="77777777" w:rsidR="00FD7EAE" w:rsidRDefault="00FD7EAE" w:rsidP="00FD7EAE">
      <w:pPr>
        <w:pStyle w:val="Heading4"/>
        <w:spacing w:before="240"/>
      </w:pPr>
      <w:r>
        <w:t>Question to the sponsor</w:t>
      </w:r>
    </w:p>
    <w:p w14:paraId="59F70B90" w14:textId="77777777" w:rsidR="00FD7EAE" w:rsidRDefault="00FD7EAE" w:rsidP="00FD7EAE">
      <w:pPr>
        <w:pStyle w:val="Numberbullet0"/>
        <w:numPr>
          <w:ilvl w:val="0"/>
          <w:numId w:val="8"/>
        </w:numPr>
      </w:pPr>
      <w:r w:rsidRPr="00E76982">
        <w:rPr>
          <w:b/>
          <w:i/>
        </w:rPr>
        <w:t>Please comment on whether data from Australian patients can be included in the European patient registry</w:t>
      </w:r>
      <w:r w:rsidRPr="00B70804">
        <w:t>.</w:t>
      </w:r>
    </w:p>
    <w:p w14:paraId="75837338" w14:textId="77777777" w:rsidR="00FD7EAE" w:rsidRPr="003F163A" w:rsidRDefault="00FD7EAE" w:rsidP="00FD7EAE">
      <w:pPr>
        <w:rPr>
          <w:i/>
        </w:rPr>
      </w:pPr>
      <w:r w:rsidRPr="003F163A">
        <w:rPr>
          <w:i/>
        </w:rPr>
        <w:t>Sponsor’s response</w:t>
      </w:r>
    </w:p>
    <w:p w14:paraId="4EE8185D" w14:textId="4E42E487" w:rsidR="00FD7EAE" w:rsidRDefault="00FD7EAE" w:rsidP="00FD7EAE">
      <w:r>
        <w:t xml:space="preserve">The sponsor believes that it would not be appropriate to include data from Australian patients in the European patient registry, as this was not part of the European Medicines Agency’s </w:t>
      </w:r>
      <w:r w:rsidR="00095FB4">
        <w:t xml:space="preserve">(EMA’s) </w:t>
      </w:r>
      <w:r>
        <w:t>requirements, as currently agreed for Europe.</w:t>
      </w:r>
    </w:p>
    <w:p w14:paraId="38FB8CB7" w14:textId="77777777" w:rsidR="00FD7EAE" w:rsidRDefault="00FD7EAE" w:rsidP="00FD7EAE">
      <w:r>
        <w:t>The sponsor reiterates, however, that data from Australian patients will still be gathered as consolidated global data within periodic safety update reports (PSURs).</w:t>
      </w:r>
    </w:p>
    <w:p w14:paraId="255215A9" w14:textId="77777777" w:rsidR="00FD7EAE" w:rsidRDefault="00FD7EAE" w:rsidP="00FD7EAE">
      <w:r>
        <w:t xml:space="preserve">It is the sponsor’s expectation that the Australian Marketing Authorisation for </w:t>
      </w:r>
      <w:proofErr w:type="spellStart"/>
      <w:r>
        <w:t>Qarziba</w:t>
      </w:r>
      <w:proofErr w:type="spellEnd"/>
      <w:r>
        <w:t xml:space="preserve"> will include the standard requirement for PSUR reporting, for three years post-approval.</w:t>
      </w:r>
    </w:p>
    <w:p w14:paraId="2963EE82" w14:textId="5B8780F7" w:rsidR="00FD7EAE" w:rsidRPr="00BF0300" w:rsidRDefault="00FD7EAE" w:rsidP="001F072C">
      <w:r w:rsidRPr="00B70804">
        <w:t xml:space="preserve">The first PSUR likely to be applicable following TGA-approval of </w:t>
      </w:r>
      <w:proofErr w:type="spellStart"/>
      <w:r w:rsidRPr="00B70804">
        <w:t>Qarziba</w:t>
      </w:r>
      <w:proofErr w:type="spellEnd"/>
      <w:r w:rsidRPr="00B70804">
        <w:t xml:space="preserve"> will have a data lock date of 8 November 2020.</w:t>
      </w:r>
    </w:p>
    <w:p w14:paraId="3E5EB697" w14:textId="77777777" w:rsidR="00545A26" w:rsidRPr="00855DCC" w:rsidRDefault="00545A26" w:rsidP="00545A26">
      <w:pPr>
        <w:pStyle w:val="Heading4"/>
      </w:pPr>
      <w:r w:rsidRPr="00855DCC">
        <w:t>Recommended conditions of registration</w:t>
      </w:r>
    </w:p>
    <w:p w14:paraId="6B6F9F0E" w14:textId="77777777" w:rsidR="00170852" w:rsidRDefault="00545A26" w:rsidP="00170852">
      <w:pPr>
        <w:pStyle w:val="ListBullet"/>
      </w:pPr>
      <w:r w:rsidRPr="00F952C4">
        <w:t>The</w:t>
      </w:r>
      <w:r>
        <w:t xml:space="preserve"> </w:t>
      </w:r>
      <w:proofErr w:type="spellStart"/>
      <w:r>
        <w:t>Qarziba</w:t>
      </w:r>
      <w:proofErr w:type="spellEnd"/>
      <w:r w:rsidRPr="00F952C4">
        <w:t xml:space="preserve"> EU-</w:t>
      </w:r>
      <w:r w:rsidR="00170852">
        <w:t>RMP</w:t>
      </w:r>
      <w:r w:rsidRPr="00F952C4">
        <w:t xml:space="preserve"> (</w:t>
      </w:r>
      <w:r>
        <w:t xml:space="preserve">version 8.0, </w:t>
      </w:r>
      <w:r w:rsidRPr="004C7B5A">
        <w:t>date 29 March 2017; DLP 11 November 2015</w:t>
      </w:r>
      <w:r w:rsidRPr="00F952C4">
        <w:t xml:space="preserve">), with </w:t>
      </w:r>
      <w:r w:rsidR="00170852">
        <w:t>ASA</w:t>
      </w:r>
      <w:r>
        <w:t xml:space="preserve"> (version 1.0</w:t>
      </w:r>
      <w:r w:rsidRPr="00F952C4">
        <w:t xml:space="preserve">, dated </w:t>
      </w:r>
      <w:r>
        <w:t>10 July 2019</w:t>
      </w:r>
      <w:r w:rsidRPr="00F952C4">
        <w:t xml:space="preserve">), included with submission </w:t>
      </w:r>
      <w:r>
        <w:t>PM-2019-03174-1-4</w:t>
      </w:r>
      <w:r w:rsidRPr="00F952C4">
        <w:t>, and any subsequent revisions, as agreed with the TGA will be implemented in Australia.</w:t>
      </w:r>
    </w:p>
    <w:p w14:paraId="73D47A20" w14:textId="4B9F260A" w:rsidR="004D7EA7" w:rsidRDefault="00545A26" w:rsidP="009D7E64">
      <w:pPr>
        <w:pStyle w:val="ListBullet"/>
      </w:pPr>
      <w:r w:rsidRPr="00170852">
        <w:t xml:space="preserve">An obligatory component of risk management plans is routine pharmacovigilance. Routine pharmacovigilance includes the submission of </w:t>
      </w:r>
      <w:r w:rsidR="00F66831">
        <w:t>PSURs</w:t>
      </w:r>
      <w:r w:rsidRPr="00170852">
        <w:t>.</w:t>
      </w:r>
    </w:p>
    <w:p w14:paraId="0EB4F8D3" w14:textId="2FC3A311" w:rsidR="00FD7EAE" w:rsidRDefault="00545A26" w:rsidP="001F072C">
      <w:pPr>
        <w:pStyle w:val="ListBullet"/>
        <w:numPr>
          <w:ilvl w:val="0"/>
          <w:numId w:val="0"/>
        </w:numPr>
        <w:ind w:left="360"/>
      </w:pPr>
      <w:r w:rsidRPr="00170852">
        <w:t xml:space="preserve">Reports are to be provided in line with </w:t>
      </w:r>
      <w:r w:rsidR="00F66831">
        <w:t xml:space="preserve">the current published list of </w:t>
      </w:r>
      <w:r w:rsidR="00E86D46">
        <w:t>EU</w:t>
      </w:r>
      <w:r w:rsidRPr="00170852">
        <w:t xml:space="preserve"> reference dates and frequency of submission of PSURs until the period covered by such reports is not less than three years from the date </w:t>
      </w:r>
      <w:r w:rsidR="00170852">
        <w:t>of this approval letter.</w:t>
      </w:r>
    </w:p>
    <w:p w14:paraId="4975C45F" w14:textId="348170F6" w:rsidR="00170852" w:rsidRPr="00170852" w:rsidRDefault="00545A26" w:rsidP="001F072C">
      <w:pPr>
        <w:pStyle w:val="ListBullet"/>
        <w:numPr>
          <w:ilvl w:val="0"/>
          <w:numId w:val="0"/>
        </w:numPr>
        <w:ind w:left="360"/>
      </w:pPr>
      <w:r w:rsidRPr="00170852">
        <w:t xml:space="preserve">The reports are to at least meet the requirements for PSURs as described in the European Medicines Agency’s Guideline on </w:t>
      </w:r>
      <w:r w:rsidR="004D7EA7">
        <w:t>G</w:t>
      </w:r>
      <w:r w:rsidRPr="00170852">
        <w:t xml:space="preserve">ood </w:t>
      </w:r>
      <w:r w:rsidR="004D7EA7">
        <w:t>P</w:t>
      </w:r>
      <w:r w:rsidRPr="00170852">
        <w:t xml:space="preserve">harmacovigilance </w:t>
      </w:r>
      <w:r w:rsidR="004D7EA7">
        <w:t>P</w:t>
      </w:r>
      <w:r w:rsidRPr="00170852">
        <w:t xml:space="preserve">ractices (GVP) </w:t>
      </w:r>
      <w:r w:rsidRPr="00170852">
        <w:lastRenderedPageBreak/>
        <w:t xml:space="preserve">Module VII-periodic safety update report (Rev 1), Part VII.B Structures and processes. Note that submission of a PSUR does not constitute an application to vary the registration. </w:t>
      </w:r>
    </w:p>
    <w:p w14:paraId="1F7F1BDF" w14:textId="1083A6C0" w:rsidR="00545A26" w:rsidRDefault="00545A26" w:rsidP="00170852">
      <w:pPr>
        <w:pStyle w:val="ListBullet"/>
      </w:pPr>
      <w:proofErr w:type="spellStart"/>
      <w:r>
        <w:t>Qarziba</w:t>
      </w:r>
      <w:proofErr w:type="spellEnd"/>
      <w:r>
        <w:t xml:space="preserve"> (</w:t>
      </w:r>
      <w:proofErr w:type="spellStart"/>
      <w:r w:rsidR="00F66831">
        <w:t>d</w:t>
      </w:r>
      <w:r w:rsidRPr="00BB672F">
        <w:t>inutuximab</w:t>
      </w:r>
      <w:proofErr w:type="spellEnd"/>
      <w:r w:rsidRPr="00BB672F">
        <w:t xml:space="preserve"> beta</w:t>
      </w:r>
      <w:r>
        <w:t>)</w:t>
      </w:r>
      <w:r w:rsidRPr="004C1E2B">
        <w:t xml:space="preserve"> is to be included in the Black Triangle Schem</w:t>
      </w:r>
      <w:r>
        <w:t xml:space="preserve">e. The PI and </w:t>
      </w:r>
      <w:r w:rsidR="00FD7EAE">
        <w:t>C</w:t>
      </w:r>
      <w:r w:rsidR="00170852">
        <w:t xml:space="preserve">onsumer </w:t>
      </w:r>
      <w:r w:rsidR="00FD7EAE">
        <w:t>M</w:t>
      </w:r>
      <w:r w:rsidR="00170852">
        <w:t>edicine</w:t>
      </w:r>
      <w:r w:rsidR="00FD7EAE">
        <w:t>s</w:t>
      </w:r>
      <w:r w:rsidR="00170852">
        <w:t xml:space="preserve"> </w:t>
      </w:r>
      <w:r w:rsidR="00FD7EAE">
        <w:t>I</w:t>
      </w:r>
      <w:r w:rsidR="00170852">
        <w:t>nformation (</w:t>
      </w:r>
      <w:r>
        <w:t>CMI</w:t>
      </w:r>
      <w:r w:rsidR="00170852">
        <w:t>)</w:t>
      </w:r>
      <w:r>
        <w:t xml:space="preserve"> for </w:t>
      </w:r>
      <w:proofErr w:type="spellStart"/>
      <w:r>
        <w:t>Qarziba</w:t>
      </w:r>
      <w:proofErr w:type="spellEnd"/>
      <w:r w:rsidRPr="002453FB">
        <w:t xml:space="preserve"> must include the black triangle symbol and mandatory accompanying text for five years, which starts from the date that the sponsor notifies the TGA of supply of the product.</w:t>
      </w:r>
    </w:p>
    <w:p w14:paraId="6A5D096F" w14:textId="77777777" w:rsidR="008E7846" w:rsidRDefault="00AA0ED0" w:rsidP="008E7846">
      <w:pPr>
        <w:pStyle w:val="Heading3"/>
      </w:pPr>
      <w:bookmarkStart w:id="64" w:name="_Toc247691531"/>
      <w:bookmarkStart w:id="65" w:name="_Toc314842515"/>
      <w:bookmarkStart w:id="66" w:name="_Toc196046505"/>
      <w:bookmarkStart w:id="67" w:name="_Toc196046949"/>
      <w:bookmarkStart w:id="68" w:name="_Toc44507101"/>
      <w:r>
        <w:t>Risk-benefit a</w:t>
      </w:r>
      <w:r w:rsidR="008E7846">
        <w:t>nalysis</w:t>
      </w:r>
      <w:bookmarkEnd w:id="64"/>
      <w:bookmarkEnd w:id="65"/>
      <w:bookmarkEnd w:id="68"/>
    </w:p>
    <w:p w14:paraId="0E3FD5D9" w14:textId="4959AE67" w:rsidR="00D23139" w:rsidRDefault="00D23139" w:rsidP="00D23139">
      <w:pPr>
        <w:pStyle w:val="Heading4"/>
      </w:pPr>
      <w:r w:rsidRPr="00D23139">
        <w:t>Delegate’s considerations</w:t>
      </w:r>
    </w:p>
    <w:p w14:paraId="41FB963C" w14:textId="0B23857F" w:rsidR="00545A26" w:rsidRDefault="00545A26" w:rsidP="00DE3556">
      <w:pPr>
        <w:pStyle w:val="Heading5"/>
      </w:pPr>
      <w:r>
        <w:t>Efficacy</w:t>
      </w:r>
    </w:p>
    <w:p w14:paraId="6BBF62AC" w14:textId="6ACF1DFF" w:rsidR="001E4C4A" w:rsidRDefault="00545A26" w:rsidP="00545A26">
      <w:r>
        <w:t>Five clinical studies were submitted in support of efficacy in the proposed indication.</w:t>
      </w:r>
      <w:r w:rsidR="001E4C4A">
        <w:t xml:space="preserve"> </w:t>
      </w:r>
      <w:r>
        <w:t>The main studies are</w:t>
      </w:r>
      <w:r w:rsidRPr="005D7638">
        <w:t xml:space="preserve"> </w:t>
      </w:r>
      <w:r w:rsidR="00FD7EAE">
        <w:t xml:space="preserve">Study </w:t>
      </w:r>
      <w:r w:rsidRPr="005D7638">
        <w:t>APN311-303, a retrospective data collection from a compassionate use program in a single centre in Germany</w:t>
      </w:r>
      <w:r>
        <w:t xml:space="preserve">, and the ongoing </w:t>
      </w:r>
      <w:r w:rsidR="00FD7EAE">
        <w:t>P</w:t>
      </w:r>
      <w:r w:rsidR="00457DDB">
        <w:t>hase III</w:t>
      </w:r>
      <w:r w:rsidRPr="005D7638">
        <w:t xml:space="preserve"> </w:t>
      </w:r>
      <w:r w:rsidR="00FD7EAE">
        <w:t>S</w:t>
      </w:r>
      <w:r w:rsidRPr="005D7638">
        <w:t>tudy APN311-302</w:t>
      </w:r>
      <w:r>
        <w:t>.</w:t>
      </w:r>
      <w:r w:rsidR="001E4C4A">
        <w:t xml:space="preserve"> </w:t>
      </w:r>
      <w:r>
        <w:t xml:space="preserve">These are supported by </w:t>
      </w:r>
      <w:r w:rsidR="00786A3E">
        <w:t>P</w:t>
      </w:r>
      <w:r>
        <w:t xml:space="preserve">hase I and </w:t>
      </w:r>
      <w:r w:rsidRPr="005D7638">
        <w:t>II studies designed primarily to assess safety, PK and PD</w:t>
      </w:r>
      <w:r w:rsidR="001E4C4A">
        <w:t>.</w:t>
      </w:r>
    </w:p>
    <w:p w14:paraId="28394963" w14:textId="6732AE69" w:rsidR="001E4C4A" w:rsidRDefault="00545A26" w:rsidP="00545A26">
      <w:r>
        <w:t xml:space="preserve">The evidence for efficacy of </w:t>
      </w:r>
      <w:proofErr w:type="spellStart"/>
      <w:r>
        <w:t>dinutuximab</w:t>
      </w:r>
      <w:proofErr w:type="spellEnd"/>
      <w:r>
        <w:t xml:space="preserve"> beta is based on tumour response rates, duration of response, and survival outcomes (EFS, OS), with comparative analyses of survival outcomes performed against historical controls.</w:t>
      </w:r>
      <w:r w:rsidR="001E4C4A">
        <w:t xml:space="preserve"> </w:t>
      </w:r>
      <w:r>
        <w:t xml:space="preserve">There are no direct comparative data for </w:t>
      </w:r>
      <w:proofErr w:type="spellStart"/>
      <w:r>
        <w:t>Q</w:t>
      </w:r>
      <w:r w:rsidR="00A775E9">
        <w:t>arziba</w:t>
      </w:r>
      <w:proofErr w:type="spellEnd"/>
      <w:r>
        <w:t xml:space="preserve"> against placebo or active control</w:t>
      </w:r>
      <w:r w:rsidR="001E4C4A">
        <w:t>.</w:t>
      </w:r>
    </w:p>
    <w:p w14:paraId="38C119D5" w14:textId="4B178013" w:rsidR="00545A26" w:rsidRDefault="00545A26" w:rsidP="00545A26">
      <w:r>
        <w:t xml:space="preserve">Evidence of efficacy in the relapsed and refractory settings comes primarily from </w:t>
      </w:r>
      <w:r w:rsidR="00786A3E">
        <w:t>Study </w:t>
      </w:r>
      <w:r>
        <w:t xml:space="preserve">APN311-303, supported by </w:t>
      </w:r>
      <w:r w:rsidR="00786A3E">
        <w:t xml:space="preserve">Studies </w:t>
      </w:r>
      <w:r>
        <w:t>APN311</w:t>
      </w:r>
      <w:r w:rsidR="00C110F2">
        <w:t xml:space="preserve"> </w:t>
      </w:r>
      <w:r>
        <w:t>-202 and -201.</w:t>
      </w:r>
      <w:r w:rsidR="001E4C4A">
        <w:t xml:space="preserve"> </w:t>
      </w:r>
      <w:r w:rsidR="00786A3E">
        <w:t xml:space="preserve">Study </w:t>
      </w:r>
      <w:r>
        <w:t xml:space="preserve">APN311-303 also included a small number of patients </w:t>
      </w:r>
      <w:r>
        <w:rPr>
          <w:rFonts w:asciiTheme="minorHAnsi" w:eastAsiaTheme="minorHAnsi" w:hAnsiTheme="minorHAnsi"/>
        </w:rPr>
        <w:t>in the first-line setting</w:t>
      </w:r>
      <w:r>
        <w:t>.</w:t>
      </w:r>
      <w:r w:rsidR="001E4C4A">
        <w:t xml:space="preserve"> </w:t>
      </w:r>
      <w:r>
        <w:t xml:space="preserve">Evidence of efficacy in the first-line setting comes primarily from </w:t>
      </w:r>
      <w:r w:rsidR="00786A3E">
        <w:t xml:space="preserve">Study </w:t>
      </w:r>
      <w:r>
        <w:t>APN311-302.</w:t>
      </w:r>
      <w:r w:rsidR="001E4C4A">
        <w:t xml:space="preserve"> </w:t>
      </w:r>
      <w:r>
        <w:t xml:space="preserve">Most of the clinical studies recruited patients aged </w:t>
      </w:r>
      <w:r w:rsidR="00F03EFF">
        <w:t>≥</w:t>
      </w:r>
      <w:r w:rsidR="00F66831">
        <w:t xml:space="preserve"> </w:t>
      </w:r>
      <w:r>
        <w:t xml:space="preserve">1 year, but </w:t>
      </w:r>
      <w:r w:rsidR="00786A3E">
        <w:t xml:space="preserve">Study </w:t>
      </w:r>
      <w:r>
        <w:t>APN311-302 included 10 (2.7%) patients aged &lt;</w:t>
      </w:r>
      <w:r w:rsidR="00F66831">
        <w:t xml:space="preserve"> </w:t>
      </w:r>
      <w:r>
        <w:t>1 year.</w:t>
      </w:r>
    </w:p>
    <w:p w14:paraId="6308C310" w14:textId="0E0A57AC" w:rsidR="00545A26" w:rsidRDefault="00545A26" w:rsidP="00545A26">
      <w:r>
        <w:t xml:space="preserve">In </w:t>
      </w:r>
      <w:r w:rsidR="00786A3E">
        <w:t xml:space="preserve">Study </w:t>
      </w:r>
      <w:r>
        <w:t>APN311-303, the ORR in evaluable patients at the end of treatment was 32.4%, comprising 3 (8.1%)</w:t>
      </w:r>
      <w:r w:rsidRPr="0079785C">
        <w:t xml:space="preserve"> </w:t>
      </w:r>
      <w:r>
        <w:t>CR and 9 (24.3%)</w:t>
      </w:r>
      <w:r w:rsidRPr="0079785C">
        <w:t xml:space="preserve"> </w:t>
      </w:r>
      <w:r>
        <w:t>PR.</w:t>
      </w:r>
      <w:r w:rsidR="001E4C4A">
        <w:t xml:space="preserve"> </w:t>
      </w:r>
      <w:r>
        <w:t>Median duration of r</w:t>
      </w:r>
      <w:r w:rsidR="00F66831">
        <w:t>esponse was 313 days (range 71 to</w:t>
      </w:r>
      <w:r>
        <w:t xml:space="preserve"> 847).</w:t>
      </w:r>
      <w:r w:rsidR="001E4C4A">
        <w:t xml:space="preserve"> </w:t>
      </w:r>
      <w:r>
        <w:t>In patients with relapsed/refractory disease, the response rate was 28% (10/36).</w:t>
      </w:r>
      <w:r w:rsidR="001E4C4A">
        <w:t xml:space="preserve"> </w:t>
      </w:r>
      <w:r>
        <w:t>OS at 1 year and 2 years was 90% and 69% respectively, which compared favourably against historical controls not treated with anti-GD2 therapy.</w:t>
      </w:r>
    </w:p>
    <w:p w14:paraId="62302FFA" w14:textId="7093DACE" w:rsidR="00545A26" w:rsidRDefault="00545A26" w:rsidP="00545A26">
      <w:r>
        <w:t xml:space="preserve">In a pooled analysis of relapsed/refractory patients with measurable disease in </w:t>
      </w:r>
      <w:r w:rsidR="00786A3E">
        <w:t>S</w:t>
      </w:r>
      <w:r>
        <w:t>tudies</w:t>
      </w:r>
      <w:r w:rsidR="00786A3E">
        <w:t> </w:t>
      </w:r>
      <w:r>
        <w:t>APN311</w:t>
      </w:r>
      <w:r w:rsidR="00C110F2">
        <w:t xml:space="preserve"> </w:t>
      </w:r>
      <w:r>
        <w:t xml:space="preserve">-202 and -303 who were treated with </w:t>
      </w:r>
      <w:proofErr w:type="spellStart"/>
      <w:r>
        <w:t>dinutuximab</w:t>
      </w:r>
      <w:proofErr w:type="spellEnd"/>
      <w:r>
        <w:t xml:space="preserve"> beta (10 mg/m</w:t>
      </w:r>
      <w:r w:rsidRPr="00D21AA6">
        <w:rPr>
          <w:vertAlign w:val="superscript"/>
        </w:rPr>
        <w:t>2</w:t>
      </w:r>
      <w:r>
        <w:t>/day as a continuous infusion over 10 days in each 35</w:t>
      </w:r>
      <w:r w:rsidR="00786A3E">
        <w:t xml:space="preserve"> </w:t>
      </w:r>
      <w:r>
        <w:t>day treatment course) in conjunction with IL-2 and 13-cis RA, the ORR was 36.1% (9</w:t>
      </w:r>
      <w:r w:rsidRPr="00763341">
        <w:t xml:space="preserve"> </w:t>
      </w:r>
      <w:r>
        <w:t>(12.5%)</w:t>
      </w:r>
      <w:r w:rsidRPr="00BC2230">
        <w:t xml:space="preserve"> </w:t>
      </w:r>
      <w:r>
        <w:t>CR, 17 (23.6%)</w:t>
      </w:r>
      <w:r w:rsidRPr="00BC2230">
        <w:t xml:space="preserve"> </w:t>
      </w:r>
      <w:r>
        <w:t>PR).</w:t>
      </w:r>
      <w:r w:rsidR="001E4C4A">
        <w:t xml:space="preserve"> </w:t>
      </w:r>
      <w:r>
        <w:t>Survival outcomes compared favourably with historical controls.</w:t>
      </w:r>
      <w:r w:rsidR="001E4C4A">
        <w:t xml:space="preserve"> </w:t>
      </w:r>
      <w:r>
        <w:t>Favourable efficacy outcomes were also observed</w:t>
      </w:r>
      <w:r w:rsidRPr="001238B1">
        <w:t xml:space="preserve"> </w:t>
      </w:r>
      <w:r>
        <w:t>in Study APN311-201 for patients treated with 8</w:t>
      </w:r>
      <w:r w:rsidR="00786A3E">
        <w:t xml:space="preserve"> </w:t>
      </w:r>
      <w:r>
        <w:t xml:space="preserve">hour infusions of </w:t>
      </w:r>
      <w:proofErr w:type="spellStart"/>
      <w:r>
        <w:t>dinutuximab</w:t>
      </w:r>
      <w:proofErr w:type="spellEnd"/>
      <w:r>
        <w:t xml:space="preserve"> beta over 5 consecutive days in each treatment cycle following </w:t>
      </w:r>
      <w:proofErr w:type="spellStart"/>
      <w:r>
        <w:t>haplo</w:t>
      </w:r>
      <w:proofErr w:type="spellEnd"/>
      <w:r>
        <w:t xml:space="preserve">-SCT for refractory </w:t>
      </w:r>
      <w:proofErr w:type="spellStart"/>
      <w:r>
        <w:t>neuroblastoma</w:t>
      </w:r>
      <w:proofErr w:type="spellEnd"/>
      <w:r>
        <w:t>.</w:t>
      </w:r>
      <w:r w:rsidR="001E4C4A">
        <w:t xml:space="preserve"> </w:t>
      </w:r>
      <w:r>
        <w:t xml:space="preserve">These studies in the relapsed/refractory setting do not inform the differential treatment effects of </w:t>
      </w:r>
      <w:proofErr w:type="spellStart"/>
      <w:r>
        <w:t>dinutuximab</w:t>
      </w:r>
      <w:proofErr w:type="spellEnd"/>
      <w:r>
        <w:t xml:space="preserve"> beta, IL-2 and 13-cis-RA.</w:t>
      </w:r>
    </w:p>
    <w:p w14:paraId="6DAD6AA0" w14:textId="10D4989E" w:rsidR="001E4C4A" w:rsidRDefault="00545A26" w:rsidP="00545A26">
      <w:r>
        <w:t xml:space="preserve">In the first-line setting, </w:t>
      </w:r>
      <w:r w:rsidR="00786A3E">
        <w:t xml:space="preserve">Study </w:t>
      </w:r>
      <w:r>
        <w:t>APN311-302 demonstrated 3</w:t>
      </w:r>
      <w:r w:rsidR="00786A3E">
        <w:t xml:space="preserve"> </w:t>
      </w:r>
      <w:r>
        <w:t>year EFS of 55.4% without IL</w:t>
      </w:r>
      <w:r w:rsidR="00786A3E">
        <w:noBreakHyphen/>
      </w:r>
      <w:r>
        <w:t>2 and 61.2% with IL-2.</w:t>
      </w:r>
      <w:r w:rsidR="001E4C4A">
        <w:t xml:space="preserve"> </w:t>
      </w:r>
      <w:r w:rsidR="003B22CE">
        <w:t>Three</w:t>
      </w:r>
      <w:r w:rsidR="00786A3E">
        <w:t xml:space="preserve"> </w:t>
      </w:r>
      <w:r>
        <w:t>year OS was 64.1% without IL-2 and 69.1% with IL-2.</w:t>
      </w:r>
      <w:r w:rsidR="001E4C4A">
        <w:t xml:space="preserve"> </w:t>
      </w:r>
      <w:r>
        <w:t>In this study, the addition of IL-2 did not provide a significant benefit in EFS or OS.</w:t>
      </w:r>
      <w:r w:rsidR="001E4C4A">
        <w:t xml:space="preserve"> </w:t>
      </w:r>
      <w:r>
        <w:t>Survival outcomes in this study compared favourably against historical controls</w:t>
      </w:r>
      <w:r w:rsidR="001E4C4A">
        <w:t>.</w:t>
      </w:r>
    </w:p>
    <w:p w14:paraId="30E0700A" w14:textId="77777777" w:rsidR="00545A26" w:rsidRDefault="00545A26" w:rsidP="003B22CE">
      <w:pPr>
        <w:pStyle w:val="Heading5"/>
      </w:pPr>
      <w:r>
        <w:t>Safety</w:t>
      </w:r>
    </w:p>
    <w:p w14:paraId="2D370979" w14:textId="51E9AF0D" w:rsidR="001E4C4A" w:rsidRDefault="00545A26" w:rsidP="00545A26">
      <w:r w:rsidRPr="00403E50">
        <w:t xml:space="preserve">The safety dataset for </w:t>
      </w:r>
      <w:proofErr w:type="spellStart"/>
      <w:r w:rsidRPr="00403E50">
        <w:t>dinutuximab</w:t>
      </w:r>
      <w:proofErr w:type="spellEnd"/>
      <w:r w:rsidRPr="00403E50">
        <w:t xml:space="preserve"> beta comprises 514 patients across 5 studies. There </w:t>
      </w:r>
      <w:r>
        <w:t>is no study directly</w:t>
      </w:r>
      <w:r w:rsidRPr="00403E50">
        <w:t xml:space="preserve"> comparing treatment with and without </w:t>
      </w:r>
      <w:proofErr w:type="spellStart"/>
      <w:r w:rsidRPr="00403E50">
        <w:t>dinutuximab</w:t>
      </w:r>
      <w:proofErr w:type="spellEnd"/>
      <w:r w:rsidRPr="00403E50">
        <w:t xml:space="preserve"> beta.</w:t>
      </w:r>
      <w:r w:rsidR="001E4C4A">
        <w:t xml:space="preserve"> </w:t>
      </w:r>
      <w:r w:rsidRPr="00403E50">
        <w:t xml:space="preserve">There </w:t>
      </w:r>
      <w:r>
        <w:t>we</w:t>
      </w:r>
      <w:r w:rsidRPr="00403E50">
        <w:t xml:space="preserve">re </w:t>
      </w:r>
      <w:r w:rsidRPr="00403E50">
        <w:lastRenderedPageBreak/>
        <w:t xml:space="preserve">substantial differences in </w:t>
      </w:r>
      <w:r>
        <w:t xml:space="preserve">the </w:t>
      </w:r>
      <w:r w:rsidRPr="00403E50">
        <w:t>study design</w:t>
      </w:r>
      <w:r>
        <w:t>s</w:t>
      </w:r>
      <w:r w:rsidRPr="00403E50">
        <w:t xml:space="preserve"> and the extent of safety data collected across the studies.</w:t>
      </w:r>
      <w:r w:rsidR="001E4C4A">
        <w:t xml:space="preserve"> </w:t>
      </w:r>
      <w:r w:rsidR="00786A3E">
        <w:t xml:space="preserve">Study </w:t>
      </w:r>
      <w:r>
        <w:t>APN311-303 was a retrospective data collection.</w:t>
      </w:r>
      <w:r w:rsidR="001E4C4A">
        <w:t xml:space="preserve"> </w:t>
      </w:r>
      <w:r>
        <w:t xml:space="preserve">In the largest study, </w:t>
      </w:r>
      <w:r w:rsidR="00786A3E">
        <w:t xml:space="preserve">Study </w:t>
      </w:r>
      <w:r>
        <w:t>APN311-302, SAEs were fully reported but reporting of other AEs was based on a pre-defined list of 31 specific toxicities</w:t>
      </w:r>
      <w:r w:rsidR="003B22CE">
        <w:t>.</w:t>
      </w:r>
    </w:p>
    <w:p w14:paraId="337338A1" w14:textId="727D8763" w:rsidR="001E4C4A" w:rsidRDefault="00545A26" w:rsidP="00545A26">
      <w:r>
        <w:t xml:space="preserve">The infusion regimen differed between studies, with 98 patients receiving </w:t>
      </w:r>
      <w:proofErr w:type="spellStart"/>
      <w:r>
        <w:t>dinutuximab</w:t>
      </w:r>
      <w:proofErr w:type="spellEnd"/>
      <w:r>
        <w:t xml:space="preserve"> beta as a continuous infusion over 10 days and 416 patients as 8</w:t>
      </w:r>
      <w:r w:rsidR="00786A3E">
        <w:t xml:space="preserve"> </w:t>
      </w:r>
      <w:r>
        <w:t>hour infusions over 5</w:t>
      </w:r>
      <w:r w:rsidR="00786A3E">
        <w:t> </w:t>
      </w:r>
      <w:r>
        <w:t>consecutive days.</w:t>
      </w:r>
      <w:r w:rsidR="001E4C4A">
        <w:t xml:space="preserve"> </w:t>
      </w:r>
      <w:r>
        <w:t>None of the studies directly compared the two infusion regimens. Differences in study design, treatment regimen and safety data collection across the studies limit the conclusions that can be drawn regarding comparative safety of the two dosing regimens</w:t>
      </w:r>
      <w:r w:rsidR="001E4C4A">
        <w:t>.</w:t>
      </w:r>
    </w:p>
    <w:p w14:paraId="665051E0" w14:textId="34F48B74" w:rsidR="00545A26" w:rsidRDefault="00545A26" w:rsidP="00545A26">
      <w:r>
        <w:t>The most common TEAEs included pyrexia, pruritus, pain in extremity, constipation, capillary leak syndrome,</w:t>
      </w:r>
      <w:r w:rsidRPr="00C24C4B">
        <w:t xml:space="preserve"> </w:t>
      </w:r>
      <w:r>
        <w:t>cough, dry skin, vomiting, pain, and tachycardia.</w:t>
      </w:r>
      <w:r w:rsidR="001E4C4A">
        <w:t xml:space="preserve"> </w:t>
      </w:r>
      <w:r>
        <w:t>Grade 3</w:t>
      </w:r>
      <w:r w:rsidR="00786A3E">
        <w:t xml:space="preserve"> to </w:t>
      </w:r>
      <w:r>
        <w:t>4 TEAEs included laboratory abnormalities (</w:t>
      </w:r>
      <w:proofErr w:type="spellStart"/>
      <w:r>
        <w:t>neutropaenia</w:t>
      </w:r>
      <w:proofErr w:type="spellEnd"/>
      <w:r>
        <w:t xml:space="preserve">, anaemia, </w:t>
      </w:r>
      <w:proofErr w:type="spellStart"/>
      <w:r>
        <w:t>thrombocytopaenia</w:t>
      </w:r>
      <w:proofErr w:type="spellEnd"/>
      <w:r>
        <w:t>) and pain.</w:t>
      </w:r>
    </w:p>
    <w:p w14:paraId="3261F2F7" w14:textId="77777777" w:rsidR="00545A26" w:rsidRDefault="00545A26" w:rsidP="00545A26">
      <w:r>
        <w:t xml:space="preserve">Treatment with </w:t>
      </w:r>
      <w:proofErr w:type="spellStart"/>
      <w:r>
        <w:t>dinutuximab</w:t>
      </w:r>
      <w:proofErr w:type="spellEnd"/>
      <w:r>
        <w:t xml:space="preserve"> beta is associated with considerable neurotoxicity, particularly pain, eye/vision disorders and neuropathy.</w:t>
      </w:r>
      <w:r w:rsidR="001E4C4A">
        <w:t xml:space="preserve"> </w:t>
      </w:r>
      <w:r>
        <w:t>Allergic and infusion-related reactions are common.</w:t>
      </w:r>
      <w:r w:rsidR="001E4C4A">
        <w:t xml:space="preserve"> </w:t>
      </w:r>
      <w:r>
        <w:t>Severe hypersensitivity reactions, anaphylaxis, and cytokine release syndrome may occur.</w:t>
      </w:r>
      <w:r w:rsidR="001E4C4A">
        <w:t xml:space="preserve"> </w:t>
      </w:r>
      <w:r>
        <w:t>Other notable toxicities include capillary leak syndrome and infections.</w:t>
      </w:r>
    </w:p>
    <w:p w14:paraId="72B2B97B" w14:textId="2496A63A" w:rsidR="00545A26" w:rsidRDefault="00545A26" w:rsidP="00545A26">
      <w:r>
        <w:t xml:space="preserve">In </w:t>
      </w:r>
      <w:r w:rsidR="00341A41">
        <w:t>S</w:t>
      </w:r>
      <w:r>
        <w:t xml:space="preserve">tudy APN311-302, the safety profile was less favourable when IL-2 was administered with </w:t>
      </w:r>
      <w:proofErr w:type="spellStart"/>
      <w:r>
        <w:t>dinutuximab</w:t>
      </w:r>
      <w:proofErr w:type="spellEnd"/>
      <w:r>
        <w:t xml:space="preserve"> beta.</w:t>
      </w:r>
    </w:p>
    <w:p w14:paraId="4D829606" w14:textId="77777777" w:rsidR="00545A26" w:rsidRDefault="00545A26" w:rsidP="00545A26">
      <w:r>
        <w:t xml:space="preserve">The toxicities of </w:t>
      </w:r>
      <w:proofErr w:type="spellStart"/>
      <w:r>
        <w:t>dinutuximab</w:t>
      </w:r>
      <w:proofErr w:type="spellEnd"/>
      <w:r>
        <w:t xml:space="preserve"> beta are substantial, but the safety profile is considered acceptable in the context of the disease being treated.</w:t>
      </w:r>
      <w:r w:rsidR="001E4C4A">
        <w:t xml:space="preserve"> </w:t>
      </w:r>
      <w:r>
        <w:t>This treatment is used only in major hospitals with expertise in the treatment of cancer and the identification and management of treatment-related toxicities.</w:t>
      </w:r>
    </w:p>
    <w:p w14:paraId="25C24537" w14:textId="79AC177D" w:rsidR="001E4C4A" w:rsidRDefault="00545A26" w:rsidP="00545A26">
      <w:r>
        <w:t xml:space="preserve">The PI contains specific precautions regarding pain, hypersensitivity reactions, capillary leak syndrome, neurological disorders of the eye, peripheral neuropathy, systemic infections, and </w:t>
      </w:r>
      <w:proofErr w:type="spellStart"/>
      <w:r>
        <w:t>haematologic</w:t>
      </w:r>
      <w:proofErr w:type="spellEnd"/>
      <w:r>
        <w:t xml:space="preserve"> toxicities.</w:t>
      </w:r>
      <w:r w:rsidR="001E4C4A">
        <w:t xml:space="preserve"> </w:t>
      </w:r>
      <w:r>
        <w:t xml:space="preserve">The PI also contains guidance that </w:t>
      </w:r>
      <w:proofErr w:type="spellStart"/>
      <w:r>
        <w:t>dinutuximab</w:t>
      </w:r>
      <w:proofErr w:type="spellEnd"/>
      <w:r>
        <w:t xml:space="preserve"> beta should be administered only in a hospital setting with immediate access to full resuscitation services, under the supervision of a physician experienced in the use of oncological therapies</w:t>
      </w:r>
      <w:r w:rsidR="001E4C4A">
        <w:t>.</w:t>
      </w:r>
    </w:p>
    <w:p w14:paraId="28E60B13" w14:textId="0142DF8B" w:rsidR="001E4C4A" w:rsidRDefault="00545A26" w:rsidP="00545A26">
      <w:r>
        <w:t>Specifi</w:t>
      </w:r>
      <w:r w:rsidR="00E86D46">
        <w:t>c Obligations relating to the EU</w:t>
      </w:r>
      <w:r>
        <w:t xml:space="preserve"> Marketing Authorisation under exceptional circumstances</w:t>
      </w:r>
      <w:r w:rsidR="00341A41">
        <w:t>;</w:t>
      </w:r>
      <w:r w:rsidR="00CB0049">
        <w:fldChar w:fldCharType="begin"/>
      </w:r>
      <w:r w:rsidR="00CB0049">
        <w:instrText xml:space="preserve"> NOTEREF _Ref40028592 \f \h </w:instrText>
      </w:r>
      <w:r w:rsidR="00CB0049">
        <w:fldChar w:fldCharType="separate"/>
      </w:r>
      <w:r w:rsidR="004942AB" w:rsidRPr="004942AB">
        <w:rPr>
          <w:rStyle w:val="FootnoteReference"/>
        </w:rPr>
        <w:t>9</w:t>
      </w:r>
      <w:r w:rsidR="00CB0049">
        <w:fldChar w:fldCharType="end"/>
      </w:r>
      <w:r>
        <w:t xml:space="preserve"> include the provision of annual reports from a registry study in patients with high-risk </w:t>
      </w:r>
      <w:proofErr w:type="spellStart"/>
      <w:r>
        <w:t>neuroblastoma</w:t>
      </w:r>
      <w:proofErr w:type="spellEnd"/>
      <w:r>
        <w:t xml:space="preserve"> (non-interventional post-authorisation safety study)</w:t>
      </w:r>
      <w:r w:rsidR="001E4C4A">
        <w:t>.</w:t>
      </w:r>
    </w:p>
    <w:p w14:paraId="1C43A54E" w14:textId="77777777" w:rsidR="00545A26" w:rsidRDefault="00545A26" w:rsidP="003B22CE">
      <w:pPr>
        <w:pStyle w:val="Heading5"/>
      </w:pPr>
      <w:r>
        <w:t>Dosage</w:t>
      </w:r>
    </w:p>
    <w:p w14:paraId="6A296D29" w14:textId="0F244265" w:rsidR="00545A26" w:rsidRDefault="00545A26" w:rsidP="00545A26">
      <w:pPr>
        <w:rPr>
          <w:rFonts w:asciiTheme="minorHAnsi" w:hAnsiTheme="minorHAnsi"/>
        </w:rPr>
      </w:pPr>
      <w:r>
        <w:t xml:space="preserve">The clinical studies provide efficacy and safety data for the two proposed dosage regimens delivering </w:t>
      </w:r>
      <w:proofErr w:type="spellStart"/>
      <w:r>
        <w:t>dinutuximab</w:t>
      </w:r>
      <w:proofErr w:type="spellEnd"/>
      <w:r>
        <w:t xml:space="preserve"> beta </w:t>
      </w:r>
      <w:r>
        <w:rPr>
          <w:rFonts w:asciiTheme="minorHAnsi" w:hAnsiTheme="minorHAnsi"/>
        </w:rPr>
        <w:t>100 mg/m</w:t>
      </w:r>
      <w:r w:rsidRPr="003E18E2">
        <w:rPr>
          <w:rFonts w:asciiTheme="minorHAnsi" w:hAnsiTheme="minorHAnsi"/>
          <w:vertAlign w:val="superscript"/>
        </w:rPr>
        <w:t>2</w:t>
      </w:r>
      <w:r>
        <w:rPr>
          <w:rFonts w:asciiTheme="minorHAnsi" w:hAnsiTheme="minorHAnsi"/>
        </w:rPr>
        <w:t xml:space="preserve">/cycle: </w:t>
      </w:r>
      <w:r w:rsidRPr="001331D7">
        <w:rPr>
          <w:rFonts w:asciiTheme="minorHAnsi" w:hAnsiTheme="minorHAnsi"/>
        </w:rPr>
        <w:t>10 mg/m</w:t>
      </w:r>
      <w:r w:rsidRPr="00AF0168">
        <w:rPr>
          <w:rFonts w:asciiTheme="minorHAnsi" w:hAnsiTheme="minorHAnsi"/>
          <w:vertAlign w:val="superscript"/>
        </w:rPr>
        <w:t>2</w:t>
      </w:r>
      <w:r w:rsidRPr="001331D7">
        <w:rPr>
          <w:rFonts w:asciiTheme="minorHAnsi" w:hAnsiTheme="minorHAnsi"/>
        </w:rPr>
        <w:t>/day by</w:t>
      </w:r>
      <w:r>
        <w:rPr>
          <w:rFonts w:asciiTheme="minorHAnsi" w:hAnsiTheme="minorHAnsi"/>
        </w:rPr>
        <w:t xml:space="preserve"> continuous infusion over 10 days, or 8</w:t>
      </w:r>
      <w:r w:rsidR="00341A41">
        <w:rPr>
          <w:rFonts w:asciiTheme="minorHAnsi" w:hAnsiTheme="minorHAnsi"/>
        </w:rPr>
        <w:t xml:space="preserve"> </w:t>
      </w:r>
      <w:r>
        <w:rPr>
          <w:rFonts w:asciiTheme="minorHAnsi" w:hAnsiTheme="minorHAnsi"/>
        </w:rPr>
        <w:t>hour infusions over 5 consecutive days.</w:t>
      </w:r>
      <w:r w:rsidR="001E4C4A">
        <w:rPr>
          <w:rFonts w:asciiTheme="minorHAnsi" w:hAnsiTheme="minorHAnsi"/>
        </w:rPr>
        <w:t xml:space="preserve"> </w:t>
      </w:r>
      <w:r>
        <w:rPr>
          <w:rFonts w:asciiTheme="minorHAnsi" w:hAnsiTheme="minorHAnsi"/>
        </w:rPr>
        <w:t>There are no direct comparative data for the two dosing regimens.</w:t>
      </w:r>
    </w:p>
    <w:p w14:paraId="524DB734" w14:textId="1328559B" w:rsidR="001E4C4A" w:rsidRDefault="00545A26" w:rsidP="00545A26">
      <w:r>
        <w:t xml:space="preserve">Most of the clinical studies recruited patients aged </w:t>
      </w:r>
      <w:r w:rsidR="00F03EFF">
        <w:t>≥</w:t>
      </w:r>
      <w:r w:rsidR="00E86D46">
        <w:t xml:space="preserve"> </w:t>
      </w:r>
      <w:r>
        <w:t xml:space="preserve">1 year, but </w:t>
      </w:r>
      <w:r w:rsidR="00341A41">
        <w:t xml:space="preserve">Study </w:t>
      </w:r>
      <w:r>
        <w:t>APN311-302 included 10 (2.7%) patients aged &lt;</w:t>
      </w:r>
      <w:r w:rsidR="00E86D46">
        <w:t xml:space="preserve"> </w:t>
      </w:r>
      <w:r>
        <w:t>1 year.</w:t>
      </w:r>
      <w:r w:rsidR="001E4C4A">
        <w:t xml:space="preserve"> </w:t>
      </w:r>
      <w:r>
        <w:t>In this study, weight-based dosing (</w:t>
      </w:r>
      <w:proofErr w:type="spellStart"/>
      <w:r>
        <w:t>dinutuximab</w:t>
      </w:r>
      <w:proofErr w:type="spellEnd"/>
      <w:r>
        <w:t xml:space="preserve"> beta 0.67 mg/kg/day)</w:t>
      </w:r>
      <w:r w:rsidRPr="00DC61A7">
        <w:t xml:space="preserve"> </w:t>
      </w:r>
      <w:r>
        <w:t>was used for children weighing &lt;</w:t>
      </w:r>
      <w:r w:rsidR="00E86D46">
        <w:t xml:space="preserve"> </w:t>
      </w:r>
      <w:r>
        <w:t xml:space="preserve">12 kg instead of dosing based on </w:t>
      </w:r>
      <w:r w:rsidR="00341A41">
        <w:t>BSA</w:t>
      </w:r>
      <w:r w:rsidR="001E4C4A">
        <w:t>.</w:t>
      </w:r>
    </w:p>
    <w:p w14:paraId="0A7A22A8" w14:textId="77777777" w:rsidR="00545A26" w:rsidRDefault="00545A26" w:rsidP="00A5108B">
      <w:pPr>
        <w:pStyle w:val="Heading5"/>
      </w:pPr>
      <w:r>
        <w:t>Limitations and uncertainties of the data</w:t>
      </w:r>
    </w:p>
    <w:p w14:paraId="0A903591" w14:textId="3C17C883" w:rsidR="00545A26" w:rsidRPr="003054CE" w:rsidRDefault="00545A26" w:rsidP="009D3AB6">
      <w:pPr>
        <w:rPr>
          <w:lang w:val="en-US"/>
        </w:rPr>
      </w:pPr>
      <w:r w:rsidRPr="005D7638">
        <w:t xml:space="preserve">The lack of direct comparative data </w:t>
      </w:r>
      <w:r>
        <w:rPr>
          <w:lang w:val="en-US"/>
        </w:rPr>
        <w:t xml:space="preserve">demonstrating the efficacy and safety of </w:t>
      </w:r>
      <w:proofErr w:type="spellStart"/>
      <w:r>
        <w:rPr>
          <w:lang w:val="en-US"/>
        </w:rPr>
        <w:t>Q</w:t>
      </w:r>
      <w:r w:rsidR="00A775E9">
        <w:rPr>
          <w:lang w:val="en-US"/>
        </w:rPr>
        <w:t>arziba</w:t>
      </w:r>
      <w:proofErr w:type="spellEnd"/>
      <w:r w:rsidRPr="005D7638">
        <w:t xml:space="preserve"> is a limitation</w:t>
      </w:r>
      <w:r>
        <w:t xml:space="preserve"> of the submitted dataset</w:t>
      </w:r>
      <w:r w:rsidRPr="005D7638">
        <w:t>.</w:t>
      </w:r>
      <w:r w:rsidR="001E4C4A">
        <w:t xml:space="preserve"> </w:t>
      </w:r>
      <w:r>
        <w:rPr>
          <w:lang w:val="en-US"/>
        </w:rPr>
        <w:t xml:space="preserve">Indirect comparisons of EFS and OS for </w:t>
      </w:r>
      <w:proofErr w:type="spellStart"/>
      <w:r>
        <w:rPr>
          <w:lang w:val="en-US"/>
        </w:rPr>
        <w:t>Q</w:t>
      </w:r>
      <w:r w:rsidR="00A775E9">
        <w:rPr>
          <w:lang w:val="en-US"/>
        </w:rPr>
        <w:t>arziba</w:t>
      </w:r>
      <w:proofErr w:type="spellEnd"/>
      <w:r>
        <w:rPr>
          <w:lang w:val="en-US"/>
        </w:rPr>
        <w:t xml:space="preserve"> have been performed against historical controls.</w:t>
      </w:r>
      <w:r w:rsidR="001E4C4A">
        <w:rPr>
          <w:lang w:val="en-US"/>
        </w:rPr>
        <w:t xml:space="preserve"> </w:t>
      </w:r>
      <w:r w:rsidRPr="005D7638">
        <w:t>Anti-GD2 therapy became standard of care following the publication of the COG study in 2009</w:t>
      </w:r>
      <w:r w:rsidR="00C110F2">
        <w:t>;</w:t>
      </w:r>
      <w:r w:rsidR="007D6D73">
        <w:fldChar w:fldCharType="begin"/>
      </w:r>
      <w:r w:rsidR="007D6D73">
        <w:instrText xml:space="preserve"> NOTEREF _Ref40258470 \f \h </w:instrText>
      </w:r>
      <w:r w:rsidR="007D6D73">
        <w:fldChar w:fldCharType="separate"/>
      </w:r>
      <w:r w:rsidR="004942AB" w:rsidRPr="004942AB">
        <w:rPr>
          <w:rStyle w:val="FootnoteReference"/>
        </w:rPr>
        <w:t>11</w:t>
      </w:r>
      <w:r w:rsidR="007D6D73">
        <w:fldChar w:fldCharType="end"/>
      </w:r>
      <w:r w:rsidRPr="005D7638">
        <w:t xml:space="preserve"> </w:t>
      </w:r>
      <w:r>
        <w:t>after which</w:t>
      </w:r>
      <w:r w:rsidRPr="005D7638">
        <w:t xml:space="preserve"> it was not feasible to </w:t>
      </w:r>
      <w:r>
        <w:t>conduct a randomised study allocating patients to treatment without anti-GD2 antibodies.</w:t>
      </w:r>
      <w:r w:rsidR="001E4C4A">
        <w:t xml:space="preserve"> </w:t>
      </w:r>
      <w:r w:rsidRPr="009D3AB6">
        <w:lastRenderedPageBreak/>
        <w:t xml:space="preserve">There are no studies directly comparing </w:t>
      </w:r>
      <w:proofErr w:type="spellStart"/>
      <w:r w:rsidRPr="009D3AB6">
        <w:t>Q</w:t>
      </w:r>
      <w:r w:rsidR="00A775E9" w:rsidRPr="009D3AB6">
        <w:t>arziba</w:t>
      </w:r>
      <w:proofErr w:type="spellEnd"/>
      <w:r w:rsidRPr="009D3AB6">
        <w:t xml:space="preserve"> to </w:t>
      </w:r>
      <w:proofErr w:type="spellStart"/>
      <w:r w:rsidR="00E86D46" w:rsidRPr="009D3AB6">
        <w:t>Unituxin</w:t>
      </w:r>
      <w:proofErr w:type="spellEnd"/>
      <w:r w:rsidR="00095FB4" w:rsidRPr="009D3AB6">
        <w:t xml:space="preserve"> (</w:t>
      </w:r>
      <w:proofErr w:type="spellStart"/>
      <w:r w:rsidR="00095FB4" w:rsidRPr="009D3AB6">
        <w:t>dinutuximab</w:t>
      </w:r>
      <w:proofErr w:type="spellEnd"/>
      <w:r w:rsidR="00095FB4" w:rsidRPr="009D3AB6">
        <w:t>)</w:t>
      </w:r>
      <w:r w:rsidRPr="009D3AB6">
        <w:t>, the only potential active comparator.</w:t>
      </w:r>
      <w:r w:rsidR="001E4C4A" w:rsidRPr="009D3AB6">
        <w:t xml:space="preserve"> </w:t>
      </w:r>
      <w:proofErr w:type="spellStart"/>
      <w:r w:rsidR="00E86D46" w:rsidRPr="009D3AB6">
        <w:t>Unituxin</w:t>
      </w:r>
      <w:proofErr w:type="spellEnd"/>
      <w:r w:rsidRPr="009D3AB6">
        <w:t xml:space="preserve"> is approved in</w:t>
      </w:r>
      <w:r w:rsidR="00C110F2" w:rsidRPr="009D3AB6">
        <w:t xml:space="preserve"> the</w:t>
      </w:r>
      <w:r w:rsidR="00E86D46" w:rsidRPr="009D3AB6">
        <w:t xml:space="preserve"> United States of America</w:t>
      </w:r>
      <w:r w:rsidRPr="009D3AB6">
        <w:t xml:space="preserve"> </w:t>
      </w:r>
      <w:r w:rsidR="00E86D46" w:rsidRPr="009D3AB6">
        <w:t>(</w:t>
      </w:r>
      <w:r w:rsidRPr="009D3AB6">
        <w:t>USA</w:t>
      </w:r>
      <w:r w:rsidR="00E86D46" w:rsidRPr="009D3AB6">
        <w:t>)</w:t>
      </w:r>
      <w:r w:rsidRPr="009D3AB6">
        <w:t xml:space="preserve"> but not in Australia </w:t>
      </w:r>
      <w:r w:rsidR="00C110F2" w:rsidRPr="009D3AB6">
        <w:t>n</w:t>
      </w:r>
      <w:r w:rsidRPr="009D3AB6">
        <w:t>or</w:t>
      </w:r>
      <w:r w:rsidR="00C110F2" w:rsidRPr="009D3AB6">
        <w:t xml:space="preserve"> in the</w:t>
      </w:r>
      <w:r w:rsidRPr="009D3AB6">
        <w:t xml:space="preserve"> EU.</w:t>
      </w:r>
      <w:r w:rsidR="001E4C4A" w:rsidRPr="009D3AB6">
        <w:t xml:space="preserve"> </w:t>
      </w:r>
      <w:r w:rsidRPr="009D3AB6">
        <w:t xml:space="preserve">During the </w:t>
      </w:r>
      <w:r w:rsidR="00095FB4" w:rsidRPr="009D3AB6">
        <w:t>EMA</w:t>
      </w:r>
      <w:r w:rsidR="0015196F" w:rsidRPr="009D3AB6">
        <w:t xml:space="preserve"> </w:t>
      </w:r>
      <w:r w:rsidRPr="009D3AB6">
        <w:t xml:space="preserve">assessment for marketing authorisation of </w:t>
      </w:r>
      <w:proofErr w:type="spellStart"/>
      <w:r w:rsidRPr="009D3AB6">
        <w:t>dinutuximab</w:t>
      </w:r>
      <w:proofErr w:type="spellEnd"/>
      <w:r w:rsidRPr="009D3AB6">
        <w:t xml:space="preserve"> beta, the </w:t>
      </w:r>
      <w:r w:rsidR="00095FB4" w:rsidRPr="009D3AB6">
        <w:t>Committee for Medicinal Products for Human Use (</w:t>
      </w:r>
      <w:r w:rsidRPr="009D3AB6">
        <w:t>CHMP</w:t>
      </w:r>
      <w:r w:rsidR="00095FB4" w:rsidRPr="009D3AB6">
        <w:t>)</w:t>
      </w:r>
      <w:r w:rsidRPr="009D3AB6">
        <w:t xml:space="preserve"> concluded that a comparative trial against </w:t>
      </w:r>
      <w:proofErr w:type="spellStart"/>
      <w:r w:rsidR="00E86D46" w:rsidRPr="009D3AB6">
        <w:t>Unituxin</w:t>
      </w:r>
      <w:proofErr w:type="spellEnd"/>
      <w:r w:rsidRPr="009D3AB6">
        <w:t xml:space="preserve"> was not feasible in the context of the withdrawal of the marketing authorisation of </w:t>
      </w:r>
      <w:proofErr w:type="spellStart"/>
      <w:r w:rsidRPr="009D3AB6">
        <w:t>U</w:t>
      </w:r>
      <w:r w:rsidR="00E86D46" w:rsidRPr="009D3AB6">
        <w:t>nituxin</w:t>
      </w:r>
      <w:proofErr w:type="spellEnd"/>
      <w:r w:rsidRPr="009D3AB6">
        <w:t xml:space="preserve"> in 2017.</w:t>
      </w:r>
    </w:p>
    <w:p w14:paraId="5963A76F" w14:textId="7B71A8BD" w:rsidR="001E4C4A" w:rsidRDefault="00545A26" w:rsidP="009D3AB6">
      <w:r w:rsidRPr="001E19EB">
        <w:t>The investigator-initiated studies were not specifically designed for the purpose of marketing approval, so they did not fully comply with GCP requirements</w:t>
      </w:r>
      <w:r w:rsidR="001E4C4A" w:rsidRPr="001E19EB">
        <w:t>.</w:t>
      </w:r>
    </w:p>
    <w:p w14:paraId="5F1B2A29" w14:textId="68C645A3" w:rsidR="001E4C4A" w:rsidRDefault="00095FB4" w:rsidP="009D3AB6">
      <w:r>
        <w:t xml:space="preserve">Study </w:t>
      </w:r>
      <w:r w:rsidR="00545A26">
        <w:t>APN311-303 was a retrospective data collection from a compassionate use program in a single centre, so has potential issues with selection bias, incomplete data, and reporting bias</w:t>
      </w:r>
      <w:r w:rsidR="001E4C4A">
        <w:t>.</w:t>
      </w:r>
    </w:p>
    <w:p w14:paraId="302D42C2" w14:textId="3A9E447D" w:rsidR="001E4C4A" w:rsidRDefault="00545A26" w:rsidP="009D3AB6">
      <w:r>
        <w:t xml:space="preserve">Efficacy of </w:t>
      </w:r>
      <w:proofErr w:type="spellStart"/>
      <w:r>
        <w:t>dinutuximab</w:t>
      </w:r>
      <w:proofErr w:type="spellEnd"/>
      <w:r>
        <w:t xml:space="preserve"> beta was not a primary objective of </w:t>
      </w:r>
      <w:r w:rsidR="00095FB4">
        <w:t xml:space="preserve">Study </w:t>
      </w:r>
      <w:r>
        <w:t xml:space="preserve">APN311-303, or the </w:t>
      </w:r>
      <w:r w:rsidR="00095FB4">
        <w:t>P</w:t>
      </w:r>
      <w:r>
        <w:t>hase I/II studies.</w:t>
      </w:r>
      <w:r w:rsidR="001E4C4A">
        <w:t xml:space="preserve"> </w:t>
      </w:r>
      <w:r w:rsidR="00095FB4">
        <w:t xml:space="preserve">Study </w:t>
      </w:r>
      <w:r>
        <w:t>APN311-302</w:t>
      </w:r>
      <w:r w:rsidRPr="002E35BE">
        <w:t xml:space="preserve"> assessed </w:t>
      </w:r>
      <w:r>
        <w:t>3</w:t>
      </w:r>
      <w:r w:rsidR="00095FB4">
        <w:t xml:space="preserve"> </w:t>
      </w:r>
      <w:r>
        <w:t xml:space="preserve">year </w:t>
      </w:r>
      <w:r w:rsidRPr="002E35BE">
        <w:t>EFS as the primary endpoint</w:t>
      </w:r>
      <w:r>
        <w:t>,</w:t>
      </w:r>
      <w:r w:rsidRPr="002E35BE">
        <w:t xml:space="preserve"> but all patients receiv</w:t>
      </w:r>
      <w:r>
        <w:t>ed</w:t>
      </w:r>
      <w:r w:rsidRPr="002E35BE">
        <w:t xml:space="preserve"> </w:t>
      </w:r>
      <w:proofErr w:type="spellStart"/>
      <w:r w:rsidRPr="002E35BE">
        <w:t>dinutuximab</w:t>
      </w:r>
      <w:proofErr w:type="spellEnd"/>
      <w:r w:rsidRPr="002E35BE">
        <w:t xml:space="preserve"> beta</w:t>
      </w:r>
      <w:r>
        <w:t xml:space="preserve">, </w:t>
      </w:r>
      <w:r w:rsidRPr="002E35BE">
        <w:t>th</w:t>
      </w:r>
      <w:r>
        <w:t>e primary objective being to determine</w:t>
      </w:r>
      <w:r w:rsidRPr="002E35BE">
        <w:t xml:space="preserve"> </w:t>
      </w:r>
      <w:r>
        <w:t>whether</w:t>
      </w:r>
      <w:r w:rsidRPr="002E35BE">
        <w:t xml:space="preserve"> the addition of IL-2</w:t>
      </w:r>
      <w:r>
        <w:t xml:space="preserve"> improved 3</w:t>
      </w:r>
      <w:r w:rsidR="00095FB4">
        <w:t xml:space="preserve"> </w:t>
      </w:r>
      <w:r>
        <w:t>year EFS</w:t>
      </w:r>
      <w:r w:rsidR="001E4C4A">
        <w:t>.</w:t>
      </w:r>
    </w:p>
    <w:p w14:paraId="5366DA7A" w14:textId="6B63E966" w:rsidR="001E4C4A" w:rsidRDefault="00545A26" w:rsidP="009D3AB6">
      <w:pPr>
        <w:rPr>
          <w:lang w:val="en-US"/>
        </w:rPr>
      </w:pPr>
      <w:r>
        <w:rPr>
          <w:lang w:val="en-US"/>
        </w:rPr>
        <w:t>Differences in the method of collecting safety data in the studies in this submission limit the capacity to compare safety across studies</w:t>
      </w:r>
      <w:r w:rsidR="001E4C4A">
        <w:rPr>
          <w:lang w:val="en-US"/>
        </w:rPr>
        <w:t>.</w:t>
      </w:r>
    </w:p>
    <w:p w14:paraId="2BD85788" w14:textId="3204253C" w:rsidR="001E4C4A" w:rsidRDefault="00545A26" w:rsidP="00545A26">
      <w:pPr>
        <w:rPr>
          <w:rFonts w:asciiTheme="minorHAnsi" w:eastAsia="TimesNewRoman" w:hAnsiTheme="minorHAnsi" w:cs="TimesNewRoman"/>
        </w:rPr>
      </w:pPr>
      <w:r>
        <w:rPr>
          <w:rFonts w:asciiTheme="minorHAnsi" w:eastAsia="TimesNewRoman" w:hAnsiTheme="minorHAnsi" w:cs="TimesNewRoman"/>
        </w:rPr>
        <w:t>Overall, HACAs (</w:t>
      </w:r>
      <w:r w:rsidRPr="00C07DA0">
        <w:rPr>
          <w:rFonts w:asciiTheme="minorHAnsi" w:eastAsia="TimesNewRoman" w:hAnsiTheme="minorHAnsi" w:cs="TimesNewRoman"/>
        </w:rPr>
        <w:t>ADA</w:t>
      </w:r>
      <w:r>
        <w:rPr>
          <w:rFonts w:asciiTheme="minorHAnsi" w:eastAsia="TimesNewRoman" w:hAnsiTheme="minorHAnsi" w:cs="TimesNewRoman"/>
        </w:rPr>
        <w:t>s)</w:t>
      </w:r>
      <w:r w:rsidRPr="00C07DA0">
        <w:rPr>
          <w:rFonts w:asciiTheme="minorHAnsi" w:eastAsia="TimesNewRoman" w:hAnsiTheme="minorHAnsi" w:cs="TimesNewRoman"/>
        </w:rPr>
        <w:t xml:space="preserve"> were detected in </w:t>
      </w:r>
      <w:r>
        <w:rPr>
          <w:rFonts w:asciiTheme="minorHAnsi" w:eastAsia="TimesNewRoman" w:hAnsiTheme="minorHAnsi" w:cs="TimesNewRoman"/>
        </w:rPr>
        <w:t>62%</w:t>
      </w:r>
      <w:r w:rsidRPr="00C07DA0">
        <w:rPr>
          <w:rFonts w:asciiTheme="minorHAnsi" w:eastAsia="TimesNewRoman" w:hAnsiTheme="minorHAnsi" w:cs="TimesNewRoman"/>
        </w:rPr>
        <w:t xml:space="preserve"> patients</w:t>
      </w:r>
      <w:r>
        <w:rPr>
          <w:rFonts w:asciiTheme="minorHAnsi" w:eastAsia="TimesNewRoman" w:hAnsiTheme="minorHAnsi" w:cs="TimesNewRoman"/>
        </w:rPr>
        <w:t>.</w:t>
      </w:r>
      <w:r w:rsidR="001E4C4A">
        <w:rPr>
          <w:rFonts w:asciiTheme="minorHAnsi" w:eastAsia="TimesNewRoman" w:hAnsiTheme="minorHAnsi" w:cs="TimesNewRoman"/>
        </w:rPr>
        <w:t xml:space="preserve"> </w:t>
      </w:r>
      <w:r>
        <w:rPr>
          <w:rFonts w:asciiTheme="minorHAnsi" w:eastAsia="TimesNewRoman" w:hAnsiTheme="minorHAnsi" w:cs="TimesNewRoman"/>
        </w:rPr>
        <w:t xml:space="preserve">There is uncertainty regarding the impact of HACAs on the PK, efficacy and safety of </w:t>
      </w:r>
      <w:proofErr w:type="spellStart"/>
      <w:r>
        <w:rPr>
          <w:rFonts w:asciiTheme="minorHAnsi" w:eastAsia="TimesNewRoman" w:hAnsiTheme="minorHAnsi" w:cs="TimesNewRoman"/>
        </w:rPr>
        <w:t>dinutuximab</w:t>
      </w:r>
      <w:proofErr w:type="spellEnd"/>
      <w:r>
        <w:rPr>
          <w:rFonts w:asciiTheme="minorHAnsi" w:eastAsia="TimesNewRoman" w:hAnsiTheme="minorHAnsi" w:cs="TimesNewRoman"/>
        </w:rPr>
        <w:t xml:space="preserve"> beta</w:t>
      </w:r>
      <w:r w:rsidR="001E4C4A">
        <w:rPr>
          <w:rFonts w:asciiTheme="minorHAnsi" w:eastAsia="TimesNewRoman" w:hAnsiTheme="minorHAnsi" w:cs="TimesNewRoman"/>
        </w:rPr>
        <w:t>.</w:t>
      </w:r>
    </w:p>
    <w:p w14:paraId="25A2D4C0" w14:textId="77777777" w:rsidR="00545A26" w:rsidRPr="00CE4DCF" w:rsidRDefault="00545A26" w:rsidP="00BB6737">
      <w:pPr>
        <w:pStyle w:val="Heading5"/>
      </w:pPr>
      <w:bookmarkStart w:id="69" w:name="_Ref25916962"/>
      <w:r w:rsidRPr="00CE4DCF">
        <w:t>Conclusion</w:t>
      </w:r>
      <w:bookmarkEnd w:id="69"/>
    </w:p>
    <w:p w14:paraId="72C88324" w14:textId="5275219B" w:rsidR="00545A26" w:rsidRDefault="00545A26" w:rsidP="00545A26">
      <w:r>
        <w:t>There are limitations in the efficacy and safety data presented in this submission, particularly with regard to direct comparative data.</w:t>
      </w:r>
      <w:r w:rsidR="001E4C4A">
        <w:t xml:space="preserve"> </w:t>
      </w:r>
      <w:r>
        <w:t xml:space="preserve">Based on current treatment practices and the regulatory status of </w:t>
      </w:r>
      <w:proofErr w:type="spellStart"/>
      <w:r>
        <w:t>Q</w:t>
      </w:r>
      <w:r w:rsidR="00A775E9">
        <w:t>arziba</w:t>
      </w:r>
      <w:proofErr w:type="spellEnd"/>
      <w:r>
        <w:t xml:space="preserve"> </w:t>
      </w:r>
      <w:r w:rsidR="00C110F2">
        <w:t>(</w:t>
      </w:r>
      <w:proofErr w:type="spellStart"/>
      <w:r w:rsidR="00C110F2">
        <w:t>dinutuximab</w:t>
      </w:r>
      <w:proofErr w:type="spellEnd"/>
      <w:r w:rsidR="00C110F2">
        <w:t xml:space="preserve"> beta) </w:t>
      </w:r>
      <w:r>
        <w:t xml:space="preserve">and </w:t>
      </w:r>
      <w:proofErr w:type="spellStart"/>
      <w:r>
        <w:t>U</w:t>
      </w:r>
      <w:r w:rsidR="00E86D46">
        <w:t>nituxin</w:t>
      </w:r>
      <w:proofErr w:type="spellEnd"/>
      <w:r w:rsidR="00C110F2">
        <w:t xml:space="preserve"> (</w:t>
      </w:r>
      <w:proofErr w:type="spellStart"/>
      <w:r w:rsidR="00C110F2">
        <w:t>dinutuximab</w:t>
      </w:r>
      <w:proofErr w:type="spellEnd"/>
      <w:r w:rsidR="00C110F2">
        <w:t>)</w:t>
      </w:r>
      <w:r>
        <w:t xml:space="preserve"> internationally, a definitive randomised controlled study evaluating the efficacy and safety of </w:t>
      </w:r>
      <w:proofErr w:type="spellStart"/>
      <w:r>
        <w:t>Q</w:t>
      </w:r>
      <w:r w:rsidR="00A775E9">
        <w:t>arziba</w:t>
      </w:r>
      <w:proofErr w:type="spellEnd"/>
      <w:r>
        <w:t xml:space="preserve"> is unlikely.</w:t>
      </w:r>
      <w:r w:rsidR="001E4C4A">
        <w:t xml:space="preserve"> </w:t>
      </w:r>
      <w:r>
        <w:t>A placebo</w:t>
      </w:r>
      <w:r w:rsidR="00095FB4">
        <w:noBreakHyphen/>
      </w:r>
      <w:r>
        <w:t xml:space="preserve">controlled trial of </w:t>
      </w:r>
      <w:proofErr w:type="spellStart"/>
      <w:r>
        <w:t>dinutuximab</w:t>
      </w:r>
      <w:proofErr w:type="spellEnd"/>
      <w:r>
        <w:t xml:space="preserve"> beta is no longer feasible, as anti-GD2 immunotherapy is now part of the standard of care for high-risk, relapsed and refractory </w:t>
      </w:r>
      <w:proofErr w:type="spellStart"/>
      <w:r>
        <w:t>neuroblastoma</w:t>
      </w:r>
      <w:proofErr w:type="spellEnd"/>
      <w:r>
        <w:t>.</w:t>
      </w:r>
      <w:r w:rsidR="001E4C4A">
        <w:t xml:space="preserve"> </w:t>
      </w:r>
      <w:r>
        <w:t xml:space="preserve">An active-controlled trial of </w:t>
      </w:r>
      <w:proofErr w:type="spellStart"/>
      <w:r>
        <w:t>Q</w:t>
      </w:r>
      <w:r w:rsidR="00A775E9">
        <w:t>arziba</w:t>
      </w:r>
      <w:proofErr w:type="spellEnd"/>
      <w:r>
        <w:t xml:space="preserve"> v</w:t>
      </w:r>
      <w:r w:rsidR="00095FB4">
        <w:t>ersus</w:t>
      </w:r>
      <w:r>
        <w:t xml:space="preserve"> </w:t>
      </w:r>
      <w:proofErr w:type="spellStart"/>
      <w:r>
        <w:t>U</w:t>
      </w:r>
      <w:r w:rsidR="00E86D46">
        <w:t>nituxin</w:t>
      </w:r>
      <w:proofErr w:type="spellEnd"/>
      <w:r>
        <w:t xml:space="preserve"> is unlikely given the regulatory status of these treatments in the EU and</w:t>
      </w:r>
      <w:r w:rsidR="00C110F2">
        <w:t xml:space="preserve"> the</w:t>
      </w:r>
      <w:r>
        <w:t xml:space="preserve"> USA.</w:t>
      </w:r>
    </w:p>
    <w:p w14:paraId="115C0187" w14:textId="77777777" w:rsidR="00545A26" w:rsidRDefault="00545A26" w:rsidP="00545A26">
      <w:r>
        <w:t>Efficacy outcomes presented in this submission, including tumour response rates and comparisons</w:t>
      </w:r>
      <w:r w:rsidRPr="00FB3B4C">
        <w:t xml:space="preserve"> </w:t>
      </w:r>
      <w:r>
        <w:t xml:space="preserve">of EFS and OS against historical controls, are favourable for </w:t>
      </w:r>
      <w:proofErr w:type="spellStart"/>
      <w:r>
        <w:t>dinutuximab</w:t>
      </w:r>
      <w:proofErr w:type="spellEnd"/>
      <w:r>
        <w:t xml:space="preserve"> beta.</w:t>
      </w:r>
      <w:r w:rsidR="001E4C4A">
        <w:t xml:space="preserve"> </w:t>
      </w:r>
      <w:r>
        <w:t xml:space="preserve">Limitations of comparisons against historical controls mean that there is some uncertainty regarding the extent of survival benefit attributable to </w:t>
      </w:r>
      <w:proofErr w:type="spellStart"/>
      <w:r>
        <w:t>dinutuximab</w:t>
      </w:r>
      <w:proofErr w:type="spellEnd"/>
      <w:r>
        <w:t xml:space="preserve"> beta.</w:t>
      </w:r>
    </w:p>
    <w:p w14:paraId="11B35EDA" w14:textId="3F6B8E85" w:rsidR="001E4C4A" w:rsidRDefault="00545A26" w:rsidP="00545A26">
      <w:r>
        <w:t>Safety data are limited by the lack of direct comparative data.</w:t>
      </w:r>
      <w:r w:rsidR="001E4C4A">
        <w:t xml:space="preserve"> </w:t>
      </w:r>
      <w:r>
        <w:t>Differences in study design and safety data</w:t>
      </w:r>
      <w:r w:rsidRPr="00CE6867">
        <w:t xml:space="preserve"> </w:t>
      </w:r>
      <w:r>
        <w:t>collection limit the capacity to compare safety across studies.</w:t>
      </w:r>
      <w:r w:rsidR="001E4C4A">
        <w:t xml:space="preserve"> </w:t>
      </w:r>
      <w:r>
        <w:t>To address this concern, ongoing safety reporting was required as part of Specific Obligations of the EU Marketing Authorisation under exceptional circumstances</w:t>
      </w:r>
      <w:r w:rsidR="001E4C4A">
        <w:t>.</w:t>
      </w:r>
      <w:r w:rsidR="00095FB4">
        <w:fldChar w:fldCharType="begin"/>
      </w:r>
      <w:r w:rsidR="00095FB4">
        <w:instrText xml:space="preserve"> NOTEREF _Ref40028592 \f \h </w:instrText>
      </w:r>
      <w:r w:rsidR="00095FB4">
        <w:fldChar w:fldCharType="separate"/>
      </w:r>
      <w:r w:rsidR="004942AB" w:rsidRPr="004942AB">
        <w:rPr>
          <w:rStyle w:val="FootnoteReference"/>
        </w:rPr>
        <w:t>9</w:t>
      </w:r>
      <w:r w:rsidR="00095FB4">
        <w:fldChar w:fldCharType="end"/>
      </w:r>
    </w:p>
    <w:p w14:paraId="294A9DA0" w14:textId="77777777" w:rsidR="00545A26" w:rsidRDefault="00545A26" w:rsidP="00545A26">
      <w:proofErr w:type="spellStart"/>
      <w:r>
        <w:t>Dinutuximab</w:t>
      </w:r>
      <w:proofErr w:type="spellEnd"/>
      <w:r>
        <w:t xml:space="preserve"> beta is associated with considerable toxicity, but this risk is considered acceptable in the context of the disease being treated.</w:t>
      </w:r>
      <w:r w:rsidR="001E4C4A">
        <w:t xml:space="preserve"> </w:t>
      </w:r>
      <w:r>
        <w:t xml:space="preserve">Administration of </w:t>
      </w:r>
      <w:proofErr w:type="spellStart"/>
      <w:r>
        <w:t>dinutuximab</w:t>
      </w:r>
      <w:proofErr w:type="spellEnd"/>
      <w:r>
        <w:t xml:space="preserve"> beta is undertaken only in specialist hospitals with expertise in the treatment of </w:t>
      </w:r>
      <w:proofErr w:type="spellStart"/>
      <w:r>
        <w:t>neuroblastoma</w:t>
      </w:r>
      <w:proofErr w:type="spellEnd"/>
      <w:r>
        <w:t xml:space="preserve"> and the identification and management of treatment-related toxicities.</w:t>
      </w:r>
    </w:p>
    <w:p w14:paraId="2E8DC118" w14:textId="7C0E27BA" w:rsidR="001E4C4A" w:rsidRDefault="00545A26" w:rsidP="00545A26">
      <w:r>
        <w:t xml:space="preserve">Although there are limitations in the efficacy and safety datasets, </w:t>
      </w:r>
      <w:r w:rsidR="00095FB4">
        <w:t>the Delegate is</w:t>
      </w:r>
      <w:r>
        <w:t xml:space="preserve"> satisfied overall that</w:t>
      </w:r>
      <w:r w:rsidRPr="006E7784">
        <w:t xml:space="preserve"> </w:t>
      </w:r>
      <w:r>
        <w:t xml:space="preserve">the </w:t>
      </w:r>
      <w:r w:rsidRPr="00614ABB">
        <w:t xml:space="preserve">efficacy and safety of </w:t>
      </w:r>
      <w:proofErr w:type="spellStart"/>
      <w:r w:rsidRPr="00614ABB">
        <w:t>Q</w:t>
      </w:r>
      <w:r w:rsidR="00475AB1" w:rsidRPr="00614ABB">
        <w:t>arziba</w:t>
      </w:r>
      <w:proofErr w:type="spellEnd"/>
      <w:r w:rsidRPr="00614ABB">
        <w:t xml:space="preserve"> have been satisfactorily established</w:t>
      </w:r>
      <w:r w:rsidR="001E4C4A">
        <w:t>.</w:t>
      </w:r>
    </w:p>
    <w:p w14:paraId="0F357184" w14:textId="2CB59C9F" w:rsidR="001E4C4A" w:rsidRDefault="00545A26" w:rsidP="00545A26">
      <w:r>
        <w:t xml:space="preserve">Recent evidence from the </w:t>
      </w:r>
      <w:r w:rsidR="00095FB4">
        <w:t>P</w:t>
      </w:r>
      <w:r>
        <w:t xml:space="preserve">hase </w:t>
      </w:r>
      <w:r w:rsidR="00095FB4">
        <w:t>III</w:t>
      </w:r>
      <w:r>
        <w:t xml:space="preserve"> study has raised questions regarding the benefit/risk of IL-2 in the maintenance treatment of high-risk </w:t>
      </w:r>
      <w:proofErr w:type="spellStart"/>
      <w:r>
        <w:t>neuroblastoma</w:t>
      </w:r>
      <w:proofErr w:type="spellEnd"/>
      <w:r>
        <w:t>, so expert clinical advice is sought regarding the reference to IL-2 in the proposed indication</w:t>
      </w:r>
      <w:r w:rsidR="001E4C4A">
        <w:t>.</w:t>
      </w:r>
    </w:p>
    <w:p w14:paraId="1050867C" w14:textId="532DB57D" w:rsidR="00545A26" w:rsidRDefault="00545A26" w:rsidP="00545A26">
      <w:r>
        <w:t xml:space="preserve">There are limited data on the use of </w:t>
      </w:r>
      <w:proofErr w:type="spellStart"/>
      <w:r>
        <w:t>dinutuximab</w:t>
      </w:r>
      <w:proofErr w:type="spellEnd"/>
      <w:r>
        <w:t xml:space="preserve"> in children aged &lt;</w:t>
      </w:r>
      <w:r w:rsidR="00D378B5">
        <w:t xml:space="preserve"> </w:t>
      </w:r>
      <w:r>
        <w:t>12 months.</w:t>
      </w:r>
      <w:r w:rsidR="001E4C4A">
        <w:t xml:space="preserve"> </w:t>
      </w:r>
      <w:r>
        <w:t>The proposed indication is restricted to patients aged 12 months and above.</w:t>
      </w:r>
      <w:r w:rsidR="001E4C4A">
        <w:t xml:space="preserve"> </w:t>
      </w:r>
      <w:r>
        <w:t xml:space="preserve">In practice, most patients are likely to be older than 12 months by the time they have completed initial </w:t>
      </w:r>
      <w:r>
        <w:lastRenderedPageBreak/>
        <w:t xml:space="preserve">intensive treatments and are ready for maintenance treatment with </w:t>
      </w:r>
      <w:proofErr w:type="spellStart"/>
      <w:r>
        <w:t>dinutuximab</w:t>
      </w:r>
      <w:proofErr w:type="spellEnd"/>
      <w:r>
        <w:t xml:space="preserve">, but there may be exceptions, so expert advice is sought regarding the reference in the indication to </w:t>
      </w:r>
      <w:r w:rsidR="00095FB4">
        <w:t>‘</w:t>
      </w:r>
      <w:r>
        <w:t>aged 12 months and above</w:t>
      </w:r>
      <w:r w:rsidR="006C55A1">
        <w:t>’</w:t>
      </w:r>
      <w:r>
        <w:t>.</w:t>
      </w:r>
    </w:p>
    <w:p w14:paraId="7C43F8FE" w14:textId="77777777" w:rsidR="00545A26" w:rsidRPr="00DC0F3C" w:rsidRDefault="00545A26" w:rsidP="004F6B3D">
      <w:pPr>
        <w:pStyle w:val="Heading5"/>
      </w:pPr>
      <w:r w:rsidRPr="00DC0F3C">
        <w:t>Proposed conditions of registration</w:t>
      </w:r>
    </w:p>
    <w:p w14:paraId="24D7DEFA" w14:textId="1DC6C3FB" w:rsidR="00095FB4" w:rsidRDefault="00095FB4" w:rsidP="006C55A1">
      <w:r>
        <w:t>Proposed conditions of registration are outlined in the ‘</w:t>
      </w:r>
      <w:r w:rsidRPr="006C55A1">
        <w:rPr>
          <w:i/>
        </w:rPr>
        <w:t>Risk management plan</w:t>
      </w:r>
      <w:r>
        <w:t>’ section, above.</w:t>
      </w:r>
    </w:p>
    <w:p w14:paraId="58C2A92A" w14:textId="0BFA5C76" w:rsidR="00456765" w:rsidRPr="00456765" w:rsidRDefault="00545A26" w:rsidP="00545A26">
      <w:r>
        <w:t xml:space="preserve">Additional conditions may be included when the </w:t>
      </w:r>
      <w:r w:rsidR="00095FB4">
        <w:t>quality</w:t>
      </w:r>
      <w:r>
        <w:t xml:space="preserve"> evaluation is finalised (</w:t>
      </w:r>
      <w:r w:rsidR="00095FB4">
        <w:t>for example,</w:t>
      </w:r>
      <w:r>
        <w:t xml:space="preserve"> batch release testing).</w:t>
      </w:r>
    </w:p>
    <w:p w14:paraId="3EE0872D" w14:textId="77777777" w:rsidR="00D23139" w:rsidRDefault="00D23139" w:rsidP="004F6B3D">
      <w:pPr>
        <w:pStyle w:val="Heading5"/>
      </w:pPr>
      <w:r w:rsidRPr="00D23139">
        <w:t>Proposed action</w:t>
      </w:r>
    </w:p>
    <w:p w14:paraId="46AE97CC" w14:textId="5629C870" w:rsidR="00456765" w:rsidRPr="00456765" w:rsidRDefault="00095FB4" w:rsidP="00456765">
      <w:r>
        <w:t>The Delegate has</w:t>
      </w:r>
      <w:r w:rsidR="00545A26">
        <w:t xml:space="preserve"> no reason to say, at this time, that the application for </w:t>
      </w:r>
      <w:proofErr w:type="spellStart"/>
      <w:r w:rsidR="00545A26">
        <w:t>Q</w:t>
      </w:r>
      <w:r w:rsidR="00475AB1">
        <w:t>arziba</w:t>
      </w:r>
      <w:proofErr w:type="spellEnd"/>
      <w:r w:rsidR="00545A26">
        <w:rPr>
          <w:color w:val="0070C0"/>
        </w:rPr>
        <w:t xml:space="preserve"> </w:t>
      </w:r>
      <w:r w:rsidR="00545A26">
        <w:t>should not be approved for registration.</w:t>
      </w:r>
    </w:p>
    <w:p w14:paraId="33024DC5" w14:textId="230F4E4E" w:rsidR="00D23139" w:rsidRDefault="00A22D57" w:rsidP="004F6B3D">
      <w:pPr>
        <w:pStyle w:val="Heading5"/>
      </w:pPr>
      <w:r>
        <w:t xml:space="preserve">Request for </w:t>
      </w:r>
      <w:r w:rsidR="00652601" w:rsidRPr="00456765">
        <w:rPr>
          <w:bCs w:val="0"/>
        </w:rPr>
        <w:t>Advisory Committee on Medicines</w:t>
      </w:r>
      <w:r w:rsidR="00D23139" w:rsidRPr="00D23139">
        <w:t xml:space="preserve"> advice</w:t>
      </w:r>
    </w:p>
    <w:p w14:paraId="5EBC1400" w14:textId="11EEE7BE" w:rsidR="004F6B3D" w:rsidRPr="004F6B3D" w:rsidRDefault="004F6B3D" w:rsidP="004F6B3D">
      <w:r>
        <w:t>The committee is requested to provide advice on the following specific issues:</w:t>
      </w:r>
    </w:p>
    <w:p w14:paraId="07C4FC0F" w14:textId="6F212DC7" w:rsidR="004F6B3D" w:rsidRDefault="004F6B3D" w:rsidP="006C55A1">
      <w:pPr>
        <w:pStyle w:val="Numberbullet0"/>
        <w:numPr>
          <w:ilvl w:val="0"/>
          <w:numId w:val="53"/>
        </w:numPr>
      </w:pPr>
    </w:p>
    <w:p w14:paraId="7A6E3E2D" w14:textId="621ED139" w:rsidR="00FD0F6E" w:rsidRPr="004F6B3D" w:rsidRDefault="00FD0F6E" w:rsidP="006C55A1">
      <w:pPr>
        <w:pStyle w:val="Numberbullet2"/>
        <w:rPr>
          <w:rFonts w:asciiTheme="minorHAnsi" w:eastAsiaTheme="minorHAnsi" w:hAnsiTheme="minorHAnsi" w:cs="Arial"/>
        </w:rPr>
      </w:pPr>
      <w:r w:rsidRPr="007F72C9">
        <w:t xml:space="preserve">What is your current practice with regard to the use of IL-2 in the treatment of high-risk, relapsed, and refractory </w:t>
      </w:r>
      <w:proofErr w:type="spellStart"/>
      <w:r w:rsidRPr="007F72C9">
        <w:t>neuroblastoma</w:t>
      </w:r>
      <w:proofErr w:type="spellEnd"/>
      <w:r w:rsidRPr="007F72C9">
        <w:t>?</w:t>
      </w:r>
    </w:p>
    <w:p w14:paraId="72544CB7" w14:textId="62FBB9FB" w:rsidR="00FD0F6E" w:rsidRDefault="00FD0F6E" w:rsidP="006C55A1">
      <w:pPr>
        <w:pStyle w:val="Numberbullet2"/>
      </w:pPr>
      <w:r w:rsidRPr="007F72C9">
        <w:t xml:space="preserve">Do you support the removal of the sentence in the proposed indication relating to </w:t>
      </w:r>
      <w:r>
        <w:t xml:space="preserve">the </w:t>
      </w:r>
      <w:r w:rsidRPr="007F72C9">
        <w:t xml:space="preserve">use of </w:t>
      </w:r>
      <w:proofErr w:type="spellStart"/>
      <w:r w:rsidRPr="007F72C9">
        <w:t>Q</w:t>
      </w:r>
      <w:r w:rsidR="00475AB1" w:rsidRPr="007F72C9">
        <w:t>arziba</w:t>
      </w:r>
      <w:proofErr w:type="spellEnd"/>
      <w:r w:rsidRPr="007F72C9">
        <w:t xml:space="preserve"> in combination with IL-2?</w:t>
      </w:r>
    </w:p>
    <w:p w14:paraId="7559E73A" w14:textId="245C58B3" w:rsidR="004F6B3D" w:rsidRDefault="004F6B3D" w:rsidP="006C55A1">
      <w:pPr>
        <w:pStyle w:val="Numberbullet0"/>
      </w:pPr>
    </w:p>
    <w:p w14:paraId="270FF8CD" w14:textId="79DB45CF" w:rsidR="00FD0F6E" w:rsidRDefault="00FD0F6E" w:rsidP="006C55A1">
      <w:pPr>
        <w:pStyle w:val="Numberbullet2"/>
        <w:numPr>
          <w:ilvl w:val="1"/>
          <w:numId w:val="51"/>
        </w:numPr>
      </w:pPr>
      <w:r w:rsidRPr="007F72C9">
        <w:t xml:space="preserve">What is your clinical perspective on the </w:t>
      </w:r>
      <w:r>
        <w:t xml:space="preserve">reference to </w:t>
      </w:r>
      <w:r w:rsidR="007726D1">
        <w:t>‘</w:t>
      </w:r>
      <w:r>
        <w:t xml:space="preserve">aged </w:t>
      </w:r>
      <w:r w:rsidRPr="007F72C9">
        <w:t>12 months and above</w:t>
      </w:r>
      <w:r w:rsidR="007726D1">
        <w:t>’</w:t>
      </w:r>
      <w:r>
        <w:t xml:space="preserve"> in the indication</w:t>
      </w:r>
      <w:r w:rsidRPr="007F72C9">
        <w:t>?</w:t>
      </w:r>
    </w:p>
    <w:p w14:paraId="2AC88EBD" w14:textId="6C1209F6" w:rsidR="00FD0F6E" w:rsidRDefault="00FD0F6E" w:rsidP="006C55A1">
      <w:pPr>
        <w:pStyle w:val="Numberbullet2"/>
      </w:pPr>
      <w:r w:rsidRPr="007F72C9">
        <w:t>If the age cut-off were to be</w:t>
      </w:r>
      <w:r>
        <w:t xml:space="preserve"> removed, what would be your recommendation with regard to dosing</w:t>
      </w:r>
      <w:r w:rsidRPr="007F72C9">
        <w:t>?</w:t>
      </w:r>
    </w:p>
    <w:p w14:paraId="6C0A8820" w14:textId="42C564D7" w:rsidR="004F6B3D" w:rsidRDefault="004F6B3D" w:rsidP="006C55A1">
      <w:pPr>
        <w:pStyle w:val="Numberbullet0"/>
      </w:pPr>
    </w:p>
    <w:p w14:paraId="6B18C053" w14:textId="6FC31CA0" w:rsidR="00FD0F6E" w:rsidRDefault="00FD0F6E" w:rsidP="006C55A1">
      <w:pPr>
        <w:pStyle w:val="Numberbullet2"/>
        <w:numPr>
          <w:ilvl w:val="1"/>
          <w:numId w:val="52"/>
        </w:numPr>
      </w:pPr>
      <w:r>
        <w:t xml:space="preserve">From a clinical perspective, is it important for the indication to specify </w:t>
      </w:r>
      <w:r w:rsidR="007726D1">
        <w:t>‘</w:t>
      </w:r>
      <w:r>
        <w:t>with or without residual disease</w:t>
      </w:r>
      <w:r w:rsidR="007726D1">
        <w:t>’</w:t>
      </w:r>
      <w:r>
        <w:t>?</w:t>
      </w:r>
    </w:p>
    <w:p w14:paraId="2F971DEC" w14:textId="22E06917" w:rsidR="00456765" w:rsidRPr="00456765" w:rsidRDefault="00FD0F6E" w:rsidP="006C55A1">
      <w:pPr>
        <w:pStyle w:val="Numberbullet2"/>
      </w:pPr>
      <w:r>
        <w:t xml:space="preserve">The sentence </w:t>
      </w:r>
      <w:r w:rsidR="007726D1">
        <w:t>‘</w:t>
      </w:r>
      <w:r w:rsidRPr="004F6B3D">
        <w:rPr>
          <w:rFonts w:asciiTheme="minorHAnsi" w:eastAsiaTheme="minorHAnsi" w:hAnsiTheme="minorHAnsi" w:cs="Arial"/>
        </w:rPr>
        <w:t xml:space="preserve">Prior to the treatment of relapsed </w:t>
      </w:r>
      <w:proofErr w:type="spellStart"/>
      <w:r w:rsidRPr="004F6B3D">
        <w:rPr>
          <w:rFonts w:asciiTheme="minorHAnsi" w:eastAsiaTheme="minorHAnsi" w:hAnsiTheme="minorHAnsi" w:cs="Arial"/>
        </w:rPr>
        <w:t>neuroblastoma</w:t>
      </w:r>
      <w:proofErr w:type="spellEnd"/>
      <w:r w:rsidRPr="004F6B3D">
        <w:rPr>
          <w:rFonts w:asciiTheme="minorHAnsi" w:eastAsiaTheme="minorHAnsi" w:hAnsiTheme="minorHAnsi" w:cs="Arial"/>
        </w:rPr>
        <w:t>, any actively progressing disease should be stabilised by other suitable measures</w:t>
      </w:r>
      <w:r w:rsidR="007726D1">
        <w:rPr>
          <w:rFonts w:asciiTheme="minorHAnsi" w:eastAsiaTheme="minorHAnsi" w:hAnsiTheme="minorHAnsi" w:cs="Arial"/>
        </w:rPr>
        <w:t>’</w:t>
      </w:r>
      <w:r w:rsidRPr="004F6B3D">
        <w:rPr>
          <w:rFonts w:asciiTheme="minorHAnsi" w:eastAsiaTheme="minorHAnsi" w:hAnsiTheme="minorHAnsi" w:cs="Arial"/>
        </w:rPr>
        <w:t xml:space="preserve"> could be viewed as a clinical practice issue.</w:t>
      </w:r>
      <w:r w:rsidR="001E4C4A" w:rsidRPr="004F6B3D">
        <w:rPr>
          <w:rFonts w:asciiTheme="minorHAnsi" w:eastAsiaTheme="minorHAnsi" w:hAnsiTheme="minorHAnsi" w:cs="Arial"/>
        </w:rPr>
        <w:t xml:space="preserve"> </w:t>
      </w:r>
      <w:r w:rsidRPr="004F6B3D">
        <w:rPr>
          <w:rFonts w:asciiTheme="minorHAnsi" w:eastAsiaTheme="minorHAnsi" w:hAnsiTheme="minorHAnsi" w:cs="Arial"/>
        </w:rPr>
        <w:t>From a clinical perspective, would you support the removal of this sentence from the indication?</w:t>
      </w:r>
    </w:p>
    <w:p w14:paraId="5363C49E" w14:textId="77777777" w:rsidR="008E7846" w:rsidRDefault="008E7846" w:rsidP="008E7846">
      <w:pPr>
        <w:pStyle w:val="Heading4"/>
      </w:pPr>
      <w:r>
        <w:t>Advisory Committee Considerations</w:t>
      </w:r>
      <w:r w:rsidR="00456765">
        <w:rPr>
          <w:rStyle w:val="FootnoteReference"/>
        </w:rPr>
        <w:footnoteReference w:id="16"/>
      </w:r>
    </w:p>
    <w:p w14:paraId="34CECF02" w14:textId="77777777" w:rsidR="000473AF" w:rsidRDefault="00456765" w:rsidP="008E7846">
      <w:pPr>
        <w:rPr>
          <w:bCs/>
        </w:rPr>
      </w:pPr>
      <w:r w:rsidRPr="00456765">
        <w:rPr>
          <w:bCs/>
        </w:rPr>
        <w:t>The Advisory Committee on Medicines (ACM), having considered the evaluations and the Delegate’s overview, as well as the sponsor’s response to these documents, advised the following</w:t>
      </w:r>
      <w:r w:rsidR="000473AF">
        <w:rPr>
          <w:bCs/>
        </w:rPr>
        <w:t>.</w:t>
      </w:r>
    </w:p>
    <w:p w14:paraId="67D01AC1" w14:textId="77777777" w:rsidR="000473AF" w:rsidRPr="000473AF" w:rsidRDefault="000473AF" w:rsidP="000473AF">
      <w:pPr>
        <w:rPr>
          <w:bCs/>
        </w:rPr>
      </w:pPr>
      <w:r w:rsidRPr="000473AF">
        <w:rPr>
          <w:bCs/>
        </w:rPr>
        <w:lastRenderedPageBreak/>
        <w:t>The ACM considered this product to have an overall positive benefit-risk profile for the indication:</w:t>
      </w:r>
    </w:p>
    <w:p w14:paraId="357AD217" w14:textId="75DA95B9" w:rsidR="008E7846" w:rsidRDefault="000473AF" w:rsidP="006C55A1">
      <w:pPr>
        <w:ind w:left="709"/>
        <w:rPr>
          <w:bCs/>
          <w:i/>
        </w:rPr>
      </w:pPr>
      <w:proofErr w:type="spellStart"/>
      <w:r w:rsidRPr="006C55A1">
        <w:rPr>
          <w:bCs/>
          <w:i/>
        </w:rPr>
        <w:t>Qarziba</w:t>
      </w:r>
      <w:proofErr w:type="spellEnd"/>
      <w:r w:rsidRPr="006C55A1">
        <w:rPr>
          <w:bCs/>
          <w:i/>
        </w:rPr>
        <w:t xml:space="preserve"> is indicated for the treatment of high-risk </w:t>
      </w:r>
      <w:proofErr w:type="spellStart"/>
      <w:r w:rsidRPr="006C55A1">
        <w:rPr>
          <w:bCs/>
          <w:i/>
        </w:rPr>
        <w:t>neuroblastoma</w:t>
      </w:r>
      <w:proofErr w:type="spellEnd"/>
      <w:r w:rsidRPr="006C55A1">
        <w:rPr>
          <w:bCs/>
          <w:i/>
        </w:rPr>
        <w:t xml:space="preserve"> in patients who have previously received induction chemotherapy and achieved at least a partial response.</w:t>
      </w:r>
    </w:p>
    <w:p w14:paraId="53573B7A" w14:textId="07C46113" w:rsidR="000473AF" w:rsidRPr="000473AF" w:rsidRDefault="000473AF" w:rsidP="006C55A1">
      <w:pPr>
        <w:pStyle w:val="Heading5"/>
      </w:pPr>
      <w:r>
        <w:t>Specific advice</w:t>
      </w:r>
    </w:p>
    <w:p w14:paraId="08B67943" w14:textId="1673F1B0" w:rsidR="00645AD1" w:rsidRPr="00645AD1" w:rsidRDefault="007726D1" w:rsidP="006C55A1">
      <w:r w:rsidRPr="006C55A1">
        <w:rPr>
          <w:b/>
          <w:i/>
        </w:rPr>
        <w:t>Question 1</w:t>
      </w:r>
    </w:p>
    <w:p w14:paraId="43DA9D63" w14:textId="7C2B085A" w:rsidR="00FD0F6E" w:rsidRPr="006C55A1" w:rsidRDefault="00FD0F6E" w:rsidP="006C55A1">
      <w:pPr>
        <w:pStyle w:val="Numberbullet2"/>
        <w:numPr>
          <w:ilvl w:val="1"/>
          <w:numId w:val="55"/>
        </w:numPr>
        <w:rPr>
          <w:b/>
          <w:i/>
        </w:rPr>
      </w:pPr>
      <w:r w:rsidRPr="006C55A1">
        <w:rPr>
          <w:b/>
          <w:i/>
        </w:rPr>
        <w:t xml:space="preserve">What is your current practice with regard to the use of IL-2 in the treatment of high-risk, relapsed, and refractory </w:t>
      </w:r>
      <w:proofErr w:type="spellStart"/>
      <w:r w:rsidRPr="006C55A1">
        <w:rPr>
          <w:b/>
          <w:i/>
        </w:rPr>
        <w:t>neuroblastoma</w:t>
      </w:r>
      <w:proofErr w:type="spellEnd"/>
      <w:r w:rsidRPr="006C55A1">
        <w:rPr>
          <w:b/>
          <w:i/>
        </w:rPr>
        <w:t>?</w:t>
      </w:r>
    </w:p>
    <w:p w14:paraId="34D4C16C" w14:textId="77777777" w:rsidR="00FD0F6E" w:rsidRPr="00FD0F6E" w:rsidRDefault="00FD0F6E" w:rsidP="00FD0F6E">
      <w:pPr>
        <w:rPr>
          <w:bCs/>
        </w:rPr>
      </w:pPr>
      <w:r w:rsidRPr="00FD0F6E">
        <w:rPr>
          <w:bCs/>
        </w:rPr>
        <w:t xml:space="preserve">The ACM advised that IL-2 no longer forms part of current regimens used for treating high-risk, relapsed, and refractory </w:t>
      </w:r>
      <w:proofErr w:type="spellStart"/>
      <w:r w:rsidRPr="00FD0F6E">
        <w:rPr>
          <w:bCs/>
        </w:rPr>
        <w:t>neuroblastoma</w:t>
      </w:r>
      <w:proofErr w:type="spellEnd"/>
      <w:r w:rsidRPr="00FD0F6E">
        <w:rPr>
          <w:bCs/>
        </w:rPr>
        <w:t xml:space="preserve"> and does not support use of IL-2 in this setting.</w:t>
      </w:r>
    </w:p>
    <w:p w14:paraId="610D19A2" w14:textId="06DE8F68" w:rsidR="00FD0F6E" w:rsidRPr="006C55A1" w:rsidRDefault="00FD0F6E" w:rsidP="006C55A1">
      <w:pPr>
        <w:pStyle w:val="Numberbullet2"/>
        <w:rPr>
          <w:b/>
          <w:i/>
        </w:rPr>
      </w:pPr>
      <w:r w:rsidRPr="006C55A1">
        <w:rPr>
          <w:b/>
          <w:i/>
        </w:rPr>
        <w:t xml:space="preserve">Do you support the removal of the sentence in the proposed indication relating to the use of </w:t>
      </w:r>
      <w:proofErr w:type="spellStart"/>
      <w:r w:rsidRPr="006C55A1">
        <w:rPr>
          <w:b/>
          <w:i/>
        </w:rPr>
        <w:t>Q</w:t>
      </w:r>
      <w:r w:rsidR="00475AB1" w:rsidRPr="006C55A1">
        <w:rPr>
          <w:b/>
          <w:i/>
        </w:rPr>
        <w:t>arziba</w:t>
      </w:r>
      <w:proofErr w:type="spellEnd"/>
      <w:r w:rsidRPr="006C55A1">
        <w:rPr>
          <w:b/>
          <w:i/>
        </w:rPr>
        <w:t xml:space="preserve"> in combination with IL-2?</w:t>
      </w:r>
    </w:p>
    <w:p w14:paraId="4E9D4E0B" w14:textId="77777777" w:rsidR="00FD0F6E" w:rsidRPr="00FD0F6E" w:rsidRDefault="00FD0F6E" w:rsidP="00FD0F6E">
      <w:pPr>
        <w:rPr>
          <w:bCs/>
        </w:rPr>
      </w:pPr>
      <w:r w:rsidRPr="00FD0F6E">
        <w:rPr>
          <w:bCs/>
        </w:rPr>
        <w:t xml:space="preserve">The ACM agreed with the proposal to remove the sentence in the proposed indication regarding the use of </w:t>
      </w:r>
      <w:proofErr w:type="spellStart"/>
      <w:r w:rsidRPr="00FD0F6E">
        <w:rPr>
          <w:bCs/>
        </w:rPr>
        <w:t>Q</w:t>
      </w:r>
      <w:r w:rsidR="00475AB1" w:rsidRPr="00FD0F6E">
        <w:rPr>
          <w:bCs/>
        </w:rPr>
        <w:t>arziba</w:t>
      </w:r>
      <w:proofErr w:type="spellEnd"/>
      <w:r w:rsidRPr="00FD0F6E">
        <w:rPr>
          <w:bCs/>
        </w:rPr>
        <w:t xml:space="preserve"> in combination with IL-2 as this is no longer standard clinical practice.</w:t>
      </w:r>
    </w:p>
    <w:p w14:paraId="4372A939" w14:textId="142B0D3F" w:rsidR="00645AD1" w:rsidRPr="006C55A1" w:rsidRDefault="007726D1" w:rsidP="006C55A1">
      <w:pPr>
        <w:rPr>
          <w:b/>
          <w:i/>
        </w:rPr>
      </w:pPr>
      <w:r w:rsidRPr="006C55A1">
        <w:rPr>
          <w:b/>
          <w:i/>
        </w:rPr>
        <w:t>Question 2</w:t>
      </w:r>
    </w:p>
    <w:p w14:paraId="03C7CEF2" w14:textId="4AF48219" w:rsidR="00FD0F6E" w:rsidRPr="006C55A1" w:rsidRDefault="00FD0F6E" w:rsidP="006C55A1">
      <w:pPr>
        <w:pStyle w:val="Numberbullet2"/>
        <w:numPr>
          <w:ilvl w:val="1"/>
          <w:numId w:val="56"/>
        </w:numPr>
        <w:rPr>
          <w:b/>
          <w:i/>
        </w:rPr>
      </w:pPr>
      <w:r w:rsidRPr="006C55A1">
        <w:rPr>
          <w:b/>
          <w:i/>
        </w:rPr>
        <w:t xml:space="preserve">What is your clinical perspective on the reference to </w:t>
      </w:r>
      <w:r w:rsidR="007726D1" w:rsidRPr="006C55A1">
        <w:rPr>
          <w:b/>
          <w:i/>
        </w:rPr>
        <w:t>‘</w:t>
      </w:r>
      <w:r w:rsidRPr="006C55A1">
        <w:rPr>
          <w:b/>
          <w:i/>
        </w:rPr>
        <w:t>aged 12 months and above</w:t>
      </w:r>
      <w:r w:rsidR="007726D1" w:rsidRPr="006C55A1">
        <w:rPr>
          <w:b/>
          <w:i/>
        </w:rPr>
        <w:t>’</w:t>
      </w:r>
      <w:r w:rsidRPr="006C55A1">
        <w:rPr>
          <w:b/>
          <w:i/>
        </w:rPr>
        <w:t xml:space="preserve"> in the indication?</w:t>
      </w:r>
    </w:p>
    <w:p w14:paraId="235AD050" w14:textId="77777777" w:rsidR="00FD0F6E" w:rsidRPr="00FD0F6E" w:rsidRDefault="00FD0F6E" w:rsidP="00FD0F6E">
      <w:pPr>
        <w:rPr>
          <w:bCs/>
        </w:rPr>
      </w:pPr>
      <w:r w:rsidRPr="00FD0F6E">
        <w:rPr>
          <w:bCs/>
        </w:rPr>
        <w:t xml:space="preserve">The ACM advised that the use of </w:t>
      </w:r>
      <w:proofErr w:type="spellStart"/>
      <w:r w:rsidRPr="00FD0F6E">
        <w:rPr>
          <w:bCs/>
        </w:rPr>
        <w:t>Q</w:t>
      </w:r>
      <w:r w:rsidR="00475AB1" w:rsidRPr="00FD0F6E">
        <w:rPr>
          <w:bCs/>
        </w:rPr>
        <w:t>arziba</w:t>
      </w:r>
      <w:proofErr w:type="spellEnd"/>
      <w:r w:rsidRPr="00FD0F6E">
        <w:rPr>
          <w:bCs/>
        </w:rPr>
        <w:t xml:space="preserve"> in paediatric patients less than 12 months of age is very uncommon, but </w:t>
      </w:r>
      <w:proofErr w:type="spellStart"/>
      <w:r w:rsidRPr="00FD0F6E">
        <w:rPr>
          <w:bCs/>
        </w:rPr>
        <w:t>Q</w:t>
      </w:r>
      <w:r w:rsidR="00475AB1" w:rsidRPr="00FD0F6E">
        <w:rPr>
          <w:bCs/>
        </w:rPr>
        <w:t>arziba</w:t>
      </w:r>
      <w:proofErr w:type="spellEnd"/>
      <w:r w:rsidRPr="00FD0F6E">
        <w:rPr>
          <w:bCs/>
        </w:rPr>
        <w:t xml:space="preserve"> is appropriate to utilise in this population if required.</w:t>
      </w:r>
    </w:p>
    <w:p w14:paraId="6DF661F4" w14:textId="3B7843F7" w:rsidR="00FD0F6E" w:rsidRPr="006C55A1" w:rsidRDefault="00FD0F6E" w:rsidP="006C55A1">
      <w:pPr>
        <w:pStyle w:val="Numberbullet2"/>
        <w:rPr>
          <w:b/>
          <w:i/>
        </w:rPr>
      </w:pPr>
      <w:r w:rsidRPr="006C55A1">
        <w:rPr>
          <w:b/>
          <w:i/>
        </w:rPr>
        <w:t>If the age cut-off were to be removed, what would be your recommendation with regard to dosing?</w:t>
      </w:r>
    </w:p>
    <w:p w14:paraId="2018C621" w14:textId="1105BA0B" w:rsidR="00FD0F6E" w:rsidRPr="00FD0F6E" w:rsidRDefault="00FD0F6E" w:rsidP="00FD0F6E">
      <w:pPr>
        <w:rPr>
          <w:bCs/>
        </w:rPr>
      </w:pPr>
      <w:r w:rsidRPr="00FD0F6E">
        <w:rPr>
          <w:bCs/>
        </w:rPr>
        <w:t xml:space="preserve">The ACM was </w:t>
      </w:r>
      <w:r w:rsidR="00D378B5">
        <w:rPr>
          <w:bCs/>
        </w:rPr>
        <w:t>of the view that if the age cut-</w:t>
      </w:r>
      <w:r w:rsidRPr="00FD0F6E">
        <w:rPr>
          <w:bCs/>
        </w:rPr>
        <w:t>off was removed, weight based dosing (mg/kg) would be preferable in patients weighing less than 12 kg.</w:t>
      </w:r>
    </w:p>
    <w:p w14:paraId="5E1A5FB3" w14:textId="269DA7AF" w:rsidR="00645AD1" w:rsidRPr="006C55A1" w:rsidRDefault="007726D1" w:rsidP="007726D1">
      <w:pPr>
        <w:rPr>
          <w:b/>
          <w:i/>
        </w:rPr>
      </w:pPr>
      <w:r w:rsidRPr="006C55A1">
        <w:rPr>
          <w:b/>
          <w:i/>
        </w:rPr>
        <w:t>Question 3</w:t>
      </w:r>
    </w:p>
    <w:p w14:paraId="71759675" w14:textId="6A994CE3" w:rsidR="00FD0F6E" w:rsidRPr="006C55A1" w:rsidRDefault="00FD0F6E" w:rsidP="006C55A1">
      <w:pPr>
        <w:pStyle w:val="Numberbullet2"/>
        <w:numPr>
          <w:ilvl w:val="1"/>
          <w:numId w:val="57"/>
        </w:numPr>
        <w:rPr>
          <w:b/>
          <w:i/>
        </w:rPr>
      </w:pPr>
      <w:r w:rsidRPr="006C55A1">
        <w:rPr>
          <w:b/>
          <w:i/>
        </w:rPr>
        <w:t xml:space="preserve">From a clinical perspective, is it important for the indication to specify </w:t>
      </w:r>
      <w:r w:rsidR="007726D1" w:rsidRPr="006C55A1">
        <w:rPr>
          <w:b/>
          <w:i/>
        </w:rPr>
        <w:t>‘</w:t>
      </w:r>
      <w:r w:rsidRPr="006C55A1">
        <w:rPr>
          <w:b/>
          <w:i/>
        </w:rPr>
        <w:t>with or without residual disease</w:t>
      </w:r>
      <w:r w:rsidR="007726D1" w:rsidRPr="006C55A1">
        <w:rPr>
          <w:b/>
          <w:i/>
        </w:rPr>
        <w:t>’</w:t>
      </w:r>
      <w:r w:rsidRPr="006C55A1">
        <w:rPr>
          <w:b/>
          <w:i/>
        </w:rPr>
        <w:t>?</w:t>
      </w:r>
    </w:p>
    <w:p w14:paraId="471A08BB" w14:textId="5D2D4139" w:rsidR="00FD0F6E" w:rsidRPr="00FD0F6E" w:rsidRDefault="00FD0F6E" w:rsidP="00FD0F6E">
      <w:pPr>
        <w:rPr>
          <w:bCs/>
        </w:rPr>
      </w:pPr>
      <w:r w:rsidRPr="00FD0F6E">
        <w:rPr>
          <w:bCs/>
        </w:rPr>
        <w:t xml:space="preserve">The ACM considered that the indication need not specify </w:t>
      </w:r>
      <w:r w:rsidR="007726D1">
        <w:rPr>
          <w:bCs/>
        </w:rPr>
        <w:t>‘</w:t>
      </w:r>
      <w:r w:rsidRPr="00FD0F6E">
        <w:rPr>
          <w:bCs/>
        </w:rPr>
        <w:t>with or without residual disease</w:t>
      </w:r>
      <w:r w:rsidR="007726D1">
        <w:rPr>
          <w:bCs/>
        </w:rPr>
        <w:t>’</w:t>
      </w:r>
      <w:r w:rsidRPr="00FD0F6E">
        <w:rPr>
          <w:bCs/>
        </w:rPr>
        <w:t xml:space="preserve"> but that at least partial response must be achieved.</w:t>
      </w:r>
    </w:p>
    <w:p w14:paraId="4CCDBC15" w14:textId="294443FA" w:rsidR="00FD0F6E" w:rsidRPr="006C55A1" w:rsidRDefault="00FD0F6E" w:rsidP="006C55A1">
      <w:pPr>
        <w:pStyle w:val="Numberbullet2"/>
        <w:rPr>
          <w:b/>
          <w:i/>
        </w:rPr>
      </w:pPr>
      <w:r w:rsidRPr="006C55A1">
        <w:rPr>
          <w:b/>
          <w:i/>
        </w:rPr>
        <w:t xml:space="preserve">The sentence </w:t>
      </w:r>
      <w:r w:rsidR="007726D1" w:rsidRPr="006C55A1">
        <w:rPr>
          <w:b/>
          <w:i/>
        </w:rPr>
        <w:t>‘</w:t>
      </w:r>
      <w:r w:rsidRPr="006C55A1">
        <w:rPr>
          <w:b/>
          <w:i/>
        </w:rPr>
        <w:t xml:space="preserve">Prior to the treatment of relapsed </w:t>
      </w:r>
      <w:proofErr w:type="spellStart"/>
      <w:r w:rsidRPr="006C55A1">
        <w:rPr>
          <w:b/>
          <w:i/>
        </w:rPr>
        <w:t>neuroblastoma</w:t>
      </w:r>
      <w:proofErr w:type="spellEnd"/>
      <w:r w:rsidRPr="006C55A1">
        <w:rPr>
          <w:b/>
          <w:i/>
        </w:rPr>
        <w:t>, any actively progressing disease should be stabilised by other suitable measures</w:t>
      </w:r>
      <w:r w:rsidR="007726D1" w:rsidRPr="006C55A1">
        <w:rPr>
          <w:b/>
          <w:i/>
        </w:rPr>
        <w:t>’</w:t>
      </w:r>
      <w:r w:rsidRPr="006C55A1">
        <w:rPr>
          <w:b/>
          <w:i/>
        </w:rPr>
        <w:t xml:space="preserve"> could be viewed as a clinical practice issue. From a clinical perspective, would you support the removal of this sentence from the indication?</w:t>
      </w:r>
    </w:p>
    <w:p w14:paraId="0BB55CC8" w14:textId="635F6FE9" w:rsidR="00FD0F6E" w:rsidRDefault="00FD0F6E" w:rsidP="00FD0F6E">
      <w:pPr>
        <w:rPr>
          <w:bCs/>
        </w:rPr>
      </w:pPr>
      <w:r w:rsidRPr="00FD0F6E">
        <w:rPr>
          <w:bCs/>
        </w:rPr>
        <w:t xml:space="preserve">The ACM supports the removal of the sentence </w:t>
      </w:r>
      <w:r w:rsidR="007726D1">
        <w:rPr>
          <w:bCs/>
        </w:rPr>
        <w:t>‘</w:t>
      </w:r>
      <w:r w:rsidRPr="00FD0F6E">
        <w:rPr>
          <w:bCs/>
        </w:rPr>
        <w:t xml:space="preserve">prior to the treatment of relapsed </w:t>
      </w:r>
      <w:proofErr w:type="spellStart"/>
      <w:r w:rsidRPr="00FD0F6E">
        <w:rPr>
          <w:bCs/>
        </w:rPr>
        <w:t>neuroblastoma</w:t>
      </w:r>
      <w:proofErr w:type="spellEnd"/>
      <w:r w:rsidRPr="00FD0F6E">
        <w:rPr>
          <w:bCs/>
        </w:rPr>
        <w:t>, any actively progressing disease should be stabilised by other suitable measures</w:t>
      </w:r>
      <w:r w:rsidR="007726D1">
        <w:rPr>
          <w:bCs/>
        </w:rPr>
        <w:t>’</w:t>
      </w:r>
      <w:r w:rsidRPr="00FD0F6E">
        <w:rPr>
          <w:bCs/>
        </w:rPr>
        <w:t xml:space="preserve"> from the indication.</w:t>
      </w:r>
    </w:p>
    <w:p w14:paraId="47B50E64" w14:textId="77777777" w:rsidR="008E7846" w:rsidRPr="002E238E" w:rsidRDefault="008E7846" w:rsidP="008E7846">
      <w:pPr>
        <w:pStyle w:val="Heading3"/>
      </w:pPr>
      <w:bookmarkStart w:id="70" w:name="_Toc247691532"/>
      <w:bookmarkStart w:id="71" w:name="_Toc314842516"/>
      <w:bookmarkStart w:id="72" w:name="_Toc44507102"/>
      <w:bookmarkEnd w:id="31"/>
      <w:bookmarkEnd w:id="66"/>
      <w:bookmarkEnd w:id="67"/>
      <w:r>
        <w:t>Outcome</w:t>
      </w:r>
      <w:bookmarkEnd w:id="70"/>
      <w:bookmarkEnd w:id="71"/>
      <w:bookmarkEnd w:id="72"/>
    </w:p>
    <w:p w14:paraId="07F5F2D7" w14:textId="4AA68EF7" w:rsidR="00D23139" w:rsidRPr="00D23139" w:rsidRDefault="00D23139" w:rsidP="00D23139">
      <w:bookmarkStart w:id="73" w:name="_Toc247691533"/>
      <w:bookmarkStart w:id="74" w:name="_Toc314842517"/>
      <w:r w:rsidRPr="00D23139">
        <w:t xml:space="preserve">Based on a review of quality, safety and efficacy, </w:t>
      </w:r>
      <w:r w:rsidR="00C110F2">
        <w:t xml:space="preserve">the </w:t>
      </w:r>
      <w:r w:rsidRPr="00D23139">
        <w:t xml:space="preserve">TGA approved the registration of </w:t>
      </w:r>
      <w:proofErr w:type="spellStart"/>
      <w:r w:rsidR="00705064">
        <w:t>Qarziba</w:t>
      </w:r>
      <w:proofErr w:type="spellEnd"/>
      <w:r w:rsidR="00705064">
        <w:t xml:space="preserve"> (</w:t>
      </w:r>
      <w:proofErr w:type="spellStart"/>
      <w:r w:rsidR="00705064">
        <w:t>dinutuximab</w:t>
      </w:r>
      <w:proofErr w:type="spellEnd"/>
      <w:r w:rsidR="00705064">
        <w:t xml:space="preserve"> beta) 4.5 mg/mL concentrate for solution for infusion</w:t>
      </w:r>
      <w:r w:rsidRPr="00D23139">
        <w:t xml:space="preserve"> for </w:t>
      </w:r>
      <w:r w:rsidR="005E47AB">
        <w:t>the following indication</w:t>
      </w:r>
      <w:r w:rsidRPr="00D23139">
        <w:t>:</w:t>
      </w:r>
    </w:p>
    <w:p w14:paraId="5EF3436B" w14:textId="52489B96" w:rsidR="00FF0E6D" w:rsidRPr="00FF0E6D" w:rsidRDefault="00FF0E6D" w:rsidP="006C55A1">
      <w:pPr>
        <w:ind w:left="720"/>
      </w:pPr>
      <w:proofErr w:type="spellStart"/>
      <w:r w:rsidRPr="00E76982">
        <w:rPr>
          <w:i/>
        </w:rPr>
        <w:lastRenderedPageBreak/>
        <w:t>Qarziba</w:t>
      </w:r>
      <w:proofErr w:type="spellEnd"/>
      <w:r w:rsidRPr="00E76982">
        <w:rPr>
          <w:i/>
        </w:rPr>
        <w:t xml:space="preserve"> is indicated for the treatment of high-risk </w:t>
      </w:r>
      <w:proofErr w:type="spellStart"/>
      <w:r w:rsidRPr="00E76982">
        <w:rPr>
          <w:i/>
        </w:rPr>
        <w:t>neuroblastoma</w:t>
      </w:r>
      <w:proofErr w:type="spellEnd"/>
      <w:r w:rsidRPr="00E76982">
        <w:rPr>
          <w:i/>
        </w:rPr>
        <w:t xml:space="preserve"> in patients who have </w:t>
      </w:r>
      <w:r w:rsidRPr="00E76982">
        <w:rPr>
          <w:rFonts w:eastAsiaTheme="minorHAnsi" w:cs="Cambria"/>
          <w:i/>
        </w:rPr>
        <w:t>previously received induction chemotherapy and achieved at least a partial response.</w:t>
      </w:r>
    </w:p>
    <w:p w14:paraId="6F75527C" w14:textId="77777777" w:rsidR="00D23139" w:rsidRPr="00D23139" w:rsidRDefault="00D23139" w:rsidP="00D23139">
      <w:pPr>
        <w:pStyle w:val="Heading4"/>
      </w:pPr>
      <w:r w:rsidRPr="00D23139">
        <w:t>Specific conditions of registration applying to these goods</w:t>
      </w:r>
    </w:p>
    <w:p w14:paraId="75C41AE2" w14:textId="6A9332E5" w:rsidR="00706B75" w:rsidRDefault="005E47AB" w:rsidP="00A94A76">
      <w:pPr>
        <w:pStyle w:val="ListBullet"/>
      </w:pPr>
      <w:proofErr w:type="spellStart"/>
      <w:r w:rsidRPr="005E47AB">
        <w:t>Q</w:t>
      </w:r>
      <w:r w:rsidR="00475AB1" w:rsidRPr="005E47AB">
        <w:t>arziba</w:t>
      </w:r>
      <w:proofErr w:type="spellEnd"/>
      <w:r w:rsidR="00D378B5">
        <w:t xml:space="preserve"> (</w:t>
      </w:r>
      <w:proofErr w:type="spellStart"/>
      <w:r w:rsidR="00D378B5">
        <w:t>d</w:t>
      </w:r>
      <w:r w:rsidRPr="005E47AB">
        <w:t>inutuximab</w:t>
      </w:r>
      <w:proofErr w:type="spellEnd"/>
      <w:r w:rsidRPr="005E47AB">
        <w:t xml:space="preserve"> beta) is to be included in the Black Triangle Scheme. The PI and</w:t>
      </w:r>
      <w:r w:rsidR="001E4C4A">
        <w:t xml:space="preserve"> </w:t>
      </w:r>
      <w:r w:rsidRPr="005E47AB">
        <w:t xml:space="preserve">CMI for </w:t>
      </w:r>
      <w:proofErr w:type="spellStart"/>
      <w:r w:rsidRPr="005E47AB">
        <w:t>Q</w:t>
      </w:r>
      <w:r w:rsidR="00475AB1" w:rsidRPr="005E47AB">
        <w:t>arziba</w:t>
      </w:r>
      <w:proofErr w:type="spellEnd"/>
      <w:r w:rsidRPr="005E47AB">
        <w:t xml:space="preserve"> must include the black triangle symbol and mandatory accompanying</w:t>
      </w:r>
      <w:r w:rsidR="001E4C4A">
        <w:t xml:space="preserve"> </w:t>
      </w:r>
      <w:r w:rsidRPr="005E47AB">
        <w:t>text for five years, which starts from the date that the sponsor notifies the TGA of supply</w:t>
      </w:r>
      <w:r w:rsidR="001E4C4A">
        <w:t xml:space="preserve"> </w:t>
      </w:r>
      <w:r w:rsidRPr="005E47AB">
        <w:t>of the product.</w:t>
      </w:r>
    </w:p>
    <w:p w14:paraId="7F483421" w14:textId="13AD2F60" w:rsidR="00706B75" w:rsidRDefault="005E47AB" w:rsidP="00A94A76">
      <w:pPr>
        <w:pStyle w:val="ListBullet"/>
      </w:pPr>
      <w:r w:rsidRPr="005E47AB">
        <w:t xml:space="preserve">The </w:t>
      </w:r>
      <w:proofErr w:type="spellStart"/>
      <w:r w:rsidRPr="005E47AB">
        <w:t>Q</w:t>
      </w:r>
      <w:r w:rsidR="00475AB1" w:rsidRPr="005E47AB">
        <w:t>arziba</w:t>
      </w:r>
      <w:proofErr w:type="spellEnd"/>
      <w:r w:rsidRPr="005E47AB">
        <w:t xml:space="preserve"> EU-</w:t>
      </w:r>
      <w:r w:rsidR="00A94A76">
        <w:t>RMP</w:t>
      </w:r>
      <w:r w:rsidRPr="005E47AB">
        <w:t xml:space="preserve"> (version 8.0, date 29 March 2017; DLP</w:t>
      </w:r>
      <w:r w:rsidR="001E4C4A">
        <w:t xml:space="preserve"> </w:t>
      </w:r>
      <w:r w:rsidRPr="005E47AB">
        <w:t xml:space="preserve">11 November 2015), with Australian </w:t>
      </w:r>
      <w:r w:rsidR="001F1AFD">
        <w:t>s</w:t>
      </w:r>
      <w:r w:rsidRPr="005E47AB">
        <w:t>pecific Annex (version 1.0, dated 10 July 2019),</w:t>
      </w:r>
      <w:r w:rsidR="00706B75">
        <w:t xml:space="preserve"> </w:t>
      </w:r>
      <w:r w:rsidRPr="005E47AB">
        <w:t>included with submission PM-2019-03174-1-4, and any subsequent revisions, as agreed</w:t>
      </w:r>
      <w:r w:rsidR="001E4C4A">
        <w:t xml:space="preserve"> </w:t>
      </w:r>
      <w:r w:rsidRPr="005E47AB">
        <w:t>with the TGA will be implemented in Australia.</w:t>
      </w:r>
    </w:p>
    <w:p w14:paraId="1004C2B6" w14:textId="18C1B0A8" w:rsidR="001E4C4A" w:rsidRDefault="005E47AB" w:rsidP="006C55A1">
      <w:pPr>
        <w:pStyle w:val="ListBullet"/>
        <w:numPr>
          <w:ilvl w:val="0"/>
          <w:numId w:val="0"/>
        </w:numPr>
        <w:ind w:left="360"/>
      </w:pPr>
      <w:r w:rsidRPr="005E47AB">
        <w:t>An obligatory component of risk management plans is routine pharmacovigilance.</w:t>
      </w:r>
      <w:r w:rsidR="001E4C4A">
        <w:t xml:space="preserve"> </w:t>
      </w:r>
      <w:r w:rsidRPr="005E47AB">
        <w:t xml:space="preserve">Routine pharmacovigilance includes the submission of </w:t>
      </w:r>
      <w:r w:rsidR="00563A3D">
        <w:t>PSURs</w:t>
      </w:r>
      <w:r w:rsidR="001E4C4A">
        <w:t>.</w:t>
      </w:r>
    </w:p>
    <w:p w14:paraId="21AE892D" w14:textId="0E8D1544" w:rsidR="001E4C4A" w:rsidRDefault="005E47AB" w:rsidP="006C55A1">
      <w:pPr>
        <w:pStyle w:val="ListBullet"/>
        <w:numPr>
          <w:ilvl w:val="0"/>
          <w:numId w:val="0"/>
        </w:numPr>
        <w:ind w:left="360"/>
      </w:pPr>
      <w:r w:rsidRPr="005E47AB">
        <w:t>Reports are to be provided in line with the current published list of EU reference dates</w:t>
      </w:r>
      <w:r w:rsidR="001E4C4A">
        <w:t xml:space="preserve"> </w:t>
      </w:r>
      <w:r w:rsidRPr="005E47AB">
        <w:t>and frequency of submission of PSURs until the period covered by such reports is not</w:t>
      </w:r>
      <w:r w:rsidR="001E4C4A">
        <w:t xml:space="preserve"> </w:t>
      </w:r>
      <w:r w:rsidRPr="005E47AB">
        <w:t>less than three years from the date of this approval letter</w:t>
      </w:r>
      <w:r w:rsidR="001E4C4A">
        <w:t>.</w:t>
      </w:r>
    </w:p>
    <w:p w14:paraId="3FD13AA5" w14:textId="4FCE8CE4" w:rsidR="001E4C4A" w:rsidRDefault="005E47AB" w:rsidP="006C55A1">
      <w:pPr>
        <w:pStyle w:val="ListBullet"/>
        <w:numPr>
          <w:ilvl w:val="0"/>
          <w:numId w:val="0"/>
        </w:numPr>
        <w:ind w:left="360"/>
      </w:pPr>
      <w:r w:rsidRPr="005E47AB">
        <w:t>The reports are to at least meet the requirements for PSURs as described in the</w:t>
      </w:r>
      <w:r w:rsidR="001E4C4A">
        <w:t xml:space="preserve"> </w:t>
      </w:r>
      <w:r w:rsidRPr="005E47AB">
        <w:t xml:space="preserve">European Medicines Agency’s Guideline on </w:t>
      </w:r>
      <w:r w:rsidR="006457A6">
        <w:t>GVP</w:t>
      </w:r>
      <w:r w:rsidR="001E4C4A">
        <w:t xml:space="preserve"> </w:t>
      </w:r>
      <w:r w:rsidRPr="005E47AB">
        <w:t>Module VII-periodic safety update report (Rev 1), Part VII.B Structures and processes.</w:t>
      </w:r>
      <w:r w:rsidR="001E4C4A">
        <w:t xml:space="preserve"> </w:t>
      </w:r>
      <w:r w:rsidRPr="005E47AB">
        <w:t>Note that submission of a PSUR does not constitute an application to vary the</w:t>
      </w:r>
      <w:r w:rsidR="00231B45">
        <w:t xml:space="preserve"> </w:t>
      </w:r>
      <w:r w:rsidRPr="005E47AB">
        <w:t>registration</w:t>
      </w:r>
      <w:r w:rsidR="001E4C4A">
        <w:t>.</w:t>
      </w:r>
    </w:p>
    <w:p w14:paraId="2032A5BF" w14:textId="77777777" w:rsidR="00D406BB" w:rsidRPr="00D406BB" w:rsidRDefault="00D406BB" w:rsidP="00D406BB">
      <w:pPr>
        <w:pStyle w:val="ListBullet"/>
      </w:pPr>
      <w:r w:rsidRPr="00D406BB">
        <w:t xml:space="preserve">It is a condition of registration that all batches of </w:t>
      </w:r>
      <w:proofErr w:type="spellStart"/>
      <w:r w:rsidRPr="00D406BB">
        <w:t>Qarziba</w:t>
      </w:r>
      <w:proofErr w:type="spellEnd"/>
      <w:r w:rsidRPr="00D406BB">
        <w:t xml:space="preserve"> (</w:t>
      </w:r>
      <w:proofErr w:type="spellStart"/>
      <w:r w:rsidRPr="00D406BB">
        <w:t>dinutuximab</w:t>
      </w:r>
      <w:proofErr w:type="spellEnd"/>
      <w:r w:rsidRPr="00D406BB">
        <w:t xml:space="preserve"> beta) imported into/manufactured in Australia must comply with the product details and specifications approved during evaluation and detailed in the Certified Product Details (CPD).</w:t>
      </w:r>
    </w:p>
    <w:p w14:paraId="520D6521" w14:textId="77777777" w:rsidR="00D406BB" w:rsidRPr="00D406BB" w:rsidRDefault="00D406BB" w:rsidP="00D406BB">
      <w:pPr>
        <w:pStyle w:val="ListBullet"/>
      </w:pPr>
      <w:r w:rsidRPr="00D406BB">
        <w:t xml:space="preserve">It is a condition of registration that up to 5 initial batches of </w:t>
      </w:r>
      <w:proofErr w:type="spellStart"/>
      <w:r w:rsidRPr="00D406BB">
        <w:t>Qarziba</w:t>
      </w:r>
      <w:proofErr w:type="spellEnd"/>
      <w:r w:rsidRPr="00D406BB">
        <w:t xml:space="preserve"> (</w:t>
      </w:r>
      <w:proofErr w:type="spellStart"/>
      <w:r w:rsidRPr="00D406BB">
        <w:t>dinutuximab</w:t>
      </w:r>
      <w:proofErr w:type="spellEnd"/>
      <w:r w:rsidRPr="00D406BB">
        <w:t xml:space="preserve"> beta) imported into/manufactured in Australia is not released for sale until samples and/or the manufacturer’s release data have been assessed and endorsed for release by the TGA Laboratories Branch. Outcomes of laboratory testing are published biannually in the TGA Database of Laboratory Testing Results </w:t>
      </w:r>
      <w:hyperlink r:id="rId34" w:history="1">
        <w:r w:rsidRPr="00D406BB">
          <w:rPr>
            <w:rStyle w:val="Hyperlink"/>
            <w:color w:val="auto"/>
            <w:u w:val="none"/>
          </w:rPr>
          <w:t>http://www.tga.gov.au/ws-labsindex</w:t>
        </w:r>
      </w:hyperlink>
      <w:r w:rsidRPr="00D406BB">
        <w:t>.</w:t>
      </w:r>
    </w:p>
    <w:p w14:paraId="66ED8D89" w14:textId="77777777" w:rsidR="00D406BB" w:rsidRPr="00D406BB" w:rsidRDefault="00D406BB" w:rsidP="00D406BB">
      <w:pPr>
        <w:pStyle w:val="ListBullet"/>
      </w:pPr>
      <w:r w:rsidRPr="00D406BB">
        <w:t>The sponsor should be prepared to provide product samples, reference materials and documentary evidence as defined by the TGA Laboratories branch. The sponsor must contact Biochemistry.Testing@health.gov.au for specific material requirements related to the batch release testing/assessment of the product. More information on TGA testing of biological medicines is available at https://www.tga.gov.au/publication/testing-biological-medicines. This batch release condition will be reviewed and may be modified on the basis of actual batch quality and consistency. This condition remains in place until the sponsor is notified in writing of any variation.</w:t>
      </w:r>
    </w:p>
    <w:p w14:paraId="41FFE4DD" w14:textId="013A6F0D" w:rsidR="00D406BB" w:rsidRDefault="00D406BB" w:rsidP="00D406BB">
      <w:pPr>
        <w:pStyle w:val="ListBullet"/>
      </w:pPr>
      <w:r w:rsidRPr="00D406BB">
        <w:t>The CPD, as described in Guidance 7: Certified Product Details of the Australian Regulatory Guidelines for Prescription Medicines (http://www.tga.gov.au/industry/pm-argpm-guidance-7.htm), in portable document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77FA2CD4" w14:textId="6511B822" w:rsidR="001F1AFD" w:rsidRDefault="001F1AFD" w:rsidP="001F1AFD">
      <w:pPr>
        <w:pStyle w:val="ListBullet"/>
      </w:pPr>
      <w:r>
        <w:lastRenderedPageBreak/>
        <w:t>For all injectable products the PI must be included with the product as a package insert.</w:t>
      </w:r>
    </w:p>
    <w:p w14:paraId="088E1ABB" w14:textId="77777777" w:rsidR="008E7846" w:rsidRDefault="00A80B5B" w:rsidP="00D23139">
      <w:pPr>
        <w:pStyle w:val="Heading2"/>
      </w:pPr>
      <w:bookmarkStart w:id="75" w:name="_Toc44507103"/>
      <w:r>
        <w:t xml:space="preserve">Attachment 1. </w:t>
      </w:r>
      <w:r w:rsidR="008E7846">
        <w:t xml:space="preserve">Product </w:t>
      </w:r>
      <w:r w:rsidR="00AA0ED0">
        <w:t>I</w:t>
      </w:r>
      <w:r w:rsidR="008E7846">
        <w:t>nformation</w:t>
      </w:r>
      <w:bookmarkEnd w:id="73"/>
      <w:bookmarkEnd w:id="74"/>
      <w:bookmarkEnd w:id="75"/>
    </w:p>
    <w:p w14:paraId="071DE8FC" w14:textId="107DCF20" w:rsidR="00770CAC" w:rsidRDefault="006136D7" w:rsidP="00C565B7">
      <w:r w:rsidRPr="002B3624">
        <w:t xml:space="preserve">The </w:t>
      </w:r>
      <w:r>
        <w:t>PI</w:t>
      </w:r>
      <w:r w:rsidRPr="002B3624">
        <w:t xml:space="preserve"> for </w:t>
      </w:r>
      <w:proofErr w:type="spellStart"/>
      <w:r w:rsidR="00FD0F6E">
        <w:t>Qarziba</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5" w:history="1">
        <w:r w:rsidR="007C6B9B" w:rsidRPr="007C6B9B">
          <w:rPr>
            <w:rStyle w:val="Hyperlink"/>
          </w:rPr>
          <w:t>https://www.tga.gov.au/product-information-pi</w:t>
        </w:r>
      </w:hyperlink>
      <w:r w:rsidR="007C6B9B" w:rsidRPr="007C6B9B">
        <w:t>&gt;</w:t>
      </w:r>
      <w:r w:rsidR="006457A6">
        <w:t xml:space="preserve"> </w:t>
      </w:r>
    </w:p>
    <w:p w14:paraId="217FC039" w14:textId="77777777" w:rsidR="00291957" w:rsidRDefault="00291957" w:rsidP="00291957">
      <w:pPr>
        <w:rPr>
          <w:lang w:eastAsia="ja-JP"/>
        </w:rPr>
      </w:pPr>
    </w:p>
    <w:p w14:paraId="3CFE18C8" w14:textId="77777777" w:rsidR="00C80137" w:rsidRPr="001D043B" w:rsidRDefault="00C80137" w:rsidP="003A7F6C">
      <w:pPr>
        <w:pStyle w:val="TableTitle"/>
        <w:sectPr w:rsidR="00C80137" w:rsidRPr="001D043B" w:rsidSect="00B452CE">
          <w:headerReference w:type="even" r:id="rId36"/>
          <w:headerReference w:type="default" r:id="rId37"/>
          <w:headerReference w:type="first" r:id="rId38"/>
          <w:footerReference w:type="first" r:id="rId3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399FA9F6" w14:textId="77777777" w:rsidTr="00A05FA4">
        <w:trPr>
          <w:trHeight w:hRule="exact" w:val="704"/>
        </w:trPr>
        <w:tc>
          <w:tcPr>
            <w:tcW w:w="9175" w:type="dxa"/>
          </w:tcPr>
          <w:p w14:paraId="7B0994D5" w14:textId="77777777" w:rsidR="001C32CD" w:rsidRPr="00487162" w:rsidRDefault="001C32CD" w:rsidP="00A05FA4">
            <w:pPr>
              <w:pStyle w:val="TGASignoff"/>
            </w:pPr>
            <w:r w:rsidRPr="00487162">
              <w:lastRenderedPageBreak/>
              <w:t>Therapeutic Goods Administration</w:t>
            </w:r>
          </w:p>
        </w:tc>
      </w:tr>
      <w:tr w:rsidR="001C32CD" w:rsidRPr="004C239D" w14:paraId="2F5881AB" w14:textId="77777777" w:rsidTr="00A05FA4">
        <w:trPr>
          <w:trHeight w:val="1221"/>
        </w:trPr>
        <w:tc>
          <w:tcPr>
            <w:tcW w:w="9175" w:type="dxa"/>
            <w:tcMar>
              <w:top w:w="28" w:type="dxa"/>
            </w:tcMar>
          </w:tcPr>
          <w:p w14:paraId="3D482280" w14:textId="77777777" w:rsidR="001C32CD" w:rsidRPr="00487162" w:rsidRDefault="001C32CD" w:rsidP="00A05FA4">
            <w:pPr>
              <w:pStyle w:val="Address"/>
            </w:pPr>
            <w:r w:rsidRPr="00487162">
              <w:t>PO Box 100 Woden ACT 2606 Australia</w:t>
            </w:r>
          </w:p>
          <w:p w14:paraId="13606411" w14:textId="77777777" w:rsidR="001C32CD" w:rsidRPr="00487162" w:rsidRDefault="001C32CD" w:rsidP="00A05FA4">
            <w:pPr>
              <w:pStyle w:val="Address"/>
            </w:pPr>
            <w:r w:rsidRPr="00487162">
              <w:t xml:space="preserve">Email: </w:t>
            </w:r>
            <w:hyperlink r:id="rId40" w:history="1">
              <w:r w:rsidRPr="004C239D">
                <w:rPr>
                  <w:rStyle w:val="Hyperlink"/>
                </w:rPr>
                <w:t>info@tga.gov.au</w:t>
              </w:r>
            </w:hyperlink>
            <w:r w:rsidR="001E4C4A">
              <w:t xml:space="preserve"> </w:t>
            </w:r>
            <w:r w:rsidRPr="00487162">
              <w:t>Phone: 1800 020 653</w:t>
            </w:r>
            <w:r w:rsidR="001E4C4A">
              <w:t xml:space="preserve"> </w:t>
            </w:r>
            <w:r w:rsidRPr="00487162">
              <w:t>Fax: 02 6232 8605</w:t>
            </w:r>
          </w:p>
          <w:p w14:paraId="73EB924D" w14:textId="77777777" w:rsidR="001C32CD" w:rsidRPr="004C239D" w:rsidRDefault="00F03EFF" w:rsidP="00A05FA4">
            <w:pPr>
              <w:pStyle w:val="Address"/>
              <w:spacing w:line="260" w:lineRule="atLeast"/>
              <w:rPr>
                <w:b/>
                <w:color w:val="0000FF"/>
                <w:u w:val="single"/>
              </w:rPr>
            </w:pPr>
            <w:hyperlink r:id="rId41" w:history="1">
              <w:r w:rsidR="007C6B9B" w:rsidRPr="007C6B9B">
                <w:rPr>
                  <w:rStyle w:val="Hyperlink"/>
                  <w:b/>
                </w:rPr>
                <w:t>https://www.tga.gov.au</w:t>
              </w:r>
            </w:hyperlink>
          </w:p>
        </w:tc>
      </w:tr>
    </w:tbl>
    <w:p w14:paraId="717353F6" w14:textId="77777777" w:rsidR="00774E1D" w:rsidRPr="008A5E0B" w:rsidRDefault="00774E1D" w:rsidP="004C239D"/>
    <w:sectPr w:rsidR="00774E1D" w:rsidRPr="008A5E0B" w:rsidSect="001C32CD">
      <w:headerReference w:type="even" r:id="rId42"/>
      <w:headerReference w:type="default" r:id="rId43"/>
      <w:footerReference w:type="default" r:id="rId44"/>
      <w:headerReference w:type="first" r:id="rId45"/>
      <w:footerReference w:type="first" r:id="rId46"/>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C432DE" w16cid:durableId="226FBCE3"/>
  <w16cid:commentId w16cid:paraId="44CD5703" w16cid:durableId="226FBD3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3774D6" w14:textId="77777777" w:rsidR="00F03EFF" w:rsidRDefault="00F03EFF" w:rsidP="00C40A36">
      <w:pPr>
        <w:spacing w:after="0"/>
      </w:pPr>
      <w:r>
        <w:separator/>
      </w:r>
    </w:p>
  </w:endnote>
  <w:endnote w:type="continuationSeparator" w:id="0">
    <w:p w14:paraId="7B05196E" w14:textId="77777777" w:rsidR="00F03EFF" w:rsidRDefault="00F03EF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TimesNewRoman">
    <w:altName w:val="Malgun Gothic"/>
    <w:panose1 w:val="00000000000000000000"/>
    <w:charset w:val="80"/>
    <w:family w:val="auto"/>
    <w:notTrueType/>
    <w:pitch w:val="default"/>
    <w:sig w:usb0="00000083" w:usb1="09070000" w:usb2="00000010" w:usb3="00000000" w:csb0="000A0009" w:csb1="00000000"/>
  </w:font>
  <w:font w:name="Wingdings 3">
    <w:panose1 w:val="050401020108070707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1BA6C" w14:textId="77777777" w:rsidR="00F03EFF" w:rsidRDefault="00F03E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F03EFF" w:rsidRPr="00487162" w14:paraId="140764FA" w14:textId="77777777" w:rsidTr="00DB750B">
      <w:trPr>
        <w:trHeight w:val="269"/>
      </w:trPr>
      <w:tc>
        <w:tcPr>
          <w:tcW w:w="7371" w:type="dxa"/>
          <w:tcMar>
            <w:top w:w="142" w:type="dxa"/>
            <w:bottom w:w="0" w:type="dxa"/>
          </w:tcMar>
        </w:tcPr>
        <w:p w14:paraId="78E647FD" w14:textId="67A5FDBB" w:rsidR="00F03EFF" w:rsidRDefault="00F03EFF" w:rsidP="00DB750B">
          <w:pPr>
            <w:pStyle w:val="Footer"/>
          </w:pPr>
          <w:r>
            <w:t xml:space="preserve">AusPAR - </w:t>
          </w:r>
          <w:r w:rsidRPr="006D29F9">
            <w:t xml:space="preserve">QARZIBA - </w:t>
          </w:r>
          <w:proofErr w:type="spellStart"/>
          <w:r w:rsidRPr="006D29F9">
            <w:t>dinutuximab</w:t>
          </w:r>
          <w:proofErr w:type="spellEnd"/>
          <w:r w:rsidRPr="006D29F9">
            <w:t xml:space="preserve"> beta - Emerge Health Pty Ltd - PM-2019-03174-1-4</w:t>
          </w:r>
        </w:p>
        <w:p w14:paraId="3564B9AF" w14:textId="76DEA941" w:rsidR="00F03EFF" w:rsidRPr="00487162" w:rsidRDefault="00F03EFF" w:rsidP="00C401D3">
          <w:pPr>
            <w:pStyle w:val="Footer"/>
          </w:pPr>
          <w:r>
            <w:t>FINAL</w:t>
          </w:r>
          <w:r w:rsidRPr="00F04280">
            <w:t xml:space="preserve"> </w:t>
          </w:r>
          <w:r>
            <w:t xml:space="preserve">30 </w:t>
          </w:r>
          <w:r w:rsidRPr="00F04280">
            <w:t>June 2020</w:t>
          </w:r>
        </w:p>
      </w:tc>
      <w:tc>
        <w:tcPr>
          <w:tcW w:w="1490" w:type="dxa"/>
          <w:tcMar>
            <w:top w:w="142" w:type="dxa"/>
            <w:bottom w:w="0" w:type="dxa"/>
          </w:tcMar>
        </w:tcPr>
        <w:p w14:paraId="74344351" w14:textId="5DEDD5FD" w:rsidR="00F03EFF" w:rsidRPr="00487162" w:rsidRDefault="00F03EFF" w:rsidP="00DB750B">
          <w:pPr>
            <w:pStyle w:val="Footer"/>
            <w:jc w:val="right"/>
          </w:pPr>
          <w:r w:rsidRPr="00487162">
            <w:t xml:space="preserve">Page </w:t>
          </w:r>
          <w:r>
            <w:fldChar w:fldCharType="begin"/>
          </w:r>
          <w:r>
            <w:instrText xml:space="preserve"> PAGE  \* Arabic </w:instrText>
          </w:r>
          <w:r>
            <w:fldChar w:fldCharType="separate"/>
          </w:r>
          <w:r w:rsidR="00BE0492">
            <w:rPr>
              <w:noProof/>
            </w:rPr>
            <w:t>21</w:t>
          </w:r>
          <w:r>
            <w:fldChar w:fldCharType="end"/>
          </w:r>
          <w:r w:rsidRPr="00487162">
            <w:t xml:space="preserve"> of </w:t>
          </w:r>
          <w:fldSimple w:instr=" NUMPAGES  \* Arabic ">
            <w:r w:rsidR="00BE0492">
              <w:rPr>
                <w:noProof/>
              </w:rPr>
              <w:t>35</w:t>
            </w:r>
          </w:fldSimple>
        </w:p>
      </w:tc>
    </w:tr>
  </w:tbl>
  <w:p w14:paraId="7AB989AF" w14:textId="77777777" w:rsidR="00F03EFF" w:rsidRDefault="00F03EFF"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354BC" w14:textId="77777777" w:rsidR="00F03EFF" w:rsidRDefault="00F03E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03EFF" w:rsidRPr="00487162" w14:paraId="1D8BB434" w14:textId="77777777" w:rsidTr="00E45619">
      <w:trPr>
        <w:trHeight w:val="269"/>
      </w:trPr>
      <w:tc>
        <w:tcPr>
          <w:tcW w:w="4519" w:type="dxa"/>
          <w:tcBorders>
            <w:top w:val="single" w:sz="4" w:space="0" w:color="auto"/>
          </w:tcBorders>
          <w:tcMar>
            <w:top w:w="142" w:type="dxa"/>
            <w:bottom w:w="0" w:type="dxa"/>
          </w:tcMar>
        </w:tcPr>
        <w:p w14:paraId="6CE2D982" w14:textId="77777777" w:rsidR="00F03EFF" w:rsidRPr="00487162" w:rsidRDefault="00F03EFF" w:rsidP="00FE1DEE">
          <w:pPr>
            <w:pStyle w:val="Footer"/>
          </w:pPr>
          <w:r w:rsidRPr="00487162">
            <w:t>Document title, Part #, Section # - Section title</w:t>
          </w:r>
        </w:p>
        <w:p w14:paraId="55BF4616" w14:textId="77777777" w:rsidR="00F03EFF" w:rsidRPr="00487162" w:rsidRDefault="00F03EFF" w:rsidP="00FE1DEE">
          <w:pPr>
            <w:pStyle w:val="Footer"/>
          </w:pPr>
          <w:r w:rsidRPr="00487162">
            <w:t>V1.0 October 2010</w:t>
          </w:r>
        </w:p>
      </w:tc>
      <w:tc>
        <w:tcPr>
          <w:tcW w:w="4342" w:type="dxa"/>
          <w:tcBorders>
            <w:top w:val="single" w:sz="4" w:space="0" w:color="auto"/>
          </w:tcBorders>
          <w:tcMar>
            <w:top w:w="142" w:type="dxa"/>
            <w:bottom w:w="0" w:type="dxa"/>
          </w:tcMar>
        </w:tcPr>
        <w:p w14:paraId="25F0AF8E" w14:textId="77777777" w:rsidR="00F03EFF" w:rsidRPr="00487162" w:rsidRDefault="00F03EF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w:t>
            </w:r>
          </w:fldSimple>
        </w:p>
      </w:tc>
    </w:tr>
  </w:tbl>
  <w:p w14:paraId="138CEBA9" w14:textId="77777777" w:rsidR="00F03EFF" w:rsidRDefault="00F03E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49694" w14:textId="77777777" w:rsidR="00F03EFF" w:rsidRPr="001C32CD" w:rsidRDefault="00F03EFF"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03EFF" w14:paraId="55E45A74" w14:textId="77777777" w:rsidTr="0010601F">
      <w:trPr>
        <w:trHeight w:val="108"/>
      </w:trPr>
      <w:tc>
        <w:tcPr>
          <w:tcW w:w="8875" w:type="dxa"/>
          <w:gridSpan w:val="2"/>
          <w:tcBorders>
            <w:bottom w:val="single" w:sz="4" w:space="0" w:color="auto"/>
          </w:tcBorders>
          <w:tcMar>
            <w:right w:w="284" w:type="dxa"/>
          </w:tcMar>
        </w:tcPr>
        <w:p w14:paraId="4E32C805" w14:textId="77777777" w:rsidR="00F03EFF" w:rsidRDefault="00F03EFF" w:rsidP="006E08B3">
          <w:pPr>
            <w:pStyle w:val="Heading3"/>
          </w:pPr>
          <w:r>
            <w:t>Copyright</w:t>
          </w:r>
        </w:p>
        <w:p w14:paraId="0D303ED0" w14:textId="77777777" w:rsidR="00F03EFF" w:rsidRDefault="00F03EFF" w:rsidP="006E08B3">
          <w:r>
            <w:rPr>
              <w:rFonts w:cs="Arial"/>
            </w:rPr>
            <w:t>©</w:t>
          </w:r>
          <w:r>
            <w:t xml:space="preserve"> Commonwealth of Australia [add year]</w:t>
          </w:r>
        </w:p>
        <w:p w14:paraId="0EE6609F" w14:textId="77777777" w:rsidR="00F03EFF" w:rsidRDefault="00F03EFF" w:rsidP="006E08B3"/>
        <w:p w14:paraId="371569F0" w14:textId="77777777" w:rsidR="00F03EFF" w:rsidRDefault="00F03EF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B8DDC2D" w14:textId="77777777" w:rsidR="00F03EFF" w:rsidRDefault="00F03EFF" w:rsidP="006E08B3"/>
        <w:p w14:paraId="1C4488D6" w14:textId="77777777" w:rsidR="00F03EFF" w:rsidRDefault="00F03EFF" w:rsidP="006E08B3">
          <w:pPr>
            <w:pStyle w:val="Heading3"/>
          </w:pPr>
          <w:r>
            <w:t>Confidentiality</w:t>
          </w:r>
        </w:p>
        <w:p w14:paraId="0C422F18" w14:textId="77777777" w:rsidR="00F03EFF" w:rsidRDefault="00F03EF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2156BC8" w14:textId="77777777" w:rsidR="00F03EFF" w:rsidRDefault="00F03EFF" w:rsidP="006E08B3"/>
        <w:p w14:paraId="6AD4BD1B" w14:textId="77777777" w:rsidR="00F03EFF" w:rsidRDefault="00F03EFF" w:rsidP="006E08B3">
          <w:r>
            <w:t>For submission made by individuals, all personal details, other than your name, will be removed from your submission before it is published on the TGA’s Internet site.</w:t>
          </w:r>
        </w:p>
        <w:p w14:paraId="7E67B2C2" w14:textId="77777777" w:rsidR="00F03EFF" w:rsidRDefault="00F03EFF" w:rsidP="006E08B3"/>
        <w:p w14:paraId="6B41C9B7" w14:textId="77777777" w:rsidR="00F03EFF" w:rsidRDefault="00F03EFF"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03EFF" w14:paraId="1B7A0B63" w14:textId="77777777" w:rsidTr="0010601F">
      <w:trPr>
        <w:trHeight w:val="417"/>
      </w:trPr>
      <w:tc>
        <w:tcPr>
          <w:tcW w:w="4519" w:type="dxa"/>
          <w:tcBorders>
            <w:top w:val="single" w:sz="4" w:space="0" w:color="auto"/>
          </w:tcBorders>
          <w:tcMar>
            <w:top w:w="142" w:type="dxa"/>
            <w:bottom w:w="0" w:type="dxa"/>
          </w:tcMar>
        </w:tcPr>
        <w:p w14:paraId="346F006A" w14:textId="77777777" w:rsidR="00F03EFF" w:rsidRDefault="00F03EFF" w:rsidP="006E08B3">
          <w:r>
            <w:t>Document title, Part #, Section # - Section title</w:t>
          </w:r>
        </w:p>
        <w:p w14:paraId="216FA80B" w14:textId="77777777" w:rsidR="00F03EFF" w:rsidRDefault="00F03EFF" w:rsidP="006E08B3">
          <w:r>
            <w:t>V1.0 October 2010</w:t>
          </w:r>
        </w:p>
      </w:tc>
      <w:tc>
        <w:tcPr>
          <w:tcW w:w="4356" w:type="dxa"/>
          <w:tcBorders>
            <w:top w:val="single" w:sz="4" w:space="0" w:color="auto"/>
          </w:tcBorders>
          <w:tcMar>
            <w:top w:w="142" w:type="dxa"/>
            <w:bottom w:w="0" w:type="dxa"/>
          </w:tcMar>
        </w:tcPr>
        <w:p w14:paraId="538E770D" w14:textId="77777777" w:rsidR="00F03EFF" w:rsidRDefault="00F03EF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w:t>
            </w:r>
          </w:fldSimple>
          <w:r>
            <w:t xml:space="preserve"> </w:t>
          </w:r>
        </w:p>
      </w:tc>
    </w:tr>
  </w:tbl>
  <w:p w14:paraId="34138A64" w14:textId="77777777" w:rsidR="00F03EFF" w:rsidRDefault="00F03EF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E50A7" w14:textId="77777777" w:rsidR="00F03EFF" w:rsidRDefault="00F03EFF" w:rsidP="00C40A36">
      <w:pPr>
        <w:spacing w:after="0"/>
      </w:pPr>
      <w:r>
        <w:separator/>
      </w:r>
    </w:p>
  </w:footnote>
  <w:footnote w:type="continuationSeparator" w:id="0">
    <w:p w14:paraId="1A65D62D" w14:textId="77777777" w:rsidR="00F03EFF" w:rsidRDefault="00F03EFF" w:rsidP="00C40A36">
      <w:pPr>
        <w:spacing w:after="0"/>
      </w:pPr>
      <w:r>
        <w:continuationSeparator/>
      </w:r>
    </w:p>
  </w:footnote>
  <w:footnote w:id="1">
    <w:p w14:paraId="78E21AF4" w14:textId="4CE6C69F" w:rsidR="00F03EFF" w:rsidRDefault="00F03EFF">
      <w:pPr>
        <w:pStyle w:val="FootnoteText"/>
      </w:pPr>
      <w:r>
        <w:rPr>
          <w:rStyle w:val="FootnoteReference"/>
        </w:rPr>
        <w:footnoteRef/>
      </w:r>
      <w:r w:rsidRPr="004C066B">
        <w:t xml:space="preserve">Maris J. </w:t>
      </w:r>
      <w:r>
        <w:t>M</w:t>
      </w:r>
      <w:r w:rsidRPr="004C066B">
        <w:t xml:space="preserve"> (2010). Recent advances in </w:t>
      </w:r>
      <w:proofErr w:type="spellStart"/>
      <w:r w:rsidRPr="004C066B">
        <w:t>neuroblastoma</w:t>
      </w:r>
      <w:proofErr w:type="spellEnd"/>
      <w:r w:rsidRPr="004C066B">
        <w:t xml:space="preserve">. </w:t>
      </w:r>
      <w:r w:rsidRPr="00E37010">
        <w:rPr>
          <w:i/>
        </w:rPr>
        <w:t>The New England journal of medicine</w:t>
      </w:r>
      <w:r w:rsidRPr="004C066B">
        <w:t>, 362(23), 2202–2211.</w:t>
      </w:r>
    </w:p>
  </w:footnote>
  <w:footnote w:id="2">
    <w:p w14:paraId="221B7714" w14:textId="6E72CB92" w:rsidR="00F03EFF" w:rsidRPr="004C066B" w:rsidRDefault="00F03EFF">
      <w:pPr>
        <w:pStyle w:val="FootnoteText"/>
      </w:pPr>
      <w:r>
        <w:rPr>
          <w:rStyle w:val="FootnoteReference"/>
        </w:rPr>
        <w:footnoteRef/>
      </w:r>
      <w:r w:rsidRPr="004C066B">
        <w:t xml:space="preserve">Colon, N. C. and </w:t>
      </w:r>
      <w:r>
        <w:t>Chung, D. H.</w:t>
      </w:r>
      <w:r w:rsidRPr="004C066B">
        <w:t xml:space="preserve"> (2011). </w:t>
      </w:r>
      <w:proofErr w:type="spellStart"/>
      <w:r w:rsidRPr="004C066B">
        <w:t>Neuroblastoma</w:t>
      </w:r>
      <w:proofErr w:type="spellEnd"/>
      <w:r w:rsidRPr="004C066B">
        <w:t xml:space="preserve">. </w:t>
      </w:r>
      <w:r w:rsidRPr="00E37010">
        <w:rPr>
          <w:i/>
        </w:rPr>
        <w:t xml:space="preserve">Advances In </w:t>
      </w:r>
      <w:proofErr w:type="spellStart"/>
      <w:r w:rsidRPr="00E37010">
        <w:rPr>
          <w:i/>
        </w:rPr>
        <w:t>Pediatrics</w:t>
      </w:r>
      <w:proofErr w:type="spellEnd"/>
      <w:r>
        <w:rPr>
          <w:i/>
        </w:rPr>
        <w:t>,</w:t>
      </w:r>
      <w:r w:rsidRPr="004C066B">
        <w:t xml:space="preserve"> 58(1): 297-311.</w:t>
      </w:r>
    </w:p>
  </w:footnote>
  <w:footnote w:id="3">
    <w:p w14:paraId="09918525" w14:textId="1A7B2F8B" w:rsidR="00F03EFF" w:rsidRPr="00E37010" w:rsidRDefault="00F03EFF" w:rsidP="00E37010">
      <w:pPr>
        <w:pStyle w:val="FootnoteText"/>
        <w:rPr>
          <w:rStyle w:val="FootnoteTextChar"/>
        </w:rPr>
      </w:pPr>
      <w:r w:rsidRPr="002031D3">
        <w:rPr>
          <w:rStyle w:val="FootnoteReference"/>
          <w:rFonts w:asciiTheme="minorHAnsi" w:hAnsiTheme="minorHAnsi"/>
          <w:szCs w:val="18"/>
        </w:rPr>
        <w:footnoteRef/>
      </w:r>
      <w:r w:rsidRPr="002031D3">
        <w:rPr>
          <w:rFonts w:asciiTheme="minorHAnsi" w:hAnsiTheme="minorHAnsi"/>
          <w:szCs w:val="18"/>
        </w:rPr>
        <w:t xml:space="preserve"> </w:t>
      </w:r>
      <w:proofErr w:type="spellStart"/>
      <w:r w:rsidRPr="00E37010">
        <w:rPr>
          <w:rStyle w:val="FootnoteTextChar"/>
        </w:rPr>
        <w:t>Nour-Eldin</w:t>
      </w:r>
      <w:proofErr w:type="spellEnd"/>
      <w:r w:rsidRPr="00E37010">
        <w:rPr>
          <w:rStyle w:val="FootnoteTextChar"/>
        </w:rPr>
        <w:t xml:space="preserve"> et al. (2012)</w:t>
      </w:r>
      <w:r>
        <w:rPr>
          <w:rStyle w:val="FootnoteTextChar"/>
        </w:rPr>
        <w:t>.</w:t>
      </w:r>
      <w:r w:rsidRPr="00E37010">
        <w:rPr>
          <w:rStyle w:val="FootnoteTextChar"/>
        </w:rPr>
        <w:t xml:space="preserve"> </w:t>
      </w:r>
      <w:proofErr w:type="spellStart"/>
      <w:r w:rsidRPr="00E37010">
        <w:rPr>
          <w:rStyle w:val="FootnoteTextChar"/>
        </w:rPr>
        <w:t>Pediatric</w:t>
      </w:r>
      <w:proofErr w:type="spellEnd"/>
      <w:r w:rsidRPr="00E37010">
        <w:rPr>
          <w:rStyle w:val="FootnoteTextChar"/>
        </w:rPr>
        <w:t xml:space="preserve"> primary and metastatic </w:t>
      </w:r>
      <w:proofErr w:type="spellStart"/>
      <w:r w:rsidRPr="00E37010">
        <w:rPr>
          <w:rStyle w:val="FootnoteTextChar"/>
        </w:rPr>
        <w:t>neuroblastoma</w:t>
      </w:r>
      <w:proofErr w:type="spellEnd"/>
      <w:r w:rsidRPr="00E37010">
        <w:rPr>
          <w:rStyle w:val="FootnoteTextChar"/>
        </w:rPr>
        <w:t xml:space="preserve">: MRI findings: Pictorial review. </w:t>
      </w:r>
      <w:hyperlink r:id="rId1" w:tooltip="Go to Magnetic Resonance Imaging on ScienceDirect" w:history="1">
        <w:r w:rsidRPr="00D76EBC">
          <w:rPr>
            <w:rStyle w:val="FootnoteTextChar"/>
            <w:i/>
          </w:rPr>
          <w:t>Magnetic Resonance Imaging</w:t>
        </w:r>
      </w:hyperlink>
      <w:r w:rsidRPr="00E37010">
        <w:rPr>
          <w:rStyle w:val="FootnoteTextChar"/>
        </w:rPr>
        <w:t xml:space="preserve">, </w:t>
      </w:r>
      <w:hyperlink r:id="rId2" w:tooltip="Go to table of contents for this volume/issue" w:history="1">
        <w:r w:rsidRPr="00E37010">
          <w:rPr>
            <w:rStyle w:val="FootnoteTextChar"/>
          </w:rPr>
          <w:t>30(7</w:t>
        </w:r>
      </w:hyperlink>
      <w:r w:rsidRPr="00E37010">
        <w:rPr>
          <w:rStyle w:val="FootnoteTextChar"/>
        </w:rPr>
        <w:t>): 893-906</w:t>
      </w:r>
      <w:r>
        <w:rPr>
          <w:rStyle w:val="FootnoteTextChar"/>
        </w:rPr>
        <w:t>.</w:t>
      </w:r>
    </w:p>
  </w:footnote>
  <w:footnote w:id="4">
    <w:p w14:paraId="376C0383" w14:textId="01F80D96" w:rsidR="00F03EFF" w:rsidRDefault="00F03EFF">
      <w:pPr>
        <w:pStyle w:val="FootnoteText"/>
      </w:pPr>
      <w:r>
        <w:rPr>
          <w:rStyle w:val="FootnoteReference"/>
        </w:rPr>
        <w:footnoteRef/>
      </w:r>
      <w:r>
        <w:t xml:space="preserve"> </w:t>
      </w:r>
      <w:proofErr w:type="spellStart"/>
      <w:r>
        <w:t>Sokol</w:t>
      </w:r>
      <w:proofErr w:type="spellEnd"/>
      <w:r>
        <w:t>, E., and</w:t>
      </w:r>
      <w:r w:rsidRPr="004C066B">
        <w:t xml:space="preserve"> Desai, A. V. (2019). The Evolution of Risk Classification for </w:t>
      </w:r>
      <w:proofErr w:type="spellStart"/>
      <w:r w:rsidRPr="004C066B">
        <w:t>Neuroblastoma</w:t>
      </w:r>
      <w:proofErr w:type="spellEnd"/>
      <w:r w:rsidRPr="004C066B">
        <w:t>. </w:t>
      </w:r>
      <w:r w:rsidRPr="008709E2">
        <w:rPr>
          <w:i/>
        </w:rPr>
        <w:t>Children (Basel, Switzerland)</w:t>
      </w:r>
      <w:r w:rsidRPr="004C066B">
        <w:t>, 6(2), 27. https://doi.org/10.3390/children6020027</w:t>
      </w:r>
      <w:r>
        <w:t>.</w:t>
      </w:r>
    </w:p>
  </w:footnote>
  <w:footnote w:id="5">
    <w:p w14:paraId="3E1FFEA6" w14:textId="6A8551EC" w:rsidR="00F03EFF" w:rsidRDefault="00F03EFF">
      <w:pPr>
        <w:pStyle w:val="FootnoteText"/>
      </w:pPr>
      <w:r>
        <w:rPr>
          <w:rStyle w:val="FootnoteReference"/>
        </w:rPr>
        <w:footnoteRef/>
      </w:r>
      <w:r>
        <w:t xml:space="preserve"> </w:t>
      </w:r>
      <w:r>
        <w:rPr>
          <w:rStyle w:val="FootnoteTextChar"/>
        </w:rPr>
        <w:t>Cohn SL</w:t>
      </w:r>
      <w:r w:rsidRPr="004C066B">
        <w:rPr>
          <w:rStyle w:val="FootnoteTextChar"/>
        </w:rPr>
        <w:t xml:space="preserve"> et al. (2009)</w:t>
      </w:r>
      <w:r>
        <w:rPr>
          <w:rStyle w:val="FootnoteTextChar"/>
        </w:rPr>
        <w:t>.</w:t>
      </w:r>
      <w:r w:rsidRPr="004C066B">
        <w:rPr>
          <w:rStyle w:val="FootnoteTextChar"/>
        </w:rPr>
        <w:t xml:space="preserve"> The International </w:t>
      </w:r>
      <w:proofErr w:type="spellStart"/>
      <w:r w:rsidRPr="004C066B">
        <w:rPr>
          <w:rStyle w:val="FootnoteTextChar"/>
        </w:rPr>
        <w:t>Neuroblastoma</w:t>
      </w:r>
      <w:proofErr w:type="spellEnd"/>
      <w:r w:rsidRPr="004C066B">
        <w:rPr>
          <w:rStyle w:val="FootnoteTextChar"/>
        </w:rPr>
        <w:t xml:space="preserve"> Risk Group (INRG) classification system: an INRG Task Force report. </w:t>
      </w:r>
      <w:r w:rsidRPr="008709E2">
        <w:rPr>
          <w:rStyle w:val="FootnoteTextChar"/>
          <w:i/>
        </w:rPr>
        <w:t xml:space="preserve">J </w:t>
      </w:r>
      <w:proofErr w:type="spellStart"/>
      <w:r w:rsidRPr="008709E2">
        <w:rPr>
          <w:rStyle w:val="FootnoteTextChar"/>
          <w:i/>
        </w:rPr>
        <w:t>Clin</w:t>
      </w:r>
      <w:proofErr w:type="spellEnd"/>
      <w:r w:rsidRPr="008709E2">
        <w:rPr>
          <w:rStyle w:val="FootnoteTextChar"/>
          <w:i/>
        </w:rPr>
        <w:t xml:space="preserve"> </w:t>
      </w:r>
      <w:proofErr w:type="spellStart"/>
      <w:r w:rsidRPr="008709E2">
        <w:rPr>
          <w:rStyle w:val="FootnoteTextChar"/>
          <w:i/>
        </w:rPr>
        <w:t>Oncol</w:t>
      </w:r>
      <w:proofErr w:type="spellEnd"/>
      <w:r w:rsidRPr="004C066B">
        <w:rPr>
          <w:rStyle w:val="FootnoteTextChar"/>
        </w:rPr>
        <w:t>, 27(2):289‐297.</w:t>
      </w:r>
    </w:p>
  </w:footnote>
  <w:footnote w:id="6">
    <w:p w14:paraId="6228FF5C" w14:textId="77777777" w:rsidR="00F03EFF" w:rsidRPr="00385132" w:rsidRDefault="00F03EFF" w:rsidP="00CF1474">
      <w:pPr>
        <w:pStyle w:val="FootnoteText"/>
      </w:pPr>
      <w:r>
        <w:rPr>
          <w:rStyle w:val="FootnoteReference"/>
        </w:rPr>
        <w:footnoteRef/>
      </w:r>
      <w:r>
        <w:t xml:space="preserve"> </w:t>
      </w:r>
      <w:r w:rsidRPr="00385132">
        <w:t>INRG staging system constitutes four stages:</w:t>
      </w:r>
    </w:p>
    <w:p w14:paraId="13D3333F" w14:textId="77777777" w:rsidR="00F03EFF" w:rsidRDefault="00F03EFF" w:rsidP="00CF1474">
      <w:pPr>
        <w:pStyle w:val="FootnoteText"/>
      </w:pPr>
      <w:r w:rsidRPr="00385132">
        <w:rPr>
          <w:shd w:val="clear" w:color="auto" w:fill="FFFFFF"/>
        </w:rPr>
        <w:t xml:space="preserve">Stage L1: </w:t>
      </w:r>
      <w:proofErr w:type="spellStart"/>
      <w:r w:rsidRPr="00385132">
        <w:rPr>
          <w:shd w:val="clear" w:color="auto" w:fill="FFFFFF"/>
        </w:rPr>
        <w:t>Locoregional</w:t>
      </w:r>
      <w:proofErr w:type="spellEnd"/>
      <w:r w:rsidRPr="00385132">
        <w:rPr>
          <w:shd w:val="clear" w:color="auto" w:fill="FFFFFF"/>
        </w:rPr>
        <w:t xml:space="preserve"> </w:t>
      </w:r>
      <w:proofErr w:type="spellStart"/>
      <w:r w:rsidRPr="00385132">
        <w:rPr>
          <w:shd w:val="clear" w:color="auto" w:fill="FFFFFF"/>
        </w:rPr>
        <w:t>tumor</w:t>
      </w:r>
      <w:proofErr w:type="spellEnd"/>
      <w:r w:rsidRPr="00385132">
        <w:rPr>
          <w:shd w:val="clear" w:color="auto" w:fill="FFFFFF"/>
        </w:rPr>
        <w:t xml:space="preserve"> without image defined risk factors</w:t>
      </w:r>
      <w:r>
        <w:rPr>
          <w:shd w:val="clear" w:color="auto" w:fill="FFFFFF"/>
        </w:rPr>
        <w:t>;</w:t>
      </w:r>
    </w:p>
    <w:p w14:paraId="3C583426" w14:textId="77777777" w:rsidR="00F03EFF" w:rsidRDefault="00F03EFF" w:rsidP="00CF1474">
      <w:pPr>
        <w:pStyle w:val="FootnoteText"/>
      </w:pPr>
      <w:r w:rsidRPr="00385132">
        <w:rPr>
          <w:shd w:val="clear" w:color="auto" w:fill="FFFFFF"/>
        </w:rPr>
        <w:t xml:space="preserve">Stage L2: </w:t>
      </w:r>
      <w:proofErr w:type="spellStart"/>
      <w:r w:rsidRPr="00385132">
        <w:rPr>
          <w:shd w:val="clear" w:color="auto" w:fill="FFFFFF"/>
        </w:rPr>
        <w:t>Locoregional</w:t>
      </w:r>
      <w:proofErr w:type="spellEnd"/>
      <w:r w:rsidRPr="00385132">
        <w:rPr>
          <w:shd w:val="clear" w:color="auto" w:fill="FFFFFF"/>
        </w:rPr>
        <w:t xml:space="preserve"> </w:t>
      </w:r>
      <w:proofErr w:type="spellStart"/>
      <w:r w:rsidRPr="00385132">
        <w:rPr>
          <w:shd w:val="clear" w:color="auto" w:fill="FFFFFF"/>
        </w:rPr>
        <w:t>tumor</w:t>
      </w:r>
      <w:proofErr w:type="spellEnd"/>
      <w:r w:rsidRPr="00385132">
        <w:rPr>
          <w:shd w:val="clear" w:color="auto" w:fill="FFFFFF"/>
        </w:rPr>
        <w:t xml:space="preserve"> with one or more image defined risk factors</w:t>
      </w:r>
      <w:r>
        <w:rPr>
          <w:shd w:val="clear" w:color="auto" w:fill="FFFFFF"/>
        </w:rPr>
        <w:t>;</w:t>
      </w:r>
    </w:p>
    <w:p w14:paraId="7D57FCC6" w14:textId="77777777" w:rsidR="00F03EFF" w:rsidRDefault="00F03EFF" w:rsidP="00CF1474">
      <w:pPr>
        <w:pStyle w:val="FootnoteText"/>
      </w:pPr>
      <w:r w:rsidRPr="00385132">
        <w:rPr>
          <w:shd w:val="clear" w:color="auto" w:fill="FFFFFF"/>
        </w:rPr>
        <w:t>Stage M: Dista</w:t>
      </w:r>
      <w:r>
        <w:rPr>
          <w:shd w:val="clear" w:color="auto" w:fill="FFFFFF"/>
        </w:rPr>
        <w:t>nt metastatic disease (except MS</w:t>
      </w:r>
      <w:r w:rsidRPr="00385132">
        <w:rPr>
          <w:shd w:val="clear" w:color="auto" w:fill="FFFFFF"/>
        </w:rPr>
        <w:t>)</w:t>
      </w:r>
      <w:r>
        <w:rPr>
          <w:shd w:val="clear" w:color="auto" w:fill="FFFFFF"/>
        </w:rPr>
        <w:t>;</w:t>
      </w:r>
    </w:p>
    <w:p w14:paraId="59D952EC" w14:textId="30C1293E" w:rsidR="00F03EFF" w:rsidRDefault="00F03EFF" w:rsidP="00CF1474">
      <w:pPr>
        <w:pStyle w:val="FootnoteText"/>
      </w:pPr>
      <w:r>
        <w:rPr>
          <w:shd w:val="clear" w:color="auto" w:fill="FFFFFF"/>
        </w:rPr>
        <w:t>Stage MS</w:t>
      </w:r>
      <w:r w:rsidRPr="00385132">
        <w:rPr>
          <w:shd w:val="clear" w:color="auto" w:fill="FFFFFF"/>
        </w:rPr>
        <w:t xml:space="preserve">: INRG Stage L1 or L2 </w:t>
      </w:r>
      <w:proofErr w:type="spellStart"/>
      <w:r w:rsidRPr="00385132">
        <w:rPr>
          <w:shd w:val="clear" w:color="auto" w:fill="FFFFFF"/>
        </w:rPr>
        <w:t>tumor</w:t>
      </w:r>
      <w:proofErr w:type="spellEnd"/>
      <w:r w:rsidRPr="00385132">
        <w:rPr>
          <w:shd w:val="clear" w:color="auto" w:fill="FFFFFF"/>
        </w:rPr>
        <w:t xml:space="preserve"> with metastatic disease confined to skin and/or liver and/or bone marrow</w:t>
      </w:r>
      <w:r>
        <w:rPr>
          <w:shd w:val="clear" w:color="auto" w:fill="FFFFFF"/>
        </w:rPr>
        <w:t>.</w:t>
      </w:r>
    </w:p>
  </w:footnote>
  <w:footnote w:id="7">
    <w:p w14:paraId="151991C7" w14:textId="2F733DBE" w:rsidR="00F03EFF" w:rsidRDefault="00F03EFF" w:rsidP="004B7669">
      <w:pPr>
        <w:pStyle w:val="FootnoteText"/>
      </w:pPr>
      <w:r>
        <w:rPr>
          <w:rStyle w:val="FootnoteReference"/>
        </w:rPr>
        <w:footnoteRef/>
      </w:r>
      <w:r w:rsidRPr="004C066B">
        <w:t>Whittle SB et.al. (2017)</w:t>
      </w:r>
      <w:r>
        <w:t>.</w:t>
      </w:r>
      <w:r w:rsidRPr="004C066B">
        <w:t xml:space="preserve"> Overview and recent advances in the treatment of </w:t>
      </w:r>
      <w:proofErr w:type="spellStart"/>
      <w:r w:rsidRPr="004C066B">
        <w:t>neuro</w:t>
      </w:r>
      <w:r>
        <w:t>blastoma</w:t>
      </w:r>
      <w:proofErr w:type="spellEnd"/>
      <w:r>
        <w:t>.</w:t>
      </w:r>
      <w:r w:rsidRPr="004C066B">
        <w:t xml:space="preserve"> </w:t>
      </w:r>
      <w:r w:rsidRPr="008709E2">
        <w:rPr>
          <w:i/>
        </w:rPr>
        <w:t>Expert Review of Anticancer Therapy</w:t>
      </w:r>
      <w:r w:rsidRPr="004C066B">
        <w:t>, 17(4), 369-386.</w:t>
      </w:r>
    </w:p>
  </w:footnote>
  <w:footnote w:id="8">
    <w:p w14:paraId="6CEFEB3F" w14:textId="3CC8FB5C" w:rsidR="00F03EFF" w:rsidRPr="0051657C" w:rsidRDefault="00F03EFF">
      <w:pPr>
        <w:pStyle w:val="FootnoteText"/>
        <w:rPr>
          <w:lang w:val="en-US"/>
        </w:rPr>
      </w:pPr>
      <w:r>
        <w:rPr>
          <w:rStyle w:val="FootnoteReference"/>
        </w:rPr>
        <w:footnoteRef/>
      </w:r>
      <w:r>
        <w:t xml:space="preserve"> SIOPEN is a</w:t>
      </w:r>
      <w:r w:rsidRPr="00CE1E47">
        <w:t xml:space="preserve"> grouping of </w:t>
      </w:r>
      <w:proofErr w:type="spellStart"/>
      <w:r w:rsidRPr="00CE1E47">
        <w:t>neuroblastoma</w:t>
      </w:r>
      <w:proofErr w:type="spellEnd"/>
      <w:r w:rsidRPr="00CE1E47">
        <w:t xml:space="preserve"> clinicians from Europe and other affiliated countries. </w:t>
      </w:r>
      <w:r>
        <w:t xml:space="preserve">The stated </w:t>
      </w:r>
      <w:r w:rsidRPr="00CE1E47">
        <w:t xml:space="preserve">purpose of the </w:t>
      </w:r>
      <w:r>
        <w:t xml:space="preserve">SIOPEN </w:t>
      </w:r>
      <w:r w:rsidRPr="00CE1E47">
        <w:t xml:space="preserve">Association is </w:t>
      </w:r>
      <w:r>
        <w:t>‘</w:t>
      </w:r>
      <w:r w:rsidRPr="00CE1E47">
        <w:t xml:space="preserve">to perform and facilitate clinical, translational and basic research for children and adolescents with </w:t>
      </w:r>
      <w:proofErr w:type="spellStart"/>
      <w:r w:rsidRPr="00CE1E47">
        <w:t>neuroblastoma</w:t>
      </w:r>
      <w:proofErr w:type="spellEnd"/>
      <w:r w:rsidRPr="00CE1E47">
        <w:t xml:space="preserve"> in European countries as well as worldwide in order to improve the outcome of these patients</w:t>
      </w:r>
      <w:r>
        <w:t>’</w:t>
      </w:r>
      <w:r w:rsidRPr="00CE1E47">
        <w:t>.</w:t>
      </w:r>
    </w:p>
  </w:footnote>
  <w:footnote w:id="9">
    <w:p w14:paraId="2AC2E6AB" w14:textId="058F8218" w:rsidR="00F03EFF" w:rsidRDefault="00F03EFF" w:rsidP="000C7CFF">
      <w:pPr>
        <w:pStyle w:val="FootnoteText"/>
      </w:pPr>
      <w:r>
        <w:rPr>
          <w:rStyle w:val="FootnoteReference"/>
        </w:rPr>
        <w:footnoteRef/>
      </w:r>
      <w:r>
        <w:t xml:space="preserve"> European Medicines Agency (EMA), Marketing authorisation under exceptional circumstances: a type of marketing authorisation granted to medicines where the applicant is unable to provide comprehensive data on the efficacy and safety under normal conditions of use, because the condition to be treated is rare or because collection of full information is not possible or is unethical.</w:t>
      </w:r>
    </w:p>
    <w:p w14:paraId="76FEB973" w14:textId="7D0A82D8" w:rsidR="00F03EFF" w:rsidRDefault="00F03EFF" w:rsidP="000C7CFF">
      <w:pPr>
        <w:pStyle w:val="FootnoteText"/>
      </w:pPr>
      <w:r>
        <w:t>For further information, refer to the EMA guidance document: Pre-authorisation procedural advice for users of the centralised procedure: Question 1.10, EMA/821278/2015, 6 February 2020.</w:t>
      </w:r>
    </w:p>
  </w:footnote>
  <w:footnote w:id="10">
    <w:p w14:paraId="567274B2" w14:textId="69241936" w:rsidR="00F03EFF" w:rsidRDefault="00F03EFF">
      <w:pPr>
        <w:pStyle w:val="FootnoteText"/>
      </w:pPr>
      <w:r w:rsidRPr="00403393">
        <w:rPr>
          <w:rStyle w:val="FootnoteReference"/>
        </w:rPr>
        <w:footnoteRef/>
      </w:r>
      <w:r w:rsidRPr="00403393">
        <w:t xml:space="preserve"> Australian Pregnancy Category C: Drugs which, owing to their pharmacological effects, have caused or may be suspected of causing, harmful effects on the human </w:t>
      </w:r>
      <w:proofErr w:type="spellStart"/>
      <w:r w:rsidRPr="00403393">
        <w:t>fetus</w:t>
      </w:r>
      <w:proofErr w:type="spellEnd"/>
      <w:r w:rsidRPr="00403393">
        <w:t xml:space="preserve"> or neonate without causing malformations. These effects may be reversible. Accompanying texts should be consulted for further details.</w:t>
      </w:r>
    </w:p>
  </w:footnote>
  <w:footnote w:id="11">
    <w:p w14:paraId="3DF794E3" w14:textId="40AFABB4" w:rsidR="00F03EFF" w:rsidRPr="007D6D73" w:rsidRDefault="00F03EFF" w:rsidP="007D6D73">
      <w:pPr>
        <w:shd w:val="clear" w:color="auto" w:fill="FFFFFF"/>
        <w:spacing w:before="0" w:after="0" w:line="240" w:lineRule="auto"/>
        <w:textAlignment w:val="baseline"/>
        <w:rPr>
          <w:rFonts w:ascii="inherit" w:eastAsia="Times New Roman" w:hAnsi="inherit" w:cs="Arial"/>
          <w:color w:val="000000"/>
          <w:sz w:val="19"/>
          <w:szCs w:val="19"/>
          <w:lang w:eastAsia="en-AU"/>
        </w:rPr>
      </w:pPr>
      <w:r>
        <w:rPr>
          <w:rStyle w:val="FootnoteReference"/>
        </w:rPr>
        <w:footnoteRef/>
      </w:r>
      <w:r>
        <w:t xml:space="preserve"> </w:t>
      </w:r>
      <w:r w:rsidRPr="007D6D73">
        <w:rPr>
          <w:rStyle w:val="FootnoteTextChar"/>
          <w:lang w:eastAsia="en-AU"/>
        </w:rPr>
        <w:t>Yu AL</w:t>
      </w:r>
      <w:r w:rsidRPr="007D6D73">
        <w:rPr>
          <w:rStyle w:val="FootnoteTextChar"/>
        </w:rPr>
        <w:t xml:space="preserve"> </w:t>
      </w:r>
      <w:r w:rsidRPr="007D6D73">
        <w:rPr>
          <w:rStyle w:val="FootnoteTextChar"/>
          <w:lang w:eastAsia="en-AU"/>
        </w:rPr>
        <w:t>et al.</w:t>
      </w:r>
      <w:r>
        <w:rPr>
          <w:rStyle w:val="FootnoteTextChar"/>
          <w:lang w:eastAsia="en-AU"/>
        </w:rPr>
        <w:t xml:space="preserve"> (2010).</w:t>
      </w:r>
      <w:r w:rsidRPr="007D6D73">
        <w:rPr>
          <w:rStyle w:val="FootnoteTextChar"/>
        </w:rPr>
        <w:t xml:space="preserve"> </w:t>
      </w:r>
      <w:r w:rsidRPr="007D6D73">
        <w:rPr>
          <w:rStyle w:val="FootnoteTextChar"/>
          <w:lang w:eastAsia="en-AU"/>
        </w:rPr>
        <w:t xml:space="preserve">Anti-GD2 antibody with GM-CSF, interleukin-2, and </w:t>
      </w:r>
      <w:proofErr w:type="spellStart"/>
      <w:r w:rsidRPr="007D6D73">
        <w:rPr>
          <w:rStyle w:val="FootnoteTextChar"/>
          <w:lang w:eastAsia="en-AU"/>
        </w:rPr>
        <w:t>isotretinoin</w:t>
      </w:r>
      <w:proofErr w:type="spellEnd"/>
      <w:r w:rsidRPr="007D6D73">
        <w:rPr>
          <w:rStyle w:val="FootnoteTextChar"/>
          <w:lang w:eastAsia="en-AU"/>
        </w:rPr>
        <w:t xml:space="preserve"> for </w:t>
      </w:r>
      <w:proofErr w:type="spellStart"/>
      <w:r w:rsidRPr="007D6D73">
        <w:rPr>
          <w:rStyle w:val="FootnoteTextChar"/>
          <w:lang w:eastAsia="en-AU"/>
        </w:rPr>
        <w:t>neuroblastoma</w:t>
      </w:r>
      <w:proofErr w:type="spellEnd"/>
      <w:r w:rsidRPr="007D6D73">
        <w:rPr>
          <w:rStyle w:val="FootnoteTextChar"/>
          <w:lang w:eastAsia="en-AU"/>
        </w:rPr>
        <w:t>.</w:t>
      </w:r>
      <w:r>
        <w:rPr>
          <w:rStyle w:val="FootnoteTextChar"/>
          <w:lang w:eastAsia="en-AU"/>
        </w:rPr>
        <w:t xml:space="preserve"> </w:t>
      </w:r>
      <w:r w:rsidRPr="007D6D73">
        <w:rPr>
          <w:rStyle w:val="FootnoteTextChar"/>
          <w:i/>
          <w:lang w:eastAsia="en-AU"/>
        </w:rPr>
        <w:t>N</w:t>
      </w:r>
      <w:r>
        <w:rPr>
          <w:rStyle w:val="FootnoteTextChar"/>
          <w:i/>
          <w:lang w:eastAsia="en-AU"/>
        </w:rPr>
        <w:t> </w:t>
      </w:r>
      <w:proofErr w:type="spellStart"/>
      <w:r w:rsidRPr="007D6D73">
        <w:rPr>
          <w:rStyle w:val="FootnoteTextChar"/>
          <w:i/>
          <w:lang w:eastAsia="en-AU"/>
        </w:rPr>
        <w:t>Engl</w:t>
      </w:r>
      <w:proofErr w:type="spellEnd"/>
      <w:r w:rsidRPr="007D6D73">
        <w:rPr>
          <w:rStyle w:val="FootnoteTextChar"/>
          <w:i/>
          <w:lang w:eastAsia="en-AU"/>
        </w:rPr>
        <w:t xml:space="preserve"> J Med</w:t>
      </w:r>
      <w:r>
        <w:rPr>
          <w:rStyle w:val="FootnoteTextChar"/>
          <w:lang w:eastAsia="en-AU"/>
        </w:rPr>
        <w:t xml:space="preserve">, </w:t>
      </w:r>
      <w:r w:rsidRPr="007D6D73">
        <w:rPr>
          <w:rStyle w:val="FootnoteTextChar"/>
          <w:lang w:eastAsia="en-AU"/>
        </w:rPr>
        <w:t>363:1324–34.</w:t>
      </w:r>
    </w:p>
  </w:footnote>
  <w:footnote w:id="12">
    <w:p w14:paraId="796C3767" w14:textId="23FC4FEB" w:rsidR="00F03EFF" w:rsidRDefault="00F03EFF">
      <w:pPr>
        <w:pStyle w:val="FootnoteText"/>
      </w:pPr>
      <w:r>
        <w:rPr>
          <w:rStyle w:val="FootnoteReference"/>
        </w:rPr>
        <w:footnoteRef/>
      </w:r>
      <w:r>
        <w:t xml:space="preserve"> European Medicines Agency (EMA), European Public Assessment Report (EPAR) for </w:t>
      </w:r>
      <w:proofErr w:type="spellStart"/>
      <w:r>
        <w:t>dinutuximab</w:t>
      </w:r>
      <w:proofErr w:type="spellEnd"/>
      <w:r>
        <w:t xml:space="preserve"> beta (</w:t>
      </w:r>
      <w:proofErr w:type="spellStart"/>
      <w:r>
        <w:t>Apeiron</w:t>
      </w:r>
      <w:proofErr w:type="spellEnd"/>
      <w:r>
        <w:t>), EMA/263814/2017, first published 15 May 2017.</w:t>
      </w:r>
    </w:p>
  </w:footnote>
  <w:footnote w:id="13">
    <w:p w14:paraId="176E796D" w14:textId="77777777" w:rsidR="00F03EFF" w:rsidRDefault="00F03EFF" w:rsidP="00DA6D17">
      <w:pPr>
        <w:pStyle w:val="FootnoteText"/>
      </w:pPr>
      <w:r>
        <w:rPr>
          <w:rStyle w:val="FootnoteReference"/>
        </w:rPr>
        <w:footnoteRef/>
      </w:r>
      <w:r>
        <w:t xml:space="preserve"> </w:t>
      </w:r>
      <w:proofErr w:type="spellStart"/>
      <w:r>
        <w:t>Garaventa</w:t>
      </w:r>
      <w:proofErr w:type="spellEnd"/>
      <w:r>
        <w:t xml:space="preserve"> A et al. (2009). Outcome of children with </w:t>
      </w:r>
      <w:proofErr w:type="spellStart"/>
      <w:r>
        <w:t>neuroblastoma</w:t>
      </w:r>
      <w:proofErr w:type="spellEnd"/>
      <w:r>
        <w:t xml:space="preserve"> after progression or relapse. A retrospective study of the Italian </w:t>
      </w:r>
      <w:proofErr w:type="spellStart"/>
      <w:r>
        <w:t>neuroblastoma</w:t>
      </w:r>
      <w:proofErr w:type="spellEnd"/>
      <w:r>
        <w:t xml:space="preserve"> registry. </w:t>
      </w:r>
      <w:r w:rsidRPr="00D76EBC">
        <w:rPr>
          <w:i/>
        </w:rPr>
        <w:t>European Journal of Cancer</w:t>
      </w:r>
      <w:r>
        <w:t>, 45 (16) 2835-2842</w:t>
      </w:r>
    </w:p>
  </w:footnote>
  <w:footnote w:id="14">
    <w:p w14:paraId="2C5686BB" w14:textId="4FABF3F1" w:rsidR="00F03EFF" w:rsidRPr="00822EA1" w:rsidRDefault="00F03EFF" w:rsidP="00545A26">
      <w:pPr>
        <w:pStyle w:val="FootnoteText"/>
        <w:rPr>
          <w:szCs w:val="18"/>
        </w:rPr>
      </w:pPr>
      <w:r>
        <w:rPr>
          <w:rStyle w:val="FootnoteReference"/>
        </w:rPr>
        <w:footnoteRef/>
      </w:r>
      <w:r>
        <w:t xml:space="preserve"> </w:t>
      </w:r>
      <w:proofErr w:type="spellStart"/>
      <w:r>
        <w:t>Ladenstein</w:t>
      </w:r>
      <w:proofErr w:type="spellEnd"/>
      <w:r>
        <w:t xml:space="preserve"> R, et al. (2018). Interleukin 2 with anti-GD2 antibody ch14.18/CHO (</w:t>
      </w:r>
      <w:proofErr w:type="spellStart"/>
      <w:r>
        <w:t>dinutuximab</w:t>
      </w:r>
      <w:proofErr w:type="spellEnd"/>
      <w:r>
        <w:t xml:space="preserve"> beta) in patients with high-risk </w:t>
      </w:r>
      <w:proofErr w:type="spellStart"/>
      <w:r>
        <w:t>neuroblastoma</w:t>
      </w:r>
      <w:proofErr w:type="spellEnd"/>
      <w:r>
        <w:t xml:space="preserve"> (HR-NBL1/SIOPEN): a multicentre, randomised, phase 3 trial. </w:t>
      </w:r>
      <w:r w:rsidRPr="00822EA1">
        <w:rPr>
          <w:rFonts w:asciiTheme="minorHAnsi" w:hAnsiTheme="minorHAnsi"/>
          <w:i/>
          <w:noProof/>
          <w:szCs w:val="18"/>
        </w:rPr>
        <w:t>Lancet Oncol</w:t>
      </w:r>
      <w:r>
        <w:rPr>
          <w:rFonts w:asciiTheme="minorHAnsi" w:hAnsiTheme="minorHAnsi"/>
          <w:i/>
          <w:noProof/>
          <w:szCs w:val="18"/>
        </w:rPr>
        <w:t>,</w:t>
      </w:r>
      <w:r w:rsidRPr="00822EA1">
        <w:rPr>
          <w:rFonts w:asciiTheme="minorHAnsi" w:hAnsiTheme="minorHAnsi"/>
          <w:noProof/>
          <w:szCs w:val="18"/>
        </w:rPr>
        <w:t xml:space="preserve"> 19: 1617-1629.</w:t>
      </w:r>
    </w:p>
  </w:footnote>
  <w:footnote w:id="15">
    <w:p w14:paraId="1ECAF934" w14:textId="77777777" w:rsidR="00F03EFF" w:rsidRDefault="00F03EFF" w:rsidP="00C110F2">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6BC70918" w14:textId="77777777" w:rsidR="00F03EFF" w:rsidRDefault="00F03EFF" w:rsidP="00C110F2">
      <w:pPr>
        <w:pStyle w:val="FootnoteText"/>
      </w:pPr>
      <w:r w:rsidRPr="00F12492">
        <w:rPr>
          <w:i/>
        </w:rPr>
        <w:t>Routine pharmacovigilance</w:t>
      </w:r>
      <w:r>
        <w:t xml:space="preserve"> practices involve the following activities:</w:t>
      </w:r>
    </w:p>
    <w:p w14:paraId="4DB4C951" w14:textId="77777777" w:rsidR="00F03EFF" w:rsidRDefault="00F03EFF" w:rsidP="00C110F2">
      <w:pPr>
        <w:pStyle w:val="FootnoteText"/>
        <w:numPr>
          <w:ilvl w:val="0"/>
          <w:numId w:val="28"/>
        </w:numPr>
      </w:pPr>
      <w:r>
        <w:t>All suspected adverse reactions that are reported to the personnel of the company are collected and collated in an accessible manner;</w:t>
      </w:r>
    </w:p>
    <w:p w14:paraId="2B9BFBF9" w14:textId="77777777" w:rsidR="00F03EFF" w:rsidRDefault="00F03EFF" w:rsidP="00C110F2">
      <w:pPr>
        <w:pStyle w:val="FootnoteText"/>
        <w:numPr>
          <w:ilvl w:val="0"/>
          <w:numId w:val="28"/>
        </w:numPr>
      </w:pPr>
      <w:r>
        <w:t>Reporting to regulatory authorities;</w:t>
      </w:r>
    </w:p>
    <w:p w14:paraId="1A1E473E" w14:textId="77777777" w:rsidR="00F03EFF" w:rsidRDefault="00F03EFF" w:rsidP="00C110F2">
      <w:pPr>
        <w:pStyle w:val="FootnoteText"/>
        <w:numPr>
          <w:ilvl w:val="0"/>
          <w:numId w:val="28"/>
        </w:numPr>
      </w:pPr>
      <w:r>
        <w:t>Continuous monitoring of the safety profiles of approved products including signal detection and updating of labelling;</w:t>
      </w:r>
    </w:p>
    <w:p w14:paraId="169FC974" w14:textId="77777777" w:rsidR="00F03EFF" w:rsidRDefault="00F03EFF" w:rsidP="00C110F2">
      <w:pPr>
        <w:pStyle w:val="FootnoteText"/>
        <w:numPr>
          <w:ilvl w:val="0"/>
          <w:numId w:val="28"/>
        </w:numPr>
      </w:pPr>
      <w:r>
        <w:t>Submission of PSURs;</w:t>
      </w:r>
    </w:p>
    <w:p w14:paraId="2484CF0D" w14:textId="54DAD222" w:rsidR="00F03EFF" w:rsidRPr="0051657C" w:rsidRDefault="00F03EFF" w:rsidP="0051657C">
      <w:pPr>
        <w:pStyle w:val="FootnoteText"/>
        <w:numPr>
          <w:ilvl w:val="0"/>
          <w:numId w:val="28"/>
        </w:numPr>
        <w:rPr>
          <w:lang w:val="en-US"/>
        </w:rPr>
      </w:pPr>
      <w:r>
        <w:t>Meeting other local regulatory agency requirements.</w:t>
      </w:r>
    </w:p>
  </w:footnote>
  <w:footnote w:id="16">
    <w:p w14:paraId="0E7B8469" w14:textId="77777777" w:rsidR="00F03EFF" w:rsidRDefault="00F03EFF"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339366C5" w14:textId="77777777" w:rsidR="00F03EFF" w:rsidRPr="00456765" w:rsidRDefault="00F03EFF"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C32C5" w14:textId="77777777" w:rsidR="00F03EFF" w:rsidRDefault="00F03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C74F1" w14:textId="77777777" w:rsidR="00F03EFF" w:rsidRDefault="00F03EFF"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9B213" w14:textId="77777777" w:rsidR="00F03EFF" w:rsidRDefault="00F03EFF">
    <w:pPr>
      <w:rPr>
        <w:noProof/>
        <w:lang w:eastAsia="en-AU"/>
      </w:rPr>
    </w:pPr>
    <w:r w:rsidRPr="00347824">
      <w:rPr>
        <w:noProof/>
        <w:lang w:eastAsia="en-AU"/>
      </w:rPr>
      <w:drawing>
        <wp:anchor distT="0" distB="0" distL="114300" distR="114300" simplePos="0" relativeHeight="251659264" behindDoc="1" locked="0" layoutInCell="1" allowOverlap="1" wp14:anchorId="340A5328" wp14:editId="0B24E96B">
          <wp:simplePos x="0" y="0"/>
          <wp:positionH relativeFrom="column">
            <wp:posOffset>-1089660</wp:posOffset>
          </wp:positionH>
          <wp:positionV relativeFrom="paragraph">
            <wp:posOffset>-585470</wp:posOffset>
          </wp:positionV>
          <wp:extent cx="7572375" cy="10706100"/>
          <wp:effectExtent l="19050" t="0" r="0" b="0"/>
          <wp:wrapNone/>
          <wp:docPr id="2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47171A5" w14:textId="77777777" w:rsidR="00F03EFF" w:rsidRDefault="00F03EFF"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E0B8C" w14:textId="77777777" w:rsidR="00F03EFF" w:rsidRDefault="00F03E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C2FC4" w14:textId="77777777" w:rsidR="00F03EFF" w:rsidRDefault="00F03EFF">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2E1E5" w14:textId="77777777" w:rsidR="00F03EFF" w:rsidRDefault="00F03EFF">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EF91F" w14:textId="77777777" w:rsidR="00F03EFF" w:rsidRDefault="00F03EF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54132" w14:textId="77777777" w:rsidR="00F03EFF" w:rsidRDefault="00F03EFF"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1C078" w14:textId="77777777" w:rsidR="00F03EFF" w:rsidRDefault="00F03EFF" w:rsidP="006E08B3">
    <w:r>
      <w:t>Therapeutic Goods Administration</w:t>
    </w:r>
  </w:p>
  <w:p w14:paraId="2D51B787" w14:textId="77777777" w:rsidR="00F03EFF" w:rsidRDefault="00F03EFF"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15091C0"/>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852E33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2C626AF"/>
    <w:multiLevelType w:val="hybridMultilevel"/>
    <w:tmpl w:val="58368A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E17E8B"/>
    <w:multiLevelType w:val="multilevel"/>
    <w:tmpl w:val="C630A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2663DB"/>
    <w:multiLevelType w:val="hybridMultilevel"/>
    <w:tmpl w:val="0DF4CC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68F13E9"/>
    <w:multiLevelType w:val="multilevel"/>
    <w:tmpl w:val="6BBEFAA0"/>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8D43D5F"/>
    <w:multiLevelType w:val="hybridMultilevel"/>
    <w:tmpl w:val="6BF4EE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EC193B"/>
    <w:multiLevelType w:val="hybridMultilevel"/>
    <w:tmpl w:val="1E70EE0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71115E"/>
    <w:multiLevelType w:val="hybridMultilevel"/>
    <w:tmpl w:val="8F3A21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F029AB"/>
    <w:multiLevelType w:val="hybridMultilevel"/>
    <w:tmpl w:val="645A47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490391"/>
    <w:multiLevelType w:val="multilevel"/>
    <w:tmpl w:val="FEC8C98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2C991D52"/>
    <w:multiLevelType w:val="hybridMultilevel"/>
    <w:tmpl w:val="40240BA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1204B4D"/>
    <w:multiLevelType w:val="hybridMultilevel"/>
    <w:tmpl w:val="34EED5E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402C5D"/>
    <w:multiLevelType w:val="hybridMultilevel"/>
    <w:tmpl w:val="60B0CF4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181527C"/>
    <w:multiLevelType w:val="hybridMultilevel"/>
    <w:tmpl w:val="3CA038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DA6B17"/>
    <w:multiLevelType w:val="hybridMultilevel"/>
    <w:tmpl w:val="673E2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7D6E8B"/>
    <w:multiLevelType w:val="hybridMultilevel"/>
    <w:tmpl w:val="4BBAB1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8C5740F"/>
    <w:multiLevelType w:val="hybridMultilevel"/>
    <w:tmpl w:val="3A80973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B577A6F"/>
    <w:multiLevelType w:val="hybridMultilevel"/>
    <w:tmpl w:val="F0300F74"/>
    <w:lvl w:ilvl="0" w:tplc="5494313C">
      <w:start w:val="1"/>
      <w:numFmt w:val="lowerLetter"/>
      <w:lvlText w:val="%1)"/>
      <w:lvlJc w:val="left"/>
      <w:pPr>
        <w:ind w:left="360" w:hanging="360"/>
      </w:pPr>
      <w:rPr>
        <w:b/>
        <w: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4C5A6B"/>
    <w:multiLevelType w:val="hybridMultilevel"/>
    <w:tmpl w:val="B74A34F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9531F7"/>
    <w:multiLevelType w:val="hybridMultilevel"/>
    <w:tmpl w:val="CAD2568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0837C8"/>
    <w:multiLevelType w:val="hybridMultilevel"/>
    <w:tmpl w:val="01C2DF9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71D11CF4"/>
    <w:multiLevelType w:val="hybridMultilevel"/>
    <w:tmpl w:val="E08E562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71DB1CB2"/>
    <w:multiLevelType w:val="hybridMultilevel"/>
    <w:tmpl w:val="1D9659BC"/>
    <w:lvl w:ilvl="0" w:tplc="9858D0C8">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083E82"/>
    <w:multiLevelType w:val="hybridMultilevel"/>
    <w:tmpl w:val="8F3A21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C6F70CC"/>
    <w:multiLevelType w:val="hybridMultilevel"/>
    <w:tmpl w:val="85185F8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7"/>
  </w:num>
  <w:num w:numId="17">
    <w:abstractNumId w:val="7"/>
  </w:num>
  <w:num w:numId="18">
    <w:abstractNumId w:val="7"/>
  </w:num>
  <w:num w:numId="19">
    <w:abstractNumId w:val="8"/>
  </w:num>
  <w:num w:numId="20">
    <w:abstractNumId w:val="8"/>
  </w:num>
  <w:num w:numId="21">
    <w:abstractNumId w:val="8"/>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2"/>
  </w:num>
  <w:num w:numId="28">
    <w:abstractNumId w:val="29"/>
  </w:num>
  <w:num w:numId="29">
    <w:abstractNumId w:val="17"/>
  </w:num>
  <w:num w:numId="30">
    <w:abstractNumId w:val="28"/>
  </w:num>
  <w:num w:numId="31">
    <w:abstractNumId w:val="11"/>
  </w:num>
  <w:num w:numId="32">
    <w:abstractNumId w:val="18"/>
  </w:num>
  <w:num w:numId="33">
    <w:abstractNumId w:val="13"/>
  </w:num>
  <w:num w:numId="34">
    <w:abstractNumId w:val="19"/>
  </w:num>
  <w:num w:numId="35">
    <w:abstractNumId w:val="23"/>
  </w:num>
  <w:num w:numId="36">
    <w:abstractNumId w:val="12"/>
  </w:num>
  <w:num w:numId="37">
    <w:abstractNumId w:val="15"/>
  </w:num>
  <w:num w:numId="38">
    <w:abstractNumId w:val="9"/>
  </w:num>
  <w:num w:numId="39">
    <w:abstractNumId w:val="24"/>
  </w:num>
  <w:num w:numId="40">
    <w:abstractNumId w:val="14"/>
  </w:num>
  <w:num w:numId="41">
    <w:abstractNumId w:val="10"/>
  </w:num>
  <w:num w:numId="42">
    <w:abstractNumId w:val="4"/>
  </w:num>
  <w:num w:numId="43">
    <w:abstractNumId w:val="25"/>
  </w:num>
  <w:num w:numId="44">
    <w:abstractNumId w:val="21"/>
  </w:num>
  <w:num w:numId="45">
    <w:abstractNumId w:val="30"/>
  </w:num>
  <w:num w:numId="46">
    <w:abstractNumId w:val="20"/>
  </w:num>
  <w:num w:numId="47">
    <w:abstractNumId w:val="26"/>
  </w:num>
  <w:num w:numId="48">
    <w:abstractNumId w:val="6"/>
  </w:num>
  <w:num w:numId="49">
    <w:abstractNumId w:val="16"/>
  </w:num>
  <w:num w:numId="50">
    <w:abstractNumId w:val="27"/>
  </w:num>
  <w:num w:numId="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E63"/>
    <w:rsid w:val="00002031"/>
    <w:rsid w:val="00004734"/>
    <w:rsid w:val="00006B22"/>
    <w:rsid w:val="0001276A"/>
    <w:rsid w:val="00014881"/>
    <w:rsid w:val="000246AE"/>
    <w:rsid w:val="00025C67"/>
    <w:rsid w:val="00026327"/>
    <w:rsid w:val="00027C11"/>
    <w:rsid w:val="000316B5"/>
    <w:rsid w:val="00031D2A"/>
    <w:rsid w:val="00041CFB"/>
    <w:rsid w:val="00044772"/>
    <w:rsid w:val="0004541C"/>
    <w:rsid w:val="00045AAC"/>
    <w:rsid w:val="000473AF"/>
    <w:rsid w:val="0005392F"/>
    <w:rsid w:val="0005559E"/>
    <w:rsid w:val="000604D6"/>
    <w:rsid w:val="000734D8"/>
    <w:rsid w:val="00077775"/>
    <w:rsid w:val="00077ECE"/>
    <w:rsid w:val="00084B6E"/>
    <w:rsid w:val="00084F12"/>
    <w:rsid w:val="00087808"/>
    <w:rsid w:val="00090471"/>
    <w:rsid w:val="0009489B"/>
    <w:rsid w:val="00094FC1"/>
    <w:rsid w:val="00095FB4"/>
    <w:rsid w:val="00096AA7"/>
    <w:rsid w:val="000A3AED"/>
    <w:rsid w:val="000B3532"/>
    <w:rsid w:val="000B3A75"/>
    <w:rsid w:val="000B57FF"/>
    <w:rsid w:val="000C00C2"/>
    <w:rsid w:val="000C690F"/>
    <w:rsid w:val="000C7CFF"/>
    <w:rsid w:val="000D1295"/>
    <w:rsid w:val="000D304B"/>
    <w:rsid w:val="000D391B"/>
    <w:rsid w:val="000D3D6D"/>
    <w:rsid w:val="000D4FC7"/>
    <w:rsid w:val="000D6ABA"/>
    <w:rsid w:val="000E6196"/>
    <w:rsid w:val="000E7620"/>
    <w:rsid w:val="000E7B5F"/>
    <w:rsid w:val="000F4869"/>
    <w:rsid w:val="000F5B42"/>
    <w:rsid w:val="000F6E6F"/>
    <w:rsid w:val="00104562"/>
    <w:rsid w:val="0010601F"/>
    <w:rsid w:val="00106BC5"/>
    <w:rsid w:val="0010788A"/>
    <w:rsid w:val="00107A31"/>
    <w:rsid w:val="00110EA5"/>
    <w:rsid w:val="00112F56"/>
    <w:rsid w:val="00117138"/>
    <w:rsid w:val="00124ACD"/>
    <w:rsid w:val="00125318"/>
    <w:rsid w:val="001305A2"/>
    <w:rsid w:val="00133238"/>
    <w:rsid w:val="00133A1B"/>
    <w:rsid w:val="00135040"/>
    <w:rsid w:val="0014197B"/>
    <w:rsid w:val="001447CD"/>
    <w:rsid w:val="001516B1"/>
    <w:rsid w:val="0015196F"/>
    <w:rsid w:val="00154EBB"/>
    <w:rsid w:val="001555CC"/>
    <w:rsid w:val="00156316"/>
    <w:rsid w:val="00161181"/>
    <w:rsid w:val="00162D14"/>
    <w:rsid w:val="00163780"/>
    <w:rsid w:val="00165389"/>
    <w:rsid w:val="00170852"/>
    <w:rsid w:val="001709B6"/>
    <w:rsid w:val="00176742"/>
    <w:rsid w:val="0017693F"/>
    <w:rsid w:val="0018110E"/>
    <w:rsid w:val="00181684"/>
    <w:rsid w:val="001843C6"/>
    <w:rsid w:val="001850E0"/>
    <w:rsid w:val="00196F11"/>
    <w:rsid w:val="001A03AF"/>
    <w:rsid w:val="001A2158"/>
    <w:rsid w:val="001A525F"/>
    <w:rsid w:val="001A5A55"/>
    <w:rsid w:val="001B09F9"/>
    <w:rsid w:val="001B5939"/>
    <w:rsid w:val="001B5C90"/>
    <w:rsid w:val="001B6448"/>
    <w:rsid w:val="001C32CD"/>
    <w:rsid w:val="001D2984"/>
    <w:rsid w:val="001D2B03"/>
    <w:rsid w:val="001D4084"/>
    <w:rsid w:val="001E07CF"/>
    <w:rsid w:val="001E19EB"/>
    <w:rsid w:val="001E4C4A"/>
    <w:rsid w:val="001E59F1"/>
    <w:rsid w:val="001F072C"/>
    <w:rsid w:val="001F1AFD"/>
    <w:rsid w:val="001F2CEE"/>
    <w:rsid w:val="001F49EB"/>
    <w:rsid w:val="001F6CBA"/>
    <w:rsid w:val="00201D4E"/>
    <w:rsid w:val="002031D3"/>
    <w:rsid w:val="002076C9"/>
    <w:rsid w:val="00212904"/>
    <w:rsid w:val="0021666B"/>
    <w:rsid w:val="00220B8A"/>
    <w:rsid w:val="002257F3"/>
    <w:rsid w:val="002301F9"/>
    <w:rsid w:val="00231B45"/>
    <w:rsid w:val="00233456"/>
    <w:rsid w:val="0023390E"/>
    <w:rsid w:val="002339A5"/>
    <w:rsid w:val="00240555"/>
    <w:rsid w:val="00257848"/>
    <w:rsid w:val="002578E8"/>
    <w:rsid w:val="002700B4"/>
    <w:rsid w:val="0027084A"/>
    <w:rsid w:val="00272176"/>
    <w:rsid w:val="00280265"/>
    <w:rsid w:val="00286434"/>
    <w:rsid w:val="00286C59"/>
    <w:rsid w:val="00291957"/>
    <w:rsid w:val="002942D1"/>
    <w:rsid w:val="00294967"/>
    <w:rsid w:val="0029501A"/>
    <w:rsid w:val="002A0341"/>
    <w:rsid w:val="002A3721"/>
    <w:rsid w:val="002A5394"/>
    <w:rsid w:val="002B1638"/>
    <w:rsid w:val="002B3624"/>
    <w:rsid w:val="002C470D"/>
    <w:rsid w:val="002D0816"/>
    <w:rsid w:val="002D0952"/>
    <w:rsid w:val="002E40B3"/>
    <w:rsid w:val="002E4C9A"/>
    <w:rsid w:val="002F11F8"/>
    <w:rsid w:val="002F3F56"/>
    <w:rsid w:val="002F44B5"/>
    <w:rsid w:val="002F46DC"/>
    <w:rsid w:val="002F5122"/>
    <w:rsid w:val="00311644"/>
    <w:rsid w:val="00311AC0"/>
    <w:rsid w:val="00312BFE"/>
    <w:rsid w:val="003176FC"/>
    <w:rsid w:val="00322BEB"/>
    <w:rsid w:val="0032583B"/>
    <w:rsid w:val="003266B8"/>
    <w:rsid w:val="00327883"/>
    <w:rsid w:val="00333839"/>
    <w:rsid w:val="00335504"/>
    <w:rsid w:val="00340539"/>
    <w:rsid w:val="00340C18"/>
    <w:rsid w:val="00341A41"/>
    <w:rsid w:val="003442FD"/>
    <w:rsid w:val="00344AB5"/>
    <w:rsid w:val="00347824"/>
    <w:rsid w:val="00350567"/>
    <w:rsid w:val="003521E8"/>
    <w:rsid w:val="00352749"/>
    <w:rsid w:val="00370CE3"/>
    <w:rsid w:val="003728F3"/>
    <w:rsid w:val="003735BC"/>
    <w:rsid w:val="0037496E"/>
    <w:rsid w:val="00383221"/>
    <w:rsid w:val="00383C40"/>
    <w:rsid w:val="00385051"/>
    <w:rsid w:val="00385132"/>
    <w:rsid w:val="00385AF8"/>
    <w:rsid w:val="00386150"/>
    <w:rsid w:val="003874CE"/>
    <w:rsid w:val="00390900"/>
    <w:rsid w:val="00393689"/>
    <w:rsid w:val="003A1D09"/>
    <w:rsid w:val="003A7F6C"/>
    <w:rsid w:val="003B22CE"/>
    <w:rsid w:val="003B4D60"/>
    <w:rsid w:val="003B7E39"/>
    <w:rsid w:val="003C58DC"/>
    <w:rsid w:val="003D1E62"/>
    <w:rsid w:val="003D61D6"/>
    <w:rsid w:val="003E0B99"/>
    <w:rsid w:val="003E2486"/>
    <w:rsid w:val="003E3208"/>
    <w:rsid w:val="003E39BE"/>
    <w:rsid w:val="003E582E"/>
    <w:rsid w:val="003F0B04"/>
    <w:rsid w:val="003F117A"/>
    <w:rsid w:val="003F163A"/>
    <w:rsid w:val="0040134E"/>
    <w:rsid w:val="00403393"/>
    <w:rsid w:val="00403619"/>
    <w:rsid w:val="00416A76"/>
    <w:rsid w:val="00422042"/>
    <w:rsid w:val="00425E63"/>
    <w:rsid w:val="004318FC"/>
    <w:rsid w:val="004322BD"/>
    <w:rsid w:val="004334C7"/>
    <w:rsid w:val="00440A2D"/>
    <w:rsid w:val="00441C3F"/>
    <w:rsid w:val="00444D1A"/>
    <w:rsid w:val="00446A90"/>
    <w:rsid w:val="00447E61"/>
    <w:rsid w:val="004500F0"/>
    <w:rsid w:val="0045186A"/>
    <w:rsid w:val="004564A7"/>
    <w:rsid w:val="00456765"/>
    <w:rsid w:val="00457DDB"/>
    <w:rsid w:val="004617BF"/>
    <w:rsid w:val="00463658"/>
    <w:rsid w:val="004637A0"/>
    <w:rsid w:val="00467C97"/>
    <w:rsid w:val="004722CC"/>
    <w:rsid w:val="00473E14"/>
    <w:rsid w:val="00475AB1"/>
    <w:rsid w:val="00490483"/>
    <w:rsid w:val="00493688"/>
    <w:rsid w:val="004936E4"/>
    <w:rsid w:val="004942AB"/>
    <w:rsid w:val="00494E60"/>
    <w:rsid w:val="00497487"/>
    <w:rsid w:val="004A2771"/>
    <w:rsid w:val="004A2C87"/>
    <w:rsid w:val="004A4F5D"/>
    <w:rsid w:val="004A6189"/>
    <w:rsid w:val="004A7390"/>
    <w:rsid w:val="004B0070"/>
    <w:rsid w:val="004B7662"/>
    <w:rsid w:val="004B7669"/>
    <w:rsid w:val="004B7B76"/>
    <w:rsid w:val="004C066B"/>
    <w:rsid w:val="004C239D"/>
    <w:rsid w:val="004C2DCA"/>
    <w:rsid w:val="004C4BB1"/>
    <w:rsid w:val="004C61D2"/>
    <w:rsid w:val="004D0D96"/>
    <w:rsid w:val="004D1109"/>
    <w:rsid w:val="004D7EA7"/>
    <w:rsid w:val="004F0C4A"/>
    <w:rsid w:val="004F0F38"/>
    <w:rsid w:val="004F47D6"/>
    <w:rsid w:val="004F6B3D"/>
    <w:rsid w:val="00500337"/>
    <w:rsid w:val="00501921"/>
    <w:rsid w:val="00515F73"/>
    <w:rsid w:val="0051657C"/>
    <w:rsid w:val="00524076"/>
    <w:rsid w:val="00525BC6"/>
    <w:rsid w:val="00530354"/>
    <w:rsid w:val="005339F0"/>
    <w:rsid w:val="0053625B"/>
    <w:rsid w:val="005434C6"/>
    <w:rsid w:val="00543B39"/>
    <w:rsid w:val="00545A26"/>
    <w:rsid w:val="00546154"/>
    <w:rsid w:val="00550096"/>
    <w:rsid w:val="00555113"/>
    <w:rsid w:val="00555280"/>
    <w:rsid w:val="00557FF9"/>
    <w:rsid w:val="00562327"/>
    <w:rsid w:val="00563A3D"/>
    <w:rsid w:val="005671CB"/>
    <w:rsid w:val="005711D5"/>
    <w:rsid w:val="00576378"/>
    <w:rsid w:val="00577130"/>
    <w:rsid w:val="00577945"/>
    <w:rsid w:val="00577E38"/>
    <w:rsid w:val="00585322"/>
    <w:rsid w:val="005857C6"/>
    <w:rsid w:val="005904BC"/>
    <w:rsid w:val="00592F6E"/>
    <w:rsid w:val="00593AD1"/>
    <w:rsid w:val="005A68B6"/>
    <w:rsid w:val="005B5F7B"/>
    <w:rsid w:val="005C5570"/>
    <w:rsid w:val="005C79A4"/>
    <w:rsid w:val="005D17D5"/>
    <w:rsid w:val="005D3A86"/>
    <w:rsid w:val="005D5442"/>
    <w:rsid w:val="005D6882"/>
    <w:rsid w:val="005E27EC"/>
    <w:rsid w:val="005E38DF"/>
    <w:rsid w:val="005E47AB"/>
    <w:rsid w:val="00600325"/>
    <w:rsid w:val="006011D1"/>
    <w:rsid w:val="006023AC"/>
    <w:rsid w:val="00603F32"/>
    <w:rsid w:val="00605AD4"/>
    <w:rsid w:val="006136D7"/>
    <w:rsid w:val="00621BD7"/>
    <w:rsid w:val="00625A6E"/>
    <w:rsid w:val="00632398"/>
    <w:rsid w:val="0064082D"/>
    <w:rsid w:val="00640FC3"/>
    <w:rsid w:val="00641DFA"/>
    <w:rsid w:val="00642020"/>
    <w:rsid w:val="00642280"/>
    <w:rsid w:val="00642F48"/>
    <w:rsid w:val="006430EE"/>
    <w:rsid w:val="006457A6"/>
    <w:rsid w:val="00645AD1"/>
    <w:rsid w:val="00652601"/>
    <w:rsid w:val="0065337B"/>
    <w:rsid w:val="0065419D"/>
    <w:rsid w:val="006603BC"/>
    <w:rsid w:val="006604D8"/>
    <w:rsid w:val="00664A5B"/>
    <w:rsid w:val="0066735C"/>
    <w:rsid w:val="0067191C"/>
    <w:rsid w:val="006763D2"/>
    <w:rsid w:val="00680685"/>
    <w:rsid w:val="00680C08"/>
    <w:rsid w:val="00681CE5"/>
    <w:rsid w:val="00682A3D"/>
    <w:rsid w:val="006916A0"/>
    <w:rsid w:val="006931B1"/>
    <w:rsid w:val="006A15C0"/>
    <w:rsid w:val="006A2AC5"/>
    <w:rsid w:val="006A48AC"/>
    <w:rsid w:val="006A58A8"/>
    <w:rsid w:val="006B3A84"/>
    <w:rsid w:val="006B3BFA"/>
    <w:rsid w:val="006C3E2A"/>
    <w:rsid w:val="006C53A3"/>
    <w:rsid w:val="006C55A1"/>
    <w:rsid w:val="006C642F"/>
    <w:rsid w:val="006C6C3E"/>
    <w:rsid w:val="006C6DC1"/>
    <w:rsid w:val="006C7B4E"/>
    <w:rsid w:val="006D03E5"/>
    <w:rsid w:val="006D1EFF"/>
    <w:rsid w:val="006D29F9"/>
    <w:rsid w:val="006D5D3E"/>
    <w:rsid w:val="006E08B3"/>
    <w:rsid w:val="006E55E2"/>
    <w:rsid w:val="006F158F"/>
    <w:rsid w:val="006F17AC"/>
    <w:rsid w:val="006F25B8"/>
    <w:rsid w:val="006F572E"/>
    <w:rsid w:val="007039FD"/>
    <w:rsid w:val="007046D6"/>
    <w:rsid w:val="00705064"/>
    <w:rsid w:val="00705DB0"/>
    <w:rsid w:val="00706B75"/>
    <w:rsid w:val="00711C51"/>
    <w:rsid w:val="00714B8C"/>
    <w:rsid w:val="00722B57"/>
    <w:rsid w:val="00730F8A"/>
    <w:rsid w:val="00735A8C"/>
    <w:rsid w:val="0074253D"/>
    <w:rsid w:val="0074429B"/>
    <w:rsid w:val="0074775C"/>
    <w:rsid w:val="0075340F"/>
    <w:rsid w:val="007615BC"/>
    <w:rsid w:val="00762F05"/>
    <w:rsid w:val="007652FF"/>
    <w:rsid w:val="00770CAC"/>
    <w:rsid w:val="00770EF1"/>
    <w:rsid w:val="007726D1"/>
    <w:rsid w:val="00773B38"/>
    <w:rsid w:val="00773EF7"/>
    <w:rsid w:val="00774E1D"/>
    <w:rsid w:val="007765D8"/>
    <w:rsid w:val="0077675A"/>
    <w:rsid w:val="00780355"/>
    <w:rsid w:val="007819FD"/>
    <w:rsid w:val="00785527"/>
    <w:rsid w:val="00785717"/>
    <w:rsid w:val="00785721"/>
    <w:rsid w:val="00786A3E"/>
    <w:rsid w:val="00793A59"/>
    <w:rsid w:val="007A46F5"/>
    <w:rsid w:val="007A6505"/>
    <w:rsid w:val="007A772E"/>
    <w:rsid w:val="007A7CEA"/>
    <w:rsid w:val="007B07BB"/>
    <w:rsid w:val="007B6132"/>
    <w:rsid w:val="007B66B5"/>
    <w:rsid w:val="007B6E9F"/>
    <w:rsid w:val="007C1216"/>
    <w:rsid w:val="007C1AF7"/>
    <w:rsid w:val="007C6B9B"/>
    <w:rsid w:val="007D3DA5"/>
    <w:rsid w:val="007D6D73"/>
    <w:rsid w:val="007F0F35"/>
    <w:rsid w:val="00801B01"/>
    <w:rsid w:val="00805D27"/>
    <w:rsid w:val="008065AF"/>
    <w:rsid w:val="00806DCB"/>
    <w:rsid w:val="00814BC2"/>
    <w:rsid w:val="0081652F"/>
    <w:rsid w:val="00821776"/>
    <w:rsid w:val="0082380C"/>
    <w:rsid w:val="008321F5"/>
    <w:rsid w:val="00832369"/>
    <w:rsid w:val="00834660"/>
    <w:rsid w:val="00834E8B"/>
    <w:rsid w:val="00836BC2"/>
    <w:rsid w:val="0085156D"/>
    <w:rsid w:val="00852B28"/>
    <w:rsid w:val="0085641B"/>
    <w:rsid w:val="0085681D"/>
    <w:rsid w:val="00857136"/>
    <w:rsid w:val="00857B8C"/>
    <w:rsid w:val="008709E2"/>
    <w:rsid w:val="00875A6B"/>
    <w:rsid w:val="008773A7"/>
    <w:rsid w:val="00885B11"/>
    <w:rsid w:val="00886D15"/>
    <w:rsid w:val="00887DD8"/>
    <w:rsid w:val="00891BA9"/>
    <w:rsid w:val="00896018"/>
    <w:rsid w:val="008960DD"/>
    <w:rsid w:val="0089635C"/>
    <w:rsid w:val="008A036F"/>
    <w:rsid w:val="008A2B9D"/>
    <w:rsid w:val="008A3D9F"/>
    <w:rsid w:val="008A5E0B"/>
    <w:rsid w:val="008A6D59"/>
    <w:rsid w:val="008B4B03"/>
    <w:rsid w:val="008B596F"/>
    <w:rsid w:val="008B7E07"/>
    <w:rsid w:val="008C159F"/>
    <w:rsid w:val="008C1623"/>
    <w:rsid w:val="008C1850"/>
    <w:rsid w:val="008C51A9"/>
    <w:rsid w:val="008D4A71"/>
    <w:rsid w:val="008D62EB"/>
    <w:rsid w:val="008E7846"/>
    <w:rsid w:val="008F02E5"/>
    <w:rsid w:val="008F1365"/>
    <w:rsid w:val="008F1482"/>
    <w:rsid w:val="008F1CCC"/>
    <w:rsid w:val="008F2967"/>
    <w:rsid w:val="008F6943"/>
    <w:rsid w:val="009020A1"/>
    <w:rsid w:val="00902A21"/>
    <w:rsid w:val="00913318"/>
    <w:rsid w:val="0091523F"/>
    <w:rsid w:val="00917688"/>
    <w:rsid w:val="00920330"/>
    <w:rsid w:val="009219D7"/>
    <w:rsid w:val="009226F9"/>
    <w:rsid w:val="00922D53"/>
    <w:rsid w:val="0092396D"/>
    <w:rsid w:val="00923B70"/>
    <w:rsid w:val="00924482"/>
    <w:rsid w:val="00926055"/>
    <w:rsid w:val="00927D87"/>
    <w:rsid w:val="00930237"/>
    <w:rsid w:val="00937C17"/>
    <w:rsid w:val="00940A89"/>
    <w:rsid w:val="00941F77"/>
    <w:rsid w:val="009420ED"/>
    <w:rsid w:val="00942DFC"/>
    <w:rsid w:val="00946EA5"/>
    <w:rsid w:val="009527A8"/>
    <w:rsid w:val="00954CF1"/>
    <w:rsid w:val="00960520"/>
    <w:rsid w:val="00963C08"/>
    <w:rsid w:val="009752A5"/>
    <w:rsid w:val="00980BB5"/>
    <w:rsid w:val="0098585A"/>
    <w:rsid w:val="00985EA6"/>
    <w:rsid w:val="00986CB5"/>
    <w:rsid w:val="00991836"/>
    <w:rsid w:val="00992506"/>
    <w:rsid w:val="0099597C"/>
    <w:rsid w:val="009A4CED"/>
    <w:rsid w:val="009A690D"/>
    <w:rsid w:val="009B1D12"/>
    <w:rsid w:val="009B416B"/>
    <w:rsid w:val="009C001C"/>
    <w:rsid w:val="009C1539"/>
    <w:rsid w:val="009C4BD5"/>
    <w:rsid w:val="009C5E28"/>
    <w:rsid w:val="009D3AB6"/>
    <w:rsid w:val="009D57C8"/>
    <w:rsid w:val="009D6541"/>
    <w:rsid w:val="009D7B77"/>
    <w:rsid w:val="009D7E64"/>
    <w:rsid w:val="009E0BB0"/>
    <w:rsid w:val="009E3FBB"/>
    <w:rsid w:val="009E520A"/>
    <w:rsid w:val="009F63B4"/>
    <w:rsid w:val="009F7353"/>
    <w:rsid w:val="00A03959"/>
    <w:rsid w:val="00A04F85"/>
    <w:rsid w:val="00A05232"/>
    <w:rsid w:val="00A05FA4"/>
    <w:rsid w:val="00A102E4"/>
    <w:rsid w:val="00A1219C"/>
    <w:rsid w:val="00A12C42"/>
    <w:rsid w:val="00A14DF7"/>
    <w:rsid w:val="00A20DA4"/>
    <w:rsid w:val="00A22D57"/>
    <w:rsid w:val="00A3246D"/>
    <w:rsid w:val="00A36FA7"/>
    <w:rsid w:val="00A44DDB"/>
    <w:rsid w:val="00A46059"/>
    <w:rsid w:val="00A475B7"/>
    <w:rsid w:val="00A47AF7"/>
    <w:rsid w:val="00A47C3E"/>
    <w:rsid w:val="00A50226"/>
    <w:rsid w:val="00A5108B"/>
    <w:rsid w:val="00A60BAD"/>
    <w:rsid w:val="00A67B96"/>
    <w:rsid w:val="00A746CF"/>
    <w:rsid w:val="00A775E9"/>
    <w:rsid w:val="00A77A66"/>
    <w:rsid w:val="00A77F87"/>
    <w:rsid w:val="00A80B5B"/>
    <w:rsid w:val="00A84E36"/>
    <w:rsid w:val="00A92091"/>
    <w:rsid w:val="00A9396D"/>
    <w:rsid w:val="00A94A76"/>
    <w:rsid w:val="00A964D1"/>
    <w:rsid w:val="00AA0ED0"/>
    <w:rsid w:val="00AA4AF3"/>
    <w:rsid w:val="00AA6E23"/>
    <w:rsid w:val="00AB15E5"/>
    <w:rsid w:val="00AC2B40"/>
    <w:rsid w:val="00AC2BB2"/>
    <w:rsid w:val="00AC2C3C"/>
    <w:rsid w:val="00AC512D"/>
    <w:rsid w:val="00AD0083"/>
    <w:rsid w:val="00AD3935"/>
    <w:rsid w:val="00AE0985"/>
    <w:rsid w:val="00AE3A4A"/>
    <w:rsid w:val="00AE65EB"/>
    <w:rsid w:val="00AE67A7"/>
    <w:rsid w:val="00AF1D94"/>
    <w:rsid w:val="00AF60C5"/>
    <w:rsid w:val="00B009C6"/>
    <w:rsid w:val="00B01320"/>
    <w:rsid w:val="00B01548"/>
    <w:rsid w:val="00B130C5"/>
    <w:rsid w:val="00B13EBD"/>
    <w:rsid w:val="00B15C22"/>
    <w:rsid w:val="00B21D29"/>
    <w:rsid w:val="00B25034"/>
    <w:rsid w:val="00B33588"/>
    <w:rsid w:val="00B33863"/>
    <w:rsid w:val="00B35041"/>
    <w:rsid w:val="00B37D17"/>
    <w:rsid w:val="00B4175E"/>
    <w:rsid w:val="00B41C85"/>
    <w:rsid w:val="00B452CE"/>
    <w:rsid w:val="00B54C25"/>
    <w:rsid w:val="00B56E6E"/>
    <w:rsid w:val="00B63667"/>
    <w:rsid w:val="00B66988"/>
    <w:rsid w:val="00B67F83"/>
    <w:rsid w:val="00B70804"/>
    <w:rsid w:val="00B76B91"/>
    <w:rsid w:val="00B77EB1"/>
    <w:rsid w:val="00B811C6"/>
    <w:rsid w:val="00B855B0"/>
    <w:rsid w:val="00B92E08"/>
    <w:rsid w:val="00B943DF"/>
    <w:rsid w:val="00B964A2"/>
    <w:rsid w:val="00BB21B6"/>
    <w:rsid w:val="00BB6737"/>
    <w:rsid w:val="00BC0013"/>
    <w:rsid w:val="00BC147B"/>
    <w:rsid w:val="00BC330E"/>
    <w:rsid w:val="00BC622A"/>
    <w:rsid w:val="00BE0492"/>
    <w:rsid w:val="00BE0928"/>
    <w:rsid w:val="00BE0A78"/>
    <w:rsid w:val="00BE79F0"/>
    <w:rsid w:val="00BF0300"/>
    <w:rsid w:val="00BF046D"/>
    <w:rsid w:val="00BF1190"/>
    <w:rsid w:val="00BF3774"/>
    <w:rsid w:val="00BF5D04"/>
    <w:rsid w:val="00C009AA"/>
    <w:rsid w:val="00C110F2"/>
    <w:rsid w:val="00C1164D"/>
    <w:rsid w:val="00C16861"/>
    <w:rsid w:val="00C252DA"/>
    <w:rsid w:val="00C346AB"/>
    <w:rsid w:val="00C356C5"/>
    <w:rsid w:val="00C401D3"/>
    <w:rsid w:val="00C404A6"/>
    <w:rsid w:val="00C40A36"/>
    <w:rsid w:val="00C44419"/>
    <w:rsid w:val="00C45E7B"/>
    <w:rsid w:val="00C471B1"/>
    <w:rsid w:val="00C47DEB"/>
    <w:rsid w:val="00C51BA5"/>
    <w:rsid w:val="00C52E24"/>
    <w:rsid w:val="00C565B7"/>
    <w:rsid w:val="00C60EC6"/>
    <w:rsid w:val="00C6316B"/>
    <w:rsid w:val="00C634A9"/>
    <w:rsid w:val="00C64586"/>
    <w:rsid w:val="00C64E64"/>
    <w:rsid w:val="00C70D53"/>
    <w:rsid w:val="00C72EF1"/>
    <w:rsid w:val="00C73670"/>
    <w:rsid w:val="00C73D0B"/>
    <w:rsid w:val="00C74F5C"/>
    <w:rsid w:val="00C753A1"/>
    <w:rsid w:val="00C772FF"/>
    <w:rsid w:val="00C80137"/>
    <w:rsid w:val="00C801AF"/>
    <w:rsid w:val="00C80256"/>
    <w:rsid w:val="00C81092"/>
    <w:rsid w:val="00C94CD4"/>
    <w:rsid w:val="00C9747E"/>
    <w:rsid w:val="00CA1035"/>
    <w:rsid w:val="00CA6666"/>
    <w:rsid w:val="00CB0049"/>
    <w:rsid w:val="00CB6BC0"/>
    <w:rsid w:val="00CC1B7C"/>
    <w:rsid w:val="00CC2F84"/>
    <w:rsid w:val="00CC6E7A"/>
    <w:rsid w:val="00CC727F"/>
    <w:rsid w:val="00CD2C30"/>
    <w:rsid w:val="00CE1E47"/>
    <w:rsid w:val="00CF1474"/>
    <w:rsid w:val="00CF15C3"/>
    <w:rsid w:val="00CF2B6F"/>
    <w:rsid w:val="00CF2F3E"/>
    <w:rsid w:val="00CF58B6"/>
    <w:rsid w:val="00D0062D"/>
    <w:rsid w:val="00D017ED"/>
    <w:rsid w:val="00D040D3"/>
    <w:rsid w:val="00D04C65"/>
    <w:rsid w:val="00D153D8"/>
    <w:rsid w:val="00D16FC8"/>
    <w:rsid w:val="00D201D2"/>
    <w:rsid w:val="00D224FE"/>
    <w:rsid w:val="00D23139"/>
    <w:rsid w:val="00D24431"/>
    <w:rsid w:val="00D263AE"/>
    <w:rsid w:val="00D2749F"/>
    <w:rsid w:val="00D3536E"/>
    <w:rsid w:val="00D378B5"/>
    <w:rsid w:val="00D406BB"/>
    <w:rsid w:val="00D41E56"/>
    <w:rsid w:val="00D425BB"/>
    <w:rsid w:val="00D453FA"/>
    <w:rsid w:val="00D46986"/>
    <w:rsid w:val="00D47C84"/>
    <w:rsid w:val="00D55B7A"/>
    <w:rsid w:val="00D56CDB"/>
    <w:rsid w:val="00D60377"/>
    <w:rsid w:val="00D61D12"/>
    <w:rsid w:val="00D6493E"/>
    <w:rsid w:val="00D709D4"/>
    <w:rsid w:val="00D7195D"/>
    <w:rsid w:val="00D7301E"/>
    <w:rsid w:val="00D76EBC"/>
    <w:rsid w:val="00D80CAE"/>
    <w:rsid w:val="00D83AE1"/>
    <w:rsid w:val="00D855D4"/>
    <w:rsid w:val="00D902C9"/>
    <w:rsid w:val="00D93466"/>
    <w:rsid w:val="00DA1124"/>
    <w:rsid w:val="00DA4532"/>
    <w:rsid w:val="00DA64CB"/>
    <w:rsid w:val="00DA6D17"/>
    <w:rsid w:val="00DB06B8"/>
    <w:rsid w:val="00DB6124"/>
    <w:rsid w:val="00DB750B"/>
    <w:rsid w:val="00DB75B7"/>
    <w:rsid w:val="00DC0A2F"/>
    <w:rsid w:val="00DC1948"/>
    <w:rsid w:val="00DC6E02"/>
    <w:rsid w:val="00DD28CD"/>
    <w:rsid w:val="00DE02AE"/>
    <w:rsid w:val="00DE3556"/>
    <w:rsid w:val="00DE39D1"/>
    <w:rsid w:val="00DF1D7F"/>
    <w:rsid w:val="00DF4BE4"/>
    <w:rsid w:val="00E02382"/>
    <w:rsid w:val="00E02FB4"/>
    <w:rsid w:val="00E13FC7"/>
    <w:rsid w:val="00E16DE7"/>
    <w:rsid w:val="00E20571"/>
    <w:rsid w:val="00E235F7"/>
    <w:rsid w:val="00E23659"/>
    <w:rsid w:val="00E239D4"/>
    <w:rsid w:val="00E26130"/>
    <w:rsid w:val="00E37010"/>
    <w:rsid w:val="00E40B22"/>
    <w:rsid w:val="00E44ED1"/>
    <w:rsid w:val="00E45619"/>
    <w:rsid w:val="00E4588F"/>
    <w:rsid w:val="00E46DA3"/>
    <w:rsid w:val="00E4715B"/>
    <w:rsid w:val="00E51BB1"/>
    <w:rsid w:val="00E55CB0"/>
    <w:rsid w:val="00E624A5"/>
    <w:rsid w:val="00E64BA4"/>
    <w:rsid w:val="00E72F52"/>
    <w:rsid w:val="00E7344E"/>
    <w:rsid w:val="00E7369C"/>
    <w:rsid w:val="00E82665"/>
    <w:rsid w:val="00E86D46"/>
    <w:rsid w:val="00E91AA9"/>
    <w:rsid w:val="00EA3CE1"/>
    <w:rsid w:val="00EB0798"/>
    <w:rsid w:val="00EB40AD"/>
    <w:rsid w:val="00EB586E"/>
    <w:rsid w:val="00EB5FC8"/>
    <w:rsid w:val="00EC34B4"/>
    <w:rsid w:val="00EC463D"/>
    <w:rsid w:val="00EC7A85"/>
    <w:rsid w:val="00ED2922"/>
    <w:rsid w:val="00ED35C7"/>
    <w:rsid w:val="00ED3CAD"/>
    <w:rsid w:val="00ED5A41"/>
    <w:rsid w:val="00EE1DE8"/>
    <w:rsid w:val="00EE27C2"/>
    <w:rsid w:val="00EF3FB6"/>
    <w:rsid w:val="00EF4BAD"/>
    <w:rsid w:val="00EF59DC"/>
    <w:rsid w:val="00F033EC"/>
    <w:rsid w:val="00F03EFF"/>
    <w:rsid w:val="00F04280"/>
    <w:rsid w:val="00F04F68"/>
    <w:rsid w:val="00F12670"/>
    <w:rsid w:val="00F14B27"/>
    <w:rsid w:val="00F14F44"/>
    <w:rsid w:val="00F218DD"/>
    <w:rsid w:val="00F2336E"/>
    <w:rsid w:val="00F23DE3"/>
    <w:rsid w:val="00F25ACA"/>
    <w:rsid w:val="00F3148D"/>
    <w:rsid w:val="00F325C5"/>
    <w:rsid w:val="00F32FE0"/>
    <w:rsid w:val="00F35298"/>
    <w:rsid w:val="00F47333"/>
    <w:rsid w:val="00F47E37"/>
    <w:rsid w:val="00F53C07"/>
    <w:rsid w:val="00F54B65"/>
    <w:rsid w:val="00F55CC1"/>
    <w:rsid w:val="00F57AD7"/>
    <w:rsid w:val="00F6132E"/>
    <w:rsid w:val="00F63AED"/>
    <w:rsid w:val="00F640B6"/>
    <w:rsid w:val="00F64FFF"/>
    <w:rsid w:val="00F654F3"/>
    <w:rsid w:val="00F66831"/>
    <w:rsid w:val="00F66DF2"/>
    <w:rsid w:val="00F80E40"/>
    <w:rsid w:val="00F848D9"/>
    <w:rsid w:val="00FA0F93"/>
    <w:rsid w:val="00FA181A"/>
    <w:rsid w:val="00FA5069"/>
    <w:rsid w:val="00FA53BB"/>
    <w:rsid w:val="00FA5A3E"/>
    <w:rsid w:val="00FA5B82"/>
    <w:rsid w:val="00FA639E"/>
    <w:rsid w:val="00FA6EB4"/>
    <w:rsid w:val="00FC1FCA"/>
    <w:rsid w:val="00FC25E4"/>
    <w:rsid w:val="00FC4EF7"/>
    <w:rsid w:val="00FD0824"/>
    <w:rsid w:val="00FD0F6E"/>
    <w:rsid w:val="00FD119B"/>
    <w:rsid w:val="00FD1EDC"/>
    <w:rsid w:val="00FD7EAE"/>
    <w:rsid w:val="00FE1DEE"/>
    <w:rsid w:val="00FE4B1B"/>
    <w:rsid w:val="00FF0E6D"/>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FAE8F38"/>
  <w15:docId w15:val="{99317FA4-7DC9-4E9A-ACE2-43501A669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B7669"/>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F03EFF"/>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2700B4"/>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rsid w:val="00545A26"/>
    <w:pPr>
      <w:adjustRightInd w:val="0"/>
      <w:snapToGrid w:val="0"/>
      <w:spacing w:before="180" w:after="180"/>
      <w:ind w:left="720"/>
      <w:contextualSpacing/>
    </w:pPr>
    <w:rPr>
      <w:rFonts w:eastAsia="MS Mincho"/>
      <w:szCs w:val="20"/>
      <w:lang w:eastAsia="ja-JP"/>
    </w:rPr>
  </w:style>
  <w:style w:type="character" w:customStyle="1" w:styleId="TabletextChar">
    <w:name w:val="Table text Char"/>
    <w:basedOn w:val="DefaultParagraphFont"/>
    <w:link w:val="Tabletext"/>
    <w:rsid w:val="00545A26"/>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545A26"/>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545A26"/>
    <w:rPr>
      <w:rFonts w:ascii="Cambria" w:eastAsia="Times New Roman" w:hAnsi="Cambria" w:cs="Times New Roman"/>
      <w:b/>
      <w:snapToGrid w:val="0"/>
      <w:kern w:val="16"/>
      <w:sz w:val="20"/>
      <w:szCs w:val="24"/>
    </w:rPr>
  </w:style>
  <w:style w:type="paragraph" w:customStyle="1" w:styleId="Standard">
    <w:name w:val="Standard"/>
    <w:basedOn w:val="Normal"/>
    <w:link w:val="StandardChar"/>
    <w:qFormat/>
    <w:rsid w:val="00545A26"/>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545A26"/>
    <w:rPr>
      <w:rFonts w:ascii="Cambria" w:eastAsia="Times New Roman" w:hAnsi="Cambria" w:cs="Times New Roman"/>
      <w:snapToGrid w:val="0"/>
      <w:kern w:val="16"/>
      <w:sz w:val="23"/>
      <w:szCs w:val="24"/>
    </w:rPr>
  </w:style>
  <w:style w:type="character" w:customStyle="1" w:styleId="title-text">
    <w:name w:val="title-text"/>
    <w:basedOn w:val="DefaultParagraphFont"/>
    <w:rsid w:val="002031D3"/>
  </w:style>
  <w:style w:type="character" w:customStyle="1" w:styleId="authors">
    <w:name w:val="authors"/>
    <w:basedOn w:val="DefaultParagraphFont"/>
    <w:rsid w:val="00A77A66"/>
  </w:style>
  <w:style w:type="character" w:customStyle="1" w:styleId="Date1">
    <w:name w:val="Date1"/>
    <w:basedOn w:val="DefaultParagraphFont"/>
    <w:rsid w:val="00A77A66"/>
  </w:style>
  <w:style w:type="character" w:customStyle="1" w:styleId="arttitle">
    <w:name w:val="art_title"/>
    <w:basedOn w:val="DefaultParagraphFont"/>
    <w:rsid w:val="00A77A66"/>
  </w:style>
  <w:style w:type="character" w:customStyle="1" w:styleId="serialtitle">
    <w:name w:val="serial_title"/>
    <w:basedOn w:val="DefaultParagraphFont"/>
    <w:rsid w:val="00A77A66"/>
  </w:style>
  <w:style w:type="character" w:customStyle="1" w:styleId="volumeissue">
    <w:name w:val="volume_issue"/>
    <w:basedOn w:val="DefaultParagraphFont"/>
    <w:rsid w:val="00A77A66"/>
  </w:style>
  <w:style w:type="character" w:customStyle="1" w:styleId="pagerange">
    <w:name w:val="page_range"/>
    <w:basedOn w:val="DefaultParagraphFont"/>
    <w:rsid w:val="00A77A66"/>
  </w:style>
  <w:style w:type="character" w:customStyle="1" w:styleId="doilink">
    <w:name w:val="doi_link"/>
    <w:basedOn w:val="DefaultParagraphFont"/>
    <w:rsid w:val="00A77A66"/>
  </w:style>
  <w:style w:type="character" w:customStyle="1" w:styleId="cit-auth">
    <w:name w:val="cit-auth"/>
    <w:basedOn w:val="DefaultParagraphFont"/>
    <w:rsid w:val="007D6D73"/>
  </w:style>
  <w:style w:type="character" w:customStyle="1" w:styleId="cit-name-surname">
    <w:name w:val="cit-name-surname"/>
    <w:basedOn w:val="DefaultParagraphFont"/>
    <w:rsid w:val="007D6D73"/>
  </w:style>
  <w:style w:type="character" w:customStyle="1" w:styleId="cit-name-given-names">
    <w:name w:val="cit-name-given-names"/>
    <w:basedOn w:val="DefaultParagraphFont"/>
    <w:rsid w:val="007D6D73"/>
  </w:style>
  <w:style w:type="character" w:customStyle="1" w:styleId="cit-etal">
    <w:name w:val="cit-etal"/>
    <w:basedOn w:val="DefaultParagraphFont"/>
    <w:rsid w:val="007D6D73"/>
  </w:style>
  <w:style w:type="character" w:styleId="HTMLCite">
    <w:name w:val="HTML Cite"/>
    <w:basedOn w:val="DefaultParagraphFont"/>
    <w:uiPriority w:val="99"/>
    <w:semiHidden/>
    <w:unhideWhenUsed/>
    <w:rsid w:val="007D6D73"/>
    <w:rPr>
      <w:i/>
      <w:iCs/>
    </w:rPr>
  </w:style>
  <w:style w:type="character" w:customStyle="1" w:styleId="cit-article-title">
    <w:name w:val="cit-article-title"/>
    <w:basedOn w:val="DefaultParagraphFont"/>
    <w:rsid w:val="007D6D73"/>
  </w:style>
  <w:style w:type="character" w:customStyle="1" w:styleId="cit-pub-date">
    <w:name w:val="cit-pub-date"/>
    <w:basedOn w:val="DefaultParagraphFont"/>
    <w:rsid w:val="007D6D73"/>
  </w:style>
  <w:style w:type="character" w:customStyle="1" w:styleId="cit-vol">
    <w:name w:val="cit-vol"/>
    <w:basedOn w:val="DefaultParagraphFont"/>
    <w:rsid w:val="007D6D73"/>
  </w:style>
  <w:style w:type="character" w:customStyle="1" w:styleId="cit-fpage">
    <w:name w:val="cit-fpage"/>
    <w:basedOn w:val="DefaultParagraphFont"/>
    <w:rsid w:val="007D6D73"/>
  </w:style>
  <w:style w:type="character" w:customStyle="1" w:styleId="cit-lpage">
    <w:name w:val="cit-lpage"/>
    <w:basedOn w:val="DefaultParagraphFont"/>
    <w:rsid w:val="007D6D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60932">
      <w:bodyDiv w:val="1"/>
      <w:marLeft w:val="0"/>
      <w:marRight w:val="0"/>
      <w:marTop w:val="0"/>
      <w:marBottom w:val="0"/>
      <w:divBdr>
        <w:top w:val="none" w:sz="0" w:space="0" w:color="auto"/>
        <w:left w:val="none" w:sz="0" w:space="0" w:color="auto"/>
        <w:bottom w:val="none" w:sz="0" w:space="0" w:color="auto"/>
        <w:right w:val="none" w:sz="0" w:space="0" w:color="auto"/>
      </w:divBdr>
      <w:divsChild>
        <w:div w:id="1401169923">
          <w:marLeft w:val="0"/>
          <w:marRight w:val="0"/>
          <w:marTop w:val="100"/>
          <w:marBottom w:val="100"/>
          <w:divBdr>
            <w:top w:val="none" w:sz="0" w:space="0" w:color="auto"/>
            <w:left w:val="none" w:sz="0" w:space="0" w:color="auto"/>
            <w:bottom w:val="none" w:sz="0" w:space="0" w:color="auto"/>
            <w:right w:val="none" w:sz="0" w:space="0" w:color="auto"/>
          </w:divBdr>
          <w:divsChild>
            <w:div w:id="181235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72319">
      <w:bodyDiv w:val="1"/>
      <w:marLeft w:val="0"/>
      <w:marRight w:val="0"/>
      <w:marTop w:val="0"/>
      <w:marBottom w:val="0"/>
      <w:divBdr>
        <w:top w:val="none" w:sz="0" w:space="0" w:color="auto"/>
        <w:left w:val="none" w:sz="0" w:space="0" w:color="auto"/>
        <w:bottom w:val="none" w:sz="0" w:space="0" w:color="auto"/>
        <w:right w:val="none" w:sz="0" w:space="0" w:color="auto"/>
      </w:divBdr>
    </w:div>
    <w:div w:id="726151902">
      <w:bodyDiv w:val="1"/>
      <w:marLeft w:val="0"/>
      <w:marRight w:val="0"/>
      <w:marTop w:val="0"/>
      <w:marBottom w:val="0"/>
      <w:divBdr>
        <w:top w:val="none" w:sz="0" w:space="0" w:color="auto"/>
        <w:left w:val="none" w:sz="0" w:space="0" w:color="auto"/>
        <w:bottom w:val="none" w:sz="0" w:space="0" w:color="auto"/>
        <w:right w:val="none" w:sz="0" w:space="0" w:color="auto"/>
      </w:divBdr>
      <w:divsChild>
        <w:div w:id="968124488">
          <w:marLeft w:val="0"/>
          <w:marRight w:val="0"/>
          <w:marTop w:val="0"/>
          <w:marBottom w:val="0"/>
          <w:divBdr>
            <w:top w:val="none" w:sz="0" w:space="0" w:color="auto"/>
            <w:left w:val="none" w:sz="0" w:space="0" w:color="auto"/>
            <w:bottom w:val="none" w:sz="0" w:space="0" w:color="auto"/>
            <w:right w:val="none" w:sz="0" w:space="0" w:color="auto"/>
          </w:divBdr>
          <w:divsChild>
            <w:div w:id="53702962">
              <w:marLeft w:val="0"/>
              <w:marRight w:val="0"/>
              <w:marTop w:val="0"/>
              <w:marBottom w:val="0"/>
              <w:divBdr>
                <w:top w:val="none" w:sz="0" w:space="0" w:color="auto"/>
                <w:left w:val="none" w:sz="0" w:space="0" w:color="auto"/>
                <w:bottom w:val="none" w:sz="0" w:space="0" w:color="auto"/>
                <w:right w:val="none" w:sz="0" w:space="0" w:color="auto"/>
              </w:divBdr>
              <w:divsChild>
                <w:div w:id="1603994958">
                  <w:marLeft w:val="0"/>
                  <w:marRight w:val="0"/>
                  <w:marTop w:val="0"/>
                  <w:marBottom w:val="0"/>
                  <w:divBdr>
                    <w:top w:val="none" w:sz="0" w:space="0" w:color="auto"/>
                    <w:left w:val="none" w:sz="0" w:space="0" w:color="auto"/>
                    <w:bottom w:val="none" w:sz="0" w:space="0" w:color="auto"/>
                    <w:right w:val="none" w:sz="0" w:space="0" w:color="auto"/>
                  </w:divBdr>
                  <w:divsChild>
                    <w:div w:id="168212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546086">
      <w:bodyDiv w:val="1"/>
      <w:marLeft w:val="0"/>
      <w:marRight w:val="0"/>
      <w:marTop w:val="0"/>
      <w:marBottom w:val="0"/>
      <w:divBdr>
        <w:top w:val="none" w:sz="0" w:space="0" w:color="auto"/>
        <w:left w:val="none" w:sz="0" w:space="0" w:color="auto"/>
        <w:bottom w:val="none" w:sz="0" w:space="0" w:color="auto"/>
        <w:right w:val="none" w:sz="0" w:space="0" w:color="auto"/>
      </w:divBdr>
    </w:div>
    <w:div w:id="1176386272">
      <w:bodyDiv w:val="1"/>
      <w:marLeft w:val="0"/>
      <w:marRight w:val="0"/>
      <w:marTop w:val="0"/>
      <w:marBottom w:val="0"/>
      <w:divBdr>
        <w:top w:val="none" w:sz="0" w:space="0" w:color="auto"/>
        <w:left w:val="none" w:sz="0" w:space="0" w:color="auto"/>
        <w:bottom w:val="none" w:sz="0" w:space="0" w:color="auto"/>
        <w:right w:val="none" w:sz="0" w:space="0" w:color="auto"/>
      </w:divBdr>
      <w:divsChild>
        <w:div w:id="475876509">
          <w:marLeft w:val="0"/>
          <w:marRight w:val="0"/>
          <w:marTop w:val="0"/>
          <w:marBottom w:val="0"/>
          <w:divBdr>
            <w:top w:val="none" w:sz="0" w:space="0" w:color="auto"/>
            <w:left w:val="none" w:sz="0" w:space="0" w:color="auto"/>
            <w:bottom w:val="none" w:sz="0" w:space="0" w:color="auto"/>
            <w:right w:val="none" w:sz="0" w:space="0" w:color="auto"/>
          </w:divBdr>
          <w:divsChild>
            <w:div w:id="1760179828">
              <w:marLeft w:val="0"/>
              <w:marRight w:val="0"/>
              <w:marTop w:val="0"/>
              <w:marBottom w:val="0"/>
              <w:divBdr>
                <w:top w:val="none" w:sz="0" w:space="0" w:color="auto"/>
                <w:left w:val="none" w:sz="0" w:space="0" w:color="auto"/>
                <w:bottom w:val="none" w:sz="0" w:space="0" w:color="auto"/>
                <w:right w:val="none" w:sz="0" w:space="0" w:color="auto"/>
              </w:divBdr>
              <w:divsChild>
                <w:div w:id="1346252499">
                  <w:marLeft w:val="0"/>
                  <w:marRight w:val="0"/>
                  <w:marTop w:val="0"/>
                  <w:marBottom w:val="0"/>
                  <w:divBdr>
                    <w:top w:val="none" w:sz="0" w:space="0" w:color="auto"/>
                    <w:left w:val="none" w:sz="0" w:space="0" w:color="auto"/>
                    <w:bottom w:val="none" w:sz="0" w:space="0" w:color="auto"/>
                    <w:right w:val="none" w:sz="0" w:space="0" w:color="auto"/>
                  </w:divBdr>
                  <w:divsChild>
                    <w:div w:id="1295141922">
                      <w:marLeft w:val="0"/>
                      <w:marRight w:val="0"/>
                      <w:marTop w:val="0"/>
                      <w:marBottom w:val="0"/>
                      <w:divBdr>
                        <w:top w:val="none" w:sz="0" w:space="0" w:color="auto"/>
                        <w:left w:val="none" w:sz="0" w:space="0" w:color="auto"/>
                        <w:bottom w:val="none" w:sz="0" w:space="0" w:color="auto"/>
                        <w:right w:val="none" w:sz="0" w:space="0" w:color="auto"/>
                      </w:divBdr>
                      <w:divsChild>
                        <w:div w:id="1232501023">
                          <w:marLeft w:val="0"/>
                          <w:marRight w:val="0"/>
                          <w:marTop w:val="0"/>
                          <w:marBottom w:val="0"/>
                          <w:divBdr>
                            <w:top w:val="none" w:sz="0" w:space="0" w:color="auto"/>
                            <w:left w:val="none" w:sz="0" w:space="0" w:color="auto"/>
                            <w:bottom w:val="none" w:sz="0" w:space="0" w:color="auto"/>
                            <w:right w:val="none" w:sz="0" w:space="0" w:color="auto"/>
                          </w:divBdr>
                          <w:divsChild>
                            <w:div w:id="1279676467">
                              <w:marLeft w:val="0"/>
                              <w:marRight w:val="0"/>
                              <w:marTop w:val="0"/>
                              <w:marBottom w:val="0"/>
                              <w:divBdr>
                                <w:top w:val="none" w:sz="0" w:space="0" w:color="auto"/>
                                <w:left w:val="none" w:sz="0" w:space="0" w:color="auto"/>
                                <w:bottom w:val="none" w:sz="0" w:space="0" w:color="auto"/>
                                <w:right w:val="none" w:sz="0" w:space="0" w:color="auto"/>
                              </w:divBdr>
                              <w:divsChild>
                                <w:div w:id="2141729420">
                                  <w:marLeft w:val="0"/>
                                  <w:marRight w:val="0"/>
                                  <w:marTop w:val="0"/>
                                  <w:marBottom w:val="0"/>
                                  <w:divBdr>
                                    <w:top w:val="none" w:sz="0" w:space="0" w:color="auto"/>
                                    <w:left w:val="none" w:sz="0" w:space="0" w:color="auto"/>
                                    <w:bottom w:val="none" w:sz="0" w:space="0" w:color="auto"/>
                                    <w:right w:val="none" w:sz="0" w:space="0" w:color="auto"/>
                                  </w:divBdr>
                                  <w:divsChild>
                                    <w:div w:id="14787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596225">
      <w:bodyDiv w:val="1"/>
      <w:marLeft w:val="0"/>
      <w:marRight w:val="0"/>
      <w:marTop w:val="0"/>
      <w:marBottom w:val="0"/>
      <w:divBdr>
        <w:top w:val="none" w:sz="0" w:space="0" w:color="auto"/>
        <w:left w:val="none" w:sz="0" w:space="0" w:color="auto"/>
        <w:bottom w:val="none" w:sz="0" w:space="0" w:color="auto"/>
        <w:right w:val="none" w:sz="0" w:space="0" w:color="auto"/>
      </w:divBdr>
    </w:div>
    <w:div w:id="1662276715">
      <w:bodyDiv w:val="1"/>
      <w:marLeft w:val="0"/>
      <w:marRight w:val="0"/>
      <w:marTop w:val="0"/>
      <w:marBottom w:val="0"/>
      <w:divBdr>
        <w:top w:val="none" w:sz="0" w:space="0" w:color="auto"/>
        <w:left w:val="none" w:sz="0" w:space="0" w:color="auto"/>
        <w:bottom w:val="none" w:sz="0" w:space="0" w:color="auto"/>
        <w:right w:val="none" w:sz="0" w:space="0" w:color="auto"/>
      </w:divBdr>
    </w:div>
    <w:div w:id="193504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tga.gov.au/ws-labsindex" TargetMode="External"/><Relationship Id="rId42" Type="http://schemas.openxmlformats.org/officeDocument/2006/relationships/header" Target="header7.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6.xm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5.xml"/><Relationship Id="rId40" Type="http://schemas.openxmlformats.org/officeDocument/2006/relationships/hyperlink" Target="mailto:info@tga.gov.au" TargetMode="External"/><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oter" Target="footer5.xml"/><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tga.gov.au/product-information-pi" TargetMode="External"/><Relationship Id="rId43" Type="http://schemas.openxmlformats.org/officeDocument/2006/relationships/header" Target="header8.xml"/><Relationship Id="rId48" Type="http://schemas.openxmlformats.org/officeDocument/2006/relationships/theme" Target="theme/theme1.xml"/><Relationship Id="rId8"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sciencedirect.com/science/journal/0730725X/30/7" TargetMode="External"/><Relationship Id="rId1" Type="http://schemas.openxmlformats.org/officeDocument/2006/relationships/hyperlink" Target="https://www.sciencedirect.com/science/journal/0730725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8D161-AC69-47E1-9EA8-D63A52F54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35</Pages>
  <Words>9529</Words>
  <Characters>54316</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Australian Public Assessment Report for Dinutuximab beta</vt:lpstr>
    </vt:vector>
  </TitlesOfParts>
  <Company>Department of Health Therapeutic Goods Administration</Company>
  <LinksUpToDate>false</LinksUpToDate>
  <CharactersWithSpaces>63718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Dinutuximab beta</dc:title>
  <dc:subject>prescription medicines</dc:subject>
  <dc:creator>Therapeutic Goods Administration</dc:creator>
  <cp:keywords/>
  <cp:lastPrinted>2019-08-14T04:30:00Z</cp:lastPrinted>
  <dcterms:created xsi:type="dcterms:W3CDTF">2020-07-01T04:23:00Z</dcterms:created>
  <dcterms:modified xsi:type="dcterms:W3CDTF">2020-07-01T04:44:00Z</dcterms:modified>
  <cp:category/>
</cp:coreProperties>
</file>